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jpeg" ContentType="image/jpeg"/>
  <Default Extension="JPG" ContentType="image/.jpg"/>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ustomizations.xml" ContentType="application/vnd.ms-word.keyMapCustomization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3F412D">
      <w:pPr>
        <w:pStyle w:val="21"/>
        <w:keepNext w:val="0"/>
        <w:keepLines w:val="0"/>
        <w:pageBreakBefore/>
        <w:widowControl/>
        <w:kinsoku/>
        <w:wordWrap/>
        <w:overflowPunct/>
        <w:topLinePunct w:val="0"/>
        <w:autoSpaceDE/>
        <w:autoSpaceDN/>
        <w:bidi w:val="0"/>
        <w:adjustRightInd w:val="0"/>
        <w:snapToGrid w:val="0"/>
        <w:spacing w:before="313" w:beforeLines="100" w:after="313" w:afterLines="100" w:line="240" w:lineRule="auto"/>
        <w:jc w:val="center"/>
        <w:textAlignment w:val="auto"/>
        <w:outlineLvl w:val="9"/>
        <w:rPr>
          <w:rFonts w:hint="eastAsia" w:ascii="黑体" w:hAnsi="黑体" w:eastAsia="黑体" w:cs="黑体"/>
          <w:sz w:val="32"/>
          <w:szCs w:val="32"/>
          <w:lang w:val="en-US" w:eastAsia="zh-CN"/>
        </w:rPr>
      </w:pPr>
      <w:bookmarkStart w:id="70" w:name="_GoBack"/>
      <w:bookmarkEnd w:id="70"/>
      <w:r>
        <w:rPr>
          <w:rFonts w:hint="eastAsia" w:ascii="黑体" w:hAnsi="黑体" w:eastAsia="黑体" w:cs="黑体"/>
          <w:sz w:val="32"/>
          <w:szCs w:val="32"/>
          <w:lang w:val="en-US" w:eastAsia="zh-CN"/>
        </w:rPr>
        <w:t>前  言</w:t>
      </w:r>
    </w:p>
    <w:p w14:paraId="1F329293">
      <w:pPr>
        <w:pStyle w:val="21"/>
        <w:bidi w:val="0"/>
        <w:rPr>
          <w:rFonts w:hint="eastAsia"/>
        </w:rPr>
      </w:pPr>
      <w:r>
        <w:rPr>
          <w:rFonts w:hint="eastAsia"/>
          <w:lang w:val="en-US" w:eastAsia="zh-CN"/>
        </w:rPr>
        <w:t>沈阳浑南矿业有限责任公司辽宁省沈阳市立新铁矿</w:t>
      </w:r>
      <w:r>
        <w:rPr>
          <w:rFonts w:hint="eastAsia"/>
        </w:rPr>
        <w:t>采矿权人为沈阳浑南矿业有限责任公司（以下简称“</w:t>
      </w:r>
      <w:r>
        <w:rPr>
          <w:rFonts w:hint="eastAsia"/>
          <w:lang w:val="en-US" w:eastAsia="zh-CN"/>
        </w:rPr>
        <w:t>浑南矿业</w:t>
      </w:r>
      <w:r>
        <w:rPr>
          <w:rFonts w:hint="eastAsia"/>
        </w:rPr>
        <w:t>”），企业类型为有限责任公司，法定代表人</w:t>
      </w:r>
      <w:r>
        <w:rPr>
          <w:rFonts w:hint="eastAsia"/>
          <w:lang w:val="en-US" w:eastAsia="zh-CN"/>
        </w:rPr>
        <w:t>陈旭东</w:t>
      </w:r>
      <w:r>
        <w:rPr>
          <w:rFonts w:hint="eastAsia"/>
        </w:rPr>
        <w:t>。</w:t>
      </w:r>
    </w:p>
    <w:p w14:paraId="6042FFD3">
      <w:pPr>
        <w:pStyle w:val="21"/>
        <w:bidi w:val="0"/>
        <w:rPr>
          <w:rFonts w:hint="eastAsia"/>
        </w:rPr>
      </w:pPr>
      <w:r>
        <w:rPr>
          <w:rFonts w:hint="eastAsia"/>
        </w:rPr>
        <w:t>浑南矿业目前持有《省发展改革委关于沈阳浑南矿业有限责任公司(铁矿)地下开采建设项目核准的批复》（</w:t>
      </w:r>
      <w:r>
        <w:rPr>
          <w:rFonts w:hint="eastAsia"/>
          <w:lang w:val="en-US" w:eastAsia="zh-CN"/>
        </w:rPr>
        <w:t>辽发改工业〔2025〕304号</w:t>
      </w:r>
      <w:r>
        <w:rPr>
          <w:rFonts w:hint="eastAsia"/>
        </w:rPr>
        <w:t>），</w:t>
      </w:r>
      <w:r>
        <w:rPr>
          <w:rFonts w:hint="eastAsia"/>
          <w:lang w:val="en-US" w:eastAsia="zh-CN"/>
        </w:rPr>
        <w:t>沈阳市苏家屯区</w:t>
      </w:r>
      <w:r>
        <w:rPr>
          <w:rFonts w:hint="eastAsia"/>
        </w:rPr>
        <w:t>市场监督管理局202</w:t>
      </w:r>
      <w:r>
        <w:rPr>
          <w:rFonts w:hint="eastAsia"/>
          <w:lang w:val="en-US" w:eastAsia="zh-CN"/>
        </w:rPr>
        <w:t>4</w:t>
      </w:r>
      <w:r>
        <w:rPr>
          <w:rFonts w:hint="eastAsia"/>
        </w:rPr>
        <w:t>年</w:t>
      </w:r>
      <w:r>
        <w:rPr>
          <w:rFonts w:hint="eastAsia"/>
          <w:lang w:val="en-US" w:eastAsia="zh-CN"/>
        </w:rPr>
        <w:t>8</w:t>
      </w:r>
      <w:r>
        <w:rPr>
          <w:rFonts w:hint="eastAsia"/>
        </w:rPr>
        <w:t>月</w:t>
      </w:r>
      <w:r>
        <w:rPr>
          <w:rFonts w:hint="eastAsia"/>
          <w:lang w:val="en-US" w:eastAsia="zh-CN"/>
        </w:rPr>
        <w:t>23</w:t>
      </w:r>
      <w:r>
        <w:rPr>
          <w:rFonts w:hint="eastAsia"/>
        </w:rPr>
        <w:t>日签发的《营业执照》，辽宁省自然资源厅202</w:t>
      </w:r>
      <w:r>
        <w:rPr>
          <w:rFonts w:hint="eastAsia"/>
          <w:lang w:val="en-US" w:eastAsia="zh-CN"/>
        </w:rPr>
        <w:t>4</w:t>
      </w:r>
      <w:r>
        <w:rPr>
          <w:rFonts w:hint="eastAsia"/>
        </w:rPr>
        <w:t>年</w:t>
      </w:r>
      <w:r>
        <w:rPr>
          <w:rFonts w:hint="eastAsia"/>
          <w:lang w:val="en-US" w:eastAsia="zh-CN"/>
        </w:rPr>
        <w:t>7</w:t>
      </w:r>
      <w:r>
        <w:rPr>
          <w:rFonts w:hint="eastAsia"/>
        </w:rPr>
        <w:t>月</w:t>
      </w:r>
      <w:r>
        <w:rPr>
          <w:rFonts w:hint="eastAsia"/>
          <w:lang w:val="en-US" w:eastAsia="zh-CN"/>
        </w:rPr>
        <w:t>30</w:t>
      </w:r>
      <w:r>
        <w:rPr>
          <w:rFonts w:hint="eastAsia"/>
        </w:rPr>
        <w:t>日签发的《采矿许可证》以及202</w:t>
      </w:r>
      <w:r>
        <w:rPr>
          <w:rFonts w:hint="eastAsia"/>
          <w:lang w:val="en-US" w:eastAsia="zh-CN"/>
        </w:rPr>
        <w:t>5</w:t>
      </w:r>
      <w:r>
        <w:rPr>
          <w:rFonts w:hint="eastAsia"/>
        </w:rPr>
        <w:t>年</w:t>
      </w:r>
      <w:r>
        <w:rPr>
          <w:rFonts w:hint="eastAsia"/>
          <w:lang w:val="en-US" w:eastAsia="zh-CN"/>
        </w:rPr>
        <w:t>6</w:t>
      </w:r>
      <w:r>
        <w:rPr>
          <w:rFonts w:hint="eastAsia"/>
        </w:rPr>
        <w:t>月由兰州有色冶金设计研究院有限公司沈阳分公司出具的《</w:t>
      </w:r>
      <w:r>
        <w:rPr>
          <w:rFonts w:hint="eastAsia"/>
          <w:lang w:eastAsia="zh-CN"/>
        </w:rPr>
        <w:t>沈阳浑南矿业有限责任公司（铁矿）地下开采建设项目</w:t>
      </w:r>
      <w:r>
        <w:rPr>
          <w:rFonts w:hint="eastAsia"/>
        </w:rPr>
        <w:t>可行性研究报告》（以下简称《可研报告》）为进行安全预评价提供了依据。</w:t>
      </w:r>
    </w:p>
    <w:p w14:paraId="7773A76A">
      <w:pPr>
        <w:pStyle w:val="21"/>
        <w:bidi w:val="0"/>
        <w:rPr>
          <w:rFonts w:hint="eastAsia"/>
          <w:lang w:val="en-US" w:eastAsia="zh-CN"/>
        </w:rPr>
      </w:pPr>
      <w:r>
        <w:rPr>
          <w:rFonts w:hint="eastAsia"/>
          <w:lang w:val="en-US" w:eastAsia="zh-CN"/>
        </w:rPr>
        <w:t>浑南矿业始建于上世纪70年代，始建时采用露天开采方式。1985年矿山因选矿技术等原因停产。2004年</w:t>
      </w:r>
      <w:r>
        <w:t>成立</w:t>
      </w:r>
      <w:r>
        <w:rPr>
          <w:rFonts w:hint="eastAsia"/>
          <w:lang w:val="en-US" w:eastAsia="zh-CN"/>
        </w:rPr>
        <w:t>沈阳浑南矿业有限责任公司，矿山办理了采矿许可证，矿山恢复生产。批准生产规模25万t/a，开采方式为露天开采，矿区面积0.1023km</w:t>
      </w:r>
      <w:r>
        <w:rPr>
          <w:rFonts w:hint="eastAsia"/>
          <w:vertAlign w:val="superscript"/>
          <w:lang w:val="en-US" w:eastAsia="zh-CN"/>
        </w:rPr>
        <w:t>2</w:t>
      </w:r>
      <w:r>
        <w:rPr>
          <w:rFonts w:hint="eastAsia"/>
          <w:lang w:val="en-US" w:eastAsia="zh-CN"/>
        </w:rPr>
        <w:t>，开采标高95m至0m。</w:t>
      </w:r>
    </w:p>
    <w:p w14:paraId="6EF192B5">
      <w:pPr>
        <w:pStyle w:val="21"/>
        <w:bidi w:val="0"/>
        <w:rPr>
          <w:rFonts w:hint="eastAsia"/>
          <w:lang w:val="en-US" w:eastAsia="zh-CN"/>
        </w:rPr>
      </w:pPr>
      <w:r>
        <w:t>2015年</w:t>
      </w:r>
      <w:r>
        <w:rPr>
          <w:rFonts w:hint="eastAsia"/>
          <w:lang w:val="en-US" w:eastAsia="zh-CN"/>
        </w:rPr>
        <w:t>矿山在原采矿许可证范围内完成</w:t>
      </w:r>
      <w:r>
        <w:t>深部扩界</w:t>
      </w:r>
      <w:r>
        <w:rPr>
          <w:rFonts w:hint="eastAsia"/>
          <w:lang w:eastAsia="zh-CN"/>
        </w:rPr>
        <w:t>，</w:t>
      </w:r>
      <w:r>
        <w:rPr>
          <w:rFonts w:hint="eastAsia"/>
          <w:lang w:val="en-US" w:eastAsia="zh-CN"/>
        </w:rPr>
        <w:t>取得新采矿许可证，批准生产规模30万t/a，开采方式为露天/地下开采，矿区面积0.1023km</w:t>
      </w:r>
      <w:r>
        <w:rPr>
          <w:rFonts w:hint="eastAsia"/>
          <w:vertAlign w:val="superscript"/>
          <w:lang w:val="en-US" w:eastAsia="zh-CN"/>
        </w:rPr>
        <w:t>2</w:t>
      </w:r>
      <w:r>
        <w:rPr>
          <w:rFonts w:hint="eastAsia"/>
          <w:lang w:val="en-US" w:eastAsia="zh-CN"/>
        </w:rPr>
        <w:t>，开采标高103m至-120m。</w:t>
      </w:r>
    </w:p>
    <w:p w14:paraId="5BFDF5EB">
      <w:pPr>
        <w:pStyle w:val="21"/>
        <w:bidi w:val="0"/>
        <w:rPr>
          <w:rFonts w:hint="eastAsia"/>
          <w:lang w:eastAsia="zh-CN"/>
        </w:rPr>
      </w:pPr>
      <w:r>
        <w:t>2015年8月露天开采结束，</w:t>
      </w:r>
      <w:r>
        <w:rPr>
          <w:rFonts w:hint="eastAsia"/>
          <w:lang w:val="en-US" w:eastAsia="zh-CN"/>
        </w:rPr>
        <w:t>全面</w:t>
      </w:r>
      <w:r>
        <w:t>转为地下开采。</w:t>
      </w:r>
      <w:r>
        <w:rPr>
          <w:rFonts w:hint="eastAsia"/>
          <w:lang w:val="en-US" w:eastAsia="zh-CN"/>
        </w:rPr>
        <w:t>采用</w:t>
      </w:r>
      <w:r>
        <w:t>斜坡道开拓，回风井回风的对角抽出式通风系统，采矿方法采用无底柱分段崩落采矿方法。</w:t>
      </w:r>
    </w:p>
    <w:p w14:paraId="03DF0558">
      <w:pPr>
        <w:pStyle w:val="21"/>
        <w:bidi w:val="0"/>
        <w:rPr>
          <w:rFonts w:hint="eastAsia"/>
          <w:lang w:val="en-US" w:eastAsia="zh-CN"/>
        </w:rPr>
      </w:pPr>
      <w:r>
        <w:rPr>
          <w:rFonts w:hint="eastAsia"/>
          <w:lang w:val="en-US" w:eastAsia="zh-CN"/>
        </w:rPr>
        <w:t>2020年企业着手办理扩界、提高产能等相关手续。2023年后，矿山因原采矿许可证到期，停产至今。</w:t>
      </w:r>
    </w:p>
    <w:p w14:paraId="1D36EEEB">
      <w:pPr>
        <w:pStyle w:val="21"/>
        <w:bidi w:val="0"/>
        <w:rPr>
          <w:rFonts w:hint="eastAsia"/>
          <w:lang w:val="en-US" w:eastAsia="zh-CN"/>
        </w:rPr>
      </w:pPr>
      <w:r>
        <w:rPr>
          <w:rFonts w:hint="eastAsia"/>
          <w:lang w:val="en-US" w:eastAsia="zh-CN"/>
        </w:rPr>
        <w:t>2024年7月30日，取得扩界后的采矿许可证，生产规模为60万t/a，开采方式为地下开采，矿区面积0.8135km</w:t>
      </w:r>
      <w:r>
        <w:rPr>
          <w:rFonts w:hint="eastAsia"/>
          <w:vertAlign w:val="superscript"/>
          <w:lang w:val="en-US" w:eastAsia="zh-CN"/>
        </w:rPr>
        <w:t>2</w:t>
      </w:r>
      <w:r>
        <w:rPr>
          <w:rFonts w:hint="eastAsia"/>
          <w:lang w:val="en-US" w:eastAsia="zh-CN"/>
        </w:rPr>
        <w:t>，开采标高103m至-580m。</w:t>
      </w:r>
    </w:p>
    <w:p w14:paraId="3E4F5D75">
      <w:pPr>
        <w:pStyle w:val="21"/>
        <w:bidi w:val="0"/>
        <w:rPr>
          <w:rFonts w:hint="eastAsia"/>
        </w:rPr>
      </w:pPr>
      <w:r>
        <w:rPr>
          <w:rFonts w:hint="eastAsia"/>
          <w:lang w:val="en-US" w:eastAsia="zh-CN"/>
        </w:rPr>
        <w:t>2025年4月11日取得辽宁省发展和改革委下发的《省发展改革委关于沈阳浑南矿业有限责任公司(铁矿)地下开采建设项目核准的批复》（辽发改工业〔2025〕304号）。</w:t>
      </w:r>
    </w:p>
    <w:p w14:paraId="00CC7E2A">
      <w:pPr>
        <w:pStyle w:val="21"/>
        <w:bidi w:val="0"/>
        <w:rPr>
          <w:rFonts w:hint="eastAsia"/>
        </w:rPr>
      </w:pPr>
      <w:r>
        <w:rPr>
          <w:rFonts w:hint="eastAsia"/>
          <w:lang w:val="en-US" w:eastAsia="zh-CN"/>
        </w:rPr>
        <w:t>浑南矿业</w:t>
      </w:r>
      <w:r>
        <w:rPr>
          <w:rFonts w:hint="eastAsia"/>
        </w:rPr>
        <w:t>为了贯彻“安全第一，预防为主，综合治理”的方针，确保建设工程项目符合国家相关规定，保障劳动者在生产过程中的安全，根据《中华人民共和国安全生产法》、《建设项目安全设施“三同时”监督管理暂行办法》以及《辽宁省安全生产监督管理局关于进一步规范非煤矿矿山安全生产行政许可管理工作的通知》等文件精神的要求，委托我辽宁诺诚安全科技有限公司，针对</w:t>
      </w:r>
      <w:r>
        <w:rPr>
          <w:rFonts w:hint="eastAsia"/>
          <w:lang w:val="en-US" w:eastAsia="zh-CN"/>
        </w:rPr>
        <w:t>沈阳浑南矿业有限责任公司（铁矿）地下开采建设项目</w:t>
      </w:r>
      <w:r>
        <w:rPr>
          <w:rFonts w:hint="eastAsia"/>
        </w:rPr>
        <w:t>进行安全预评价。</w:t>
      </w:r>
    </w:p>
    <w:p w14:paraId="6DAAB2A9">
      <w:pPr>
        <w:pStyle w:val="21"/>
        <w:bidi w:val="0"/>
      </w:pPr>
      <w:r>
        <w:t>为有利于加强建设工程项目安全设施</w:t>
      </w:r>
      <w:r>
        <w:rPr>
          <w:rFonts w:hint="eastAsia"/>
        </w:rPr>
        <w:t>“</w:t>
      </w:r>
      <w:r>
        <w:t>三同时</w:t>
      </w:r>
      <w:r>
        <w:rPr>
          <w:rFonts w:hint="eastAsia"/>
        </w:rPr>
        <w:t>”</w:t>
      </w:r>
      <w:r>
        <w:t>工作，切实达到安全预评价的目的，为建设项目初步设计</w:t>
      </w:r>
      <w:r>
        <w:rPr>
          <w:rFonts w:hint="eastAsia"/>
        </w:rPr>
        <w:t>和安全设施设计</w:t>
      </w:r>
      <w:r>
        <w:t>的编制提供科学依据，提高建设项目的本质安全程度，兹提出《</w:t>
      </w:r>
      <w:r>
        <w:rPr>
          <w:rFonts w:hint="eastAsia"/>
          <w:lang w:eastAsia="zh-CN"/>
        </w:rPr>
        <w:t>沈阳浑南矿业有限责任公司（铁矿）地下开采建设项目</w:t>
      </w:r>
      <w:r>
        <w:rPr>
          <w:rFonts w:hint="eastAsia"/>
        </w:rPr>
        <w:t>安全预评价报告</w:t>
      </w:r>
      <w:r>
        <w:t>》。</w:t>
      </w:r>
    </w:p>
    <w:p w14:paraId="3D7496D3">
      <w:pPr>
        <w:pStyle w:val="21"/>
        <w:bidi w:val="0"/>
        <w:rPr>
          <w:rFonts w:hint="eastAsia" w:eastAsia="宋体"/>
          <w:lang w:eastAsia="zh-CN"/>
        </w:rPr>
      </w:pPr>
      <w:r>
        <w:rPr>
          <w:rFonts w:hint="eastAsia"/>
        </w:rPr>
        <w:t>本次《安全预评价报告》的格式和内容，是按照《安全评价通则》（AQ8001-2007）和《安全预评价导则》（AQ8002-2007）、《建设项目安全设施“三同时”监督管理暂行办法》（国家安全生产监督管理总局令第36号）以及《国家安全监管总局关于印发金属非金属矿山建设项目安全评价报告编写提纲的通知》（安监总管一〔2016〕49号）等要求确定的</w:t>
      </w:r>
      <w:r>
        <w:rPr>
          <w:rFonts w:hint="eastAsia"/>
          <w:lang w:eastAsia="zh-CN"/>
        </w:rPr>
        <w:t>。</w:t>
      </w:r>
    </w:p>
    <w:p w14:paraId="49A4F669">
      <w:pPr>
        <w:pStyle w:val="21"/>
        <w:bidi w:val="0"/>
        <w:rPr>
          <w:rFonts w:hint="eastAsia"/>
        </w:rPr>
      </w:pPr>
      <w:r>
        <w:rPr>
          <w:rFonts w:hint="eastAsia"/>
        </w:rPr>
        <w:br w:type="page"/>
      </w:r>
    </w:p>
    <w:sdt>
      <w:sdtPr>
        <w:rPr>
          <w:rFonts w:ascii="宋体" w:hAnsi="宋体" w:eastAsia="宋体" w:cstheme="minorBidi"/>
          <w:kern w:val="2"/>
          <w:sz w:val="21"/>
          <w:szCs w:val="24"/>
          <w:lang w:val="en-US" w:eastAsia="zh-CN" w:bidi="ar-SA"/>
        </w:rPr>
        <w:id w:val="147452412"/>
        <w15:color w:val="DBDBDB"/>
        <w:docPartObj>
          <w:docPartGallery w:val="Table of Contents"/>
          <w:docPartUnique/>
        </w:docPartObj>
      </w:sdtPr>
      <w:sdtEndPr>
        <w:rPr>
          <w:rFonts w:hint="default" w:ascii="Times New Roman" w:hAnsi="Times New Roman" w:eastAsiaTheme="minorEastAsia" w:cstheme="minorBidi"/>
          <w:b/>
          <w:kern w:val="2"/>
          <w:sz w:val="21"/>
          <w:szCs w:val="28"/>
          <w:lang w:val="en-US" w:eastAsia="zh-CN" w:bidi="ar-SA"/>
        </w:rPr>
      </w:sdtEndPr>
      <w:sdtContent>
        <w:p w14:paraId="6D9FD6F8">
          <w:pPr>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firstLineChars="0"/>
            <w:jc w:val="center"/>
            <w:textAlignment w:val="auto"/>
          </w:pPr>
          <w:r>
            <w:rPr>
              <w:rFonts w:hint="eastAsia" w:ascii="黑体" w:hAnsi="黑体" w:eastAsia="黑体" w:cs="黑体"/>
              <w:sz w:val="32"/>
              <w:szCs w:val="32"/>
            </w:rPr>
            <w:t>目</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录</w:t>
          </w:r>
        </w:p>
        <w:p w14:paraId="292436AD">
          <w:pPr>
            <w:pStyle w:val="20"/>
            <w:tabs>
              <w:tab w:val="right" w:leader="dot" w:pos="9185"/>
            </w:tabs>
          </w:pPr>
          <w:r>
            <w:rPr>
              <w:rFonts w:hint="default" w:ascii="Times New Roman" w:hAnsi="Times New Roman" w:eastAsiaTheme="minorEastAsia"/>
              <w:sz w:val="28"/>
              <w:szCs w:val="28"/>
              <w:lang w:val="en-US" w:eastAsia="zh-CN"/>
            </w:rPr>
            <w:fldChar w:fldCharType="begin"/>
          </w:r>
          <w:r>
            <w:rPr>
              <w:rFonts w:hint="default" w:ascii="Times New Roman" w:hAnsi="Times New Roman" w:eastAsiaTheme="minorEastAsia"/>
              <w:sz w:val="28"/>
              <w:szCs w:val="28"/>
              <w:lang w:val="en-US" w:eastAsia="zh-CN"/>
            </w:rPr>
            <w:instrText xml:space="preserve">TOC \o "1-2" \h \u </w:instrText>
          </w:r>
          <w:r>
            <w:rPr>
              <w:rFonts w:hint="default" w:ascii="Times New Roman" w:hAnsi="Times New Roman" w:eastAsiaTheme="minorEastAsia"/>
              <w:sz w:val="28"/>
              <w:szCs w:val="28"/>
              <w:lang w:val="en-US" w:eastAsia="zh-CN"/>
            </w:rPr>
            <w:fldChar w:fldCharType="separate"/>
          </w: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_Toc11275 </w:instrText>
          </w:r>
          <w:r>
            <w:rPr>
              <w:rFonts w:hint="default" w:ascii="Times New Roman" w:hAnsi="Times New Roman" w:eastAsiaTheme="minorEastAsia"/>
              <w:szCs w:val="28"/>
              <w:lang w:val="en-US" w:eastAsia="zh-CN"/>
            </w:rPr>
            <w:fldChar w:fldCharType="separate"/>
          </w:r>
          <w:r>
            <w:rPr>
              <w:rFonts w:hint="default"/>
              <w:lang w:val="en-US" w:eastAsia="zh-CN"/>
            </w:rPr>
            <w:t xml:space="preserve">1 </w:t>
          </w:r>
          <w:r>
            <w:rPr>
              <w:rFonts w:hint="eastAsia"/>
              <w:lang w:val="en-US" w:eastAsia="zh-CN"/>
            </w:rPr>
            <w:t>评价目的与依据</w:t>
          </w:r>
          <w:r>
            <w:tab/>
          </w:r>
          <w:r>
            <w:fldChar w:fldCharType="begin"/>
          </w:r>
          <w:r>
            <w:instrText xml:space="preserve"> PAGEREF _Toc11275 \h </w:instrText>
          </w:r>
          <w:r>
            <w:fldChar w:fldCharType="separate"/>
          </w:r>
          <w:r>
            <w:t>1</w:t>
          </w:r>
          <w:r>
            <w:fldChar w:fldCharType="end"/>
          </w:r>
          <w:r>
            <w:rPr>
              <w:rFonts w:hint="default" w:ascii="Times New Roman" w:hAnsi="Times New Roman" w:eastAsiaTheme="minorEastAsia"/>
              <w:szCs w:val="28"/>
              <w:lang w:val="en-US" w:eastAsia="zh-CN"/>
            </w:rPr>
            <w:fldChar w:fldCharType="end"/>
          </w:r>
        </w:p>
        <w:p w14:paraId="6AC6A42F">
          <w:pPr>
            <w:pStyle w:val="22"/>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_Toc18254 </w:instrText>
          </w:r>
          <w:r>
            <w:rPr>
              <w:rFonts w:hint="default" w:ascii="Times New Roman" w:hAnsi="Times New Roman" w:eastAsiaTheme="minorEastAsia"/>
              <w:szCs w:val="28"/>
              <w:lang w:val="en-US" w:eastAsia="zh-CN"/>
            </w:rPr>
            <w:fldChar w:fldCharType="separate"/>
          </w:r>
          <w:r>
            <w:rPr>
              <w:rFonts w:hint="default"/>
              <w:lang w:val="en-US" w:eastAsia="zh-CN"/>
            </w:rPr>
            <w:t xml:space="preserve">1.1 </w:t>
          </w:r>
          <w:r>
            <w:rPr>
              <w:rFonts w:hint="eastAsia"/>
              <w:lang w:val="en-US" w:eastAsia="zh-CN"/>
            </w:rPr>
            <w:t>评价对象和范围</w:t>
          </w:r>
          <w:r>
            <w:tab/>
          </w:r>
          <w:r>
            <w:fldChar w:fldCharType="begin"/>
          </w:r>
          <w:r>
            <w:instrText xml:space="preserve"> PAGEREF _Toc18254 \h </w:instrText>
          </w:r>
          <w:r>
            <w:fldChar w:fldCharType="separate"/>
          </w:r>
          <w:r>
            <w:t>1</w:t>
          </w:r>
          <w:r>
            <w:fldChar w:fldCharType="end"/>
          </w:r>
          <w:r>
            <w:rPr>
              <w:rFonts w:hint="default" w:ascii="Times New Roman" w:hAnsi="Times New Roman" w:eastAsiaTheme="minorEastAsia"/>
              <w:szCs w:val="28"/>
              <w:lang w:val="en-US" w:eastAsia="zh-CN"/>
            </w:rPr>
            <w:fldChar w:fldCharType="end"/>
          </w:r>
        </w:p>
        <w:p w14:paraId="54161AF0">
          <w:pPr>
            <w:pStyle w:val="22"/>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_Toc27859 </w:instrText>
          </w:r>
          <w:r>
            <w:rPr>
              <w:rFonts w:hint="default" w:ascii="Times New Roman" w:hAnsi="Times New Roman" w:eastAsiaTheme="minorEastAsia"/>
              <w:szCs w:val="28"/>
              <w:lang w:val="en-US" w:eastAsia="zh-CN"/>
            </w:rPr>
            <w:fldChar w:fldCharType="separate"/>
          </w:r>
          <w:r>
            <w:rPr>
              <w:rFonts w:hint="default"/>
            </w:rPr>
            <w:t xml:space="preserve">1.2 </w:t>
          </w:r>
          <w:r>
            <w:rPr>
              <w:rFonts w:hint="eastAsia"/>
            </w:rPr>
            <w:t>评价依据</w:t>
          </w:r>
          <w:r>
            <w:tab/>
          </w:r>
          <w:r>
            <w:fldChar w:fldCharType="begin"/>
          </w:r>
          <w:r>
            <w:instrText xml:space="preserve"> PAGEREF _Toc27859 \h </w:instrText>
          </w:r>
          <w:r>
            <w:fldChar w:fldCharType="separate"/>
          </w:r>
          <w:r>
            <w:t>3</w:t>
          </w:r>
          <w:r>
            <w:fldChar w:fldCharType="end"/>
          </w:r>
          <w:r>
            <w:rPr>
              <w:rFonts w:hint="default" w:ascii="Times New Roman" w:hAnsi="Times New Roman" w:eastAsiaTheme="minorEastAsia"/>
              <w:szCs w:val="28"/>
              <w:lang w:val="en-US" w:eastAsia="zh-CN"/>
            </w:rPr>
            <w:fldChar w:fldCharType="end"/>
          </w:r>
        </w:p>
        <w:p w14:paraId="1D39D97F">
          <w:pPr>
            <w:pStyle w:val="20"/>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_Toc26758 </w:instrText>
          </w:r>
          <w:r>
            <w:rPr>
              <w:rFonts w:hint="default" w:ascii="Times New Roman" w:hAnsi="Times New Roman" w:eastAsiaTheme="minorEastAsia"/>
              <w:szCs w:val="28"/>
              <w:lang w:val="en-US" w:eastAsia="zh-CN"/>
            </w:rPr>
            <w:fldChar w:fldCharType="separate"/>
          </w:r>
          <w:r>
            <w:rPr>
              <w:rFonts w:hint="default"/>
              <w:lang w:val="en-US" w:eastAsia="zh-CN"/>
            </w:rPr>
            <w:t xml:space="preserve">2 </w:t>
          </w:r>
          <w:r>
            <w:rPr>
              <w:rFonts w:hint="eastAsia"/>
              <w:lang w:val="en-US" w:eastAsia="zh-CN"/>
            </w:rPr>
            <w:t>建设项目概述</w:t>
          </w:r>
          <w:r>
            <w:tab/>
          </w:r>
          <w:r>
            <w:fldChar w:fldCharType="begin"/>
          </w:r>
          <w:r>
            <w:instrText xml:space="preserve"> PAGEREF _Toc26758 \h </w:instrText>
          </w:r>
          <w:r>
            <w:fldChar w:fldCharType="separate"/>
          </w:r>
          <w:r>
            <w:t>12</w:t>
          </w:r>
          <w:r>
            <w:fldChar w:fldCharType="end"/>
          </w:r>
          <w:r>
            <w:rPr>
              <w:rFonts w:hint="default" w:ascii="Times New Roman" w:hAnsi="Times New Roman" w:eastAsiaTheme="minorEastAsia"/>
              <w:szCs w:val="28"/>
              <w:lang w:val="en-US" w:eastAsia="zh-CN"/>
            </w:rPr>
            <w:fldChar w:fldCharType="end"/>
          </w:r>
        </w:p>
        <w:p w14:paraId="618C559D">
          <w:pPr>
            <w:pStyle w:val="22"/>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_Toc31251 </w:instrText>
          </w:r>
          <w:r>
            <w:rPr>
              <w:rFonts w:hint="default" w:ascii="Times New Roman" w:hAnsi="Times New Roman" w:eastAsiaTheme="minorEastAsia"/>
              <w:szCs w:val="28"/>
              <w:lang w:val="en-US" w:eastAsia="zh-CN"/>
            </w:rPr>
            <w:fldChar w:fldCharType="separate"/>
          </w:r>
          <w:r>
            <w:rPr>
              <w:rFonts w:hint="default"/>
              <w:lang w:val="en-US" w:eastAsia="zh-CN"/>
            </w:rPr>
            <w:t>2.1 设单位概况</w:t>
          </w:r>
          <w:r>
            <w:tab/>
          </w:r>
          <w:r>
            <w:fldChar w:fldCharType="begin"/>
          </w:r>
          <w:r>
            <w:instrText xml:space="preserve"> PAGEREF _Toc31251 \h </w:instrText>
          </w:r>
          <w:r>
            <w:fldChar w:fldCharType="separate"/>
          </w:r>
          <w:r>
            <w:t>12</w:t>
          </w:r>
          <w:r>
            <w:fldChar w:fldCharType="end"/>
          </w:r>
          <w:r>
            <w:rPr>
              <w:rFonts w:hint="default" w:ascii="Times New Roman" w:hAnsi="Times New Roman" w:eastAsiaTheme="minorEastAsia"/>
              <w:szCs w:val="28"/>
              <w:lang w:val="en-US" w:eastAsia="zh-CN"/>
            </w:rPr>
            <w:fldChar w:fldCharType="end"/>
          </w:r>
        </w:p>
        <w:p w14:paraId="7110D871">
          <w:pPr>
            <w:pStyle w:val="22"/>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_Toc6956 </w:instrText>
          </w:r>
          <w:r>
            <w:rPr>
              <w:rFonts w:hint="default" w:ascii="Times New Roman" w:hAnsi="Times New Roman" w:eastAsiaTheme="minorEastAsia"/>
              <w:szCs w:val="28"/>
              <w:lang w:val="en-US" w:eastAsia="zh-CN"/>
            </w:rPr>
            <w:fldChar w:fldCharType="separate"/>
          </w:r>
          <w:r>
            <w:rPr>
              <w:rFonts w:hint="default"/>
              <w:lang w:val="en-US" w:eastAsia="zh-CN"/>
            </w:rPr>
            <w:t xml:space="preserve">2.2 </w:t>
          </w:r>
          <w:r>
            <w:rPr>
              <w:rFonts w:hint="eastAsia"/>
              <w:lang w:val="en-US" w:eastAsia="zh-CN"/>
            </w:rPr>
            <w:t>自然环境概况</w:t>
          </w:r>
          <w:r>
            <w:tab/>
          </w:r>
          <w:r>
            <w:fldChar w:fldCharType="begin"/>
          </w:r>
          <w:r>
            <w:instrText xml:space="preserve"> PAGEREF _Toc6956 \h </w:instrText>
          </w:r>
          <w:r>
            <w:fldChar w:fldCharType="separate"/>
          </w:r>
          <w:r>
            <w:t>18</w:t>
          </w:r>
          <w:r>
            <w:fldChar w:fldCharType="end"/>
          </w:r>
          <w:r>
            <w:rPr>
              <w:rFonts w:hint="default" w:ascii="Times New Roman" w:hAnsi="Times New Roman" w:eastAsiaTheme="minorEastAsia"/>
              <w:szCs w:val="28"/>
              <w:lang w:val="en-US" w:eastAsia="zh-CN"/>
            </w:rPr>
            <w:fldChar w:fldCharType="end"/>
          </w:r>
        </w:p>
        <w:p w14:paraId="1E3698FD">
          <w:pPr>
            <w:pStyle w:val="22"/>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_Toc19344 </w:instrText>
          </w:r>
          <w:r>
            <w:rPr>
              <w:rFonts w:hint="default" w:ascii="Times New Roman" w:hAnsi="Times New Roman" w:eastAsiaTheme="minorEastAsia"/>
              <w:szCs w:val="28"/>
              <w:lang w:val="en-US" w:eastAsia="zh-CN"/>
            </w:rPr>
            <w:fldChar w:fldCharType="separate"/>
          </w:r>
          <w:r>
            <w:rPr>
              <w:rFonts w:hint="default"/>
              <w:lang w:val="en-US" w:eastAsia="zh-CN"/>
            </w:rPr>
            <w:t xml:space="preserve">2.3 </w:t>
          </w:r>
          <w:r>
            <w:rPr>
              <w:rFonts w:hint="eastAsia"/>
              <w:lang w:val="en-US" w:eastAsia="zh-CN"/>
            </w:rPr>
            <w:t>建设项目地质概况</w:t>
          </w:r>
          <w:r>
            <w:tab/>
          </w:r>
          <w:r>
            <w:fldChar w:fldCharType="begin"/>
          </w:r>
          <w:r>
            <w:instrText xml:space="preserve"> PAGEREF _Toc19344 \h </w:instrText>
          </w:r>
          <w:r>
            <w:fldChar w:fldCharType="separate"/>
          </w:r>
          <w:r>
            <w:t>19</w:t>
          </w:r>
          <w:r>
            <w:fldChar w:fldCharType="end"/>
          </w:r>
          <w:r>
            <w:rPr>
              <w:rFonts w:hint="default" w:ascii="Times New Roman" w:hAnsi="Times New Roman" w:eastAsiaTheme="minorEastAsia"/>
              <w:szCs w:val="28"/>
              <w:lang w:val="en-US" w:eastAsia="zh-CN"/>
            </w:rPr>
            <w:fldChar w:fldCharType="end"/>
          </w:r>
        </w:p>
        <w:p w14:paraId="4EBB9156">
          <w:pPr>
            <w:pStyle w:val="22"/>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_Toc138 </w:instrText>
          </w:r>
          <w:r>
            <w:rPr>
              <w:rFonts w:hint="default" w:ascii="Times New Roman" w:hAnsi="Times New Roman" w:eastAsiaTheme="minorEastAsia"/>
              <w:szCs w:val="28"/>
              <w:lang w:val="en-US" w:eastAsia="zh-CN"/>
            </w:rPr>
            <w:fldChar w:fldCharType="separate"/>
          </w:r>
          <w:r>
            <w:rPr>
              <w:rFonts w:hint="default"/>
              <w:lang w:val="en-US" w:eastAsia="zh-CN"/>
            </w:rPr>
            <w:t xml:space="preserve">2.4 </w:t>
          </w:r>
          <w:r>
            <w:rPr>
              <w:rFonts w:hint="eastAsia"/>
              <w:lang w:val="en-US" w:eastAsia="zh-CN"/>
            </w:rPr>
            <w:t>工程建设方案概况</w:t>
          </w:r>
          <w:r>
            <w:tab/>
          </w:r>
          <w:r>
            <w:fldChar w:fldCharType="begin"/>
          </w:r>
          <w:r>
            <w:instrText xml:space="preserve"> PAGEREF _Toc138 \h </w:instrText>
          </w:r>
          <w:r>
            <w:fldChar w:fldCharType="separate"/>
          </w:r>
          <w:r>
            <w:t>35</w:t>
          </w:r>
          <w:r>
            <w:fldChar w:fldCharType="end"/>
          </w:r>
          <w:r>
            <w:rPr>
              <w:rFonts w:hint="default" w:ascii="Times New Roman" w:hAnsi="Times New Roman" w:eastAsiaTheme="minorEastAsia"/>
              <w:szCs w:val="28"/>
              <w:lang w:val="en-US" w:eastAsia="zh-CN"/>
            </w:rPr>
            <w:fldChar w:fldCharType="end"/>
          </w:r>
        </w:p>
        <w:p w14:paraId="75946124">
          <w:pPr>
            <w:pStyle w:val="20"/>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_Toc19357 </w:instrText>
          </w:r>
          <w:r>
            <w:rPr>
              <w:rFonts w:hint="default" w:ascii="Times New Roman" w:hAnsi="Times New Roman" w:eastAsiaTheme="minorEastAsia"/>
              <w:szCs w:val="28"/>
              <w:lang w:val="en-US" w:eastAsia="zh-CN"/>
            </w:rPr>
            <w:fldChar w:fldCharType="separate"/>
          </w:r>
          <w:r>
            <w:rPr>
              <w:rFonts w:hint="default"/>
              <w:lang w:val="en-US" w:eastAsia="zh-CN"/>
            </w:rPr>
            <w:t>3 定性、定量评价</w:t>
          </w:r>
          <w:r>
            <w:tab/>
          </w:r>
          <w:r>
            <w:fldChar w:fldCharType="begin"/>
          </w:r>
          <w:r>
            <w:instrText xml:space="preserve"> PAGEREF _Toc19357 \h </w:instrText>
          </w:r>
          <w:r>
            <w:fldChar w:fldCharType="separate"/>
          </w:r>
          <w:r>
            <w:t>80</w:t>
          </w:r>
          <w:r>
            <w:fldChar w:fldCharType="end"/>
          </w:r>
          <w:r>
            <w:rPr>
              <w:rFonts w:hint="default" w:ascii="Times New Roman" w:hAnsi="Times New Roman" w:eastAsiaTheme="minorEastAsia"/>
              <w:szCs w:val="28"/>
              <w:lang w:val="en-US" w:eastAsia="zh-CN"/>
            </w:rPr>
            <w:fldChar w:fldCharType="end"/>
          </w:r>
        </w:p>
        <w:p w14:paraId="0BAB474A">
          <w:pPr>
            <w:pStyle w:val="22"/>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_Toc14093 </w:instrText>
          </w:r>
          <w:r>
            <w:rPr>
              <w:rFonts w:hint="default" w:ascii="Times New Roman" w:hAnsi="Times New Roman" w:eastAsiaTheme="minorEastAsia"/>
              <w:szCs w:val="28"/>
              <w:lang w:val="en-US" w:eastAsia="zh-CN"/>
            </w:rPr>
            <w:fldChar w:fldCharType="separate"/>
          </w:r>
          <w:r>
            <w:rPr>
              <w:rFonts w:hint="default"/>
              <w:lang w:val="en-US" w:eastAsia="zh-CN"/>
            </w:rPr>
            <w:t>3.1 总平面布置单元</w:t>
          </w:r>
          <w:r>
            <w:tab/>
          </w:r>
          <w:r>
            <w:fldChar w:fldCharType="begin"/>
          </w:r>
          <w:r>
            <w:instrText xml:space="preserve"> PAGEREF _Toc14093 \h </w:instrText>
          </w:r>
          <w:r>
            <w:fldChar w:fldCharType="separate"/>
          </w:r>
          <w:r>
            <w:t>80</w:t>
          </w:r>
          <w:r>
            <w:fldChar w:fldCharType="end"/>
          </w:r>
          <w:r>
            <w:rPr>
              <w:rFonts w:hint="default" w:ascii="Times New Roman" w:hAnsi="Times New Roman" w:eastAsiaTheme="minorEastAsia"/>
              <w:szCs w:val="28"/>
              <w:lang w:val="en-US" w:eastAsia="zh-CN"/>
            </w:rPr>
            <w:fldChar w:fldCharType="end"/>
          </w:r>
        </w:p>
        <w:p w14:paraId="1C8D350A">
          <w:pPr>
            <w:pStyle w:val="22"/>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_Toc11957 </w:instrText>
          </w:r>
          <w:r>
            <w:rPr>
              <w:rFonts w:hint="default" w:ascii="Times New Roman" w:hAnsi="Times New Roman" w:eastAsiaTheme="minorEastAsia"/>
              <w:szCs w:val="28"/>
              <w:lang w:val="en-US" w:eastAsia="zh-CN"/>
            </w:rPr>
            <w:fldChar w:fldCharType="separate"/>
          </w:r>
          <w:r>
            <w:rPr>
              <w:rFonts w:hint="default"/>
              <w:lang w:val="en-US" w:eastAsia="zh-CN"/>
            </w:rPr>
            <w:t>3.2 开拓系统单元评价</w:t>
          </w:r>
          <w:r>
            <w:tab/>
          </w:r>
          <w:r>
            <w:fldChar w:fldCharType="begin"/>
          </w:r>
          <w:r>
            <w:instrText xml:space="preserve"> PAGEREF _Toc11957 \h </w:instrText>
          </w:r>
          <w:r>
            <w:fldChar w:fldCharType="separate"/>
          </w:r>
          <w:r>
            <w:t>85</w:t>
          </w:r>
          <w:r>
            <w:fldChar w:fldCharType="end"/>
          </w:r>
          <w:r>
            <w:rPr>
              <w:rFonts w:hint="default" w:ascii="Times New Roman" w:hAnsi="Times New Roman" w:eastAsiaTheme="minorEastAsia"/>
              <w:szCs w:val="28"/>
              <w:lang w:val="en-US" w:eastAsia="zh-CN"/>
            </w:rPr>
            <w:fldChar w:fldCharType="end"/>
          </w:r>
        </w:p>
        <w:p w14:paraId="7AF5009E">
          <w:pPr>
            <w:pStyle w:val="22"/>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_Toc31230 </w:instrText>
          </w:r>
          <w:r>
            <w:rPr>
              <w:rFonts w:hint="default" w:ascii="Times New Roman" w:hAnsi="Times New Roman" w:eastAsiaTheme="minorEastAsia"/>
              <w:szCs w:val="28"/>
              <w:lang w:val="en-US" w:eastAsia="zh-CN"/>
            </w:rPr>
            <w:fldChar w:fldCharType="separate"/>
          </w:r>
          <w:r>
            <w:rPr>
              <w:rFonts w:hint="default"/>
              <w:lang w:val="en-US" w:eastAsia="zh-CN"/>
            </w:rPr>
            <w:t>3.3 提升和运输单元评价</w:t>
          </w:r>
          <w:r>
            <w:tab/>
          </w:r>
          <w:r>
            <w:fldChar w:fldCharType="begin"/>
          </w:r>
          <w:r>
            <w:instrText xml:space="preserve"> PAGEREF _Toc31230 \h </w:instrText>
          </w:r>
          <w:r>
            <w:fldChar w:fldCharType="separate"/>
          </w:r>
          <w:r>
            <w:t>91</w:t>
          </w:r>
          <w:r>
            <w:fldChar w:fldCharType="end"/>
          </w:r>
          <w:r>
            <w:rPr>
              <w:rFonts w:hint="default" w:ascii="Times New Roman" w:hAnsi="Times New Roman" w:eastAsiaTheme="minorEastAsia"/>
              <w:szCs w:val="28"/>
              <w:lang w:val="en-US" w:eastAsia="zh-CN"/>
            </w:rPr>
            <w:fldChar w:fldCharType="end"/>
          </w:r>
        </w:p>
        <w:p w14:paraId="49A60054">
          <w:pPr>
            <w:pStyle w:val="22"/>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_Toc8400 </w:instrText>
          </w:r>
          <w:r>
            <w:rPr>
              <w:rFonts w:hint="default" w:ascii="Times New Roman" w:hAnsi="Times New Roman" w:eastAsiaTheme="minorEastAsia"/>
              <w:szCs w:val="28"/>
              <w:lang w:val="en-US" w:eastAsia="zh-CN"/>
            </w:rPr>
            <w:fldChar w:fldCharType="separate"/>
          </w:r>
          <w:r>
            <w:rPr>
              <w:rFonts w:hint="default"/>
              <w:lang w:val="en-US" w:eastAsia="zh-CN"/>
            </w:rPr>
            <w:t xml:space="preserve">3.4 </w:t>
          </w:r>
          <w:r>
            <w:rPr>
              <w:rFonts w:hint="eastAsia"/>
              <w:lang w:val="en-US" w:eastAsia="zh-CN"/>
            </w:rPr>
            <w:t>采掘单元评价</w:t>
          </w:r>
          <w:r>
            <w:tab/>
          </w:r>
          <w:r>
            <w:fldChar w:fldCharType="begin"/>
          </w:r>
          <w:r>
            <w:instrText xml:space="preserve"> PAGEREF _Toc8400 \h </w:instrText>
          </w:r>
          <w:r>
            <w:fldChar w:fldCharType="separate"/>
          </w:r>
          <w:r>
            <w:t>95</w:t>
          </w:r>
          <w:r>
            <w:fldChar w:fldCharType="end"/>
          </w:r>
          <w:r>
            <w:rPr>
              <w:rFonts w:hint="default" w:ascii="Times New Roman" w:hAnsi="Times New Roman" w:eastAsiaTheme="minorEastAsia"/>
              <w:szCs w:val="28"/>
              <w:lang w:val="en-US" w:eastAsia="zh-CN"/>
            </w:rPr>
            <w:fldChar w:fldCharType="end"/>
          </w:r>
        </w:p>
        <w:p w14:paraId="1A2C9034">
          <w:pPr>
            <w:pStyle w:val="22"/>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_Toc29701 </w:instrText>
          </w:r>
          <w:r>
            <w:rPr>
              <w:rFonts w:hint="default" w:ascii="Times New Roman" w:hAnsi="Times New Roman" w:eastAsiaTheme="minorEastAsia"/>
              <w:szCs w:val="28"/>
              <w:lang w:val="en-US" w:eastAsia="zh-CN"/>
            </w:rPr>
            <w:fldChar w:fldCharType="separate"/>
          </w:r>
          <w:r>
            <w:rPr>
              <w:rFonts w:hint="default"/>
              <w:lang w:val="en-US" w:eastAsia="zh-CN"/>
            </w:rPr>
            <w:t xml:space="preserve">3.5 </w:t>
          </w:r>
          <w:r>
            <w:rPr>
              <w:rFonts w:hint="eastAsia"/>
              <w:lang w:val="en-US" w:eastAsia="zh-CN"/>
            </w:rPr>
            <w:t>通风防尘评价</w:t>
          </w:r>
          <w:r>
            <w:tab/>
          </w:r>
          <w:r>
            <w:fldChar w:fldCharType="begin"/>
          </w:r>
          <w:r>
            <w:instrText xml:space="preserve"> PAGEREF _Toc29701 \h </w:instrText>
          </w:r>
          <w:r>
            <w:fldChar w:fldCharType="separate"/>
          </w:r>
          <w:r>
            <w:t>106</w:t>
          </w:r>
          <w:r>
            <w:fldChar w:fldCharType="end"/>
          </w:r>
          <w:r>
            <w:rPr>
              <w:rFonts w:hint="default" w:ascii="Times New Roman" w:hAnsi="Times New Roman" w:eastAsiaTheme="minorEastAsia"/>
              <w:szCs w:val="28"/>
              <w:lang w:val="en-US" w:eastAsia="zh-CN"/>
            </w:rPr>
            <w:fldChar w:fldCharType="end"/>
          </w:r>
        </w:p>
        <w:p w14:paraId="02FE01A6">
          <w:pPr>
            <w:pStyle w:val="22"/>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_Toc15959 </w:instrText>
          </w:r>
          <w:r>
            <w:rPr>
              <w:rFonts w:hint="default" w:ascii="Times New Roman" w:hAnsi="Times New Roman" w:eastAsiaTheme="minorEastAsia"/>
              <w:szCs w:val="28"/>
              <w:lang w:val="en-US" w:eastAsia="zh-CN"/>
            </w:rPr>
            <w:fldChar w:fldCharType="separate"/>
          </w:r>
          <w:r>
            <w:rPr>
              <w:rFonts w:hint="default"/>
              <w:lang w:val="en-US" w:eastAsia="zh-CN"/>
            </w:rPr>
            <w:t>3.6 矿山电气单元评价</w:t>
          </w:r>
          <w:r>
            <w:tab/>
          </w:r>
          <w:r>
            <w:fldChar w:fldCharType="begin"/>
          </w:r>
          <w:r>
            <w:instrText xml:space="preserve"> PAGEREF _Toc15959 \h </w:instrText>
          </w:r>
          <w:r>
            <w:fldChar w:fldCharType="separate"/>
          </w:r>
          <w:r>
            <w:t>110</w:t>
          </w:r>
          <w:r>
            <w:fldChar w:fldCharType="end"/>
          </w:r>
          <w:r>
            <w:rPr>
              <w:rFonts w:hint="default" w:ascii="Times New Roman" w:hAnsi="Times New Roman" w:eastAsiaTheme="minorEastAsia"/>
              <w:szCs w:val="28"/>
              <w:lang w:val="en-US" w:eastAsia="zh-CN"/>
            </w:rPr>
            <w:fldChar w:fldCharType="end"/>
          </w:r>
        </w:p>
        <w:p w14:paraId="611BD31C">
          <w:pPr>
            <w:pStyle w:val="22"/>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_Toc699 </w:instrText>
          </w:r>
          <w:r>
            <w:rPr>
              <w:rFonts w:hint="default" w:ascii="Times New Roman" w:hAnsi="Times New Roman" w:eastAsiaTheme="minorEastAsia"/>
              <w:szCs w:val="28"/>
              <w:lang w:val="en-US" w:eastAsia="zh-CN"/>
            </w:rPr>
            <w:fldChar w:fldCharType="separate"/>
          </w:r>
          <w:r>
            <w:rPr>
              <w:rFonts w:hint="default"/>
              <w:lang w:val="en-US" w:eastAsia="zh-CN"/>
            </w:rPr>
            <w:t>3.7 防排水与防灭火单元评价</w:t>
          </w:r>
          <w:r>
            <w:tab/>
          </w:r>
          <w:r>
            <w:fldChar w:fldCharType="begin"/>
          </w:r>
          <w:r>
            <w:instrText xml:space="preserve"> PAGEREF _Toc699 \h </w:instrText>
          </w:r>
          <w:r>
            <w:fldChar w:fldCharType="separate"/>
          </w:r>
          <w:r>
            <w:t>116</w:t>
          </w:r>
          <w:r>
            <w:fldChar w:fldCharType="end"/>
          </w:r>
          <w:r>
            <w:rPr>
              <w:rFonts w:hint="default" w:ascii="Times New Roman" w:hAnsi="Times New Roman" w:eastAsiaTheme="minorEastAsia"/>
              <w:szCs w:val="28"/>
              <w:lang w:val="en-US" w:eastAsia="zh-CN"/>
            </w:rPr>
            <w:fldChar w:fldCharType="end"/>
          </w:r>
        </w:p>
        <w:p w14:paraId="66511338">
          <w:pPr>
            <w:pStyle w:val="22"/>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_Toc15858 </w:instrText>
          </w:r>
          <w:r>
            <w:rPr>
              <w:rFonts w:hint="default" w:ascii="Times New Roman" w:hAnsi="Times New Roman" w:eastAsiaTheme="minorEastAsia"/>
              <w:szCs w:val="28"/>
              <w:lang w:val="en-US" w:eastAsia="zh-CN"/>
            </w:rPr>
            <w:fldChar w:fldCharType="separate"/>
          </w:r>
          <w:r>
            <w:rPr>
              <w:rFonts w:hint="default"/>
              <w:lang w:val="en-US" w:eastAsia="zh-CN"/>
            </w:rPr>
            <w:t xml:space="preserve">3.8 </w:t>
          </w:r>
          <w:r>
            <w:rPr>
              <w:rFonts w:hint="eastAsia"/>
              <w:lang w:val="en-US" w:eastAsia="zh-CN"/>
            </w:rPr>
            <w:t>废石场单元</w:t>
          </w:r>
          <w:r>
            <w:tab/>
          </w:r>
          <w:r>
            <w:fldChar w:fldCharType="begin"/>
          </w:r>
          <w:r>
            <w:instrText xml:space="preserve"> PAGEREF _Toc15858 \h </w:instrText>
          </w:r>
          <w:r>
            <w:fldChar w:fldCharType="separate"/>
          </w:r>
          <w:r>
            <w:t>122</w:t>
          </w:r>
          <w:r>
            <w:fldChar w:fldCharType="end"/>
          </w:r>
          <w:r>
            <w:rPr>
              <w:rFonts w:hint="default" w:ascii="Times New Roman" w:hAnsi="Times New Roman" w:eastAsiaTheme="minorEastAsia"/>
              <w:szCs w:val="28"/>
              <w:lang w:val="en-US" w:eastAsia="zh-CN"/>
            </w:rPr>
            <w:fldChar w:fldCharType="end"/>
          </w:r>
        </w:p>
        <w:p w14:paraId="3401BFCD">
          <w:pPr>
            <w:pStyle w:val="22"/>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_Toc23511 </w:instrText>
          </w:r>
          <w:r>
            <w:rPr>
              <w:rFonts w:hint="default" w:ascii="Times New Roman" w:hAnsi="Times New Roman" w:eastAsiaTheme="minorEastAsia"/>
              <w:szCs w:val="28"/>
              <w:lang w:val="en-US" w:eastAsia="zh-CN"/>
            </w:rPr>
            <w:fldChar w:fldCharType="separate"/>
          </w:r>
          <w:r>
            <w:rPr>
              <w:rFonts w:hint="default"/>
              <w:lang w:val="en-US" w:eastAsia="zh-CN"/>
            </w:rPr>
            <w:t>3.9 安全避险“六大系统”子单元</w:t>
          </w:r>
          <w:r>
            <w:tab/>
          </w:r>
          <w:r>
            <w:fldChar w:fldCharType="begin"/>
          </w:r>
          <w:r>
            <w:instrText xml:space="preserve"> PAGEREF _Toc23511 \h </w:instrText>
          </w:r>
          <w:r>
            <w:fldChar w:fldCharType="separate"/>
          </w:r>
          <w:r>
            <w:t>124</w:t>
          </w:r>
          <w:r>
            <w:fldChar w:fldCharType="end"/>
          </w:r>
          <w:r>
            <w:rPr>
              <w:rFonts w:hint="default" w:ascii="Times New Roman" w:hAnsi="Times New Roman" w:eastAsiaTheme="minorEastAsia"/>
              <w:szCs w:val="28"/>
              <w:lang w:val="en-US" w:eastAsia="zh-CN"/>
            </w:rPr>
            <w:fldChar w:fldCharType="end"/>
          </w:r>
        </w:p>
        <w:p w14:paraId="0CC12571">
          <w:pPr>
            <w:pStyle w:val="22"/>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_Toc6525 </w:instrText>
          </w:r>
          <w:r>
            <w:rPr>
              <w:rFonts w:hint="default" w:ascii="Times New Roman" w:hAnsi="Times New Roman" w:eastAsiaTheme="minorEastAsia"/>
              <w:szCs w:val="28"/>
              <w:lang w:val="en-US" w:eastAsia="zh-CN"/>
            </w:rPr>
            <w:fldChar w:fldCharType="separate"/>
          </w:r>
          <w:r>
            <w:rPr>
              <w:rFonts w:hint="default"/>
              <w:lang w:val="en-US" w:eastAsia="zh-CN"/>
            </w:rPr>
            <w:t xml:space="preserve">3.10 </w:t>
          </w:r>
          <w:r>
            <w:rPr>
              <w:rFonts w:hint="eastAsia"/>
              <w:lang w:val="en-US" w:eastAsia="zh-CN"/>
            </w:rPr>
            <w:t>安全管理子单元</w:t>
          </w:r>
          <w:r>
            <w:tab/>
          </w:r>
          <w:r>
            <w:fldChar w:fldCharType="begin"/>
          </w:r>
          <w:r>
            <w:instrText xml:space="preserve"> PAGEREF _Toc6525 \h </w:instrText>
          </w:r>
          <w:r>
            <w:fldChar w:fldCharType="separate"/>
          </w:r>
          <w:r>
            <w:t>126</w:t>
          </w:r>
          <w:r>
            <w:fldChar w:fldCharType="end"/>
          </w:r>
          <w:r>
            <w:rPr>
              <w:rFonts w:hint="default" w:ascii="Times New Roman" w:hAnsi="Times New Roman" w:eastAsiaTheme="minorEastAsia"/>
              <w:szCs w:val="28"/>
              <w:lang w:val="en-US" w:eastAsia="zh-CN"/>
            </w:rPr>
            <w:fldChar w:fldCharType="end"/>
          </w:r>
        </w:p>
        <w:p w14:paraId="4FC90A59">
          <w:pPr>
            <w:pStyle w:val="22"/>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_Toc18618 </w:instrText>
          </w:r>
          <w:r>
            <w:rPr>
              <w:rFonts w:hint="default" w:ascii="Times New Roman" w:hAnsi="Times New Roman" w:eastAsiaTheme="minorEastAsia"/>
              <w:szCs w:val="28"/>
              <w:lang w:val="en-US" w:eastAsia="zh-CN"/>
            </w:rPr>
            <w:fldChar w:fldCharType="separate"/>
          </w:r>
          <w:r>
            <w:rPr>
              <w:rFonts w:hint="default"/>
              <w:lang w:val="zh-CN"/>
            </w:rPr>
            <w:t xml:space="preserve">3.11 </w:t>
          </w:r>
          <w:r>
            <w:rPr>
              <w:rFonts w:hint="eastAsia"/>
              <w:lang w:val="zh-CN"/>
            </w:rPr>
            <w:t>重大危险源辨识单元</w:t>
          </w:r>
          <w:r>
            <w:tab/>
          </w:r>
          <w:r>
            <w:fldChar w:fldCharType="begin"/>
          </w:r>
          <w:r>
            <w:instrText xml:space="preserve"> PAGEREF _Toc18618 \h </w:instrText>
          </w:r>
          <w:r>
            <w:fldChar w:fldCharType="separate"/>
          </w:r>
          <w:r>
            <w:t>128</w:t>
          </w:r>
          <w:r>
            <w:fldChar w:fldCharType="end"/>
          </w:r>
          <w:r>
            <w:rPr>
              <w:rFonts w:hint="default" w:ascii="Times New Roman" w:hAnsi="Times New Roman" w:eastAsiaTheme="minorEastAsia"/>
              <w:szCs w:val="28"/>
              <w:lang w:val="en-US" w:eastAsia="zh-CN"/>
            </w:rPr>
            <w:fldChar w:fldCharType="end"/>
          </w:r>
        </w:p>
        <w:p w14:paraId="43892202">
          <w:pPr>
            <w:pStyle w:val="20"/>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_Toc14310 </w:instrText>
          </w:r>
          <w:r>
            <w:rPr>
              <w:rFonts w:hint="default" w:ascii="Times New Roman" w:hAnsi="Times New Roman" w:eastAsiaTheme="minorEastAsia"/>
              <w:szCs w:val="28"/>
              <w:lang w:val="en-US" w:eastAsia="zh-CN"/>
            </w:rPr>
            <w:fldChar w:fldCharType="separate"/>
          </w:r>
          <w:r>
            <w:rPr>
              <w:rFonts w:hint="default"/>
              <w:lang w:val="en-US" w:eastAsia="zh-CN"/>
            </w:rPr>
            <w:t>4 安全对策措施建议</w:t>
          </w:r>
          <w:r>
            <w:tab/>
          </w:r>
          <w:r>
            <w:fldChar w:fldCharType="begin"/>
          </w:r>
          <w:r>
            <w:instrText xml:space="preserve"> PAGEREF _Toc14310 \h </w:instrText>
          </w:r>
          <w:r>
            <w:fldChar w:fldCharType="separate"/>
          </w:r>
          <w:r>
            <w:t>129</w:t>
          </w:r>
          <w:r>
            <w:fldChar w:fldCharType="end"/>
          </w:r>
          <w:r>
            <w:rPr>
              <w:rFonts w:hint="default" w:ascii="Times New Roman" w:hAnsi="Times New Roman" w:eastAsiaTheme="minorEastAsia"/>
              <w:szCs w:val="28"/>
              <w:lang w:val="en-US" w:eastAsia="zh-CN"/>
            </w:rPr>
            <w:fldChar w:fldCharType="end"/>
          </w:r>
        </w:p>
        <w:p w14:paraId="565B1BD6">
          <w:pPr>
            <w:pStyle w:val="22"/>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_Toc4968 </w:instrText>
          </w:r>
          <w:r>
            <w:rPr>
              <w:rFonts w:hint="default" w:ascii="Times New Roman" w:hAnsi="Times New Roman" w:eastAsiaTheme="minorEastAsia"/>
              <w:szCs w:val="28"/>
              <w:lang w:val="en-US" w:eastAsia="zh-CN"/>
            </w:rPr>
            <w:fldChar w:fldCharType="separate"/>
          </w:r>
          <w:r>
            <w:rPr>
              <w:rFonts w:hint="default"/>
              <w:lang w:val="en-US" w:eastAsia="zh-CN"/>
            </w:rPr>
            <w:t>4.1 本预评价补充的安全对策措施</w:t>
          </w:r>
          <w:r>
            <w:tab/>
          </w:r>
          <w:r>
            <w:fldChar w:fldCharType="begin"/>
          </w:r>
          <w:r>
            <w:instrText xml:space="preserve"> PAGEREF _Toc4968 \h </w:instrText>
          </w:r>
          <w:r>
            <w:fldChar w:fldCharType="separate"/>
          </w:r>
          <w:r>
            <w:t>129</w:t>
          </w:r>
          <w:r>
            <w:fldChar w:fldCharType="end"/>
          </w:r>
          <w:r>
            <w:rPr>
              <w:rFonts w:hint="default" w:ascii="Times New Roman" w:hAnsi="Times New Roman" w:eastAsiaTheme="minorEastAsia"/>
              <w:szCs w:val="28"/>
              <w:lang w:val="en-US" w:eastAsia="zh-CN"/>
            </w:rPr>
            <w:fldChar w:fldCharType="end"/>
          </w:r>
        </w:p>
        <w:p w14:paraId="00E70277">
          <w:pPr>
            <w:pStyle w:val="22"/>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_Toc26311 </w:instrText>
          </w:r>
          <w:r>
            <w:rPr>
              <w:rFonts w:hint="default" w:ascii="Times New Roman" w:hAnsi="Times New Roman" w:eastAsiaTheme="minorEastAsia"/>
              <w:szCs w:val="28"/>
              <w:lang w:val="en-US" w:eastAsia="zh-CN"/>
            </w:rPr>
            <w:fldChar w:fldCharType="separate"/>
          </w:r>
          <w:r>
            <w:rPr>
              <w:rFonts w:hint="default" w:ascii="Times New Roman" w:hAnsi="Times New Roman" w:eastAsia="黑体"/>
              <w:caps w:val="0"/>
              <w:smallCaps w:val="0"/>
            </w:rPr>
            <w:t xml:space="preserve">4.2 </w:t>
          </w:r>
          <w:r>
            <w:rPr>
              <w:rFonts w:hint="eastAsia" w:ascii="Times New Roman" w:hAnsi="Times New Roman" w:eastAsia="黑体"/>
              <w:caps w:val="0"/>
              <w:smallCaps w:val="0"/>
            </w:rPr>
            <w:t>安全设施设计原则</w:t>
          </w:r>
          <w:r>
            <w:tab/>
          </w:r>
          <w:r>
            <w:fldChar w:fldCharType="begin"/>
          </w:r>
          <w:r>
            <w:instrText xml:space="preserve"> PAGEREF _Toc26311 \h </w:instrText>
          </w:r>
          <w:r>
            <w:fldChar w:fldCharType="separate"/>
          </w:r>
          <w:r>
            <w:t>136</w:t>
          </w:r>
          <w:r>
            <w:fldChar w:fldCharType="end"/>
          </w:r>
          <w:r>
            <w:rPr>
              <w:rFonts w:hint="default" w:ascii="Times New Roman" w:hAnsi="Times New Roman" w:eastAsiaTheme="minorEastAsia"/>
              <w:szCs w:val="28"/>
              <w:lang w:val="en-US" w:eastAsia="zh-CN"/>
            </w:rPr>
            <w:fldChar w:fldCharType="end"/>
          </w:r>
        </w:p>
        <w:p w14:paraId="20E842BE">
          <w:pPr>
            <w:pStyle w:val="20"/>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_Toc22570 </w:instrText>
          </w:r>
          <w:r>
            <w:rPr>
              <w:rFonts w:hint="default" w:ascii="Times New Roman" w:hAnsi="Times New Roman" w:eastAsiaTheme="minorEastAsia"/>
              <w:szCs w:val="28"/>
              <w:lang w:val="en-US" w:eastAsia="zh-CN"/>
            </w:rPr>
            <w:fldChar w:fldCharType="separate"/>
          </w:r>
          <w:r>
            <w:rPr>
              <w:rFonts w:hint="default"/>
              <w:lang w:val="en-US" w:eastAsia="zh-CN"/>
            </w:rPr>
            <w:t>5 评价结论</w:t>
          </w:r>
          <w:r>
            <w:tab/>
          </w:r>
          <w:r>
            <w:fldChar w:fldCharType="begin"/>
          </w:r>
          <w:r>
            <w:instrText xml:space="preserve"> PAGEREF _Toc22570 \h </w:instrText>
          </w:r>
          <w:r>
            <w:fldChar w:fldCharType="separate"/>
          </w:r>
          <w:r>
            <w:t>138</w:t>
          </w:r>
          <w:r>
            <w:fldChar w:fldCharType="end"/>
          </w:r>
          <w:r>
            <w:rPr>
              <w:rFonts w:hint="default" w:ascii="Times New Roman" w:hAnsi="Times New Roman" w:eastAsiaTheme="minorEastAsia"/>
              <w:szCs w:val="28"/>
              <w:lang w:val="en-US" w:eastAsia="zh-CN"/>
            </w:rPr>
            <w:fldChar w:fldCharType="end"/>
          </w:r>
        </w:p>
        <w:p w14:paraId="1F9DDF3B">
          <w:pPr>
            <w:pStyle w:val="20"/>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_Toc10738 </w:instrText>
          </w:r>
          <w:r>
            <w:rPr>
              <w:rFonts w:hint="default" w:ascii="Times New Roman" w:hAnsi="Times New Roman" w:eastAsiaTheme="minorEastAsia"/>
              <w:szCs w:val="28"/>
              <w:lang w:val="en-US" w:eastAsia="zh-CN"/>
            </w:rPr>
            <w:fldChar w:fldCharType="separate"/>
          </w:r>
          <w:r>
            <w:rPr>
              <w:rFonts w:hint="default"/>
            </w:rPr>
            <w:t xml:space="preserve">6 </w:t>
          </w:r>
          <w:r>
            <w:rPr>
              <w:rFonts w:hint="eastAsia"/>
            </w:rPr>
            <w:t>附件</w:t>
          </w:r>
          <w:r>
            <w:tab/>
          </w:r>
          <w:r>
            <w:fldChar w:fldCharType="begin"/>
          </w:r>
          <w:r>
            <w:instrText xml:space="preserve"> PAGEREF _Toc10738 \h </w:instrText>
          </w:r>
          <w:r>
            <w:fldChar w:fldCharType="separate"/>
          </w:r>
          <w:r>
            <w:t>139</w:t>
          </w:r>
          <w:r>
            <w:fldChar w:fldCharType="end"/>
          </w:r>
          <w:r>
            <w:rPr>
              <w:rFonts w:hint="default" w:ascii="Times New Roman" w:hAnsi="Times New Roman" w:eastAsiaTheme="minorEastAsia"/>
              <w:szCs w:val="28"/>
              <w:lang w:val="en-US" w:eastAsia="zh-CN"/>
            </w:rPr>
            <w:fldChar w:fldCharType="end"/>
          </w:r>
        </w:p>
        <w:p w14:paraId="6D484139">
          <w:pPr>
            <w:pStyle w:val="20"/>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_Toc18803 </w:instrText>
          </w:r>
          <w:r>
            <w:rPr>
              <w:rFonts w:hint="default" w:ascii="Times New Roman" w:hAnsi="Times New Roman" w:eastAsiaTheme="minorEastAsia"/>
              <w:szCs w:val="28"/>
              <w:lang w:val="en-US" w:eastAsia="zh-CN"/>
            </w:rPr>
            <w:fldChar w:fldCharType="separate"/>
          </w:r>
          <w:r>
            <w:rPr>
              <w:rFonts w:hint="default"/>
              <w:lang w:val="en-US" w:eastAsia="zh-CN"/>
            </w:rPr>
            <w:t xml:space="preserve">7 </w:t>
          </w:r>
          <w:r>
            <w:rPr>
              <w:rFonts w:hint="eastAsia"/>
              <w:lang w:val="en-US" w:eastAsia="zh-CN"/>
            </w:rPr>
            <w:t>附图</w:t>
          </w:r>
          <w:r>
            <w:tab/>
          </w:r>
          <w:r>
            <w:fldChar w:fldCharType="begin"/>
          </w:r>
          <w:r>
            <w:instrText xml:space="preserve"> PAGEREF _Toc18803 \h </w:instrText>
          </w:r>
          <w:r>
            <w:fldChar w:fldCharType="separate"/>
          </w:r>
          <w:r>
            <w:t>140</w:t>
          </w:r>
          <w:r>
            <w:fldChar w:fldCharType="end"/>
          </w:r>
          <w:r>
            <w:rPr>
              <w:rFonts w:hint="default" w:ascii="Times New Roman" w:hAnsi="Times New Roman" w:eastAsiaTheme="minorEastAsia"/>
              <w:szCs w:val="28"/>
              <w:lang w:val="en-US" w:eastAsia="zh-CN"/>
            </w:rPr>
            <w:fldChar w:fldCharType="end"/>
          </w:r>
        </w:p>
        <w:p w14:paraId="770DFA49">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default" w:ascii="Times New Roman" w:hAnsi="Times New Roman" w:eastAsiaTheme="minorEastAsia" w:cstheme="minorBidi"/>
              <w:b/>
              <w:kern w:val="2"/>
              <w:sz w:val="21"/>
              <w:szCs w:val="28"/>
              <w:lang w:val="en-US" w:eastAsia="zh-CN" w:bidi="ar-SA"/>
            </w:rPr>
          </w:pPr>
          <w:r>
            <w:rPr>
              <w:rFonts w:hint="default" w:ascii="Times New Roman" w:hAnsi="Times New Roman" w:eastAsiaTheme="minorEastAsia"/>
              <w:szCs w:val="28"/>
              <w:lang w:val="en-US" w:eastAsia="zh-CN"/>
            </w:rPr>
            <w:fldChar w:fldCharType="end"/>
          </w:r>
        </w:p>
      </w:sdtContent>
    </w:sdt>
    <w:p w14:paraId="4D132695">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jc w:val="both"/>
        <w:textAlignment w:val="auto"/>
        <w:rPr>
          <w:rFonts w:hint="default" w:ascii="Times New Roman" w:hAnsi="Times New Roman" w:eastAsiaTheme="minorEastAsia" w:cstheme="minorBidi"/>
          <w:b/>
          <w:kern w:val="2"/>
          <w:sz w:val="21"/>
          <w:szCs w:val="28"/>
          <w:lang w:val="en-US" w:eastAsia="zh-CN" w:bidi="ar-SA"/>
        </w:rPr>
      </w:pPr>
    </w:p>
    <w:p w14:paraId="4B9606D5">
      <w:pPr>
        <w:pStyle w:val="21"/>
        <w:bidi w:val="0"/>
        <w:rPr>
          <w:rFonts w:hint="eastAsia"/>
        </w:rPr>
        <w:sectPr>
          <w:pgSz w:w="11906" w:h="16838"/>
          <w:pgMar w:top="1417" w:right="1134" w:bottom="1134" w:left="1587" w:header="851" w:footer="992" w:gutter="0"/>
          <w:pgBorders>
            <w:top w:val="none" w:sz="0" w:space="0"/>
            <w:left w:val="none" w:sz="0" w:space="0"/>
            <w:bottom w:val="none" w:sz="0" w:space="0"/>
            <w:right w:val="none" w:sz="0" w:space="0"/>
          </w:pgBorders>
          <w:cols w:space="0" w:num="1"/>
          <w:rtlGutter w:val="0"/>
          <w:docGrid w:type="lines" w:linePitch="312" w:charSpace="0"/>
        </w:sectPr>
      </w:pPr>
    </w:p>
    <w:p w14:paraId="514C0AF5">
      <w:pPr>
        <w:pStyle w:val="27"/>
        <w:bidi w:val="0"/>
        <w:rPr>
          <w:rFonts w:hint="eastAsia"/>
          <w:lang w:val="en-US" w:eastAsia="zh-CN"/>
        </w:rPr>
      </w:pPr>
      <w:bookmarkStart w:id="0" w:name="_Toc11275"/>
      <w:r>
        <w:rPr>
          <w:rFonts w:hint="eastAsia"/>
          <w:lang w:val="en-US" w:eastAsia="zh-CN"/>
        </w:rPr>
        <w:t>评价目的与依据</w:t>
      </w:r>
      <w:bookmarkEnd w:id="0"/>
    </w:p>
    <w:p w14:paraId="11944F54">
      <w:pPr>
        <w:pStyle w:val="28"/>
        <w:bidi w:val="0"/>
        <w:rPr>
          <w:rFonts w:hint="default"/>
          <w:lang w:val="en-US" w:eastAsia="zh-CN"/>
        </w:rPr>
      </w:pPr>
      <w:bookmarkStart w:id="1" w:name="_Toc18254"/>
      <w:r>
        <w:rPr>
          <w:rFonts w:hint="eastAsia"/>
          <w:lang w:val="en-US" w:eastAsia="zh-CN"/>
        </w:rPr>
        <w:t>评价对象和范围</w:t>
      </w:r>
      <w:bookmarkEnd w:id="1"/>
    </w:p>
    <w:p w14:paraId="1C97F2E6">
      <w:pPr>
        <w:pStyle w:val="21"/>
        <w:rPr>
          <w:rFonts w:hint="eastAsia"/>
          <w:lang w:val="en-US" w:eastAsia="zh-CN"/>
        </w:rPr>
      </w:pPr>
      <w:r>
        <w:rPr>
          <w:rFonts w:hint="eastAsia"/>
          <w:lang w:val="en-US" w:eastAsia="zh-CN"/>
        </w:rPr>
        <w:t>安全预评价项目名称：沈阳浑南矿业有限责任公司（铁矿）地下开采建设项目安全预评价报告。</w:t>
      </w:r>
    </w:p>
    <w:p w14:paraId="45E50469">
      <w:pPr>
        <w:pStyle w:val="21"/>
        <w:rPr>
          <w:rFonts w:hint="eastAsia"/>
          <w:color w:val="auto"/>
          <w:lang w:val="en-US" w:eastAsia="zh-CN"/>
        </w:rPr>
      </w:pPr>
      <w:r>
        <w:rPr>
          <w:rFonts w:hint="eastAsia"/>
          <w:lang w:val="en-US" w:eastAsia="zh-CN"/>
        </w:rPr>
        <w:t>本次安全预评</w:t>
      </w:r>
      <w:r>
        <w:rPr>
          <w:rFonts w:hint="eastAsia"/>
          <w:color w:val="auto"/>
          <w:lang w:val="en-US" w:eastAsia="zh-CN"/>
        </w:rPr>
        <w:t>价的对象：浑南矿业《采矿许可证》划定矿区范围之内（见表1.1-1），《可研报告》确定的103m～-455m标高之间的地下开采工程。</w:t>
      </w:r>
    </w:p>
    <w:p w14:paraId="6B99D534">
      <w:pPr>
        <w:pStyle w:val="21"/>
        <w:rPr>
          <w:rFonts w:hint="eastAsia"/>
          <w:color w:val="auto"/>
          <w:lang w:val="en-US" w:eastAsia="zh-CN"/>
        </w:rPr>
      </w:pPr>
      <w:r>
        <w:rPr>
          <w:rFonts w:hint="eastAsia"/>
          <w:color w:val="auto"/>
          <w:lang w:val="en-US" w:eastAsia="zh-CN"/>
        </w:rPr>
        <w:t>有关评价范围的说明：</w:t>
      </w:r>
    </w:p>
    <w:p w14:paraId="7C90506A">
      <w:pPr>
        <w:pStyle w:val="21"/>
        <w:rPr>
          <w:rFonts w:hint="eastAsia"/>
          <w:lang w:val="en-US" w:eastAsia="zh-CN"/>
        </w:rPr>
      </w:pPr>
      <w:r>
        <w:rPr>
          <w:rFonts w:hint="eastAsia"/>
          <w:lang w:val="en-US" w:eastAsia="zh-CN"/>
        </w:rPr>
        <w:t>（1）本次安全评价范围内生产系统具体评价内容包括：总平面布置、开拓、提升运输、采掘系统、通风防尘、防排水与防灭火、矿山电气、安全避险“六大系统”和安全管理的安全性评价；地面设施包括工业场地、提升机房、通风机房、空压机房、配电室、废石场选址的合理性。</w:t>
      </w:r>
    </w:p>
    <w:p w14:paraId="0FBF42FD">
      <w:pPr>
        <w:pStyle w:val="21"/>
        <w:rPr>
          <w:rFonts w:hint="eastAsia"/>
          <w:lang w:val="en-US" w:eastAsia="zh-CN"/>
        </w:rPr>
      </w:pPr>
      <w:r>
        <w:rPr>
          <w:rFonts w:hint="eastAsia"/>
          <w:lang w:val="en-US" w:eastAsia="zh-CN"/>
        </w:rPr>
        <w:t>（2）本次评价的具体空间范围拐点坐标及标高与《可研报告》设计范围一致，见表1.1-2及表1.1-3。</w:t>
      </w:r>
    </w:p>
    <w:p w14:paraId="0B0E781A">
      <w:pPr>
        <w:pStyle w:val="21"/>
        <w:rPr>
          <w:rFonts w:hint="eastAsia"/>
          <w:lang w:val="en-US" w:eastAsia="zh-CN"/>
        </w:rPr>
      </w:pPr>
      <w:r>
        <w:rPr>
          <w:rFonts w:hint="eastAsia"/>
          <w:lang w:val="en-US" w:eastAsia="zh-CN"/>
        </w:rPr>
        <w:t>（3）本项目爆破所需爆破器材由爆破服务公司统一配送，爆破服务公司负责爆破器材的购买、运输、贮存、清退，建设单位不设置爆破器材库。因此，本次安全预评价内容不包括爆破器材的购买、运输、贮存和清退，只评价地下爆破作业安全可靠性。不包括选矿厂。</w:t>
      </w:r>
    </w:p>
    <w:p w14:paraId="427677DD">
      <w:pPr>
        <w:pStyle w:val="30"/>
        <w:bidi w:val="0"/>
        <w:rPr>
          <w:rFonts w:hint="eastAsia"/>
        </w:rPr>
      </w:pPr>
      <w:r>
        <w:rPr>
          <w:rFonts w:hint="eastAsia"/>
        </w:rPr>
        <w:t>表1.1-1  《采矿许可证》矿区范围拐点坐标表（2000国家大地坐标系）</w:t>
      </w:r>
    </w:p>
    <w:tbl>
      <w:tblPr>
        <w:tblStyle w:val="25"/>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36"/>
        <w:gridCol w:w="3293"/>
        <w:gridCol w:w="3293"/>
      </w:tblGrid>
      <w:tr w14:paraId="0D0E9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vMerge w:val="restart"/>
            <w:vAlign w:val="center"/>
          </w:tcPr>
          <w:p w14:paraId="608D89DC">
            <w:pPr>
              <w:pStyle w:val="30"/>
              <w:widowControl w:val="0"/>
              <w:bidi w:val="0"/>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拐点编号</w:t>
            </w:r>
          </w:p>
        </w:tc>
        <w:tc>
          <w:tcPr>
            <w:tcW w:w="6586" w:type="dxa"/>
            <w:gridSpan w:val="2"/>
            <w:vAlign w:val="center"/>
          </w:tcPr>
          <w:p w14:paraId="4C20E1D2">
            <w:pPr>
              <w:pStyle w:val="30"/>
              <w:widowControl w:val="0"/>
              <w:bidi w:val="0"/>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2000国家大地坐标系</w:t>
            </w:r>
          </w:p>
        </w:tc>
      </w:tr>
      <w:tr w14:paraId="3CC9FF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vMerge w:val="continue"/>
            <w:vAlign w:val="center"/>
          </w:tcPr>
          <w:p w14:paraId="31E7462D">
            <w:pPr>
              <w:pStyle w:val="30"/>
              <w:widowControl w:val="0"/>
              <w:bidi w:val="0"/>
              <w:rPr>
                <w:rFonts w:hint="default" w:ascii="Times New Roman" w:hAnsi="Times New Roman" w:eastAsia="宋体" w:cs="Times New Roman"/>
                <w:lang w:val="en-US" w:eastAsia="zh-CN"/>
              </w:rPr>
            </w:pPr>
          </w:p>
        </w:tc>
        <w:tc>
          <w:tcPr>
            <w:tcW w:w="3293" w:type="dxa"/>
            <w:vAlign w:val="center"/>
          </w:tcPr>
          <w:p w14:paraId="605D95AC">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X</w:t>
            </w:r>
          </w:p>
        </w:tc>
        <w:tc>
          <w:tcPr>
            <w:tcW w:w="3293" w:type="dxa"/>
            <w:vAlign w:val="center"/>
          </w:tcPr>
          <w:p w14:paraId="38F736D3">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Y</w:t>
            </w:r>
          </w:p>
        </w:tc>
      </w:tr>
      <w:tr w14:paraId="5578A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59099F5F">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1</w:t>
            </w:r>
          </w:p>
        </w:tc>
        <w:tc>
          <w:tcPr>
            <w:tcW w:w="3293" w:type="dxa"/>
            <w:shd w:val="clear" w:color="auto" w:fill="auto"/>
            <w:vAlign w:val="center"/>
          </w:tcPr>
          <w:p w14:paraId="75C4528B">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4597192.7060</w:t>
            </w:r>
          </w:p>
        </w:tc>
        <w:tc>
          <w:tcPr>
            <w:tcW w:w="3293" w:type="dxa"/>
            <w:shd w:val="clear" w:color="auto" w:fill="auto"/>
            <w:vAlign w:val="center"/>
          </w:tcPr>
          <w:p w14:paraId="612A9DFB">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41538588.5590</w:t>
            </w:r>
          </w:p>
        </w:tc>
      </w:tr>
      <w:tr w14:paraId="796BC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7DC9F6A3">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2</w:t>
            </w:r>
          </w:p>
        </w:tc>
        <w:tc>
          <w:tcPr>
            <w:tcW w:w="3293" w:type="dxa"/>
            <w:shd w:val="clear" w:color="auto" w:fill="auto"/>
            <w:vAlign w:val="center"/>
          </w:tcPr>
          <w:p w14:paraId="662742D4">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4597317.8510</w:t>
            </w:r>
          </w:p>
        </w:tc>
        <w:tc>
          <w:tcPr>
            <w:tcW w:w="3293" w:type="dxa"/>
            <w:shd w:val="clear" w:color="auto" w:fill="auto"/>
            <w:vAlign w:val="center"/>
          </w:tcPr>
          <w:p w14:paraId="2C4BED08">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41538912.5580</w:t>
            </w:r>
          </w:p>
        </w:tc>
      </w:tr>
      <w:tr w14:paraId="3E9A4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3EAF44B8">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3</w:t>
            </w:r>
          </w:p>
        </w:tc>
        <w:tc>
          <w:tcPr>
            <w:tcW w:w="3293" w:type="dxa"/>
            <w:shd w:val="clear" w:color="auto" w:fill="auto"/>
            <w:vAlign w:val="center"/>
          </w:tcPr>
          <w:p w14:paraId="3698EE0C">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4597594.8910</w:t>
            </w:r>
          </w:p>
        </w:tc>
        <w:tc>
          <w:tcPr>
            <w:tcW w:w="3293" w:type="dxa"/>
            <w:shd w:val="clear" w:color="auto" w:fill="auto"/>
            <w:vAlign w:val="center"/>
          </w:tcPr>
          <w:p w14:paraId="410B156F">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41538795.1160</w:t>
            </w:r>
          </w:p>
        </w:tc>
      </w:tr>
      <w:tr w14:paraId="6BB05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605558EF">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w:t>
            </w:r>
          </w:p>
        </w:tc>
        <w:tc>
          <w:tcPr>
            <w:tcW w:w="3293" w:type="dxa"/>
            <w:shd w:val="clear" w:color="auto" w:fill="auto"/>
            <w:vAlign w:val="center"/>
          </w:tcPr>
          <w:p w14:paraId="74E96F3D">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4597595.3900</w:t>
            </w:r>
          </w:p>
        </w:tc>
        <w:tc>
          <w:tcPr>
            <w:tcW w:w="3293" w:type="dxa"/>
            <w:shd w:val="clear" w:color="auto" w:fill="auto"/>
            <w:vAlign w:val="center"/>
          </w:tcPr>
          <w:p w14:paraId="024839C4">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41538887.8720</w:t>
            </w:r>
          </w:p>
        </w:tc>
      </w:tr>
      <w:tr w14:paraId="55A26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18A46ACF">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5</w:t>
            </w:r>
          </w:p>
        </w:tc>
        <w:tc>
          <w:tcPr>
            <w:tcW w:w="3293" w:type="dxa"/>
            <w:shd w:val="clear" w:color="auto" w:fill="auto"/>
            <w:vAlign w:val="center"/>
          </w:tcPr>
          <w:p w14:paraId="6BEC4DFE">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4598026.5580</w:t>
            </w:r>
          </w:p>
        </w:tc>
        <w:tc>
          <w:tcPr>
            <w:tcW w:w="3293" w:type="dxa"/>
            <w:shd w:val="clear" w:color="auto" w:fill="auto"/>
            <w:vAlign w:val="center"/>
          </w:tcPr>
          <w:p w14:paraId="61E215B4">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41538746.4190</w:t>
            </w:r>
          </w:p>
        </w:tc>
      </w:tr>
      <w:tr w14:paraId="2FD79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34C61994">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6</w:t>
            </w:r>
          </w:p>
        </w:tc>
        <w:tc>
          <w:tcPr>
            <w:tcW w:w="3293" w:type="dxa"/>
            <w:shd w:val="clear" w:color="auto" w:fill="auto"/>
            <w:vAlign w:val="center"/>
          </w:tcPr>
          <w:p w14:paraId="2E1637C3">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4598027.1820</w:t>
            </w:r>
          </w:p>
        </w:tc>
        <w:tc>
          <w:tcPr>
            <w:tcW w:w="3293" w:type="dxa"/>
            <w:shd w:val="clear" w:color="auto" w:fill="auto"/>
            <w:vAlign w:val="center"/>
          </w:tcPr>
          <w:p w14:paraId="27FA8D8A">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41538862.3570</w:t>
            </w:r>
          </w:p>
        </w:tc>
      </w:tr>
      <w:tr w14:paraId="51CA4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491BC904">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7</w:t>
            </w:r>
          </w:p>
        </w:tc>
        <w:tc>
          <w:tcPr>
            <w:tcW w:w="3293" w:type="dxa"/>
            <w:shd w:val="clear" w:color="auto" w:fill="auto"/>
            <w:vAlign w:val="center"/>
          </w:tcPr>
          <w:p w14:paraId="623F5A50">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4597596.0160</w:t>
            </w:r>
          </w:p>
        </w:tc>
        <w:tc>
          <w:tcPr>
            <w:tcW w:w="3293" w:type="dxa"/>
            <w:shd w:val="clear" w:color="auto" w:fill="auto"/>
            <w:vAlign w:val="center"/>
          </w:tcPr>
          <w:p w14:paraId="046EBCB1">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41539003.8170</w:t>
            </w:r>
          </w:p>
        </w:tc>
      </w:tr>
      <w:tr w14:paraId="41401E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4749F066">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8</w:t>
            </w:r>
          </w:p>
        </w:tc>
        <w:tc>
          <w:tcPr>
            <w:tcW w:w="3293" w:type="dxa"/>
            <w:shd w:val="clear" w:color="auto" w:fill="auto"/>
            <w:vAlign w:val="center"/>
          </w:tcPr>
          <w:p w14:paraId="16459814">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4596891.6400</w:t>
            </w:r>
          </w:p>
        </w:tc>
        <w:tc>
          <w:tcPr>
            <w:tcW w:w="3293" w:type="dxa"/>
            <w:shd w:val="clear" w:color="auto" w:fill="auto"/>
            <w:vAlign w:val="center"/>
          </w:tcPr>
          <w:p w14:paraId="3E43D533">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41539958.4950</w:t>
            </w:r>
          </w:p>
        </w:tc>
      </w:tr>
      <w:tr w14:paraId="34B9F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2C38FBD8">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9</w:t>
            </w:r>
          </w:p>
        </w:tc>
        <w:tc>
          <w:tcPr>
            <w:tcW w:w="3293" w:type="dxa"/>
            <w:shd w:val="clear" w:color="auto" w:fill="auto"/>
            <w:vAlign w:val="center"/>
          </w:tcPr>
          <w:p w14:paraId="50A48C4F">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4596767.4660</w:t>
            </w:r>
          </w:p>
        </w:tc>
        <w:tc>
          <w:tcPr>
            <w:tcW w:w="3293" w:type="dxa"/>
            <w:shd w:val="clear" w:color="auto" w:fill="auto"/>
            <w:vAlign w:val="center"/>
          </w:tcPr>
          <w:p w14:paraId="4553F0C8">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41539820.0280</w:t>
            </w:r>
          </w:p>
        </w:tc>
      </w:tr>
      <w:tr w14:paraId="5AD70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050BBCEE">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10</w:t>
            </w:r>
          </w:p>
        </w:tc>
        <w:tc>
          <w:tcPr>
            <w:tcW w:w="3293" w:type="dxa"/>
            <w:shd w:val="clear" w:color="auto" w:fill="auto"/>
            <w:vAlign w:val="center"/>
          </w:tcPr>
          <w:p w14:paraId="6CD03465">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4596952.5730</w:t>
            </w:r>
          </w:p>
        </w:tc>
        <w:tc>
          <w:tcPr>
            <w:tcW w:w="3293" w:type="dxa"/>
            <w:shd w:val="clear" w:color="auto" w:fill="auto"/>
            <w:vAlign w:val="center"/>
          </w:tcPr>
          <w:p w14:paraId="1457DE6B">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41539819.0070</w:t>
            </w:r>
          </w:p>
        </w:tc>
      </w:tr>
      <w:tr w14:paraId="312D7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54DD1EA7">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11</w:t>
            </w:r>
          </w:p>
        </w:tc>
        <w:tc>
          <w:tcPr>
            <w:tcW w:w="3293" w:type="dxa"/>
            <w:shd w:val="clear" w:color="auto" w:fill="auto"/>
            <w:vAlign w:val="center"/>
          </w:tcPr>
          <w:p w14:paraId="1A8AA1E6">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4596950.6620</w:t>
            </w:r>
          </w:p>
        </w:tc>
        <w:tc>
          <w:tcPr>
            <w:tcW w:w="3293" w:type="dxa"/>
            <w:shd w:val="clear" w:color="auto" w:fill="auto"/>
            <w:vAlign w:val="center"/>
          </w:tcPr>
          <w:p w14:paraId="20D567BF">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41539471.1410</w:t>
            </w:r>
          </w:p>
        </w:tc>
      </w:tr>
      <w:tr w14:paraId="2BE53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375C518D">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12</w:t>
            </w:r>
          </w:p>
        </w:tc>
        <w:tc>
          <w:tcPr>
            <w:tcW w:w="3293" w:type="dxa"/>
            <w:shd w:val="clear" w:color="auto" w:fill="auto"/>
            <w:vAlign w:val="center"/>
          </w:tcPr>
          <w:p w14:paraId="2D8825FE">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4596611.3000</w:t>
            </w:r>
          </w:p>
        </w:tc>
        <w:tc>
          <w:tcPr>
            <w:tcW w:w="3293" w:type="dxa"/>
            <w:shd w:val="clear" w:color="auto" w:fill="auto"/>
            <w:vAlign w:val="center"/>
          </w:tcPr>
          <w:p w14:paraId="1A0096F1">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41539472.9960</w:t>
            </w:r>
          </w:p>
        </w:tc>
      </w:tr>
      <w:tr w14:paraId="3DF1A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7E235789">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13</w:t>
            </w:r>
          </w:p>
        </w:tc>
        <w:tc>
          <w:tcPr>
            <w:tcW w:w="3293" w:type="dxa"/>
            <w:shd w:val="clear" w:color="auto" w:fill="auto"/>
            <w:vAlign w:val="center"/>
          </w:tcPr>
          <w:p w14:paraId="3653F55E">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4596612.5720</w:t>
            </w:r>
          </w:p>
        </w:tc>
        <w:tc>
          <w:tcPr>
            <w:tcW w:w="3293" w:type="dxa"/>
            <w:shd w:val="clear" w:color="auto" w:fill="auto"/>
            <w:vAlign w:val="center"/>
          </w:tcPr>
          <w:p w14:paraId="0855E99F">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41539704.9180</w:t>
            </w:r>
          </w:p>
        </w:tc>
      </w:tr>
      <w:tr w14:paraId="4022E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360CADE7">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14</w:t>
            </w:r>
          </w:p>
        </w:tc>
        <w:tc>
          <w:tcPr>
            <w:tcW w:w="3293" w:type="dxa"/>
            <w:shd w:val="clear" w:color="auto" w:fill="auto"/>
            <w:vAlign w:val="center"/>
          </w:tcPr>
          <w:p w14:paraId="7247F141">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4596209.7280</w:t>
            </w:r>
          </w:p>
        </w:tc>
        <w:tc>
          <w:tcPr>
            <w:tcW w:w="3293" w:type="dxa"/>
            <w:shd w:val="clear" w:color="auto" w:fill="auto"/>
            <w:vAlign w:val="center"/>
          </w:tcPr>
          <w:p w14:paraId="05E30C4E">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41539382.4160</w:t>
            </w:r>
          </w:p>
        </w:tc>
      </w:tr>
      <w:tr w14:paraId="2E8C0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8522" w:type="dxa"/>
            <w:gridSpan w:val="3"/>
            <w:vAlign w:val="center"/>
          </w:tcPr>
          <w:p w14:paraId="432083E7">
            <w:pPr>
              <w:pStyle w:val="30"/>
              <w:widowControl w:val="0"/>
              <w:bidi w:val="0"/>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矿区面积：0.8135km²</w:t>
            </w:r>
          </w:p>
        </w:tc>
      </w:tr>
      <w:tr w14:paraId="395709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8522" w:type="dxa"/>
            <w:gridSpan w:val="3"/>
            <w:vAlign w:val="center"/>
          </w:tcPr>
          <w:p w14:paraId="0AB041EF">
            <w:pPr>
              <w:pStyle w:val="30"/>
              <w:widowControl w:val="0"/>
              <w:bidi w:val="0"/>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开采深度：由103m至-580m标高</w:t>
            </w:r>
          </w:p>
        </w:tc>
      </w:tr>
    </w:tbl>
    <w:p w14:paraId="45A972A7">
      <w:pPr>
        <w:pStyle w:val="30"/>
        <w:bidi w:val="0"/>
        <w:rPr>
          <w:rFonts w:hint="eastAsia"/>
        </w:rPr>
      </w:pPr>
    </w:p>
    <w:p w14:paraId="796C6BDF">
      <w:pPr>
        <w:pStyle w:val="30"/>
        <w:bidi w:val="0"/>
        <w:rPr>
          <w:rFonts w:hint="eastAsia"/>
        </w:rPr>
      </w:pPr>
    </w:p>
    <w:p w14:paraId="4F9096B7">
      <w:pPr>
        <w:pStyle w:val="30"/>
        <w:bidi w:val="0"/>
        <w:rPr>
          <w:rFonts w:hint="eastAsia"/>
        </w:rPr>
      </w:pPr>
      <w:r>
        <w:rPr>
          <w:rFonts w:hint="eastAsia"/>
        </w:rPr>
        <w:t>表1.1-2  《可研报告》设计范围拐点坐标表（2000国家大地坐标系）</w:t>
      </w:r>
    </w:p>
    <w:tbl>
      <w:tblPr>
        <w:tblStyle w:val="25"/>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36"/>
        <w:gridCol w:w="3293"/>
        <w:gridCol w:w="3293"/>
      </w:tblGrid>
      <w:tr w14:paraId="1FAA7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vMerge w:val="restart"/>
            <w:vAlign w:val="center"/>
          </w:tcPr>
          <w:p w14:paraId="6DB3CA99">
            <w:pPr>
              <w:pStyle w:val="30"/>
              <w:widowControl w:val="0"/>
              <w:bidi w:val="0"/>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拐点编号</w:t>
            </w:r>
          </w:p>
        </w:tc>
        <w:tc>
          <w:tcPr>
            <w:tcW w:w="6586" w:type="dxa"/>
            <w:gridSpan w:val="2"/>
            <w:vAlign w:val="center"/>
          </w:tcPr>
          <w:p w14:paraId="5C9FD343">
            <w:pPr>
              <w:pStyle w:val="30"/>
              <w:widowControl w:val="0"/>
              <w:bidi w:val="0"/>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2000国家大地坐标系</w:t>
            </w:r>
          </w:p>
        </w:tc>
      </w:tr>
      <w:tr w14:paraId="0306C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vMerge w:val="continue"/>
            <w:vAlign w:val="center"/>
          </w:tcPr>
          <w:p w14:paraId="0C2017FB">
            <w:pPr>
              <w:pStyle w:val="30"/>
              <w:widowControl w:val="0"/>
              <w:bidi w:val="0"/>
              <w:rPr>
                <w:rFonts w:hint="default" w:ascii="Times New Roman" w:hAnsi="Times New Roman" w:eastAsia="宋体" w:cs="Times New Roman"/>
                <w:lang w:val="en-US" w:eastAsia="zh-CN"/>
              </w:rPr>
            </w:pPr>
          </w:p>
        </w:tc>
        <w:tc>
          <w:tcPr>
            <w:tcW w:w="3293" w:type="dxa"/>
            <w:vAlign w:val="center"/>
          </w:tcPr>
          <w:p w14:paraId="121B9B45">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X</w:t>
            </w:r>
          </w:p>
        </w:tc>
        <w:tc>
          <w:tcPr>
            <w:tcW w:w="3293" w:type="dxa"/>
            <w:vAlign w:val="center"/>
          </w:tcPr>
          <w:p w14:paraId="4B6152E9">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Y</w:t>
            </w:r>
          </w:p>
        </w:tc>
      </w:tr>
      <w:tr w14:paraId="409F6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2D593DC4">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1</w:t>
            </w:r>
          </w:p>
        </w:tc>
        <w:tc>
          <w:tcPr>
            <w:tcW w:w="3293" w:type="dxa"/>
            <w:shd w:val="clear" w:color="auto" w:fill="auto"/>
            <w:vAlign w:val="center"/>
          </w:tcPr>
          <w:p w14:paraId="13CADEF4">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4597192.7060</w:t>
            </w:r>
          </w:p>
        </w:tc>
        <w:tc>
          <w:tcPr>
            <w:tcW w:w="3293" w:type="dxa"/>
            <w:shd w:val="clear" w:color="auto" w:fill="auto"/>
            <w:vAlign w:val="center"/>
          </w:tcPr>
          <w:p w14:paraId="3D1240B9">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41538588.5590</w:t>
            </w:r>
          </w:p>
        </w:tc>
      </w:tr>
      <w:tr w14:paraId="2AA69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007D80A4">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2</w:t>
            </w:r>
          </w:p>
        </w:tc>
        <w:tc>
          <w:tcPr>
            <w:tcW w:w="3293" w:type="dxa"/>
            <w:shd w:val="clear" w:color="auto" w:fill="auto"/>
            <w:vAlign w:val="center"/>
          </w:tcPr>
          <w:p w14:paraId="64B4817C">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4597317.8510</w:t>
            </w:r>
          </w:p>
        </w:tc>
        <w:tc>
          <w:tcPr>
            <w:tcW w:w="3293" w:type="dxa"/>
            <w:shd w:val="clear" w:color="auto" w:fill="auto"/>
            <w:vAlign w:val="center"/>
          </w:tcPr>
          <w:p w14:paraId="7CB808E5">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41538912.5580</w:t>
            </w:r>
          </w:p>
        </w:tc>
      </w:tr>
      <w:tr w14:paraId="2AE84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287D2779">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3</w:t>
            </w:r>
          </w:p>
        </w:tc>
        <w:tc>
          <w:tcPr>
            <w:tcW w:w="3293" w:type="dxa"/>
            <w:shd w:val="clear" w:color="auto" w:fill="auto"/>
            <w:vAlign w:val="center"/>
          </w:tcPr>
          <w:p w14:paraId="1DD40752">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4597594.8910</w:t>
            </w:r>
          </w:p>
        </w:tc>
        <w:tc>
          <w:tcPr>
            <w:tcW w:w="3293" w:type="dxa"/>
            <w:shd w:val="clear" w:color="auto" w:fill="auto"/>
            <w:vAlign w:val="center"/>
          </w:tcPr>
          <w:p w14:paraId="6FB0E38E">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41538795.1160</w:t>
            </w:r>
          </w:p>
        </w:tc>
      </w:tr>
      <w:tr w14:paraId="4E414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59A49F96">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w:t>
            </w:r>
          </w:p>
        </w:tc>
        <w:tc>
          <w:tcPr>
            <w:tcW w:w="3293" w:type="dxa"/>
            <w:shd w:val="clear" w:color="auto" w:fill="auto"/>
            <w:vAlign w:val="center"/>
          </w:tcPr>
          <w:p w14:paraId="4A93CFF6">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4597595.3900</w:t>
            </w:r>
          </w:p>
        </w:tc>
        <w:tc>
          <w:tcPr>
            <w:tcW w:w="3293" w:type="dxa"/>
            <w:shd w:val="clear" w:color="auto" w:fill="auto"/>
            <w:vAlign w:val="center"/>
          </w:tcPr>
          <w:p w14:paraId="11076088">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41538887.8720</w:t>
            </w:r>
          </w:p>
        </w:tc>
      </w:tr>
      <w:tr w14:paraId="6EB1B2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2B1CFA40">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5</w:t>
            </w:r>
          </w:p>
        </w:tc>
        <w:tc>
          <w:tcPr>
            <w:tcW w:w="3293" w:type="dxa"/>
            <w:shd w:val="clear" w:color="auto" w:fill="auto"/>
            <w:vAlign w:val="center"/>
          </w:tcPr>
          <w:p w14:paraId="6D8E10CC">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4598026.5580</w:t>
            </w:r>
          </w:p>
        </w:tc>
        <w:tc>
          <w:tcPr>
            <w:tcW w:w="3293" w:type="dxa"/>
            <w:shd w:val="clear" w:color="auto" w:fill="auto"/>
            <w:vAlign w:val="center"/>
          </w:tcPr>
          <w:p w14:paraId="3997CCF4">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41538746.4190</w:t>
            </w:r>
          </w:p>
        </w:tc>
      </w:tr>
      <w:tr w14:paraId="22382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6AB71A4F">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6</w:t>
            </w:r>
          </w:p>
        </w:tc>
        <w:tc>
          <w:tcPr>
            <w:tcW w:w="3293" w:type="dxa"/>
            <w:shd w:val="clear" w:color="auto" w:fill="auto"/>
            <w:vAlign w:val="center"/>
          </w:tcPr>
          <w:p w14:paraId="71CE7D94">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4598027.1820</w:t>
            </w:r>
          </w:p>
        </w:tc>
        <w:tc>
          <w:tcPr>
            <w:tcW w:w="3293" w:type="dxa"/>
            <w:shd w:val="clear" w:color="auto" w:fill="auto"/>
            <w:vAlign w:val="center"/>
          </w:tcPr>
          <w:p w14:paraId="12BF8859">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41538862.3570</w:t>
            </w:r>
          </w:p>
        </w:tc>
      </w:tr>
      <w:tr w14:paraId="11944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47E6C668">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7</w:t>
            </w:r>
          </w:p>
        </w:tc>
        <w:tc>
          <w:tcPr>
            <w:tcW w:w="3293" w:type="dxa"/>
            <w:shd w:val="clear" w:color="auto" w:fill="auto"/>
            <w:vAlign w:val="center"/>
          </w:tcPr>
          <w:p w14:paraId="04815037">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4597596.0160</w:t>
            </w:r>
          </w:p>
        </w:tc>
        <w:tc>
          <w:tcPr>
            <w:tcW w:w="3293" w:type="dxa"/>
            <w:shd w:val="clear" w:color="auto" w:fill="auto"/>
            <w:vAlign w:val="center"/>
          </w:tcPr>
          <w:p w14:paraId="7A1B2E07">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41539003.8170</w:t>
            </w:r>
          </w:p>
        </w:tc>
      </w:tr>
      <w:tr w14:paraId="67E2E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5C8722DA">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8</w:t>
            </w:r>
          </w:p>
        </w:tc>
        <w:tc>
          <w:tcPr>
            <w:tcW w:w="3293" w:type="dxa"/>
            <w:shd w:val="clear" w:color="auto" w:fill="auto"/>
            <w:vAlign w:val="center"/>
          </w:tcPr>
          <w:p w14:paraId="0C6490E1">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4596891.6400</w:t>
            </w:r>
          </w:p>
        </w:tc>
        <w:tc>
          <w:tcPr>
            <w:tcW w:w="3293" w:type="dxa"/>
            <w:shd w:val="clear" w:color="auto" w:fill="auto"/>
            <w:vAlign w:val="center"/>
          </w:tcPr>
          <w:p w14:paraId="12211CA6">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41539958.4950</w:t>
            </w:r>
          </w:p>
        </w:tc>
      </w:tr>
      <w:tr w14:paraId="2F4B5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2A5CBBFE">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9</w:t>
            </w:r>
          </w:p>
        </w:tc>
        <w:tc>
          <w:tcPr>
            <w:tcW w:w="3293" w:type="dxa"/>
            <w:shd w:val="clear" w:color="auto" w:fill="auto"/>
            <w:vAlign w:val="center"/>
          </w:tcPr>
          <w:p w14:paraId="54A24310">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4596767.4660</w:t>
            </w:r>
          </w:p>
        </w:tc>
        <w:tc>
          <w:tcPr>
            <w:tcW w:w="3293" w:type="dxa"/>
            <w:shd w:val="clear" w:color="auto" w:fill="auto"/>
            <w:vAlign w:val="center"/>
          </w:tcPr>
          <w:p w14:paraId="31EACE06">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41539820.0280</w:t>
            </w:r>
          </w:p>
        </w:tc>
      </w:tr>
      <w:tr w14:paraId="6DD953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704E4912">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10</w:t>
            </w:r>
          </w:p>
        </w:tc>
        <w:tc>
          <w:tcPr>
            <w:tcW w:w="3293" w:type="dxa"/>
            <w:shd w:val="clear" w:color="auto" w:fill="auto"/>
            <w:vAlign w:val="center"/>
          </w:tcPr>
          <w:p w14:paraId="0672453A">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4596952.5730</w:t>
            </w:r>
          </w:p>
        </w:tc>
        <w:tc>
          <w:tcPr>
            <w:tcW w:w="3293" w:type="dxa"/>
            <w:shd w:val="clear" w:color="auto" w:fill="auto"/>
            <w:vAlign w:val="center"/>
          </w:tcPr>
          <w:p w14:paraId="59DCC627">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41539819.0070</w:t>
            </w:r>
          </w:p>
        </w:tc>
      </w:tr>
      <w:tr w14:paraId="4B5D7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5C4B62F8">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11</w:t>
            </w:r>
          </w:p>
        </w:tc>
        <w:tc>
          <w:tcPr>
            <w:tcW w:w="3293" w:type="dxa"/>
            <w:shd w:val="clear" w:color="auto" w:fill="auto"/>
            <w:vAlign w:val="center"/>
          </w:tcPr>
          <w:p w14:paraId="6A879333">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4596950.6620</w:t>
            </w:r>
          </w:p>
        </w:tc>
        <w:tc>
          <w:tcPr>
            <w:tcW w:w="3293" w:type="dxa"/>
            <w:shd w:val="clear" w:color="auto" w:fill="auto"/>
            <w:vAlign w:val="center"/>
          </w:tcPr>
          <w:p w14:paraId="3704ABBA">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41539471.1410</w:t>
            </w:r>
          </w:p>
        </w:tc>
      </w:tr>
      <w:tr w14:paraId="3EED5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26206C3D">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12</w:t>
            </w:r>
          </w:p>
        </w:tc>
        <w:tc>
          <w:tcPr>
            <w:tcW w:w="3293" w:type="dxa"/>
            <w:shd w:val="clear" w:color="auto" w:fill="auto"/>
            <w:vAlign w:val="center"/>
          </w:tcPr>
          <w:p w14:paraId="559DE4D9">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4596611.3000</w:t>
            </w:r>
          </w:p>
        </w:tc>
        <w:tc>
          <w:tcPr>
            <w:tcW w:w="3293" w:type="dxa"/>
            <w:shd w:val="clear" w:color="auto" w:fill="auto"/>
            <w:vAlign w:val="center"/>
          </w:tcPr>
          <w:p w14:paraId="17F3ACA7">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41539472.9960</w:t>
            </w:r>
          </w:p>
        </w:tc>
      </w:tr>
      <w:tr w14:paraId="302F1C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0EE3953F">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13</w:t>
            </w:r>
          </w:p>
        </w:tc>
        <w:tc>
          <w:tcPr>
            <w:tcW w:w="3293" w:type="dxa"/>
            <w:shd w:val="clear" w:color="auto" w:fill="auto"/>
            <w:vAlign w:val="center"/>
          </w:tcPr>
          <w:p w14:paraId="3B8F6BEC">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4596612.5720</w:t>
            </w:r>
          </w:p>
        </w:tc>
        <w:tc>
          <w:tcPr>
            <w:tcW w:w="3293" w:type="dxa"/>
            <w:shd w:val="clear" w:color="auto" w:fill="auto"/>
            <w:vAlign w:val="center"/>
          </w:tcPr>
          <w:p w14:paraId="2A540D4E">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41539704.9180</w:t>
            </w:r>
          </w:p>
        </w:tc>
      </w:tr>
      <w:tr w14:paraId="62759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36" w:type="dxa"/>
            <w:shd w:val="clear" w:color="auto" w:fill="auto"/>
            <w:vAlign w:val="center"/>
          </w:tcPr>
          <w:p w14:paraId="23C9AFD2">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14</w:t>
            </w:r>
          </w:p>
        </w:tc>
        <w:tc>
          <w:tcPr>
            <w:tcW w:w="3293" w:type="dxa"/>
            <w:shd w:val="clear" w:color="auto" w:fill="auto"/>
            <w:vAlign w:val="center"/>
          </w:tcPr>
          <w:p w14:paraId="513C9FCD">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4596209.7280</w:t>
            </w:r>
          </w:p>
        </w:tc>
        <w:tc>
          <w:tcPr>
            <w:tcW w:w="3293" w:type="dxa"/>
            <w:shd w:val="clear" w:color="auto" w:fill="auto"/>
            <w:vAlign w:val="center"/>
          </w:tcPr>
          <w:p w14:paraId="1CE36DA1">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41539382.4160</w:t>
            </w:r>
          </w:p>
        </w:tc>
      </w:tr>
      <w:tr w14:paraId="754C10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8522" w:type="dxa"/>
            <w:gridSpan w:val="3"/>
            <w:vAlign w:val="center"/>
          </w:tcPr>
          <w:p w14:paraId="5063A609">
            <w:pPr>
              <w:pStyle w:val="30"/>
              <w:widowControl w:val="0"/>
              <w:bidi w:val="0"/>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矿区面积：0.8135km²</w:t>
            </w:r>
          </w:p>
        </w:tc>
      </w:tr>
      <w:tr w14:paraId="04F7E3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8522" w:type="dxa"/>
            <w:gridSpan w:val="3"/>
            <w:vAlign w:val="center"/>
          </w:tcPr>
          <w:p w14:paraId="6AE19CCE">
            <w:pPr>
              <w:pStyle w:val="30"/>
              <w:widowControl w:val="0"/>
              <w:bidi w:val="0"/>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开采深度：由103m至-455m标高</w:t>
            </w:r>
          </w:p>
        </w:tc>
      </w:tr>
    </w:tbl>
    <w:p w14:paraId="37AFE7CE">
      <w:pPr>
        <w:pStyle w:val="21"/>
        <w:rPr>
          <w:rFonts w:hint="default"/>
          <w:lang w:val="en-US" w:eastAsia="zh-CN"/>
        </w:rPr>
      </w:pPr>
    </w:p>
    <w:p w14:paraId="3A3F363D">
      <w:pPr>
        <w:pStyle w:val="30"/>
        <w:bidi w:val="0"/>
        <w:rPr>
          <w:rFonts w:hint="eastAsia"/>
        </w:rPr>
      </w:pPr>
      <w:r>
        <w:rPr>
          <w:rFonts w:hint="eastAsia"/>
        </w:rPr>
        <w:t>表1.1-3  本次评价范围拐点坐标表（2000国家大地坐标系）</w:t>
      </w:r>
    </w:p>
    <w:tbl>
      <w:tblPr>
        <w:tblStyle w:val="2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36"/>
        <w:gridCol w:w="3293"/>
        <w:gridCol w:w="3293"/>
      </w:tblGrid>
      <w:tr w14:paraId="0027F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6" w:type="dxa"/>
            <w:vMerge w:val="restart"/>
            <w:vAlign w:val="center"/>
          </w:tcPr>
          <w:p w14:paraId="778CF572">
            <w:pPr>
              <w:pStyle w:val="30"/>
              <w:widowControl w:val="0"/>
              <w:bidi w:val="0"/>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拐点编号</w:t>
            </w:r>
          </w:p>
        </w:tc>
        <w:tc>
          <w:tcPr>
            <w:tcW w:w="6586" w:type="dxa"/>
            <w:gridSpan w:val="2"/>
            <w:vAlign w:val="center"/>
          </w:tcPr>
          <w:p w14:paraId="1230517A">
            <w:pPr>
              <w:pStyle w:val="30"/>
              <w:widowControl w:val="0"/>
              <w:bidi w:val="0"/>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2000国家大地坐标系</w:t>
            </w:r>
          </w:p>
        </w:tc>
      </w:tr>
      <w:tr w14:paraId="5384E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6" w:type="dxa"/>
            <w:vMerge w:val="continue"/>
            <w:vAlign w:val="center"/>
          </w:tcPr>
          <w:p w14:paraId="6FA4554C">
            <w:pPr>
              <w:pStyle w:val="30"/>
              <w:widowControl w:val="0"/>
              <w:bidi w:val="0"/>
              <w:rPr>
                <w:rFonts w:hint="default" w:ascii="Times New Roman" w:hAnsi="Times New Roman" w:eastAsia="宋体" w:cs="Times New Roman"/>
                <w:lang w:val="en-US" w:eastAsia="zh-CN"/>
              </w:rPr>
            </w:pPr>
          </w:p>
        </w:tc>
        <w:tc>
          <w:tcPr>
            <w:tcW w:w="3293" w:type="dxa"/>
            <w:vAlign w:val="center"/>
          </w:tcPr>
          <w:p w14:paraId="130E4BD0">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X</w:t>
            </w:r>
          </w:p>
        </w:tc>
        <w:tc>
          <w:tcPr>
            <w:tcW w:w="3293" w:type="dxa"/>
            <w:vAlign w:val="center"/>
          </w:tcPr>
          <w:p w14:paraId="108B512F">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Y</w:t>
            </w:r>
          </w:p>
        </w:tc>
      </w:tr>
      <w:tr w14:paraId="2491C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1936" w:type="dxa"/>
            <w:shd w:val="clear" w:color="auto" w:fill="auto"/>
            <w:vAlign w:val="center"/>
          </w:tcPr>
          <w:p w14:paraId="1421B1DB">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1</w:t>
            </w:r>
          </w:p>
        </w:tc>
        <w:tc>
          <w:tcPr>
            <w:tcW w:w="3293" w:type="dxa"/>
            <w:shd w:val="clear" w:color="auto" w:fill="auto"/>
            <w:vAlign w:val="center"/>
          </w:tcPr>
          <w:p w14:paraId="5BAD4683">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4597192.7060</w:t>
            </w:r>
          </w:p>
        </w:tc>
        <w:tc>
          <w:tcPr>
            <w:tcW w:w="3293" w:type="dxa"/>
            <w:shd w:val="clear" w:color="auto" w:fill="auto"/>
            <w:vAlign w:val="center"/>
          </w:tcPr>
          <w:p w14:paraId="4D818BF7">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41538588.5590</w:t>
            </w:r>
          </w:p>
        </w:tc>
      </w:tr>
      <w:tr w14:paraId="4D62E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6" w:type="dxa"/>
            <w:shd w:val="clear" w:color="auto" w:fill="auto"/>
            <w:vAlign w:val="center"/>
          </w:tcPr>
          <w:p w14:paraId="517FBD09">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2</w:t>
            </w:r>
          </w:p>
        </w:tc>
        <w:tc>
          <w:tcPr>
            <w:tcW w:w="3293" w:type="dxa"/>
            <w:shd w:val="clear" w:color="auto" w:fill="auto"/>
            <w:vAlign w:val="center"/>
          </w:tcPr>
          <w:p w14:paraId="36C90456">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4597317.8510</w:t>
            </w:r>
          </w:p>
        </w:tc>
        <w:tc>
          <w:tcPr>
            <w:tcW w:w="3293" w:type="dxa"/>
            <w:shd w:val="clear" w:color="auto" w:fill="auto"/>
            <w:vAlign w:val="center"/>
          </w:tcPr>
          <w:p w14:paraId="36B288FF">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41538912.5580</w:t>
            </w:r>
          </w:p>
        </w:tc>
      </w:tr>
      <w:tr w14:paraId="71036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6" w:type="dxa"/>
            <w:shd w:val="clear" w:color="auto" w:fill="auto"/>
            <w:vAlign w:val="center"/>
          </w:tcPr>
          <w:p w14:paraId="63A2D0C3">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3</w:t>
            </w:r>
          </w:p>
        </w:tc>
        <w:tc>
          <w:tcPr>
            <w:tcW w:w="3293" w:type="dxa"/>
            <w:shd w:val="clear" w:color="auto" w:fill="auto"/>
            <w:vAlign w:val="center"/>
          </w:tcPr>
          <w:p w14:paraId="3B354DC0">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4597594.8910</w:t>
            </w:r>
          </w:p>
        </w:tc>
        <w:tc>
          <w:tcPr>
            <w:tcW w:w="3293" w:type="dxa"/>
            <w:shd w:val="clear" w:color="auto" w:fill="auto"/>
            <w:vAlign w:val="center"/>
          </w:tcPr>
          <w:p w14:paraId="646E048C">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41538795.1160</w:t>
            </w:r>
          </w:p>
        </w:tc>
      </w:tr>
      <w:tr w14:paraId="3038B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6" w:type="dxa"/>
            <w:shd w:val="clear" w:color="auto" w:fill="auto"/>
            <w:vAlign w:val="center"/>
          </w:tcPr>
          <w:p w14:paraId="03E89140">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w:t>
            </w:r>
          </w:p>
        </w:tc>
        <w:tc>
          <w:tcPr>
            <w:tcW w:w="3293" w:type="dxa"/>
            <w:shd w:val="clear" w:color="auto" w:fill="auto"/>
            <w:vAlign w:val="center"/>
          </w:tcPr>
          <w:p w14:paraId="6CAF3E81">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4597595.3900</w:t>
            </w:r>
          </w:p>
        </w:tc>
        <w:tc>
          <w:tcPr>
            <w:tcW w:w="3293" w:type="dxa"/>
            <w:shd w:val="clear" w:color="auto" w:fill="auto"/>
            <w:vAlign w:val="center"/>
          </w:tcPr>
          <w:p w14:paraId="2E4FB1EA">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41538887.8720</w:t>
            </w:r>
          </w:p>
        </w:tc>
      </w:tr>
      <w:tr w14:paraId="32508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6" w:type="dxa"/>
            <w:shd w:val="clear" w:color="auto" w:fill="auto"/>
            <w:vAlign w:val="center"/>
          </w:tcPr>
          <w:p w14:paraId="27A39425">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5</w:t>
            </w:r>
          </w:p>
        </w:tc>
        <w:tc>
          <w:tcPr>
            <w:tcW w:w="3293" w:type="dxa"/>
            <w:shd w:val="clear" w:color="auto" w:fill="auto"/>
            <w:vAlign w:val="center"/>
          </w:tcPr>
          <w:p w14:paraId="0287137A">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4598026.5580</w:t>
            </w:r>
          </w:p>
        </w:tc>
        <w:tc>
          <w:tcPr>
            <w:tcW w:w="3293" w:type="dxa"/>
            <w:shd w:val="clear" w:color="auto" w:fill="auto"/>
            <w:vAlign w:val="center"/>
          </w:tcPr>
          <w:p w14:paraId="7E9F0D4B">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41538746.4190</w:t>
            </w:r>
          </w:p>
        </w:tc>
      </w:tr>
      <w:tr w14:paraId="282E7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6" w:type="dxa"/>
            <w:shd w:val="clear" w:color="auto" w:fill="auto"/>
            <w:vAlign w:val="center"/>
          </w:tcPr>
          <w:p w14:paraId="314BC1B3">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6</w:t>
            </w:r>
          </w:p>
        </w:tc>
        <w:tc>
          <w:tcPr>
            <w:tcW w:w="3293" w:type="dxa"/>
            <w:shd w:val="clear" w:color="auto" w:fill="auto"/>
            <w:vAlign w:val="center"/>
          </w:tcPr>
          <w:p w14:paraId="0C0FEC19">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4598027.1820</w:t>
            </w:r>
          </w:p>
        </w:tc>
        <w:tc>
          <w:tcPr>
            <w:tcW w:w="3293" w:type="dxa"/>
            <w:shd w:val="clear" w:color="auto" w:fill="auto"/>
            <w:vAlign w:val="center"/>
          </w:tcPr>
          <w:p w14:paraId="16449932">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41538862.3570</w:t>
            </w:r>
          </w:p>
        </w:tc>
      </w:tr>
      <w:tr w14:paraId="2C0D2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6" w:type="dxa"/>
            <w:shd w:val="clear" w:color="auto" w:fill="auto"/>
            <w:vAlign w:val="center"/>
          </w:tcPr>
          <w:p w14:paraId="6A14B4F0">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7</w:t>
            </w:r>
          </w:p>
        </w:tc>
        <w:tc>
          <w:tcPr>
            <w:tcW w:w="3293" w:type="dxa"/>
            <w:shd w:val="clear" w:color="auto" w:fill="auto"/>
            <w:vAlign w:val="center"/>
          </w:tcPr>
          <w:p w14:paraId="4324949D">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4597596.0160</w:t>
            </w:r>
          </w:p>
        </w:tc>
        <w:tc>
          <w:tcPr>
            <w:tcW w:w="3293" w:type="dxa"/>
            <w:shd w:val="clear" w:color="auto" w:fill="auto"/>
            <w:vAlign w:val="center"/>
          </w:tcPr>
          <w:p w14:paraId="46C2B447">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41539003.8170</w:t>
            </w:r>
          </w:p>
        </w:tc>
      </w:tr>
      <w:tr w14:paraId="29C4B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6" w:type="dxa"/>
            <w:shd w:val="clear" w:color="auto" w:fill="auto"/>
            <w:vAlign w:val="center"/>
          </w:tcPr>
          <w:p w14:paraId="620AF1B2">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8</w:t>
            </w:r>
          </w:p>
        </w:tc>
        <w:tc>
          <w:tcPr>
            <w:tcW w:w="3293" w:type="dxa"/>
            <w:shd w:val="clear" w:color="auto" w:fill="auto"/>
            <w:vAlign w:val="center"/>
          </w:tcPr>
          <w:p w14:paraId="2E6BAD95">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4596891.6400</w:t>
            </w:r>
          </w:p>
        </w:tc>
        <w:tc>
          <w:tcPr>
            <w:tcW w:w="3293" w:type="dxa"/>
            <w:shd w:val="clear" w:color="auto" w:fill="auto"/>
            <w:vAlign w:val="center"/>
          </w:tcPr>
          <w:p w14:paraId="2BB746B1">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41539958.4950</w:t>
            </w:r>
          </w:p>
        </w:tc>
      </w:tr>
      <w:tr w14:paraId="55CB21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6" w:type="dxa"/>
            <w:shd w:val="clear" w:color="auto" w:fill="auto"/>
            <w:vAlign w:val="center"/>
          </w:tcPr>
          <w:p w14:paraId="76109DCA">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9</w:t>
            </w:r>
          </w:p>
        </w:tc>
        <w:tc>
          <w:tcPr>
            <w:tcW w:w="3293" w:type="dxa"/>
            <w:shd w:val="clear" w:color="auto" w:fill="auto"/>
            <w:vAlign w:val="center"/>
          </w:tcPr>
          <w:p w14:paraId="26DA096A">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4596767.4660</w:t>
            </w:r>
          </w:p>
        </w:tc>
        <w:tc>
          <w:tcPr>
            <w:tcW w:w="3293" w:type="dxa"/>
            <w:shd w:val="clear" w:color="auto" w:fill="auto"/>
            <w:vAlign w:val="center"/>
          </w:tcPr>
          <w:p w14:paraId="369625A6">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41539820.0280</w:t>
            </w:r>
          </w:p>
        </w:tc>
      </w:tr>
      <w:tr w14:paraId="29B56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6" w:type="dxa"/>
            <w:shd w:val="clear" w:color="auto" w:fill="auto"/>
            <w:vAlign w:val="center"/>
          </w:tcPr>
          <w:p w14:paraId="67F7792B">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10</w:t>
            </w:r>
          </w:p>
        </w:tc>
        <w:tc>
          <w:tcPr>
            <w:tcW w:w="3293" w:type="dxa"/>
            <w:shd w:val="clear" w:color="auto" w:fill="auto"/>
            <w:vAlign w:val="center"/>
          </w:tcPr>
          <w:p w14:paraId="5B690909">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4596952.5730</w:t>
            </w:r>
          </w:p>
        </w:tc>
        <w:tc>
          <w:tcPr>
            <w:tcW w:w="3293" w:type="dxa"/>
            <w:shd w:val="clear" w:color="auto" w:fill="auto"/>
            <w:vAlign w:val="center"/>
          </w:tcPr>
          <w:p w14:paraId="1624005A">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41539819.0070</w:t>
            </w:r>
          </w:p>
        </w:tc>
      </w:tr>
      <w:tr w14:paraId="180C3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6" w:type="dxa"/>
            <w:shd w:val="clear" w:color="auto" w:fill="auto"/>
            <w:vAlign w:val="center"/>
          </w:tcPr>
          <w:p w14:paraId="686FE191">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11</w:t>
            </w:r>
          </w:p>
        </w:tc>
        <w:tc>
          <w:tcPr>
            <w:tcW w:w="3293" w:type="dxa"/>
            <w:shd w:val="clear" w:color="auto" w:fill="auto"/>
            <w:vAlign w:val="center"/>
          </w:tcPr>
          <w:p w14:paraId="0CB0FB11">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4596950.6620</w:t>
            </w:r>
          </w:p>
        </w:tc>
        <w:tc>
          <w:tcPr>
            <w:tcW w:w="3293" w:type="dxa"/>
            <w:shd w:val="clear" w:color="auto" w:fill="auto"/>
            <w:vAlign w:val="center"/>
          </w:tcPr>
          <w:p w14:paraId="714BCC3B">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41539471.1410</w:t>
            </w:r>
          </w:p>
        </w:tc>
      </w:tr>
      <w:tr w14:paraId="35FB2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6" w:type="dxa"/>
            <w:shd w:val="clear" w:color="auto" w:fill="auto"/>
            <w:vAlign w:val="center"/>
          </w:tcPr>
          <w:p w14:paraId="13120886">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12</w:t>
            </w:r>
          </w:p>
        </w:tc>
        <w:tc>
          <w:tcPr>
            <w:tcW w:w="3293" w:type="dxa"/>
            <w:shd w:val="clear" w:color="auto" w:fill="auto"/>
            <w:vAlign w:val="center"/>
          </w:tcPr>
          <w:p w14:paraId="0C648190">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4596611.3000</w:t>
            </w:r>
          </w:p>
        </w:tc>
        <w:tc>
          <w:tcPr>
            <w:tcW w:w="3293" w:type="dxa"/>
            <w:shd w:val="clear" w:color="auto" w:fill="auto"/>
            <w:vAlign w:val="center"/>
          </w:tcPr>
          <w:p w14:paraId="6E0A5808">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41539472.9960</w:t>
            </w:r>
          </w:p>
        </w:tc>
      </w:tr>
      <w:tr w14:paraId="1E316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6" w:type="dxa"/>
            <w:shd w:val="clear" w:color="auto" w:fill="auto"/>
            <w:vAlign w:val="center"/>
          </w:tcPr>
          <w:p w14:paraId="69849C38">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13</w:t>
            </w:r>
          </w:p>
        </w:tc>
        <w:tc>
          <w:tcPr>
            <w:tcW w:w="3293" w:type="dxa"/>
            <w:shd w:val="clear" w:color="auto" w:fill="auto"/>
            <w:vAlign w:val="center"/>
          </w:tcPr>
          <w:p w14:paraId="25BF30D1">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4596612.5720</w:t>
            </w:r>
          </w:p>
        </w:tc>
        <w:tc>
          <w:tcPr>
            <w:tcW w:w="3293" w:type="dxa"/>
            <w:shd w:val="clear" w:color="auto" w:fill="auto"/>
            <w:vAlign w:val="center"/>
          </w:tcPr>
          <w:p w14:paraId="1E709B63">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41539704.9180</w:t>
            </w:r>
          </w:p>
        </w:tc>
      </w:tr>
      <w:tr w14:paraId="64F6C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6" w:type="dxa"/>
            <w:shd w:val="clear" w:color="auto" w:fill="auto"/>
            <w:vAlign w:val="center"/>
          </w:tcPr>
          <w:p w14:paraId="5E557D4D">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14</w:t>
            </w:r>
          </w:p>
        </w:tc>
        <w:tc>
          <w:tcPr>
            <w:tcW w:w="3293" w:type="dxa"/>
            <w:shd w:val="clear" w:color="auto" w:fill="auto"/>
            <w:vAlign w:val="center"/>
          </w:tcPr>
          <w:p w14:paraId="592CE71E">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4596209.7280</w:t>
            </w:r>
          </w:p>
        </w:tc>
        <w:tc>
          <w:tcPr>
            <w:tcW w:w="3293" w:type="dxa"/>
            <w:shd w:val="clear" w:color="auto" w:fill="auto"/>
            <w:vAlign w:val="center"/>
          </w:tcPr>
          <w:p w14:paraId="1F99A92D">
            <w:pPr>
              <w:pStyle w:val="30"/>
              <w:widowControl w:val="0"/>
              <w:bidi w:val="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41539382.4160</w:t>
            </w:r>
          </w:p>
        </w:tc>
      </w:tr>
      <w:tr w14:paraId="5A9CA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3"/>
            <w:vAlign w:val="center"/>
          </w:tcPr>
          <w:p w14:paraId="7C1B6C43">
            <w:pPr>
              <w:pStyle w:val="30"/>
              <w:widowControl w:val="0"/>
              <w:bidi w:val="0"/>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矿区面积：0.8135km²</w:t>
            </w:r>
          </w:p>
        </w:tc>
      </w:tr>
      <w:tr w14:paraId="3852E5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3"/>
            <w:vAlign w:val="center"/>
          </w:tcPr>
          <w:p w14:paraId="493FA1D1">
            <w:pPr>
              <w:pStyle w:val="30"/>
              <w:widowControl w:val="0"/>
              <w:bidi w:val="0"/>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开采深度：由103m至-455m标高</w:t>
            </w:r>
          </w:p>
        </w:tc>
      </w:tr>
    </w:tbl>
    <w:p w14:paraId="791A1BEE">
      <w:pPr>
        <w:pStyle w:val="28"/>
        <w:bidi w:val="0"/>
      </w:pPr>
      <w:bookmarkStart w:id="2" w:name="_Toc27859"/>
      <w:bookmarkStart w:id="3" w:name="_Toc23023"/>
      <w:r>
        <w:rPr>
          <w:rFonts w:hint="eastAsia"/>
        </w:rPr>
        <w:t>评价依据</w:t>
      </w:r>
      <w:bookmarkEnd w:id="2"/>
      <w:bookmarkEnd w:id="3"/>
    </w:p>
    <w:p w14:paraId="6275A839">
      <w:pPr>
        <w:pStyle w:val="29"/>
      </w:pPr>
      <w:r>
        <w:rPr>
          <w:rFonts w:hint="eastAsia"/>
          <w:lang w:val="en-US" w:eastAsia="zh-CN"/>
        </w:rPr>
        <w:t>法律法规</w:t>
      </w:r>
    </w:p>
    <w:p w14:paraId="3B2D8EEE">
      <w:pPr>
        <w:pStyle w:val="21"/>
        <w:numPr>
          <w:ilvl w:val="0"/>
          <w:numId w:val="3"/>
        </w:numPr>
        <w:bidi w:val="0"/>
        <w:rPr>
          <w:rFonts w:hint="eastAsia"/>
        </w:rPr>
      </w:pPr>
      <w:r>
        <w:rPr>
          <w:rFonts w:hint="eastAsia"/>
        </w:rPr>
        <w:t>《中华人民共和国安全生产法》（中华人民共和国主席令第十三号，2014年08月31日发布，中华人民共和国第十三届全国人民代表大会常务委员会第二十九次会议修改通过，自2021年9月1日起施行）。</w:t>
      </w:r>
    </w:p>
    <w:p w14:paraId="0548CD51">
      <w:pPr>
        <w:pStyle w:val="21"/>
        <w:numPr>
          <w:ilvl w:val="0"/>
          <w:numId w:val="3"/>
        </w:numPr>
        <w:bidi w:val="0"/>
        <w:rPr>
          <w:rFonts w:hint="eastAsia"/>
        </w:rPr>
      </w:pPr>
      <w:r>
        <w:rPr>
          <w:rFonts w:hint="eastAsia"/>
        </w:rPr>
        <w:t>《中华人民共和国矿山安全法》（中华人民共和国主席令第六十五号，2009年中华人民共和国第十八号令修订，2009年08月27日施行）。</w:t>
      </w:r>
    </w:p>
    <w:p w14:paraId="4F0DBF5B">
      <w:pPr>
        <w:pStyle w:val="21"/>
        <w:numPr>
          <w:ilvl w:val="0"/>
          <w:numId w:val="3"/>
        </w:numPr>
        <w:bidi w:val="0"/>
        <w:rPr>
          <w:rFonts w:hint="eastAsia"/>
        </w:rPr>
      </w:pPr>
      <w:r>
        <w:rPr>
          <w:rFonts w:hint="eastAsia"/>
        </w:rPr>
        <w:t>《中华人民共和国劳动法》（中华人民共和国主席令第二十八号，1995年1月1日实施，2018年12月29日修正）。</w:t>
      </w:r>
    </w:p>
    <w:p w14:paraId="0FD5A989">
      <w:pPr>
        <w:pStyle w:val="21"/>
        <w:numPr>
          <w:ilvl w:val="0"/>
          <w:numId w:val="3"/>
        </w:numPr>
        <w:bidi w:val="0"/>
        <w:rPr>
          <w:rFonts w:hint="eastAsia"/>
        </w:rPr>
      </w:pPr>
      <w:r>
        <w:rPr>
          <w:rFonts w:hint="eastAsia"/>
        </w:rPr>
        <w:t>《中华人民共和国矿产资源法》（中华人民共和国主席令第</w:t>
      </w:r>
      <w:r>
        <w:rPr>
          <w:rFonts w:hint="eastAsia"/>
          <w:lang w:val="en-US" w:eastAsia="zh-CN"/>
        </w:rPr>
        <w:t>三十六</w:t>
      </w:r>
      <w:r>
        <w:rPr>
          <w:rFonts w:hint="eastAsia"/>
        </w:rPr>
        <w:t>号，2009年第十一届全国人民代表大会常务委员会第十次会议修订，</w:t>
      </w:r>
      <w:r>
        <w:rPr>
          <w:rFonts w:hint="eastAsia"/>
          <w:lang w:val="en-US" w:eastAsia="zh-CN"/>
        </w:rPr>
        <w:t>2024年2024年11月8日第十四届全国人民代表大会常务委员会第十二次会议修订，2025年7月1日起施行</w:t>
      </w:r>
      <w:r>
        <w:rPr>
          <w:rFonts w:hint="eastAsia"/>
        </w:rPr>
        <w:t>）。</w:t>
      </w:r>
    </w:p>
    <w:p w14:paraId="0829B817">
      <w:pPr>
        <w:pStyle w:val="21"/>
        <w:numPr>
          <w:ilvl w:val="0"/>
          <w:numId w:val="3"/>
        </w:numPr>
        <w:bidi w:val="0"/>
        <w:rPr>
          <w:rFonts w:hint="eastAsia"/>
        </w:rPr>
      </w:pPr>
      <w:r>
        <w:rPr>
          <w:rFonts w:hint="eastAsia"/>
        </w:rPr>
        <w:t>《中华人民共和国特种设备安全法》（</w:t>
      </w:r>
      <w:r>
        <w:rPr>
          <w:rFonts w:hint="eastAsia"/>
        </w:rPr>
        <w:fldChar w:fldCharType="begin"/>
      </w:r>
      <w:r>
        <w:rPr>
          <w:rFonts w:hint="eastAsia"/>
        </w:rPr>
        <w:instrText xml:space="preserve"> HYPERLINK "http://baike.baidu.com/view/1807953.htm" \t "_blank" </w:instrText>
      </w:r>
      <w:r>
        <w:rPr>
          <w:rFonts w:hint="eastAsia"/>
        </w:rPr>
        <w:fldChar w:fldCharType="separate"/>
      </w:r>
      <w:r>
        <w:rPr>
          <w:rFonts w:hint="eastAsia"/>
        </w:rPr>
        <w:t>中华人民共和国主席令</w:t>
      </w:r>
      <w:r>
        <w:rPr>
          <w:rFonts w:hint="eastAsia"/>
        </w:rPr>
        <w:fldChar w:fldCharType="end"/>
      </w:r>
      <w:r>
        <w:rPr>
          <w:rFonts w:hint="eastAsia"/>
        </w:rPr>
        <w:t>第4号公布，2014年01月01日施行）。</w:t>
      </w:r>
    </w:p>
    <w:p w14:paraId="02683758">
      <w:pPr>
        <w:pStyle w:val="21"/>
        <w:numPr>
          <w:ilvl w:val="0"/>
          <w:numId w:val="3"/>
        </w:numPr>
        <w:bidi w:val="0"/>
        <w:rPr>
          <w:rFonts w:hint="eastAsia"/>
        </w:rPr>
      </w:pPr>
      <w:r>
        <w:rPr>
          <w:rFonts w:hint="eastAsia"/>
        </w:rPr>
        <w:t>《中华人民共和国气象法》（中华人民共和国主席令第二十三号，2014年中华人民共和国主席令第十四号修订，2014年08月31日施行）。</w:t>
      </w:r>
    </w:p>
    <w:p w14:paraId="20BFBF4C">
      <w:pPr>
        <w:pStyle w:val="21"/>
        <w:numPr>
          <w:ilvl w:val="0"/>
          <w:numId w:val="3"/>
        </w:numPr>
        <w:bidi w:val="0"/>
        <w:rPr>
          <w:rFonts w:hint="eastAsia"/>
        </w:rPr>
      </w:pPr>
      <w:r>
        <w:rPr>
          <w:rFonts w:hint="eastAsia"/>
        </w:rPr>
        <w:t>《中华人民共和国突发事件应对法》（中华人民共和国主席令第</w:t>
      </w:r>
      <w:r>
        <w:rPr>
          <w:rFonts w:hint="eastAsia"/>
          <w:lang w:val="en-US" w:eastAsia="zh-CN"/>
        </w:rPr>
        <w:t>二十五</w:t>
      </w:r>
      <w:r>
        <w:rPr>
          <w:rFonts w:hint="eastAsia"/>
        </w:rPr>
        <w:t>号，自2024年11月1日起施行）。</w:t>
      </w:r>
    </w:p>
    <w:p w14:paraId="61958EAB">
      <w:pPr>
        <w:pStyle w:val="21"/>
        <w:numPr>
          <w:ilvl w:val="0"/>
          <w:numId w:val="3"/>
        </w:numPr>
        <w:bidi w:val="0"/>
        <w:rPr>
          <w:rFonts w:hint="eastAsia"/>
        </w:rPr>
      </w:pPr>
      <w:r>
        <w:rPr>
          <w:rFonts w:hint="eastAsia"/>
        </w:rPr>
        <w:t>《中华人民共和国消防法（2008年修订）》（中华人民共和国主席令第六号，2008年10月28日发布，2021年4月29日第十三届全国人民代表大会常务委员会第二十八次会议修改）。</w:t>
      </w:r>
    </w:p>
    <w:p w14:paraId="1346154D">
      <w:pPr>
        <w:pStyle w:val="21"/>
        <w:numPr>
          <w:ilvl w:val="0"/>
          <w:numId w:val="3"/>
        </w:numPr>
        <w:bidi w:val="0"/>
        <w:rPr>
          <w:rFonts w:hint="eastAsia"/>
        </w:rPr>
      </w:pPr>
      <w:r>
        <w:rPr>
          <w:rFonts w:hint="eastAsia"/>
        </w:rPr>
        <w:t>《地质灾害防治条例》（中华人民共和国国务院令第394号，2004年03月01日施行）。</w:t>
      </w:r>
    </w:p>
    <w:p w14:paraId="69259ED4">
      <w:pPr>
        <w:pStyle w:val="21"/>
        <w:numPr>
          <w:ilvl w:val="0"/>
          <w:numId w:val="3"/>
        </w:numPr>
        <w:bidi w:val="0"/>
        <w:rPr>
          <w:rFonts w:hint="eastAsia"/>
        </w:rPr>
      </w:pPr>
      <w:r>
        <w:rPr>
          <w:rFonts w:hint="eastAsia"/>
        </w:rPr>
        <w:t>《国务院关于修改〈特种设备安全监察条例〉的决定》（中华人民共和国国务院令第549号，2009年05月01日施行）。</w:t>
      </w:r>
    </w:p>
    <w:p w14:paraId="6F5B1E16">
      <w:pPr>
        <w:pStyle w:val="21"/>
        <w:numPr>
          <w:ilvl w:val="0"/>
          <w:numId w:val="3"/>
        </w:numPr>
        <w:bidi w:val="0"/>
        <w:rPr>
          <w:rFonts w:hint="eastAsia"/>
        </w:rPr>
      </w:pPr>
      <w:r>
        <w:rPr>
          <w:rFonts w:hint="eastAsia"/>
        </w:rPr>
        <w:t>《民用爆炸物品安全管理条例》（中华人民共和国国务院令第466号，2006年05月10日发布，2014年国务院令第653号修订，2014年07月29日施行）。</w:t>
      </w:r>
    </w:p>
    <w:p w14:paraId="078B4DCB">
      <w:pPr>
        <w:pStyle w:val="21"/>
        <w:numPr>
          <w:ilvl w:val="0"/>
          <w:numId w:val="3"/>
        </w:numPr>
        <w:bidi w:val="0"/>
        <w:rPr>
          <w:rFonts w:hint="eastAsia"/>
        </w:rPr>
      </w:pPr>
      <w:r>
        <w:rPr>
          <w:rFonts w:hint="eastAsia"/>
        </w:rPr>
        <w:t>《非煤矿矿山企业安全生产许可证实施办法（2009年修订）》（2009年6月8日国家安全监管总局令第20号公布，根据2015年5月26日国家安全监管总局令第78号修正）。</w:t>
      </w:r>
    </w:p>
    <w:p w14:paraId="2A6D06FE">
      <w:pPr>
        <w:pStyle w:val="21"/>
        <w:numPr>
          <w:ilvl w:val="0"/>
          <w:numId w:val="3"/>
        </w:numPr>
        <w:bidi w:val="0"/>
        <w:rPr>
          <w:rFonts w:hint="eastAsia"/>
        </w:rPr>
      </w:pPr>
      <w:r>
        <w:rPr>
          <w:rFonts w:hint="eastAsia"/>
        </w:rPr>
        <w:t>《生产安全事故应急预案管理办法》（国家安全生产监督管理总局令第88号，应急部令第2号修订，2019年09月01日施行）。</w:t>
      </w:r>
    </w:p>
    <w:p w14:paraId="5B98ECFE">
      <w:pPr>
        <w:pStyle w:val="21"/>
        <w:numPr>
          <w:ilvl w:val="0"/>
          <w:numId w:val="3"/>
        </w:numPr>
        <w:bidi w:val="0"/>
        <w:rPr>
          <w:rFonts w:hint="eastAsia"/>
        </w:rPr>
      </w:pPr>
      <w:r>
        <w:rPr>
          <w:rFonts w:hint="eastAsia"/>
        </w:rPr>
        <w:t>《矿山地质环境保护规定》（中华人民共和国国土资源部令第44号，2015年05月06日国土资源部第2次部务会议修</w:t>
      </w:r>
      <w:r>
        <w:rPr>
          <w:rFonts w:hint="eastAsia"/>
          <w:lang w:val="en-US" w:eastAsia="zh-CN"/>
        </w:rPr>
        <w:t>正</w:t>
      </w:r>
      <w:r>
        <w:rPr>
          <w:rFonts w:hint="eastAsia"/>
        </w:rPr>
        <w:t>，2016年1月5日国土资源部第1次部务会议</w:t>
      </w:r>
      <w:r>
        <w:rPr>
          <w:rFonts w:hint="eastAsia"/>
          <w:lang w:val="en-US" w:eastAsia="zh-CN"/>
        </w:rPr>
        <w:t>修正，2019年7月16日自然资源部第2次部务会议修正，</w:t>
      </w:r>
      <w:r>
        <w:rPr>
          <w:rFonts w:hint="eastAsia"/>
        </w:rPr>
        <w:t>规定自2009年5月1日起施行）。</w:t>
      </w:r>
    </w:p>
    <w:p w14:paraId="07FA487F">
      <w:pPr>
        <w:pStyle w:val="21"/>
        <w:numPr>
          <w:ilvl w:val="0"/>
          <w:numId w:val="3"/>
        </w:numPr>
        <w:bidi w:val="0"/>
        <w:rPr>
          <w:rFonts w:hint="eastAsia"/>
        </w:rPr>
      </w:pPr>
      <w:r>
        <w:rPr>
          <w:rFonts w:hint="eastAsia"/>
        </w:rPr>
        <w:t>《建设项目安全设施“三同时”监督管理暂行办法》（国家安全生产监督管理总局令第36号，国家安全生产监督总局77号令修订，2015年05月01日实施）。</w:t>
      </w:r>
    </w:p>
    <w:p w14:paraId="272455C3">
      <w:pPr>
        <w:pStyle w:val="21"/>
        <w:numPr>
          <w:ilvl w:val="0"/>
          <w:numId w:val="3"/>
        </w:numPr>
        <w:bidi w:val="0"/>
        <w:rPr>
          <w:rFonts w:hint="eastAsia"/>
        </w:rPr>
      </w:pPr>
      <w:r>
        <w:rPr>
          <w:rFonts w:hint="eastAsia"/>
        </w:rPr>
        <w:t>《金属非金属矿山建设项目安全设施目录（试行）》（国家安全生产监督管理总局令第75号，2015年07月01日施行）。</w:t>
      </w:r>
    </w:p>
    <w:p w14:paraId="5EB5E92C">
      <w:pPr>
        <w:pStyle w:val="21"/>
        <w:numPr>
          <w:ilvl w:val="0"/>
          <w:numId w:val="3"/>
        </w:numPr>
        <w:bidi w:val="0"/>
        <w:rPr>
          <w:rFonts w:hint="eastAsia"/>
        </w:rPr>
      </w:pPr>
      <w:r>
        <w:rPr>
          <w:rFonts w:hint="eastAsia"/>
        </w:rPr>
        <w:t>《国务院关于进一步加强企业安全生产工作的通知》（国发〔2010〕23号，2010年07月19日发布）。</w:t>
      </w:r>
    </w:p>
    <w:p w14:paraId="667B6E64">
      <w:pPr>
        <w:pStyle w:val="21"/>
        <w:numPr>
          <w:ilvl w:val="0"/>
          <w:numId w:val="3"/>
        </w:numPr>
        <w:bidi w:val="0"/>
        <w:rPr>
          <w:rFonts w:hint="eastAsia"/>
        </w:rPr>
      </w:pPr>
      <w:r>
        <w:rPr>
          <w:rFonts w:hint="eastAsia"/>
        </w:rPr>
        <w:t>关于金属非金属矿山禁止使用的设备及工艺目录（第一批）的通知》（安监总管一〔2013〕101号，2013年09月06日施行）。</w:t>
      </w:r>
    </w:p>
    <w:p w14:paraId="3A7BD55D">
      <w:pPr>
        <w:pStyle w:val="21"/>
        <w:numPr>
          <w:ilvl w:val="0"/>
          <w:numId w:val="3"/>
        </w:numPr>
        <w:bidi w:val="0"/>
        <w:rPr>
          <w:rFonts w:hint="eastAsia"/>
        </w:rPr>
      </w:pPr>
      <w:r>
        <w:rPr>
          <w:rFonts w:hint="eastAsia"/>
        </w:rPr>
        <w:t>《国家安全监管总局关于发布金属非金属矿山禁止使用的设备及工艺目录（第二批）的通知》（安监总管一〔2015〕13号，2015年02月13日施行）。</w:t>
      </w:r>
    </w:p>
    <w:p w14:paraId="32648885">
      <w:pPr>
        <w:pStyle w:val="21"/>
        <w:numPr>
          <w:ilvl w:val="0"/>
          <w:numId w:val="3"/>
        </w:numPr>
        <w:bidi w:val="0"/>
        <w:rPr>
          <w:rFonts w:hint="eastAsia"/>
        </w:rPr>
      </w:pPr>
      <w:r>
        <w:rPr>
          <w:rFonts w:hint="eastAsia"/>
        </w:rPr>
        <w:t>《国家安全监管总局关于印发&lt;金属非金属矿山重大事故隐患判定标准&gt;的通知》（矿安〔2022〕88号，2022年7月8日施行）</w:t>
      </w:r>
    </w:p>
    <w:p w14:paraId="55233DC3">
      <w:pPr>
        <w:pStyle w:val="21"/>
        <w:numPr>
          <w:ilvl w:val="0"/>
          <w:numId w:val="3"/>
        </w:numPr>
        <w:bidi w:val="0"/>
        <w:rPr>
          <w:rFonts w:hint="eastAsia"/>
        </w:rPr>
      </w:pPr>
      <w:r>
        <w:rPr>
          <w:rFonts w:hint="eastAsia"/>
        </w:rPr>
        <w:t>《国家矿山安全监察局关于印发＜金属非金属矿山重大事故隐患判定标准补充情形＞的通知》（矿安〔2024〕41号）</w:t>
      </w:r>
      <w:r>
        <w:rPr>
          <w:rFonts w:hint="eastAsia"/>
          <w:lang w:eastAsia="zh-CN"/>
        </w:rPr>
        <w:t>。</w:t>
      </w:r>
    </w:p>
    <w:p w14:paraId="1300EB24">
      <w:pPr>
        <w:pStyle w:val="21"/>
        <w:numPr>
          <w:ilvl w:val="0"/>
          <w:numId w:val="3"/>
        </w:numPr>
        <w:bidi w:val="0"/>
        <w:rPr>
          <w:rFonts w:hint="eastAsia"/>
        </w:rPr>
      </w:pPr>
      <w:r>
        <w:rPr>
          <w:rFonts w:hint="eastAsia"/>
        </w:rPr>
        <w:t>《国家安全监管总局关于印发金属非金属矿山建设项目安全评价报告编写提纲的通知》（安监总管一〔2016〕49号，2016年05月30日发布施行）。</w:t>
      </w:r>
    </w:p>
    <w:p w14:paraId="08E924D2">
      <w:pPr>
        <w:pStyle w:val="21"/>
        <w:numPr>
          <w:ilvl w:val="0"/>
          <w:numId w:val="3"/>
        </w:numPr>
        <w:bidi w:val="0"/>
        <w:rPr>
          <w:rFonts w:hint="eastAsia"/>
        </w:rPr>
      </w:pPr>
      <w:r>
        <w:rPr>
          <w:rFonts w:hint="eastAsia"/>
        </w:rPr>
        <w:t>《关于印发&lt;企业安全生产费用提取和使用管理办法&gt;的通知》（财资〔2022〕136号，2022年11月21日发布）。</w:t>
      </w:r>
    </w:p>
    <w:p w14:paraId="47791605">
      <w:pPr>
        <w:pStyle w:val="21"/>
        <w:numPr>
          <w:ilvl w:val="0"/>
          <w:numId w:val="3"/>
        </w:numPr>
        <w:bidi w:val="0"/>
        <w:rPr>
          <w:rFonts w:hint="eastAsia"/>
        </w:rPr>
      </w:pPr>
      <w:r>
        <w:rPr>
          <w:rFonts w:hint="eastAsia"/>
        </w:rPr>
        <w:t>《国家矿山安全监察局关于印发&lt;关于加强非煤矿山安全生产工作的指导意见&gt;的通知》（矿安〔2022〕4号，2022年2月8日发布）。</w:t>
      </w:r>
    </w:p>
    <w:p w14:paraId="39BE5B58">
      <w:pPr>
        <w:pStyle w:val="21"/>
        <w:numPr>
          <w:ilvl w:val="0"/>
          <w:numId w:val="3"/>
        </w:numPr>
        <w:bidi w:val="0"/>
        <w:rPr>
          <w:rFonts w:hint="eastAsia"/>
        </w:rPr>
      </w:pPr>
      <w:r>
        <w:rPr>
          <w:rFonts w:hint="eastAsia"/>
        </w:rPr>
        <w:t>《国家矿山安全监察局关于进一步加强非煤矿山安全生产行政许可工作的通知》（矿安〔2024〕70号）</w:t>
      </w:r>
      <w:r>
        <w:rPr>
          <w:rFonts w:hint="eastAsia"/>
          <w:lang w:eastAsia="zh-CN"/>
        </w:rPr>
        <w:t>。</w:t>
      </w:r>
    </w:p>
    <w:p w14:paraId="47C56548">
      <w:pPr>
        <w:pStyle w:val="21"/>
        <w:numPr>
          <w:ilvl w:val="0"/>
          <w:numId w:val="3"/>
        </w:numPr>
        <w:bidi w:val="0"/>
        <w:rPr>
          <w:rFonts w:hint="eastAsia"/>
        </w:rPr>
      </w:pPr>
      <w:r>
        <w:rPr>
          <w:rFonts w:hint="eastAsia"/>
        </w:rPr>
        <w:t>《关于防范遏制矿山领域重特大生产安全事故的硬措施》的通知（安委〔2024〕1号）</w:t>
      </w:r>
      <w:r>
        <w:rPr>
          <w:rFonts w:hint="eastAsia"/>
          <w:lang w:eastAsia="zh-CN"/>
        </w:rPr>
        <w:t>。</w:t>
      </w:r>
    </w:p>
    <w:p w14:paraId="6181BDEA">
      <w:pPr>
        <w:pStyle w:val="21"/>
        <w:numPr>
          <w:ilvl w:val="0"/>
          <w:numId w:val="3"/>
        </w:numPr>
        <w:bidi w:val="0"/>
        <w:rPr>
          <w:rFonts w:hint="eastAsia"/>
        </w:rPr>
      </w:pPr>
      <w:r>
        <w:rPr>
          <w:rFonts w:hint="eastAsia"/>
        </w:rPr>
        <w:t>《辽宁省安全生产条例》（辽宁省第十届人民代表大会常务委员会公告（第61号）20</w:t>
      </w:r>
      <w:r>
        <w:rPr>
          <w:rFonts w:hint="eastAsia"/>
          <w:lang w:val="en-US" w:eastAsia="zh-CN"/>
        </w:rPr>
        <w:t>22</w:t>
      </w:r>
      <w:r>
        <w:rPr>
          <w:rFonts w:hint="eastAsia"/>
        </w:rPr>
        <w:t>年</w:t>
      </w:r>
      <w:r>
        <w:rPr>
          <w:rFonts w:hint="eastAsia"/>
          <w:lang w:val="en-US" w:eastAsia="zh-CN"/>
        </w:rPr>
        <w:t>4</w:t>
      </w:r>
      <w:r>
        <w:rPr>
          <w:rFonts w:hint="eastAsia"/>
        </w:rPr>
        <w:t>月</w:t>
      </w:r>
      <w:r>
        <w:rPr>
          <w:rFonts w:hint="eastAsia"/>
          <w:lang w:val="en-US" w:eastAsia="zh-CN"/>
        </w:rPr>
        <w:t>21</w:t>
      </w:r>
      <w:r>
        <w:rPr>
          <w:rFonts w:hint="eastAsia"/>
        </w:rPr>
        <w:t>日实施）。</w:t>
      </w:r>
    </w:p>
    <w:p w14:paraId="6D37C381">
      <w:pPr>
        <w:pStyle w:val="21"/>
        <w:numPr>
          <w:ilvl w:val="0"/>
          <w:numId w:val="3"/>
        </w:numPr>
        <w:bidi w:val="0"/>
        <w:rPr>
          <w:rFonts w:hint="eastAsia"/>
        </w:rPr>
      </w:pPr>
      <w:r>
        <w:rPr>
          <w:rFonts w:hint="eastAsia"/>
        </w:rPr>
        <w:t>《辽宁省安全生产监督管理局关于进一步规范非煤矿矿山安全生产行政许可管理工作的通知》（辽安监非煤〔2018〕29号，2018年07月19日施行）</w:t>
      </w:r>
    </w:p>
    <w:p w14:paraId="5D2A37C4">
      <w:pPr>
        <w:pStyle w:val="21"/>
        <w:numPr>
          <w:ilvl w:val="0"/>
          <w:numId w:val="3"/>
        </w:numPr>
        <w:bidi w:val="0"/>
        <w:rPr>
          <w:rFonts w:hint="eastAsia"/>
        </w:rPr>
      </w:pPr>
      <w:r>
        <w:rPr>
          <w:rFonts w:hint="eastAsia"/>
        </w:rPr>
        <w:t>《辽宁省安全生产监督管理规定》（辽宁省人民政府令第178号，辽宁省第十二届人民政府第100次常务会议修订，2016年11月19日施行）。</w:t>
      </w:r>
    </w:p>
    <w:p w14:paraId="330CF8F7">
      <w:pPr>
        <w:pStyle w:val="21"/>
        <w:numPr>
          <w:ilvl w:val="0"/>
          <w:numId w:val="3"/>
        </w:numPr>
        <w:bidi w:val="0"/>
        <w:rPr>
          <w:rFonts w:hint="eastAsia"/>
        </w:rPr>
      </w:pPr>
      <w:r>
        <w:rPr>
          <w:rFonts w:hint="eastAsia"/>
        </w:rPr>
        <w:t>《辽宁省民用爆炸物品安全管理办法》（辽宁省人民政府令第294号修订，2015年06月14日施行）。</w:t>
      </w:r>
    </w:p>
    <w:p w14:paraId="00A84DAE">
      <w:pPr>
        <w:pStyle w:val="21"/>
        <w:numPr>
          <w:ilvl w:val="0"/>
          <w:numId w:val="3"/>
        </w:numPr>
        <w:bidi w:val="0"/>
        <w:rPr>
          <w:rFonts w:hint="eastAsia"/>
        </w:rPr>
      </w:pPr>
      <w:r>
        <w:rPr>
          <w:rFonts w:hint="eastAsia"/>
        </w:rPr>
        <w:t>《关于印发辽宁省安全生产监督管理局贯彻落实〈生产安全事故应急预案管理办法〉实施细则的通知》（辽安监应急〔2017〕5号，2017年9月13日施行）。</w:t>
      </w:r>
    </w:p>
    <w:p w14:paraId="6E7CFDCB">
      <w:pPr>
        <w:pStyle w:val="21"/>
        <w:numPr>
          <w:ilvl w:val="0"/>
          <w:numId w:val="3"/>
        </w:numPr>
        <w:bidi w:val="0"/>
        <w:rPr>
          <w:rFonts w:hint="eastAsia"/>
        </w:rPr>
      </w:pPr>
      <w:r>
        <w:rPr>
          <w:rFonts w:hint="eastAsia"/>
        </w:rPr>
        <w:t>《国家矿山安全监察局关于印发执行安全标志管理的矿用产品目录的通知》（矿安〔2022〕123号，2022年12月10日施行）。</w:t>
      </w:r>
    </w:p>
    <w:p w14:paraId="6E447EE8">
      <w:pPr>
        <w:pStyle w:val="29"/>
        <w:bidi w:val="0"/>
        <w:rPr>
          <w:rFonts w:hint="default"/>
          <w:lang w:val="en-US" w:eastAsia="zh-CN"/>
        </w:rPr>
      </w:pPr>
      <w:r>
        <w:rPr>
          <w:rFonts w:hint="eastAsia"/>
          <w:lang w:val="en-US" w:eastAsia="zh-CN"/>
        </w:rPr>
        <w:t>标准规范</w:t>
      </w:r>
    </w:p>
    <w:p w14:paraId="5FA3A8E9">
      <w:pPr>
        <w:pStyle w:val="21"/>
        <w:numPr>
          <w:ilvl w:val="0"/>
          <w:numId w:val="4"/>
        </w:numPr>
        <w:bidi w:val="0"/>
        <w:rPr>
          <w:rFonts w:hint="eastAsia"/>
          <w:lang w:val="sq-AL"/>
        </w:rPr>
      </w:pPr>
      <w:r>
        <w:rPr>
          <w:rFonts w:hint="eastAsia"/>
          <w:lang w:val="sq-AL"/>
        </w:rPr>
        <w:t>《企业职工伤亡事故分类》（GB6441-1986）；</w:t>
      </w:r>
    </w:p>
    <w:p w14:paraId="449F0DC3">
      <w:pPr>
        <w:pStyle w:val="21"/>
        <w:numPr>
          <w:ilvl w:val="0"/>
          <w:numId w:val="4"/>
        </w:numPr>
        <w:bidi w:val="0"/>
        <w:rPr>
          <w:rFonts w:hint="eastAsia"/>
          <w:lang w:val="sq-AL"/>
        </w:rPr>
      </w:pPr>
      <w:r>
        <w:rPr>
          <w:rFonts w:hint="eastAsia"/>
          <w:lang w:val="sq-AL"/>
        </w:rPr>
        <w:t>《厂矿道路设计设计规范》（GBJ22-1987）；</w:t>
      </w:r>
    </w:p>
    <w:p w14:paraId="781AE2F4">
      <w:pPr>
        <w:pStyle w:val="21"/>
        <w:numPr>
          <w:ilvl w:val="0"/>
          <w:numId w:val="4"/>
        </w:numPr>
        <w:bidi w:val="0"/>
        <w:rPr>
          <w:rFonts w:hint="eastAsia"/>
          <w:lang w:val="sq-AL"/>
        </w:rPr>
      </w:pPr>
      <w:bookmarkStart w:id="4" w:name="_Hlk70924391"/>
      <w:r>
        <w:rPr>
          <w:rFonts w:hint="eastAsia"/>
          <w:lang w:val="sq-AL"/>
        </w:rPr>
        <w:t>《破碎设备 安全要求》（GB 18452-2001）；</w:t>
      </w:r>
    </w:p>
    <w:bookmarkEnd w:id="4"/>
    <w:p w14:paraId="5C263374">
      <w:pPr>
        <w:pStyle w:val="21"/>
        <w:numPr>
          <w:ilvl w:val="0"/>
          <w:numId w:val="4"/>
        </w:numPr>
        <w:bidi w:val="0"/>
        <w:rPr>
          <w:rFonts w:hint="eastAsia"/>
          <w:lang w:val="sq-AL"/>
        </w:rPr>
      </w:pPr>
      <w:r>
        <w:rPr>
          <w:rFonts w:hint="eastAsia"/>
          <w:lang w:val="sq-AL"/>
        </w:rPr>
        <w:t>《建筑灭火器配置设计规范》（GB50140-2005）；</w:t>
      </w:r>
    </w:p>
    <w:p w14:paraId="0DAB74FD">
      <w:pPr>
        <w:pStyle w:val="21"/>
        <w:numPr>
          <w:ilvl w:val="0"/>
          <w:numId w:val="4"/>
        </w:numPr>
        <w:bidi w:val="0"/>
        <w:rPr>
          <w:rFonts w:hint="eastAsia"/>
          <w:lang w:val="sq-AL"/>
        </w:rPr>
      </w:pPr>
      <w:bookmarkStart w:id="5" w:name="_Hlk71134624"/>
      <w:r>
        <w:rPr>
          <w:rFonts w:hint="eastAsia"/>
          <w:lang w:val="sq-AL"/>
        </w:rPr>
        <w:t>《</w:t>
      </w:r>
      <w:r>
        <w:rPr>
          <w:rFonts w:hint="eastAsia"/>
          <w:lang w:val="sq-AL"/>
        </w:rPr>
        <w:fldChar w:fldCharType="begin"/>
      </w:r>
      <w:r>
        <w:rPr>
          <w:rFonts w:hint="eastAsia"/>
          <w:lang w:val="sq-AL"/>
        </w:rPr>
        <w:instrText xml:space="preserve"> HYPERLINK "http://www.csres.com/detail/179734.html" \t "_blank" </w:instrText>
      </w:r>
      <w:r>
        <w:rPr>
          <w:rFonts w:hint="eastAsia"/>
          <w:lang w:val="sq-AL"/>
        </w:rPr>
        <w:fldChar w:fldCharType="separate"/>
      </w:r>
      <w:r>
        <w:rPr>
          <w:rFonts w:hint="eastAsia"/>
          <w:lang w:val="sq-AL"/>
        </w:rPr>
        <w:t>金属非金属矿山排土场安全生产规则</w:t>
      </w:r>
      <w:r>
        <w:rPr>
          <w:rFonts w:hint="eastAsia"/>
          <w:lang w:val="sq-AL"/>
        </w:rPr>
        <w:fldChar w:fldCharType="end"/>
      </w:r>
      <w:r>
        <w:rPr>
          <w:rFonts w:hint="eastAsia"/>
          <w:lang w:val="sq-AL"/>
        </w:rPr>
        <w:t>》（AQ2005-2005）；</w:t>
      </w:r>
    </w:p>
    <w:p w14:paraId="4968F937">
      <w:pPr>
        <w:pStyle w:val="21"/>
        <w:numPr>
          <w:ilvl w:val="0"/>
          <w:numId w:val="4"/>
        </w:numPr>
        <w:bidi w:val="0"/>
        <w:rPr>
          <w:rFonts w:hint="eastAsia"/>
          <w:lang w:val="sq-AL"/>
        </w:rPr>
      </w:pPr>
      <w:bookmarkStart w:id="6" w:name="_Hlk70924340"/>
      <w:r>
        <w:rPr>
          <w:rFonts w:hint="eastAsia"/>
          <w:lang w:val="sq-AL"/>
        </w:rPr>
        <w:t>《矿用辅助绞车安全要求 》（GB20180-2006）；</w:t>
      </w:r>
      <w:bookmarkEnd w:id="6"/>
    </w:p>
    <w:p w14:paraId="5CFEBD89">
      <w:pPr>
        <w:pStyle w:val="21"/>
        <w:numPr>
          <w:ilvl w:val="0"/>
          <w:numId w:val="4"/>
        </w:numPr>
        <w:bidi w:val="0"/>
        <w:rPr>
          <w:rFonts w:hint="eastAsia"/>
          <w:lang w:val="sq-AL"/>
        </w:rPr>
      </w:pPr>
      <w:r>
        <w:rPr>
          <w:rFonts w:hint="eastAsia"/>
          <w:lang w:val="sq-AL"/>
        </w:rPr>
        <w:t>《矿用产品安全标志标识》（AQ1043-2007）；</w:t>
      </w:r>
      <w:bookmarkEnd w:id="5"/>
    </w:p>
    <w:p w14:paraId="09440350">
      <w:pPr>
        <w:pStyle w:val="21"/>
        <w:numPr>
          <w:ilvl w:val="0"/>
          <w:numId w:val="4"/>
        </w:numPr>
        <w:bidi w:val="0"/>
        <w:rPr>
          <w:rFonts w:hint="eastAsia"/>
          <w:lang w:val="sq-AL"/>
        </w:rPr>
      </w:pPr>
      <w:r>
        <w:rPr>
          <w:rFonts w:hint="eastAsia"/>
          <w:lang w:val="sq-AL"/>
        </w:rPr>
        <w:t>《工作场所有害因素职业接触限值 物理因素》（GBZ2.2-2007）；</w:t>
      </w:r>
    </w:p>
    <w:p w14:paraId="74D2B3D1">
      <w:pPr>
        <w:pStyle w:val="21"/>
        <w:numPr>
          <w:ilvl w:val="0"/>
          <w:numId w:val="4"/>
        </w:numPr>
        <w:bidi w:val="0"/>
        <w:rPr>
          <w:rFonts w:hint="eastAsia"/>
          <w:lang w:val="sq-AL"/>
        </w:rPr>
      </w:pPr>
      <w:r>
        <w:rPr>
          <w:rFonts w:hint="eastAsia"/>
          <w:lang w:val="sq-AL"/>
        </w:rPr>
        <w:t>《安全评价通则》（AQ8001-2007）；</w:t>
      </w:r>
    </w:p>
    <w:p w14:paraId="70FFEC82">
      <w:pPr>
        <w:pStyle w:val="21"/>
        <w:numPr>
          <w:ilvl w:val="0"/>
          <w:numId w:val="4"/>
        </w:numPr>
        <w:bidi w:val="0"/>
        <w:rPr>
          <w:rFonts w:hint="eastAsia"/>
          <w:lang w:val="sq-AL"/>
        </w:rPr>
      </w:pPr>
      <w:r>
        <w:rPr>
          <w:rFonts w:hint="eastAsia"/>
          <w:lang w:val="sq-AL"/>
        </w:rPr>
        <w:t>《建设灭火器配置验收及检查规范》（GB50444-2008）；</w:t>
      </w:r>
    </w:p>
    <w:p w14:paraId="3FF96A6B">
      <w:pPr>
        <w:pStyle w:val="21"/>
        <w:numPr>
          <w:ilvl w:val="0"/>
          <w:numId w:val="4"/>
        </w:numPr>
        <w:bidi w:val="0"/>
        <w:rPr>
          <w:rFonts w:hint="eastAsia"/>
          <w:lang w:val="sq-AL"/>
        </w:rPr>
      </w:pPr>
      <w:bookmarkStart w:id="7" w:name="_Hlk70924362"/>
      <w:r>
        <w:rPr>
          <w:rFonts w:hint="eastAsia"/>
          <w:lang w:val="sq-AL"/>
        </w:rPr>
        <w:t>《地下矿用无轨轮胎式运矿车 安全要求》（GB21500-2008）；</w:t>
      </w:r>
      <w:bookmarkEnd w:id="7"/>
    </w:p>
    <w:p w14:paraId="3FABA880">
      <w:pPr>
        <w:pStyle w:val="21"/>
        <w:numPr>
          <w:ilvl w:val="0"/>
          <w:numId w:val="4"/>
        </w:numPr>
        <w:bidi w:val="0"/>
        <w:rPr>
          <w:rFonts w:hint="eastAsia"/>
          <w:lang w:val="sq-AL"/>
        </w:rPr>
      </w:pPr>
      <w:r>
        <w:rPr>
          <w:rFonts w:hint="eastAsia"/>
          <w:lang w:val="sq-AL"/>
        </w:rPr>
        <w:t>《安全标志及其使用导则》（GB2894-2008）；</w:t>
      </w:r>
    </w:p>
    <w:p w14:paraId="178B0ABA">
      <w:pPr>
        <w:pStyle w:val="21"/>
        <w:numPr>
          <w:ilvl w:val="0"/>
          <w:numId w:val="4"/>
        </w:numPr>
        <w:bidi w:val="0"/>
        <w:rPr>
          <w:rFonts w:hint="eastAsia"/>
          <w:lang w:val="sq-AL"/>
        </w:rPr>
      </w:pPr>
      <w:r>
        <w:rPr>
          <w:rFonts w:hint="eastAsia"/>
          <w:lang w:val="sq-AL"/>
        </w:rPr>
        <w:t>《矿山安全标志》（GB14161-2008）；</w:t>
      </w:r>
    </w:p>
    <w:p w14:paraId="55CC4302">
      <w:pPr>
        <w:pStyle w:val="21"/>
        <w:numPr>
          <w:ilvl w:val="0"/>
          <w:numId w:val="4"/>
        </w:numPr>
        <w:bidi w:val="0"/>
        <w:rPr>
          <w:rFonts w:hint="eastAsia"/>
          <w:lang w:val="sq-AL"/>
        </w:rPr>
      </w:pPr>
      <w:r>
        <w:rPr>
          <w:rFonts w:hint="eastAsia"/>
          <w:lang w:val="sq-AL"/>
        </w:rPr>
        <w:t>《安全色》（GB2893－2008）；</w:t>
      </w:r>
    </w:p>
    <w:p w14:paraId="2ADA6EE5">
      <w:pPr>
        <w:pStyle w:val="21"/>
        <w:numPr>
          <w:ilvl w:val="0"/>
          <w:numId w:val="4"/>
        </w:numPr>
        <w:bidi w:val="0"/>
        <w:rPr>
          <w:rFonts w:hint="eastAsia"/>
          <w:lang w:val="sq-AL"/>
        </w:rPr>
      </w:pPr>
      <w:r>
        <w:rPr>
          <w:rFonts w:hint="eastAsia"/>
          <w:lang w:val="sq-AL"/>
        </w:rPr>
        <w:t>《用电安全导则》（GB/T13869-</w:t>
      </w:r>
      <w:r>
        <w:rPr>
          <w:rFonts w:hint="eastAsia"/>
          <w:lang w:val="en-US" w:eastAsia="zh-CN"/>
        </w:rPr>
        <w:t>2017</w:t>
      </w:r>
      <w:r>
        <w:rPr>
          <w:rFonts w:hint="eastAsia"/>
          <w:lang w:val="sq-AL"/>
        </w:rPr>
        <w:t>）；</w:t>
      </w:r>
    </w:p>
    <w:p w14:paraId="2B98A052">
      <w:pPr>
        <w:pStyle w:val="21"/>
        <w:numPr>
          <w:ilvl w:val="0"/>
          <w:numId w:val="4"/>
        </w:numPr>
        <w:bidi w:val="0"/>
        <w:rPr>
          <w:rFonts w:hint="eastAsia"/>
          <w:lang w:val="sq-AL"/>
        </w:rPr>
      </w:pPr>
      <w:r>
        <w:rPr>
          <w:rFonts w:hint="eastAsia"/>
          <w:lang w:val="sq-AL"/>
        </w:rPr>
        <w:t>《金属非金属地下矿山通风安全技术规范》（AQ2013-2008）；</w:t>
      </w:r>
    </w:p>
    <w:p w14:paraId="029B1B93">
      <w:pPr>
        <w:pStyle w:val="21"/>
        <w:numPr>
          <w:ilvl w:val="0"/>
          <w:numId w:val="4"/>
        </w:numPr>
        <w:bidi w:val="0"/>
        <w:rPr>
          <w:rFonts w:hint="eastAsia"/>
          <w:lang w:val="sq-AL"/>
        </w:rPr>
      </w:pPr>
      <w:r>
        <w:rPr>
          <w:rFonts w:hint="eastAsia"/>
          <w:lang w:val="sq-AL"/>
        </w:rPr>
        <w:t>《工业企业厂界环境噪声排放标准》（GB12348-2008）；</w:t>
      </w:r>
    </w:p>
    <w:p w14:paraId="20FA6219">
      <w:pPr>
        <w:pStyle w:val="21"/>
        <w:numPr>
          <w:ilvl w:val="0"/>
          <w:numId w:val="4"/>
        </w:numPr>
        <w:bidi w:val="0"/>
        <w:rPr>
          <w:rFonts w:hint="eastAsia"/>
          <w:lang w:val="sq-AL"/>
        </w:rPr>
      </w:pPr>
      <w:r>
        <w:rPr>
          <w:rFonts w:hint="eastAsia"/>
          <w:lang w:val="sq-AL"/>
        </w:rPr>
        <w:t>《工业企业厂内铁路、道路运输安全规程》（GB4387-2008）；</w:t>
      </w:r>
    </w:p>
    <w:p w14:paraId="6B125A26">
      <w:pPr>
        <w:pStyle w:val="21"/>
        <w:numPr>
          <w:ilvl w:val="0"/>
          <w:numId w:val="4"/>
        </w:numPr>
        <w:bidi w:val="0"/>
        <w:rPr>
          <w:rFonts w:hint="eastAsia"/>
          <w:lang w:val="sq-AL"/>
        </w:rPr>
      </w:pPr>
      <w:r>
        <w:rPr>
          <w:rFonts w:hint="eastAsia"/>
          <w:lang w:val="sq-AL"/>
        </w:rPr>
        <w:t>《金属非金属矿山在用提升绞车安全检测检验规范》（AQ 2022-2008）；</w:t>
      </w:r>
    </w:p>
    <w:p w14:paraId="34FD178C">
      <w:pPr>
        <w:pStyle w:val="21"/>
        <w:numPr>
          <w:ilvl w:val="0"/>
          <w:numId w:val="4"/>
        </w:numPr>
        <w:bidi w:val="0"/>
        <w:rPr>
          <w:rFonts w:hint="eastAsia"/>
          <w:lang w:val="sq-AL"/>
        </w:rPr>
      </w:pPr>
      <w:r>
        <w:rPr>
          <w:rFonts w:hint="eastAsia"/>
          <w:lang w:val="sq-AL"/>
        </w:rPr>
        <w:t>《供配电系统设计规范》（GB50052－2009）；</w:t>
      </w:r>
    </w:p>
    <w:p w14:paraId="3F3BECE6">
      <w:pPr>
        <w:pStyle w:val="21"/>
        <w:numPr>
          <w:ilvl w:val="0"/>
          <w:numId w:val="4"/>
        </w:numPr>
        <w:bidi w:val="0"/>
        <w:rPr>
          <w:rFonts w:hint="eastAsia"/>
          <w:lang w:val="sq-AL"/>
        </w:rPr>
      </w:pPr>
      <w:bookmarkStart w:id="8" w:name="_Hlk70924233"/>
      <w:r>
        <w:rPr>
          <w:rFonts w:hint="eastAsia"/>
          <w:lang w:val="sq-AL"/>
        </w:rPr>
        <w:t>《固定式钢梯及平台安全要求》（GB4053.1/2/3－2009）；</w:t>
      </w:r>
      <w:bookmarkEnd w:id="8"/>
    </w:p>
    <w:p w14:paraId="00ABF9B7">
      <w:pPr>
        <w:pStyle w:val="21"/>
        <w:numPr>
          <w:ilvl w:val="0"/>
          <w:numId w:val="4"/>
        </w:numPr>
        <w:bidi w:val="0"/>
        <w:rPr>
          <w:rFonts w:hint="eastAsia"/>
          <w:lang w:val="sq-AL"/>
        </w:rPr>
      </w:pPr>
      <w:r>
        <w:rPr>
          <w:rFonts w:hint="eastAsia"/>
          <w:lang w:val="sq-AL"/>
        </w:rPr>
        <w:t>《机械安全 防止上下肢触及危险区的安全距离》（GB23821-2009）；</w:t>
      </w:r>
    </w:p>
    <w:p w14:paraId="4A28D439">
      <w:pPr>
        <w:pStyle w:val="21"/>
        <w:numPr>
          <w:ilvl w:val="0"/>
          <w:numId w:val="4"/>
        </w:numPr>
        <w:bidi w:val="0"/>
        <w:rPr>
          <w:rFonts w:hint="eastAsia"/>
          <w:lang w:val="sq-AL"/>
        </w:rPr>
      </w:pPr>
      <w:r>
        <w:rPr>
          <w:rFonts w:hint="eastAsia"/>
          <w:lang w:val="sq-AL"/>
        </w:rPr>
        <w:t>《建筑物防雷设计规范》（GB50057-2010）；</w:t>
      </w:r>
    </w:p>
    <w:p w14:paraId="14682CCB">
      <w:pPr>
        <w:pStyle w:val="21"/>
        <w:numPr>
          <w:ilvl w:val="0"/>
          <w:numId w:val="4"/>
        </w:numPr>
        <w:bidi w:val="0"/>
        <w:rPr>
          <w:rFonts w:hint="eastAsia"/>
          <w:lang w:val="sq-AL"/>
        </w:rPr>
      </w:pPr>
      <w:r>
        <w:rPr>
          <w:rFonts w:hint="eastAsia"/>
          <w:lang w:val="sq-AL"/>
        </w:rPr>
        <w:t>《工业企业设计卫生标准》（GBZ1-2010）；</w:t>
      </w:r>
    </w:p>
    <w:p w14:paraId="6FF18E64">
      <w:pPr>
        <w:pStyle w:val="21"/>
        <w:numPr>
          <w:ilvl w:val="0"/>
          <w:numId w:val="4"/>
        </w:numPr>
        <w:bidi w:val="0"/>
        <w:rPr>
          <w:rFonts w:hint="eastAsia"/>
          <w:lang w:val="sq-AL"/>
        </w:rPr>
      </w:pPr>
      <w:r>
        <w:rPr>
          <w:rFonts w:hint="eastAsia"/>
          <w:lang w:val="sq-AL"/>
        </w:rPr>
        <w:t>《竖井罐笼提升信号系统安全技术要求》（GB16541-2010）；</w:t>
      </w:r>
    </w:p>
    <w:p w14:paraId="14BF4ADF">
      <w:pPr>
        <w:pStyle w:val="21"/>
        <w:numPr>
          <w:ilvl w:val="0"/>
          <w:numId w:val="4"/>
        </w:numPr>
        <w:bidi w:val="0"/>
        <w:rPr>
          <w:rFonts w:hint="eastAsia"/>
          <w:lang w:val="sq-AL"/>
        </w:rPr>
      </w:pPr>
      <w:r>
        <w:rPr>
          <w:rFonts w:hint="eastAsia"/>
          <w:lang w:val="sq-AL"/>
        </w:rPr>
        <w:t>《罐笼安全技术要求》（GB16542-2010）；</w:t>
      </w:r>
    </w:p>
    <w:p w14:paraId="0F47A385">
      <w:pPr>
        <w:pStyle w:val="21"/>
        <w:numPr>
          <w:ilvl w:val="0"/>
          <w:numId w:val="4"/>
        </w:numPr>
        <w:bidi w:val="0"/>
        <w:rPr>
          <w:rFonts w:hint="eastAsia"/>
          <w:lang w:val="sq-AL"/>
        </w:rPr>
      </w:pPr>
      <w:r>
        <w:rPr>
          <w:rFonts w:hint="eastAsia"/>
          <w:lang w:val="sq-AL"/>
        </w:rPr>
        <w:t>《地下铲运机 安全要求》（GB25518-2010）；</w:t>
      </w:r>
    </w:p>
    <w:p w14:paraId="1BF28B20">
      <w:pPr>
        <w:pStyle w:val="21"/>
        <w:numPr>
          <w:ilvl w:val="0"/>
          <w:numId w:val="4"/>
        </w:numPr>
        <w:bidi w:val="0"/>
        <w:rPr>
          <w:rFonts w:hint="eastAsia"/>
          <w:lang w:val="sq-AL"/>
        </w:rPr>
      </w:pPr>
      <w:r>
        <w:rPr>
          <w:rFonts w:hint="eastAsia"/>
          <w:lang w:val="sq-AL"/>
        </w:rPr>
        <w:t>《金属非金属地下矿山监测监控系统建设规范》（AQ 2031-2011）；</w:t>
      </w:r>
    </w:p>
    <w:p w14:paraId="2E3DCF79">
      <w:pPr>
        <w:pStyle w:val="21"/>
        <w:numPr>
          <w:ilvl w:val="0"/>
          <w:numId w:val="4"/>
        </w:numPr>
        <w:bidi w:val="0"/>
        <w:rPr>
          <w:rFonts w:hint="eastAsia"/>
          <w:lang w:val="sq-AL"/>
        </w:rPr>
      </w:pPr>
      <w:r>
        <w:rPr>
          <w:rFonts w:hint="eastAsia"/>
          <w:lang w:val="sq-AL"/>
        </w:rPr>
        <w:t>《金属非金属地下矿山人员定位系统建设规范》（AQ 2032-2011）；</w:t>
      </w:r>
    </w:p>
    <w:p w14:paraId="2B0DFF43">
      <w:pPr>
        <w:pStyle w:val="21"/>
        <w:numPr>
          <w:ilvl w:val="0"/>
          <w:numId w:val="4"/>
        </w:numPr>
        <w:bidi w:val="0"/>
        <w:rPr>
          <w:rFonts w:hint="eastAsia"/>
          <w:lang w:val="sq-AL"/>
        </w:rPr>
      </w:pPr>
      <w:r>
        <w:rPr>
          <w:rFonts w:hint="eastAsia"/>
          <w:lang w:val="sq-AL"/>
        </w:rPr>
        <w:t>《金属非金属地下矿山紧急避险系统建设规范》（KA/T 2033-2023）；</w:t>
      </w:r>
    </w:p>
    <w:p w14:paraId="774E8216">
      <w:pPr>
        <w:pStyle w:val="21"/>
        <w:numPr>
          <w:ilvl w:val="0"/>
          <w:numId w:val="4"/>
        </w:numPr>
        <w:bidi w:val="0"/>
        <w:rPr>
          <w:rFonts w:hint="eastAsia"/>
          <w:lang w:val="sq-AL"/>
        </w:rPr>
      </w:pPr>
      <w:r>
        <w:rPr>
          <w:rFonts w:hint="eastAsia"/>
          <w:lang w:val="sq-AL"/>
        </w:rPr>
        <w:t>《金属非金属地下矿山压风自救系统建设规范》（KA/T 2034-2023）；</w:t>
      </w:r>
    </w:p>
    <w:p w14:paraId="266E0BF3">
      <w:pPr>
        <w:pStyle w:val="21"/>
        <w:numPr>
          <w:ilvl w:val="0"/>
          <w:numId w:val="4"/>
        </w:numPr>
        <w:bidi w:val="0"/>
        <w:rPr>
          <w:rFonts w:hint="eastAsia"/>
          <w:lang w:val="sq-AL"/>
        </w:rPr>
      </w:pPr>
      <w:r>
        <w:rPr>
          <w:rFonts w:hint="eastAsia"/>
          <w:lang w:val="sq-AL"/>
        </w:rPr>
        <w:t>《金属非金属地下矿山供水施救系统建设规范》（KA/T 2035-2023）；</w:t>
      </w:r>
    </w:p>
    <w:p w14:paraId="4DC2D6DE">
      <w:pPr>
        <w:pStyle w:val="21"/>
        <w:numPr>
          <w:ilvl w:val="0"/>
          <w:numId w:val="4"/>
        </w:numPr>
        <w:bidi w:val="0"/>
        <w:rPr>
          <w:rFonts w:hint="eastAsia"/>
          <w:lang w:val="sq-AL"/>
        </w:rPr>
      </w:pPr>
      <w:r>
        <w:rPr>
          <w:rFonts w:hint="eastAsia"/>
          <w:lang w:val="sq-AL"/>
        </w:rPr>
        <w:t>《金属非金属地下矿山通信联络系统建设规范》（AQ 2036-2011）；</w:t>
      </w:r>
    </w:p>
    <w:p w14:paraId="17873C57">
      <w:pPr>
        <w:pStyle w:val="21"/>
        <w:numPr>
          <w:ilvl w:val="0"/>
          <w:numId w:val="4"/>
        </w:numPr>
        <w:bidi w:val="0"/>
        <w:rPr>
          <w:rFonts w:hint="eastAsia"/>
          <w:lang w:val="sq-AL"/>
        </w:rPr>
      </w:pPr>
      <w:r>
        <w:rPr>
          <w:rFonts w:hint="eastAsia"/>
          <w:lang w:val="sq-AL"/>
        </w:rPr>
        <w:t>《冶金</w:t>
      </w:r>
      <w:r>
        <w:rPr>
          <w:rFonts w:hint="eastAsia"/>
        </w:rPr>
        <w:t>矿山</w:t>
      </w:r>
      <w:r>
        <w:rPr>
          <w:rFonts w:hint="eastAsia"/>
          <w:lang w:val="sq-AL"/>
        </w:rPr>
        <w:t>采矿设计规范》（GB50</w:t>
      </w:r>
      <w:r>
        <w:rPr>
          <w:rFonts w:hint="eastAsia"/>
        </w:rPr>
        <w:t>830</w:t>
      </w:r>
      <w:r>
        <w:rPr>
          <w:rFonts w:hint="eastAsia"/>
          <w:lang w:val="sq-AL"/>
        </w:rPr>
        <w:t>-201</w:t>
      </w:r>
      <w:r>
        <w:rPr>
          <w:rFonts w:hint="eastAsia"/>
        </w:rPr>
        <w:t>3</w:t>
      </w:r>
      <w:r>
        <w:rPr>
          <w:rFonts w:hint="eastAsia"/>
          <w:lang w:val="sq-AL"/>
        </w:rPr>
        <w:t>）；</w:t>
      </w:r>
    </w:p>
    <w:p w14:paraId="282E4EF3">
      <w:pPr>
        <w:pStyle w:val="21"/>
        <w:numPr>
          <w:ilvl w:val="0"/>
          <w:numId w:val="4"/>
        </w:numPr>
        <w:bidi w:val="0"/>
        <w:rPr>
          <w:rFonts w:hint="eastAsia"/>
          <w:lang w:val="sq-AL"/>
        </w:rPr>
      </w:pPr>
      <w:r>
        <w:rPr>
          <w:rFonts w:hint="eastAsia"/>
          <w:lang w:val="sq-AL"/>
        </w:rPr>
        <w:t>《20kV及以下变电所设计规范》（GB50053-</w:t>
      </w:r>
      <w:r>
        <w:rPr>
          <w:rFonts w:hint="eastAsia"/>
        </w:rPr>
        <w:t>2013</w:t>
      </w:r>
      <w:r>
        <w:rPr>
          <w:rFonts w:hint="eastAsia"/>
          <w:lang w:val="sq-AL"/>
        </w:rPr>
        <w:t>）；</w:t>
      </w:r>
    </w:p>
    <w:p w14:paraId="3ADE4BF6">
      <w:pPr>
        <w:pStyle w:val="21"/>
        <w:numPr>
          <w:ilvl w:val="0"/>
          <w:numId w:val="4"/>
        </w:numPr>
        <w:bidi w:val="0"/>
        <w:rPr>
          <w:rFonts w:hint="eastAsia"/>
          <w:lang w:val="sq-AL"/>
        </w:rPr>
      </w:pPr>
      <w:r>
        <w:rPr>
          <w:rFonts w:hint="eastAsia"/>
          <w:lang w:val="sq-AL"/>
        </w:rPr>
        <w:t>《建筑设计防火规范[2018版]》（GB50016-2014）；</w:t>
      </w:r>
    </w:p>
    <w:p w14:paraId="77C5C5DF">
      <w:pPr>
        <w:pStyle w:val="21"/>
        <w:numPr>
          <w:ilvl w:val="0"/>
          <w:numId w:val="4"/>
        </w:numPr>
        <w:bidi w:val="0"/>
        <w:rPr>
          <w:rFonts w:hint="eastAsia"/>
          <w:lang w:val="sq-AL"/>
        </w:rPr>
      </w:pPr>
      <w:r>
        <w:rPr>
          <w:rFonts w:hint="eastAsia"/>
          <w:lang w:val="sq-AL"/>
        </w:rPr>
        <w:t>《压缩空气站设计规范》（GB50029-2014）；</w:t>
      </w:r>
    </w:p>
    <w:p w14:paraId="05729691">
      <w:pPr>
        <w:pStyle w:val="21"/>
        <w:numPr>
          <w:ilvl w:val="0"/>
          <w:numId w:val="4"/>
        </w:numPr>
        <w:bidi w:val="0"/>
        <w:rPr>
          <w:rFonts w:hint="eastAsia"/>
          <w:lang w:val="sq-AL"/>
        </w:rPr>
      </w:pPr>
      <w:r>
        <w:rPr>
          <w:rFonts w:hint="eastAsia"/>
          <w:lang w:val="sq-AL"/>
        </w:rPr>
        <w:t>《防洪标准》（GB50201--2014）；</w:t>
      </w:r>
    </w:p>
    <w:p w14:paraId="2BE50B56">
      <w:pPr>
        <w:pStyle w:val="21"/>
        <w:numPr>
          <w:ilvl w:val="0"/>
          <w:numId w:val="4"/>
        </w:numPr>
        <w:bidi w:val="0"/>
        <w:rPr>
          <w:rFonts w:hint="eastAsia"/>
          <w:lang w:val="sq-AL"/>
        </w:rPr>
      </w:pPr>
      <w:r>
        <w:rPr>
          <w:rFonts w:hint="eastAsia"/>
          <w:lang w:val="sq-AL"/>
        </w:rPr>
        <w:t>《中国地震动参数区划图》（GB 18306—2015）；</w:t>
      </w:r>
    </w:p>
    <w:p w14:paraId="0F671D8C">
      <w:pPr>
        <w:pStyle w:val="21"/>
        <w:numPr>
          <w:ilvl w:val="0"/>
          <w:numId w:val="4"/>
        </w:numPr>
        <w:bidi w:val="0"/>
        <w:rPr>
          <w:rFonts w:hint="eastAsia"/>
          <w:lang w:val="sq-AL"/>
        </w:rPr>
      </w:pPr>
      <w:bookmarkStart w:id="9" w:name="_Hlk70924288"/>
      <w:r>
        <w:rPr>
          <w:rFonts w:hint="eastAsia"/>
          <w:lang w:val="sq-AL"/>
        </w:rPr>
        <w:t>《金属非金属地下矿山通信联络系统通用技术要求》（AQ/T2052-2016）；</w:t>
      </w:r>
    </w:p>
    <w:p w14:paraId="54D7CCFB">
      <w:pPr>
        <w:pStyle w:val="21"/>
        <w:numPr>
          <w:ilvl w:val="0"/>
          <w:numId w:val="4"/>
        </w:numPr>
        <w:bidi w:val="0"/>
        <w:rPr>
          <w:rFonts w:hint="eastAsia"/>
          <w:lang w:val="sq-AL"/>
        </w:rPr>
      </w:pPr>
      <w:r>
        <w:rPr>
          <w:rFonts w:hint="eastAsia"/>
          <w:lang w:val="sq-AL"/>
        </w:rPr>
        <w:t>《金属非金属地下矿山监测监控系统通用技术要求》（AQ/T2053-2016）</w:t>
      </w:r>
    </w:p>
    <w:bookmarkEnd w:id="9"/>
    <w:p w14:paraId="4660085C">
      <w:pPr>
        <w:pStyle w:val="21"/>
        <w:numPr>
          <w:ilvl w:val="0"/>
          <w:numId w:val="4"/>
        </w:numPr>
        <w:bidi w:val="0"/>
        <w:rPr>
          <w:rFonts w:hint="eastAsia"/>
          <w:lang w:val="sq-AL"/>
        </w:rPr>
      </w:pPr>
      <w:bookmarkStart w:id="10" w:name="_Hlk71134657"/>
      <w:r>
        <w:rPr>
          <w:rFonts w:hint="eastAsia"/>
          <w:lang w:val="sq-AL"/>
        </w:rPr>
        <w:t>《爆破安全规程》（GB 6722-2014/XG1-2016）；</w:t>
      </w:r>
    </w:p>
    <w:bookmarkEnd w:id="10"/>
    <w:p w14:paraId="3CF8BADA">
      <w:pPr>
        <w:pStyle w:val="21"/>
        <w:numPr>
          <w:ilvl w:val="0"/>
          <w:numId w:val="4"/>
        </w:numPr>
        <w:bidi w:val="0"/>
        <w:rPr>
          <w:rFonts w:hint="eastAsia"/>
          <w:lang w:val="sq-AL"/>
        </w:rPr>
      </w:pPr>
      <w:r>
        <w:rPr>
          <w:rFonts w:hint="eastAsia"/>
          <w:lang w:val="sq-AL"/>
        </w:rPr>
        <w:t>《金属非金属矿山在用主通风机系统安全检验规范》（AQ 2054-2016）；</w:t>
      </w:r>
    </w:p>
    <w:p w14:paraId="509EF5AB">
      <w:pPr>
        <w:pStyle w:val="21"/>
        <w:numPr>
          <w:ilvl w:val="0"/>
          <w:numId w:val="4"/>
        </w:numPr>
        <w:bidi w:val="0"/>
        <w:rPr>
          <w:rFonts w:hint="eastAsia"/>
          <w:lang w:val="sq-AL"/>
        </w:rPr>
      </w:pPr>
      <w:r>
        <w:rPr>
          <w:rFonts w:hint="eastAsia"/>
          <w:lang w:val="sq-AL"/>
        </w:rPr>
        <w:t>《金属非金属矿山在用空气压缩机安全检验规范 第1部分：固定式空气压缩机》（AQ 2055-2016）；</w:t>
      </w:r>
    </w:p>
    <w:p w14:paraId="402C3AEB">
      <w:pPr>
        <w:pStyle w:val="21"/>
        <w:numPr>
          <w:ilvl w:val="0"/>
          <w:numId w:val="4"/>
        </w:numPr>
        <w:bidi w:val="0"/>
        <w:rPr>
          <w:rFonts w:hint="eastAsia"/>
          <w:lang w:val="sq-AL"/>
        </w:rPr>
      </w:pPr>
      <w:r>
        <w:rPr>
          <w:rFonts w:hint="eastAsia"/>
          <w:lang w:val="sq-AL"/>
        </w:rPr>
        <w:t>《剩余电流动作保护装置安装和运行》（GB/T 13955-2017）；</w:t>
      </w:r>
    </w:p>
    <w:p w14:paraId="2432F65E">
      <w:pPr>
        <w:pStyle w:val="21"/>
        <w:numPr>
          <w:ilvl w:val="0"/>
          <w:numId w:val="4"/>
        </w:numPr>
        <w:bidi w:val="0"/>
        <w:rPr>
          <w:rFonts w:hint="eastAsia"/>
          <w:lang w:val="sq-AL"/>
        </w:rPr>
      </w:pPr>
      <w:r>
        <w:rPr>
          <w:rFonts w:hint="eastAsia"/>
          <w:lang w:val="sq-AL"/>
        </w:rPr>
        <w:t>《用电安全导则》（GB/T 13869-2017）；</w:t>
      </w:r>
    </w:p>
    <w:p w14:paraId="21C500D1">
      <w:pPr>
        <w:pStyle w:val="21"/>
        <w:numPr>
          <w:ilvl w:val="0"/>
          <w:numId w:val="4"/>
        </w:numPr>
        <w:bidi w:val="0"/>
        <w:rPr>
          <w:rFonts w:hint="eastAsia"/>
          <w:lang w:val="sq-AL"/>
        </w:rPr>
      </w:pPr>
      <w:r>
        <w:rPr>
          <w:rFonts w:hint="eastAsia"/>
          <w:lang w:val="sq-AL"/>
        </w:rPr>
        <w:t>《钢丝绳 术语、标记和分类》（GB/T 8706-2017）；</w:t>
      </w:r>
    </w:p>
    <w:p w14:paraId="2A8F310A">
      <w:pPr>
        <w:pStyle w:val="21"/>
        <w:numPr>
          <w:ilvl w:val="0"/>
          <w:numId w:val="4"/>
        </w:numPr>
        <w:bidi w:val="0"/>
        <w:rPr>
          <w:rFonts w:hint="eastAsia"/>
          <w:lang w:val="sq-AL"/>
        </w:rPr>
      </w:pPr>
      <w:r>
        <w:rPr>
          <w:rFonts w:hint="eastAsia"/>
          <w:lang w:val="sq-AL"/>
        </w:rPr>
        <w:t>《金属非金属地下矿山防治水安全技术规范》（AQ 2061-2018）；</w:t>
      </w:r>
    </w:p>
    <w:p w14:paraId="4629DCCE">
      <w:pPr>
        <w:pStyle w:val="21"/>
        <w:numPr>
          <w:ilvl w:val="0"/>
          <w:numId w:val="4"/>
        </w:numPr>
        <w:bidi w:val="0"/>
        <w:rPr>
          <w:rFonts w:hint="eastAsia"/>
          <w:lang w:val="sq-AL"/>
        </w:rPr>
      </w:pPr>
      <w:r>
        <w:rPr>
          <w:rFonts w:hint="eastAsia"/>
          <w:lang w:val="sq-AL"/>
        </w:rPr>
        <w:t>《危险化学品重大危险源辨识》（GB18218-2018）；</w:t>
      </w:r>
    </w:p>
    <w:p w14:paraId="3D89CC94">
      <w:pPr>
        <w:pStyle w:val="21"/>
        <w:numPr>
          <w:ilvl w:val="0"/>
          <w:numId w:val="4"/>
        </w:numPr>
        <w:bidi w:val="0"/>
        <w:rPr>
          <w:rFonts w:hint="eastAsia"/>
          <w:lang w:val="sq-AL"/>
        </w:rPr>
      </w:pPr>
      <w:r>
        <w:rPr>
          <w:rFonts w:hint="eastAsia"/>
          <w:lang w:val="sq-AL"/>
        </w:rPr>
        <w:t>《重要电力用户供电电源及自备应急电源配置技术规范》（GB/T 29328-2018）；</w:t>
      </w:r>
    </w:p>
    <w:p w14:paraId="2D838041">
      <w:pPr>
        <w:pStyle w:val="21"/>
        <w:numPr>
          <w:ilvl w:val="0"/>
          <w:numId w:val="4"/>
        </w:numPr>
        <w:bidi w:val="0"/>
        <w:rPr>
          <w:rFonts w:hint="eastAsia"/>
          <w:lang w:val="sq-AL"/>
        </w:rPr>
      </w:pPr>
      <w:r>
        <w:rPr>
          <w:rFonts w:hint="eastAsia"/>
          <w:lang w:val="sq-AL"/>
        </w:rPr>
        <w:t>《机械安全防护装置、固定式和活动式防护装置设计与制造一般要求》（GB/T8196-2018）；</w:t>
      </w:r>
    </w:p>
    <w:p w14:paraId="03BA5208">
      <w:pPr>
        <w:pStyle w:val="21"/>
        <w:numPr>
          <w:ilvl w:val="0"/>
          <w:numId w:val="4"/>
        </w:numPr>
        <w:bidi w:val="0"/>
        <w:rPr>
          <w:rFonts w:hint="eastAsia"/>
          <w:lang w:val="sq-AL"/>
        </w:rPr>
      </w:pPr>
      <w:r>
        <w:rPr>
          <w:rFonts w:hint="eastAsia"/>
          <w:lang w:val="sq-AL"/>
        </w:rPr>
        <w:t>《单绳缠绕式矿井提升机》（GB/T 20961-2018）；</w:t>
      </w:r>
    </w:p>
    <w:p w14:paraId="4E2258AD">
      <w:pPr>
        <w:pStyle w:val="21"/>
        <w:numPr>
          <w:ilvl w:val="0"/>
          <w:numId w:val="4"/>
        </w:numPr>
        <w:bidi w:val="0"/>
        <w:rPr>
          <w:rFonts w:hint="eastAsia"/>
          <w:lang w:val="sq-AL"/>
        </w:rPr>
      </w:pPr>
      <w:r>
        <w:rPr>
          <w:rFonts w:hint="eastAsia"/>
          <w:lang w:val="sq-AL"/>
        </w:rPr>
        <w:t>《安全生产责任保险事故预防技术服务规范》</w:t>
      </w:r>
      <w:r>
        <w:rPr>
          <w:rFonts w:hint="eastAsia"/>
        </w:rPr>
        <w:t>（AQ 9010-2019 ）；</w:t>
      </w:r>
    </w:p>
    <w:p w14:paraId="0DEE2885">
      <w:pPr>
        <w:pStyle w:val="21"/>
        <w:numPr>
          <w:ilvl w:val="0"/>
          <w:numId w:val="4"/>
        </w:numPr>
        <w:bidi w:val="0"/>
        <w:rPr>
          <w:rFonts w:hint="eastAsia"/>
          <w:lang w:val="sq-AL"/>
        </w:rPr>
      </w:pPr>
      <w:r>
        <w:rPr>
          <w:rFonts w:hint="eastAsia"/>
          <w:lang w:val="sq-AL"/>
        </w:rPr>
        <w:t>《工作场所有害因素职业接触限值 化学有害因素》（GBZ2.1-2019）；</w:t>
      </w:r>
    </w:p>
    <w:p w14:paraId="07E9DF52">
      <w:pPr>
        <w:pStyle w:val="21"/>
        <w:numPr>
          <w:ilvl w:val="0"/>
          <w:numId w:val="4"/>
        </w:numPr>
        <w:bidi w:val="0"/>
        <w:rPr>
          <w:rFonts w:hint="eastAsia"/>
          <w:lang w:val="sq-AL"/>
        </w:rPr>
      </w:pPr>
      <w:r>
        <w:rPr>
          <w:rFonts w:hint="eastAsia"/>
        </w:rPr>
        <w:t>《生产安全事故应急演练基本规范》（AQT9007-2019）；</w:t>
      </w:r>
    </w:p>
    <w:p w14:paraId="1211E397">
      <w:pPr>
        <w:pStyle w:val="21"/>
        <w:numPr>
          <w:ilvl w:val="0"/>
          <w:numId w:val="4"/>
        </w:numPr>
        <w:bidi w:val="0"/>
        <w:rPr>
          <w:rFonts w:hint="eastAsia"/>
          <w:lang w:val="sq-AL"/>
        </w:rPr>
      </w:pPr>
      <w:r>
        <w:rPr>
          <w:rFonts w:hint="eastAsia"/>
          <w:lang w:val="sq-AL"/>
        </w:rPr>
        <w:t>《生产经营单位生产安全事故应急预案评估指南》（AQT9007-2019）；</w:t>
      </w:r>
    </w:p>
    <w:p w14:paraId="7F557082">
      <w:pPr>
        <w:pStyle w:val="21"/>
        <w:numPr>
          <w:ilvl w:val="0"/>
          <w:numId w:val="4"/>
        </w:numPr>
        <w:bidi w:val="0"/>
        <w:rPr>
          <w:rFonts w:hint="eastAsia"/>
          <w:lang w:val="sq-AL"/>
        </w:rPr>
      </w:pPr>
      <w:r>
        <w:rPr>
          <w:rFonts w:hint="eastAsia"/>
          <w:lang w:val="sq-AL"/>
        </w:rPr>
        <w:t>《生产经营单位生产安全事故应急预案编制导则》（GB/T29639-2020）；</w:t>
      </w:r>
    </w:p>
    <w:p w14:paraId="7FBA1EE4">
      <w:pPr>
        <w:pStyle w:val="21"/>
        <w:numPr>
          <w:ilvl w:val="0"/>
          <w:numId w:val="4"/>
        </w:numPr>
        <w:bidi w:val="0"/>
        <w:rPr>
          <w:rFonts w:hint="eastAsia"/>
          <w:lang w:val="sq-AL"/>
        </w:rPr>
      </w:pPr>
      <w:r>
        <w:rPr>
          <w:rFonts w:hint="eastAsia"/>
          <w:lang w:val="sq-AL"/>
        </w:rPr>
        <w:t>《防爆安全门》（GA/T1707-2020）；</w:t>
      </w:r>
    </w:p>
    <w:p w14:paraId="050EBC5D">
      <w:pPr>
        <w:pStyle w:val="21"/>
        <w:numPr>
          <w:ilvl w:val="0"/>
          <w:numId w:val="4"/>
        </w:numPr>
        <w:bidi w:val="0"/>
        <w:rPr>
          <w:rFonts w:hint="eastAsia"/>
          <w:lang w:val="sq-AL"/>
        </w:rPr>
      </w:pPr>
      <w:r>
        <w:rPr>
          <w:rFonts w:hint="eastAsia"/>
          <w:lang w:val="sq-AL"/>
        </w:rPr>
        <w:t>《固定式压力容器安全技术监察规程》（TSG 21-2016/XG1-2020）；</w:t>
      </w:r>
    </w:p>
    <w:p w14:paraId="2B7EB5B3">
      <w:pPr>
        <w:pStyle w:val="21"/>
        <w:numPr>
          <w:ilvl w:val="0"/>
          <w:numId w:val="4"/>
        </w:numPr>
        <w:bidi w:val="0"/>
        <w:rPr>
          <w:rFonts w:hint="eastAsia"/>
          <w:lang w:val="sq-AL"/>
        </w:rPr>
      </w:pPr>
      <w:r>
        <w:rPr>
          <w:rFonts w:hint="eastAsia"/>
          <w:lang w:val="sq-AL"/>
        </w:rPr>
        <w:t>《金属非金属矿山安全规程》（GB16423-2020）；</w:t>
      </w:r>
    </w:p>
    <w:p w14:paraId="0460C51C">
      <w:pPr>
        <w:pStyle w:val="21"/>
        <w:numPr>
          <w:ilvl w:val="0"/>
          <w:numId w:val="4"/>
        </w:numPr>
        <w:bidi w:val="0"/>
        <w:rPr>
          <w:rFonts w:hint="eastAsia"/>
          <w:lang w:val="sq-AL"/>
        </w:rPr>
      </w:pPr>
      <w:r>
        <w:rPr>
          <w:rFonts w:hint="eastAsia"/>
          <w:lang w:val="sq-AL"/>
        </w:rPr>
        <w:t>《个体防护装备配备规范 第4部分：非煤矿山》（GB 39800.4-2020）；</w:t>
      </w:r>
    </w:p>
    <w:p w14:paraId="1666355D">
      <w:pPr>
        <w:pStyle w:val="21"/>
        <w:numPr>
          <w:ilvl w:val="0"/>
          <w:numId w:val="4"/>
        </w:numPr>
        <w:bidi w:val="0"/>
        <w:rPr>
          <w:rFonts w:hint="eastAsia"/>
          <w:lang w:val="sq-AL"/>
        </w:rPr>
      </w:pPr>
      <w:r>
        <w:rPr>
          <w:rFonts w:hint="eastAsia"/>
          <w:lang w:val="sq-AL"/>
        </w:rPr>
        <w:t>《矿山电力设计标准》（GB50070-2020）；</w:t>
      </w:r>
    </w:p>
    <w:p w14:paraId="673F2137">
      <w:pPr>
        <w:pStyle w:val="21"/>
        <w:numPr>
          <w:ilvl w:val="0"/>
          <w:numId w:val="4"/>
        </w:numPr>
        <w:bidi w:val="0"/>
        <w:rPr>
          <w:rFonts w:hint="eastAsia"/>
          <w:lang w:val="sq-AL"/>
        </w:rPr>
      </w:pPr>
      <w:bookmarkStart w:id="11" w:name="_Hlk71134581"/>
      <w:r>
        <w:rPr>
          <w:rFonts w:hint="eastAsia"/>
          <w:lang w:val="sq-AL"/>
        </w:rPr>
        <w:t>《机械安全 防止人体部位挤压的最小间距》（GB/T 12265-2021）；</w:t>
      </w:r>
    </w:p>
    <w:bookmarkEnd w:id="11"/>
    <w:p w14:paraId="3702E7DB">
      <w:pPr>
        <w:pStyle w:val="21"/>
        <w:numPr>
          <w:ilvl w:val="0"/>
          <w:numId w:val="4"/>
        </w:numPr>
        <w:bidi w:val="0"/>
        <w:rPr>
          <w:rFonts w:hint="eastAsia"/>
          <w:lang w:val="sq-AL"/>
        </w:rPr>
      </w:pPr>
      <w:r>
        <w:rPr>
          <w:rFonts w:hint="eastAsia"/>
          <w:lang w:val="sq-AL"/>
        </w:rPr>
        <w:t>《矿区水文地质工程地质勘查规范》（GB/T 12719-2021）；</w:t>
      </w:r>
    </w:p>
    <w:p w14:paraId="33015B00">
      <w:pPr>
        <w:pStyle w:val="21"/>
        <w:numPr>
          <w:ilvl w:val="0"/>
          <w:numId w:val="4"/>
        </w:numPr>
        <w:bidi w:val="0"/>
        <w:rPr>
          <w:rFonts w:hint="eastAsia"/>
          <w:lang w:val="sq-AL"/>
        </w:rPr>
      </w:pPr>
      <w:r>
        <w:rPr>
          <w:rFonts w:hint="eastAsia"/>
          <w:lang w:val="sq-AL"/>
        </w:rPr>
        <w:t>《矿用自动控制防水闸门》（NB/T 10522-2021）；</w:t>
      </w:r>
    </w:p>
    <w:p w14:paraId="42424435">
      <w:pPr>
        <w:pStyle w:val="21"/>
        <w:numPr>
          <w:ilvl w:val="0"/>
          <w:numId w:val="4"/>
        </w:numPr>
        <w:bidi w:val="0"/>
        <w:rPr>
          <w:rFonts w:hint="eastAsia"/>
        </w:rPr>
      </w:pPr>
      <w:r>
        <w:rPr>
          <w:rFonts w:hint="eastAsia"/>
          <w:lang w:val="sq-AL"/>
        </w:rPr>
        <w:t>《生产过程危险和有害因素分类与代码》（GB/T 13861-2022）。</w:t>
      </w:r>
    </w:p>
    <w:p w14:paraId="04BBAA88">
      <w:pPr>
        <w:pStyle w:val="29"/>
        <w:bidi w:val="0"/>
        <w:rPr>
          <w:rFonts w:hint="default"/>
          <w:lang w:val="en-US" w:eastAsia="zh-CN"/>
        </w:rPr>
      </w:pPr>
      <w:r>
        <w:rPr>
          <w:rFonts w:hint="eastAsia"/>
          <w:lang w:val="en-US" w:eastAsia="zh-CN"/>
        </w:rPr>
        <w:t>建设项目技术资料</w:t>
      </w:r>
    </w:p>
    <w:p w14:paraId="1D4FED3C">
      <w:pPr>
        <w:pStyle w:val="21"/>
        <w:numPr>
          <w:ilvl w:val="0"/>
          <w:numId w:val="5"/>
        </w:numPr>
        <w:bidi w:val="0"/>
        <w:rPr>
          <w:rFonts w:hint="eastAsia"/>
          <w:lang w:val="en-US" w:eastAsia="zh-CN"/>
        </w:rPr>
      </w:pPr>
      <w:r>
        <w:rPr>
          <w:rFonts w:hint="eastAsia"/>
          <w:lang w:val="en-US" w:eastAsia="zh-CN"/>
        </w:rPr>
        <w:t>《省发展改革委关于沈阳浑南矿业有限责任公司(铁矿)地下开采建设项目核准的批复》（辽发改工业〔2025〕304号）；</w:t>
      </w:r>
    </w:p>
    <w:p w14:paraId="53B9683A">
      <w:pPr>
        <w:pStyle w:val="21"/>
        <w:numPr>
          <w:ilvl w:val="0"/>
          <w:numId w:val="5"/>
        </w:numPr>
        <w:bidi w:val="0"/>
        <w:rPr>
          <w:rFonts w:hint="eastAsia"/>
          <w:lang w:val="en-US" w:eastAsia="zh-CN"/>
        </w:rPr>
      </w:pPr>
      <w:r>
        <w:rPr>
          <w:rFonts w:hint="eastAsia"/>
          <w:lang w:val="en-US" w:eastAsia="zh-CN"/>
        </w:rPr>
        <w:t>《辽宁省沈阳市立新铁矿资源储量核实报告》，东煤沈阳地质物探勘察工程公司，2019年9月；</w:t>
      </w:r>
    </w:p>
    <w:p w14:paraId="74FB1640">
      <w:pPr>
        <w:pStyle w:val="21"/>
        <w:numPr>
          <w:ilvl w:val="0"/>
          <w:numId w:val="5"/>
        </w:numPr>
        <w:bidi w:val="0"/>
        <w:rPr>
          <w:rFonts w:hint="eastAsia"/>
          <w:lang w:val="en-US" w:eastAsia="zh-CN"/>
        </w:rPr>
      </w:pPr>
      <w:r>
        <w:rPr>
          <w:rFonts w:hint="eastAsia"/>
          <w:lang w:val="en-US" w:eastAsia="zh-CN"/>
        </w:rPr>
        <w:t>《辽宁省沈阳市立新铁矿资源储量核实报告》评审备案证明，辽自然资储备字[2019]164号，2019年12月17日；</w:t>
      </w:r>
    </w:p>
    <w:p w14:paraId="679F5100">
      <w:pPr>
        <w:pStyle w:val="21"/>
        <w:numPr>
          <w:ilvl w:val="0"/>
          <w:numId w:val="5"/>
        </w:numPr>
        <w:bidi w:val="0"/>
        <w:rPr>
          <w:rFonts w:hint="eastAsia"/>
          <w:lang w:val="en-US" w:eastAsia="zh-CN"/>
        </w:rPr>
      </w:pPr>
      <w:r>
        <w:rPr>
          <w:rFonts w:hint="eastAsia"/>
          <w:lang w:val="en-US" w:eastAsia="zh-CN"/>
        </w:rPr>
        <w:t>《辽宁省沈阳市立新铁矿资源储量核实报告》评审意见书，辽储评（储）字[2019]132号，辽宁省矿产资源储量评审中心，2019年12月2日；</w:t>
      </w:r>
    </w:p>
    <w:p w14:paraId="648B04D3">
      <w:pPr>
        <w:pStyle w:val="21"/>
        <w:numPr>
          <w:ilvl w:val="0"/>
          <w:numId w:val="5"/>
        </w:numPr>
        <w:bidi w:val="0"/>
        <w:rPr>
          <w:rFonts w:hint="eastAsia"/>
          <w:lang w:val="en-US" w:eastAsia="zh-CN"/>
        </w:rPr>
      </w:pPr>
      <w:r>
        <w:rPr>
          <w:rFonts w:hint="eastAsia"/>
          <w:lang w:val="en-US" w:eastAsia="zh-CN"/>
        </w:rPr>
        <w:t>《辽宁省沈阳市立新铁矿资源储量核实报告》，朝阳东盛地质有公司，2024年10月；</w:t>
      </w:r>
    </w:p>
    <w:p w14:paraId="44BF7232">
      <w:pPr>
        <w:pStyle w:val="21"/>
        <w:numPr>
          <w:ilvl w:val="0"/>
          <w:numId w:val="5"/>
        </w:numPr>
        <w:bidi w:val="0"/>
        <w:rPr>
          <w:rFonts w:hint="eastAsia"/>
          <w:lang w:val="en-US" w:eastAsia="zh-CN"/>
        </w:rPr>
      </w:pPr>
      <w:r>
        <w:rPr>
          <w:rFonts w:hint="eastAsia"/>
          <w:lang w:val="en-US" w:eastAsia="zh-CN"/>
        </w:rPr>
        <w:t>《辽宁省沈阳市立新铁矿资源储量核实报告》评审意见书，辽溪评（储）字沈[2025]001号，辽宁溪源土地矿产资源评估有限公司，2025年2月21日；</w:t>
      </w:r>
    </w:p>
    <w:p w14:paraId="6FB162B6">
      <w:pPr>
        <w:pStyle w:val="21"/>
        <w:numPr>
          <w:ilvl w:val="0"/>
          <w:numId w:val="5"/>
        </w:numPr>
        <w:bidi w:val="0"/>
        <w:rPr>
          <w:rFonts w:hint="eastAsia"/>
          <w:lang w:val="en-US" w:eastAsia="zh-CN"/>
        </w:rPr>
      </w:pPr>
      <w:r>
        <w:rPr>
          <w:rFonts w:hint="eastAsia"/>
          <w:lang w:val="en-US" w:eastAsia="zh-CN"/>
        </w:rPr>
        <w:t>《沈阳浑南矿业有限责任公司（铁矿）矿产资源开发利用方案》审查意见书，辽地会审字[2020]C013号，2020年3月18日；</w:t>
      </w:r>
    </w:p>
    <w:p w14:paraId="2F29F006">
      <w:pPr>
        <w:pStyle w:val="21"/>
        <w:numPr>
          <w:ilvl w:val="0"/>
          <w:numId w:val="5"/>
        </w:numPr>
        <w:bidi w:val="0"/>
        <w:rPr>
          <w:rFonts w:hint="eastAsia"/>
          <w:lang w:val="en-US" w:eastAsia="zh-CN"/>
        </w:rPr>
      </w:pPr>
      <w:r>
        <w:rPr>
          <w:rFonts w:hint="eastAsia"/>
          <w:lang w:val="en-US" w:eastAsia="zh-CN"/>
        </w:rPr>
        <w:t>关于《沈阳浑南矿业有限责任公司（铁矿）矿产资源开发利用方案》改变开采顺序的说明补充意见，辽自然资事矿(开)补字〔2025〕C018号，辽宁省自然资源事务服务中心，2025年8月15日；</w:t>
      </w:r>
    </w:p>
    <w:p w14:paraId="04FE7E00">
      <w:pPr>
        <w:pStyle w:val="21"/>
        <w:numPr>
          <w:ilvl w:val="0"/>
          <w:numId w:val="5"/>
        </w:numPr>
        <w:bidi w:val="0"/>
        <w:rPr>
          <w:rFonts w:hint="eastAsia"/>
          <w:lang w:val="en-US" w:eastAsia="zh-CN"/>
        </w:rPr>
      </w:pPr>
      <w:r>
        <w:rPr>
          <w:rFonts w:hint="eastAsia"/>
          <w:lang w:val="en-US" w:eastAsia="zh-CN"/>
        </w:rPr>
        <w:t>《关于沈阳浑南矿业有限责任公司矿区扩界范围内居民搬迁的承诺函》，沈苏十办发[2020]64号，2020年9月14日；</w:t>
      </w:r>
    </w:p>
    <w:p w14:paraId="21E9F29D">
      <w:pPr>
        <w:pStyle w:val="21"/>
        <w:numPr>
          <w:ilvl w:val="0"/>
          <w:numId w:val="5"/>
        </w:numPr>
        <w:bidi w:val="0"/>
        <w:rPr>
          <w:rFonts w:hint="eastAsia"/>
          <w:lang w:val="en-US" w:eastAsia="zh-CN"/>
        </w:rPr>
      </w:pPr>
      <w:r>
        <w:rPr>
          <w:rFonts w:hint="eastAsia"/>
          <w:lang w:val="en-US" w:eastAsia="zh-CN"/>
        </w:rPr>
        <w:t>《沈阳浑南矿业有限责任公司（铁矿）矿产资源开发对矿区范围内基本农田影响论证报告》，辽宁鼎唐生态环境咨询有限公司，2020年4月；</w:t>
      </w:r>
    </w:p>
    <w:p w14:paraId="3A957105">
      <w:pPr>
        <w:pStyle w:val="21"/>
        <w:numPr>
          <w:ilvl w:val="0"/>
          <w:numId w:val="5"/>
        </w:numPr>
        <w:bidi w:val="0"/>
        <w:rPr>
          <w:rFonts w:hint="eastAsia"/>
          <w:lang w:val="en-US" w:eastAsia="zh-CN"/>
        </w:rPr>
      </w:pPr>
      <w:r>
        <w:rPr>
          <w:rFonts w:hint="eastAsia"/>
          <w:lang w:val="en-US" w:eastAsia="zh-CN"/>
        </w:rPr>
        <w:t>《关于对沈阳浑南矿业有限责任公司（铁矿）划定矿区范围涉及基本农田保护区和永久基本农田审核和论证情况报告》，沈阳市自然资源局苏家屯分局，2020年7月27日；</w:t>
      </w:r>
    </w:p>
    <w:p w14:paraId="255A199D">
      <w:pPr>
        <w:pStyle w:val="21"/>
        <w:numPr>
          <w:ilvl w:val="0"/>
          <w:numId w:val="5"/>
        </w:numPr>
        <w:bidi w:val="0"/>
        <w:rPr>
          <w:rFonts w:hint="eastAsia"/>
          <w:lang w:val="en-US" w:eastAsia="zh-CN"/>
        </w:rPr>
      </w:pPr>
      <w:r>
        <w:rPr>
          <w:rFonts w:hint="eastAsia"/>
          <w:lang w:val="en-US" w:eastAsia="zh-CN"/>
        </w:rPr>
        <w:t>《沈阳浑南矿业有限责任公司隐蔽致灾因素普查报告》，中享设计集团有限公司，2025年01月；</w:t>
      </w:r>
    </w:p>
    <w:p w14:paraId="4BE68A49">
      <w:pPr>
        <w:pStyle w:val="21"/>
        <w:numPr>
          <w:ilvl w:val="0"/>
          <w:numId w:val="5"/>
        </w:numPr>
        <w:bidi w:val="0"/>
        <w:rPr>
          <w:rFonts w:hint="eastAsia"/>
          <w:lang w:val="en-US" w:eastAsia="zh-CN"/>
        </w:rPr>
      </w:pPr>
      <w:r>
        <w:rPr>
          <w:rFonts w:hint="eastAsia"/>
          <w:lang w:val="en-US" w:eastAsia="zh-CN"/>
        </w:rPr>
        <w:t>《沈阳浑南矿业有限责任公司隐蔽致灾因素普查报告》专家组确认意见，朝阳市应急管理局，2025年4月1日。</w:t>
      </w:r>
    </w:p>
    <w:p w14:paraId="48E69C7B">
      <w:pPr>
        <w:pStyle w:val="21"/>
        <w:numPr>
          <w:ilvl w:val="0"/>
          <w:numId w:val="5"/>
        </w:numPr>
        <w:bidi w:val="0"/>
        <w:rPr>
          <w:rFonts w:hint="eastAsia"/>
          <w:lang w:val="en-US" w:eastAsia="zh-CN"/>
        </w:rPr>
      </w:pPr>
      <w:r>
        <w:rPr>
          <w:rFonts w:hint="eastAsia"/>
          <w:lang w:val="en-US" w:eastAsia="zh-CN"/>
        </w:rPr>
        <w:t>企业关于居民搬迁的承诺。</w:t>
      </w:r>
    </w:p>
    <w:p w14:paraId="7B4CA440">
      <w:pPr>
        <w:pStyle w:val="21"/>
        <w:numPr>
          <w:ilvl w:val="0"/>
          <w:numId w:val="5"/>
        </w:numPr>
        <w:bidi w:val="0"/>
        <w:rPr>
          <w:rFonts w:hint="eastAsia"/>
          <w:lang w:val="en-US" w:eastAsia="zh-CN"/>
        </w:rPr>
      </w:pPr>
      <w:r>
        <w:rPr>
          <w:rFonts w:hint="eastAsia"/>
          <w:lang w:val="en-US" w:eastAsia="zh-CN"/>
        </w:rPr>
        <w:t>尾砂采购合同。</w:t>
      </w:r>
    </w:p>
    <w:p w14:paraId="5C030A05">
      <w:pPr>
        <w:pStyle w:val="29"/>
        <w:bidi w:val="0"/>
        <w:rPr>
          <w:rFonts w:hint="default"/>
          <w:lang w:val="en-US" w:eastAsia="zh-CN"/>
        </w:rPr>
      </w:pPr>
      <w:r>
        <w:rPr>
          <w:rFonts w:hint="eastAsia"/>
          <w:lang w:val="en-US" w:eastAsia="zh-CN"/>
        </w:rPr>
        <w:t>其他评价依据</w:t>
      </w:r>
    </w:p>
    <w:p w14:paraId="6346D6BF">
      <w:pPr>
        <w:pStyle w:val="21"/>
        <w:numPr>
          <w:ilvl w:val="0"/>
          <w:numId w:val="6"/>
        </w:numPr>
        <w:bidi w:val="0"/>
        <w:rPr>
          <w:rFonts w:hint="eastAsia"/>
          <w:lang w:val="en-US" w:eastAsia="zh-CN"/>
        </w:rPr>
      </w:pPr>
      <w:r>
        <w:rPr>
          <w:rFonts w:hint="eastAsia"/>
          <w:lang w:val="en-US" w:eastAsia="zh-CN"/>
        </w:rPr>
        <w:t>《营业执照》</w:t>
      </w:r>
      <w:r>
        <w:rPr>
          <w:rFonts w:hint="default"/>
          <w:lang w:val="en-US" w:eastAsia="zh-CN"/>
        </w:rPr>
        <w:t>统一社会信用代码：</w:t>
      </w:r>
      <w:r>
        <w:rPr>
          <w:rFonts w:hint="eastAsia"/>
          <w:lang w:val="en-US" w:eastAsia="zh-CN"/>
        </w:rPr>
        <w:t>XXXXXXXXXXXXXXXXX；</w:t>
      </w:r>
    </w:p>
    <w:p w14:paraId="3A400FCE">
      <w:pPr>
        <w:pStyle w:val="21"/>
        <w:numPr>
          <w:ilvl w:val="0"/>
          <w:numId w:val="6"/>
        </w:numPr>
        <w:bidi w:val="0"/>
        <w:rPr>
          <w:rFonts w:hint="eastAsia"/>
          <w:lang w:val="en-US" w:eastAsia="zh-CN"/>
        </w:rPr>
      </w:pPr>
      <w:r>
        <w:rPr>
          <w:rFonts w:hint="eastAsia"/>
          <w:lang w:val="en-US" w:eastAsia="zh-CN"/>
        </w:rPr>
        <w:t>《采矿许可证》证号：XXXXXXXXXXXXXXXXX；</w:t>
      </w:r>
    </w:p>
    <w:p w14:paraId="319494D7">
      <w:pPr>
        <w:pStyle w:val="21"/>
        <w:numPr>
          <w:ilvl w:val="0"/>
          <w:numId w:val="6"/>
        </w:numPr>
        <w:bidi w:val="0"/>
        <w:rPr>
          <w:rFonts w:hint="default"/>
          <w:lang w:val="en-US" w:eastAsia="zh-CN"/>
        </w:rPr>
      </w:pPr>
      <w:r>
        <w:rPr>
          <w:rFonts w:hint="eastAsia"/>
          <w:lang w:val="en-US" w:eastAsia="zh-CN"/>
        </w:rPr>
        <w:t>《最高洪水位证明》。</w:t>
      </w:r>
    </w:p>
    <w:p w14:paraId="6368369F">
      <w:pPr>
        <w:pStyle w:val="27"/>
        <w:bidi w:val="0"/>
        <w:ind w:left="0" w:leftChars="0" w:firstLine="0" w:firstLineChars="0"/>
        <w:rPr>
          <w:rFonts w:hint="default"/>
          <w:lang w:val="en-US" w:eastAsia="zh-CN"/>
        </w:rPr>
      </w:pPr>
      <w:bookmarkStart w:id="12" w:name="_Toc26758"/>
      <w:r>
        <w:rPr>
          <w:rFonts w:hint="eastAsia"/>
          <w:lang w:val="en-US" w:eastAsia="zh-CN"/>
        </w:rPr>
        <w:t>建设项目概述</w:t>
      </w:r>
      <w:bookmarkEnd w:id="12"/>
    </w:p>
    <w:p w14:paraId="2E3627E8">
      <w:pPr>
        <w:pStyle w:val="28"/>
        <w:rPr>
          <w:rFonts w:hint="default"/>
          <w:lang w:val="en-US" w:eastAsia="zh-CN"/>
        </w:rPr>
      </w:pPr>
      <w:bookmarkStart w:id="13" w:name="_Toc31251"/>
      <w:r>
        <w:rPr>
          <w:rFonts w:hint="default"/>
          <w:lang w:val="en-US" w:eastAsia="zh-CN"/>
        </w:rPr>
        <w:t>设单位概况</w:t>
      </w:r>
      <w:bookmarkEnd w:id="13"/>
    </w:p>
    <w:p w14:paraId="3C3514DD">
      <w:pPr>
        <w:pStyle w:val="29"/>
        <w:rPr>
          <w:rFonts w:hint="default"/>
          <w:lang w:val="en-US" w:eastAsia="zh-CN"/>
        </w:rPr>
      </w:pPr>
      <w:r>
        <w:rPr>
          <w:rFonts w:hint="default"/>
          <w:lang w:val="en-US" w:eastAsia="zh-CN"/>
        </w:rPr>
        <w:t>建设单位简介</w:t>
      </w:r>
    </w:p>
    <w:p w14:paraId="38540FBC">
      <w:pPr>
        <w:pStyle w:val="21"/>
        <w:bidi w:val="0"/>
        <w:rPr>
          <w:rFonts w:hint="eastAsia"/>
        </w:rPr>
      </w:pPr>
      <w:r>
        <w:rPr>
          <w:rFonts w:hint="eastAsia"/>
        </w:rPr>
        <w:t>矿山名称：</w:t>
      </w:r>
      <w:r>
        <w:rPr>
          <w:rFonts w:hint="eastAsia"/>
          <w:lang w:val="en-US" w:eastAsia="zh-CN"/>
        </w:rPr>
        <w:t>沈阳浑南矿业有限责任公司辽宁省沈阳市立新铁矿</w:t>
      </w:r>
      <w:r>
        <w:rPr>
          <w:rFonts w:hint="eastAsia"/>
        </w:rPr>
        <w:t>；</w:t>
      </w:r>
    </w:p>
    <w:p w14:paraId="5B2E3947">
      <w:pPr>
        <w:pStyle w:val="21"/>
        <w:bidi w:val="0"/>
        <w:rPr>
          <w:rFonts w:hint="eastAsia"/>
        </w:rPr>
      </w:pPr>
      <w:r>
        <w:rPr>
          <w:rFonts w:hint="eastAsia"/>
        </w:rPr>
        <w:t>采矿权人：</w:t>
      </w:r>
      <w:r>
        <w:rPr>
          <w:rFonts w:hint="eastAsia"/>
          <w:lang w:val="en-US" w:eastAsia="zh-CN"/>
        </w:rPr>
        <w:t>沈阳浑南矿业有限责任公司</w:t>
      </w:r>
      <w:r>
        <w:rPr>
          <w:rFonts w:hint="eastAsia"/>
        </w:rPr>
        <w:t>；</w:t>
      </w:r>
    </w:p>
    <w:p w14:paraId="081181F6">
      <w:pPr>
        <w:pStyle w:val="21"/>
        <w:bidi w:val="0"/>
        <w:rPr>
          <w:rFonts w:hint="eastAsia"/>
        </w:rPr>
      </w:pPr>
      <w:r>
        <w:rPr>
          <w:rFonts w:hint="eastAsia"/>
        </w:rPr>
        <w:t>企业类型：有限责任公司；</w:t>
      </w:r>
    </w:p>
    <w:p w14:paraId="00BFF745">
      <w:pPr>
        <w:pStyle w:val="21"/>
        <w:bidi w:val="0"/>
        <w:rPr>
          <w:rFonts w:hint="eastAsia"/>
        </w:rPr>
      </w:pPr>
      <w:r>
        <w:rPr>
          <w:rFonts w:hint="eastAsia"/>
        </w:rPr>
        <w:t>住    所：</w:t>
      </w:r>
      <w:r>
        <w:rPr>
          <w:rFonts w:hint="eastAsia"/>
          <w:lang w:val="en-US" w:eastAsia="zh-CN"/>
        </w:rPr>
        <w:t>沈阳市苏家屯区大沟乡蟒公村</w:t>
      </w:r>
      <w:r>
        <w:rPr>
          <w:rFonts w:hint="eastAsia"/>
        </w:rPr>
        <w:t>；</w:t>
      </w:r>
    </w:p>
    <w:p w14:paraId="20988D5D">
      <w:pPr>
        <w:pStyle w:val="21"/>
        <w:bidi w:val="0"/>
        <w:rPr>
          <w:rFonts w:hint="eastAsia"/>
        </w:rPr>
      </w:pPr>
      <w:r>
        <w:rPr>
          <w:rFonts w:hint="eastAsia"/>
        </w:rPr>
        <w:t>法定代表人：</w:t>
      </w:r>
      <w:r>
        <w:rPr>
          <w:rFonts w:hint="eastAsia"/>
          <w:lang w:val="en-US" w:eastAsia="zh-CN"/>
        </w:rPr>
        <w:t>陈旭东</w:t>
      </w:r>
      <w:r>
        <w:rPr>
          <w:rFonts w:hint="eastAsia"/>
        </w:rPr>
        <w:t>；</w:t>
      </w:r>
    </w:p>
    <w:p w14:paraId="3B4D54B7">
      <w:pPr>
        <w:pStyle w:val="21"/>
        <w:bidi w:val="0"/>
        <w:rPr>
          <w:rFonts w:hint="eastAsia"/>
        </w:rPr>
      </w:pPr>
      <w:r>
        <w:rPr>
          <w:rFonts w:hint="eastAsia"/>
        </w:rPr>
        <w:t>注册资本：</w:t>
      </w:r>
      <w:r>
        <w:rPr>
          <w:rFonts w:hint="eastAsia"/>
          <w:lang w:val="en-US" w:eastAsia="zh-CN"/>
        </w:rPr>
        <w:t>人民币柒佰伍拾万元整</w:t>
      </w:r>
      <w:r>
        <w:rPr>
          <w:rFonts w:hint="eastAsia"/>
        </w:rPr>
        <w:t>；</w:t>
      </w:r>
    </w:p>
    <w:p w14:paraId="42298925">
      <w:pPr>
        <w:pStyle w:val="21"/>
        <w:bidi w:val="0"/>
        <w:rPr>
          <w:rFonts w:hint="eastAsia"/>
        </w:rPr>
      </w:pPr>
      <w:r>
        <w:rPr>
          <w:rFonts w:hint="eastAsia"/>
        </w:rPr>
        <w:t>登记机关：</w:t>
      </w:r>
      <w:r>
        <w:rPr>
          <w:rFonts w:hint="eastAsia"/>
          <w:lang w:val="en-US" w:eastAsia="zh-CN"/>
        </w:rPr>
        <w:t>沈阳市苏家屯区市场监督管理局</w:t>
      </w:r>
      <w:r>
        <w:rPr>
          <w:rFonts w:hint="eastAsia"/>
        </w:rPr>
        <w:t>；</w:t>
      </w:r>
    </w:p>
    <w:p w14:paraId="0576E3F0">
      <w:pPr>
        <w:pStyle w:val="21"/>
        <w:bidi w:val="0"/>
        <w:rPr>
          <w:rFonts w:hint="eastAsia"/>
        </w:rPr>
      </w:pPr>
      <w:r>
        <w:rPr>
          <w:rFonts w:hint="eastAsia"/>
        </w:rPr>
        <w:t>营业期限：</w:t>
      </w:r>
      <w:r>
        <w:rPr>
          <w:rFonts w:hint="eastAsia"/>
          <w:lang w:val="en-US" w:eastAsia="zh-CN"/>
        </w:rPr>
        <w:t>自2004</w:t>
      </w:r>
      <w:r>
        <w:rPr>
          <w:rFonts w:hint="eastAsia"/>
        </w:rPr>
        <w:t>年</w:t>
      </w:r>
      <w:r>
        <w:rPr>
          <w:rFonts w:hint="eastAsia"/>
          <w:lang w:val="en-US" w:eastAsia="zh-CN"/>
        </w:rPr>
        <w:t>08</w:t>
      </w:r>
      <w:r>
        <w:rPr>
          <w:rFonts w:hint="eastAsia"/>
        </w:rPr>
        <w:t>月</w:t>
      </w:r>
      <w:r>
        <w:rPr>
          <w:rFonts w:hint="eastAsia"/>
          <w:lang w:val="en-US" w:eastAsia="zh-CN"/>
        </w:rPr>
        <w:t>09</w:t>
      </w:r>
      <w:r>
        <w:rPr>
          <w:rFonts w:hint="eastAsia"/>
        </w:rPr>
        <w:t>日至</w:t>
      </w:r>
      <w:r>
        <w:rPr>
          <w:rFonts w:hint="eastAsia"/>
          <w:lang w:val="en-US" w:eastAsia="zh-CN"/>
        </w:rPr>
        <w:t>无固定期限</w:t>
      </w:r>
      <w:r>
        <w:rPr>
          <w:rFonts w:hint="eastAsia"/>
        </w:rPr>
        <w:t>；</w:t>
      </w:r>
    </w:p>
    <w:p w14:paraId="6730E6B3">
      <w:pPr>
        <w:pStyle w:val="21"/>
        <w:bidi w:val="0"/>
        <w:rPr>
          <w:rFonts w:hint="eastAsia"/>
        </w:rPr>
      </w:pPr>
      <w:r>
        <w:rPr>
          <w:rFonts w:hint="eastAsia"/>
        </w:rPr>
        <w:t>统一社会信用代码：</w:t>
      </w:r>
      <w:r>
        <w:rPr>
          <w:rFonts w:hint="eastAsia"/>
          <w:lang w:val="en-US" w:eastAsia="zh-CN"/>
        </w:rPr>
        <w:t>XXXXXXXXXXXXXXXXX</w:t>
      </w:r>
      <w:r>
        <w:rPr>
          <w:rFonts w:hint="eastAsia"/>
        </w:rPr>
        <w:t>。</w:t>
      </w:r>
    </w:p>
    <w:p w14:paraId="313C70E9">
      <w:pPr>
        <w:pStyle w:val="21"/>
        <w:bidi w:val="0"/>
        <w:rPr>
          <w:rFonts w:hint="eastAsia"/>
          <w:lang w:val="en-US" w:eastAsia="zh-CN"/>
        </w:rPr>
      </w:pPr>
      <w:r>
        <w:t>2015年</w:t>
      </w:r>
      <w:r>
        <w:rPr>
          <w:rFonts w:hint="eastAsia"/>
          <w:lang w:val="en-US" w:eastAsia="zh-CN"/>
        </w:rPr>
        <w:t>矿山在原采矿许可证范围内完成</w:t>
      </w:r>
      <w:r>
        <w:t>深部扩界</w:t>
      </w:r>
      <w:r>
        <w:rPr>
          <w:rFonts w:hint="eastAsia"/>
          <w:lang w:eastAsia="zh-CN"/>
        </w:rPr>
        <w:t>，</w:t>
      </w:r>
      <w:r>
        <w:rPr>
          <w:rFonts w:hint="eastAsia"/>
          <w:lang w:val="en-US" w:eastAsia="zh-CN"/>
        </w:rPr>
        <w:t>取得新采矿许可证，批准生产规模30万t/a，开采方式为露天/地下开采，矿区面积0.1023km2，开采标高103m至-120m。</w:t>
      </w:r>
    </w:p>
    <w:p w14:paraId="5464F283">
      <w:pPr>
        <w:pStyle w:val="21"/>
        <w:bidi w:val="0"/>
        <w:rPr>
          <w:rFonts w:hint="eastAsia"/>
          <w:lang w:eastAsia="zh-CN"/>
        </w:rPr>
      </w:pPr>
      <w:r>
        <w:t>2015年8月露天开采结束，</w:t>
      </w:r>
      <w:r>
        <w:rPr>
          <w:rFonts w:hint="eastAsia"/>
          <w:lang w:val="en-US" w:eastAsia="zh-CN"/>
        </w:rPr>
        <w:t>全面</w:t>
      </w:r>
      <w:r>
        <w:t>转为地下开采。</w:t>
      </w:r>
      <w:r>
        <w:rPr>
          <w:rFonts w:hint="eastAsia"/>
          <w:lang w:val="en-US" w:eastAsia="zh-CN"/>
        </w:rPr>
        <w:t>采用</w:t>
      </w:r>
      <w:r>
        <w:t>斜坡道开拓，回风井回风的对角抽出式通风系统，采矿方法采用无底柱分段崩落采矿方法。</w:t>
      </w:r>
    </w:p>
    <w:p w14:paraId="0C53278D">
      <w:pPr>
        <w:pStyle w:val="21"/>
        <w:bidi w:val="0"/>
        <w:rPr>
          <w:rFonts w:hint="eastAsia"/>
          <w:lang w:val="en-US" w:eastAsia="zh-CN"/>
        </w:rPr>
      </w:pPr>
      <w:r>
        <w:rPr>
          <w:rFonts w:hint="eastAsia"/>
          <w:lang w:val="en-US" w:eastAsia="zh-CN"/>
        </w:rPr>
        <w:t>2020年企业着手办理扩界、提高产能等相关手续。2023年后，矿山因原采矿许可证到期，停产至今。</w:t>
      </w:r>
    </w:p>
    <w:p w14:paraId="6D4E7BFE">
      <w:pPr>
        <w:pStyle w:val="21"/>
        <w:keepNext w:val="0"/>
        <w:keepLines w:val="0"/>
        <w:pageBreakBefore w:val="0"/>
        <w:widowControl w:val="0"/>
        <w:kinsoku/>
        <w:wordWrap/>
        <w:overflowPunct/>
        <w:topLinePunct w:val="0"/>
        <w:autoSpaceDE/>
        <w:autoSpaceDN/>
        <w:bidi w:val="0"/>
        <w:adjustRightInd w:val="0"/>
        <w:snapToGrid w:val="0"/>
        <w:textAlignment w:val="auto"/>
        <w:rPr>
          <w:rFonts w:hint="eastAsia"/>
          <w:lang w:val="en-US" w:eastAsia="zh-CN"/>
        </w:rPr>
      </w:pPr>
      <w:r>
        <w:rPr>
          <w:rFonts w:hint="eastAsia"/>
          <w:lang w:val="en-US" w:eastAsia="zh-CN"/>
        </w:rPr>
        <w:t>2024年7月30日，取得扩界后的采矿许可证，生产规模为60万t/a，开采方式为地下开采，矿区面积0.8135km</w:t>
      </w:r>
      <w:r>
        <w:rPr>
          <w:rFonts w:hint="eastAsia"/>
          <w:vertAlign w:val="superscript"/>
          <w:lang w:val="en-US" w:eastAsia="zh-CN"/>
        </w:rPr>
        <w:t>2</w:t>
      </w:r>
      <w:r>
        <w:rPr>
          <w:rFonts w:hint="eastAsia"/>
          <w:lang w:val="en-US" w:eastAsia="zh-CN"/>
        </w:rPr>
        <w:t>，开采标高103m至-580m。</w:t>
      </w:r>
    </w:p>
    <w:p w14:paraId="193F8EE0">
      <w:pPr>
        <w:pStyle w:val="21"/>
        <w:keepNext w:val="0"/>
        <w:keepLines w:val="0"/>
        <w:pageBreakBefore w:val="0"/>
        <w:widowControl w:val="0"/>
        <w:kinsoku/>
        <w:wordWrap/>
        <w:overflowPunct/>
        <w:topLinePunct w:val="0"/>
        <w:autoSpaceDE/>
        <w:autoSpaceDN/>
        <w:bidi w:val="0"/>
        <w:adjustRightInd w:val="0"/>
        <w:snapToGrid w:val="0"/>
        <w:textAlignment w:val="auto"/>
        <w:rPr>
          <w:rFonts w:hint="eastAsia"/>
        </w:rPr>
      </w:pPr>
      <w:r>
        <w:rPr>
          <w:rFonts w:hint="eastAsia"/>
          <w:lang w:val="en-US" w:eastAsia="zh-CN"/>
        </w:rPr>
        <w:t>2025年4月11日取得辽宁省发展和改革委下发的《省发展改革委关于沈阳浑南矿业有限责任公司(铁矿)地下开采建设项目核准的批复》（辽发改工业〔2025〕304号）。</w:t>
      </w:r>
    </w:p>
    <w:p w14:paraId="23470845">
      <w:pPr>
        <w:pStyle w:val="21"/>
        <w:bidi w:val="0"/>
        <w:rPr>
          <w:rFonts w:hint="default"/>
          <w:lang w:val="en-US" w:eastAsia="zh-CN"/>
        </w:rPr>
      </w:pPr>
      <w:r>
        <w:rPr>
          <w:rFonts w:hint="eastAsia"/>
          <w:lang w:val="en-US" w:eastAsia="zh-CN"/>
        </w:rPr>
        <w:t>沈阳浑南矿业有限责任公司（铁矿）地下开采建设项目</w:t>
      </w:r>
      <w:r>
        <w:rPr>
          <w:rFonts w:hint="default"/>
          <w:lang w:val="en-US" w:eastAsia="zh-CN"/>
        </w:rPr>
        <w:t>，属于改、扩建项目。</w:t>
      </w:r>
    </w:p>
    <w:p w14:paraId="695413F6">
      <w:pPr>
        <w:pStyle w:val="29"/>
        <w:bidi w:val="0"/>
        <w:rPr>
          <w:rFonts w:hint="default"/>
          <w:lang w:val="en-US" w:eastAsia="zh-CN"/>
        </w:rPr>
      </w:pPr>
      <w:r>
        <w:rPr>
          <w:rFonts w:hint="eastAsia"/>
          <w:lang w:val="en-US" w:eastAsia="zh-CN"/>
        </w:rPr>
        <w:t>地理位置及交通</w:t>
      </w:r>
    </w:p>
    <w:p w14:paraId="49CF84A1">
      <w:pPr>
        <w:pStyle w:val="21"/>
        <w:bidi w:val="0"/>
        <w:rPr>
          <w:rFonts w:hint="default"/>
          <w:lang w:val="en-US" w:eastAsia="zh-CN"/>
        </w:rPr>
      </w:pPr>
      <w:r>
        <w:rPr>
          <w:rFonts w:hint="default"/>
          <w:lang w:val="en-US" w:eastAsia="zh-CN"/>
        </w:rPr>
        <w:t>沈阳浑南矿业有限责任公司辽宁省沈阳市立新铁位于沈阳市苏家屯区东南山区，矿区行政区划隶属于沈阳市苏家屯区大沟乡管辖。</w:t>
      </w:r>
    </w:p>
    <w:p w14:paraId="4EC7544E">
      <w:pPr>
        <w:pStyle w:val="21"/>
        <w:bidi w:val="0"/>
        <w:rPr>
          <w:rFonts w:hint="default"/>
          <w:lang w:val="en-US" w:eastAsia="zh-CN"/>
        </w:rPr>
      </w:pPr>
      <w:r>
        <w:rPr>
          <w:rFonts w:hint="default"/>
          <w:lang w:val="en-US" w:eastAsia="zh-CN"/>
        </w:rPr>
        <w:t>矿区西距沈大（G15）高速12km，西距沈营公路8km，东距沈丹（G1113高）速15km，东距304国道9km，省道十大线(S107)从矿区内东南部通过，矿区距沈阳市30km，距苏家屯16km，矿区附近有铁路两条，距陈相屯火车站8Km，交通十分方便（详见交通位置图）。</w:t>
      </w:r>
    </w:p>
    <w:p w14:paraId="78DA4BA7">
      <w:pPr>
        <w:pStyle w:val="21"/>
        <w:bidi w:val="0"/>
        <w:rPr>
          <w:rFonts w:hint="default"/>
          <w:lang w:val="en-US" w:eastAsia="zh-CN"/>
        </w:rPr>
      </w:pPr>
      <w:r>
        <w:rPr>
          <w:rFonts w:hint="default"/>
          <w:lang w:val="en-US" w:eastAsia="zh-CN"/>
        </w:rPr>
        <w:t xml:space="preserve">矿区中心地理坐标：东经 </w:t>
      </w:r>
      <w:r>
        <w:rPr>
          <w:rFonts w:hint="eastAsia"/>
          <w:lang w:val="en-US" w:eastAsia="zh-CN"/>
        </w:rPr>
        <w:t>XXXXXX</w:t>
      </w:r>
      <w:r>
        <w:rPr>
          <w:rFonts w:hint="default"/>
          <w:lang w:val="en-US" w:eastAsia="zh-CN"/>
        </w:rPr>
        <w:t>；</w:t>
      </w:r>
    </w:p>
    <w:p w14:paraId="69CDC8EB">
      <w:pPr>
        <w:pStyle w:val="21"/>
        <w:bidi w:val="0"/>
        <w:rPr>
          <w:rFonts w:hint="default"/>
          <w:lang w:val="en-US" w:eastAsia="zh-CN"/>
        </w:rPr>
      </w:pPr>
      <w:r>
        <w:rPr>
          <w:rFonts w:hint="eastAsia"/>
          <w:lang w:val="en-US" w:eastAsia="zh-CN"/>
        </w:rPr>
        <w:t xml:space="preserve">                  </w:t>
      </w:r>
      <w:r>
        <w:rPr>
          <w:rFonts w:hint="default"/>
          <w:lang w:val="en-US" w:eastAsia="zh-CN"/>
        </w:rPr>
        <w:t xml:space="preserve">北纬 </w:t>
      </w:r>
      <w:r>
        <w:rPr>
          <w:rFonts w:hint="eastAsia"/>
          <w:lang w:val="en-US" w:eastAsia="zh-CN"/>
        </w:rPr>
        <w:t>XXXXXXX</w:t>
      </w:r>
      <w:r>
        <w:rPr>
          <w:rFonts w:hint="default"/>
          <w:lang w:val="en-US" w:eastAsia="zh-CN"/>
        </w:rPr>
        <w:t>；</w:t>
      </w:r>
    </w:p>
    <w:p w14:paraId="2C946D4C">
      <w:pPr>
        <w:pStyle w:val="21"/>
        <w:bidi w:val="0"/>
        <w:rPr>
          <w:rFonts w:hint="default"/>
        </w:rPr>
      </w:pPr>
      <w:r>
        <w:rPr>
          <w:rFonts w:cs="Times New Roman" w:asciiTheme="majorEastAsia" w:hAnsiTheme="majorEastAsia" w:eastAsiaTheme="majorEastAsia"/>
          <w:kern w:val="2"/>
          <w:sz w:val="28"/>
          <w:szCs w:val="28"/>
          <w:highlight w:val="none"/>
          <w:lang w:eastAsia="zh-CN"/>
        </w:rPr>
        <w:drawing>
          <wp:inline distT="0" distB="0" distL="114300" distR="114300">
            <wp:extent cx="5251450" cy="7112000"/>
            <wp:effectExtent l="0" t="0" r="6350" b="12700"/>
            <wp:docPr id="25" name="图片 1" descr="交通位置图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1" descr="交通位置图11"/>
                    <pic:cNvPicPr>
                      <a:picLocks noChangeAspect="1"/>
                    </pic:cNvPicPr>
                  </pic:nvPicPr>
                  <pic:blipFill>
                    <a:blip r:embed="rId6"/>
                    <a:stretch>
                      <a:fillRect/>
                    </a:stretch>
                  </pic:blipFill>
                  <pic:spPr>
                    <a:xfrm>
                      <a:off x="0" y="0"/>
                      <a:ext cx="5251450" cy="7112000"/>
                    </a:xfrm>
                    <a:prstGeom prst="rect">
                      <a:avLst/>
                    </a:prstGeom>
                    <a:noFill/>
                    <a:ln>
                      <a:noFill/>
                    </a:ln>
                  </pic:spPr>
                </pic:pic>
              </a:graphicData>
            </a:graphic>
          </wp:inline>
        </w:drawing>
      </w:r>
    </w:p>
    <w:p w14:paraId="005B23AA">
      <w:pPr>
        <w:pStyle w:val="30"/>
        <w:bidi w:val="0"/>
        <w:ind w:left="0" w:leftChars="0" w:right="0" w:rightChars="0" w:firstLine="0" w:firstLineChars="0"/>
        <w:jc w:val="center"/>
        <w:rPr>
          <w:rFonts w:hint="default"/>
          <w:lang w:val="en-US" w:eastAsia="zh-CN"/>
        </w:rPr>
      </w:pPr>
      <w:r>
        <w:rPr>
          <w:rFonts w:hint="default"/>
          <w:lang w:eastAsia="zh-CN"/>
        </w:rPr>
        <w:t>图</w:t>
      </w:r>
      <w:r>
        <w:rPr>
          <w:rFonts w:hint="eastAsia"/>
          <w:lang w:val="en-US" w:eastAsia="zh-CN"/>
        </w:rPr>
        <w:t>2.1</w:t>
      </w:r>
      <w:r>
        <w:rPr>
          <w:rFonts w:hint="default"/>
          <w:lang w:val="en-US" w:eastAsia="zh-CN"/>
        </w:rPr>
        <w:t>-1  交通位置图</w:t>
      </w:r>
    </w:p>
    <w:p w14:paraId="6F1C86A1">
      <w:pPr>
        <w:pStyle w:val="29"/>
        <w:bidi w:val="0"/>
        <w:rPr>
          <w:rFonts w:hint="default"/>
          <w:lang w:val="en-US" w:eastAsia="zh-CN"/>
        </w:rPr>
      </w:pPr>
      <w:r>
        <w:rPr>
          <w:rFonts w:hint="eastAsia"/>
          <w:lang w:val="en-US" w:eastAsia="zh-CN"/>
        </w:rPr>
        <w:t>矿区周边环境</w:t>
      </w:r>
    </w:p>
    <w:p w14:paraId="76DC737E">
      <w:pPr>
        <w:pStyle w:val="21"/>
        <w:bidi w:val="0"/>
        <w:rPr>
          <w:rFonts w:hint="eastAsia"/>
          <w:lang w:val="en-US" w:eastAsia="zh-CN"/>
        </w:rPr>
      </w:pPr>
      <w:r>
        <w:rPr>
          <w:rFonts w:hint="eastAsia"/>
          <w:lang w:val="en-US" w:eastAsia="zh-CN"/>
        </w:rPr>
        <w:t>（1）尾矿库</w:t>
      </w:r>
    </w:p>
    <w:p w14:paraId="158FDEF2">
      <w:pPr>
        <w:pStyle w:val="21"/>
        <w:bidi w:val="0"/>
        <w:rPr>
          <w:rFonts w:hint="default"/>
          <w:lang w:val="en-US" w:eastAsia="zh-CN"/>
        </w:rPr>
      </w:pPr>
      <w:r>
        <w:rPr>
          <w:rFonts w:hint="eastAsia"/>
          <w:lang w:val="en-US" w:eastAsia="zh-CN"/>
        </w:rPr>
        <w:t>矿山北侧为自有尾矿库</w:t>
      </w:r>
      <w:r>
        <w:rPr>
          <w:rFonts w:hint="default"/>
          <w:lang w:eastAsia="zh-CN"/>
        </w:rPr>
        <w:t>，该尾矿库为“山谷型”，尾矿库由初期坝及后期堆积坝组成，堆积坝由</w:t>
      </w:r>
      <w:r>
        <w:rPr>
          <w:rFonts w:hint="default"/>
          <w:lang w:val="en-US" w:eastAsia="zh-CN"/>
        </w:rPr>
        <w:t>碎石</w:t>
      </w:r>
      <w:r>
        <w:rPr>
          <w:rFonts w:hint="default"/>
          <w:lang w:eastAsia="zh-CN"/>
        </w:rPr>
        <w:t>堆筑，采用“</w:t>
      </w:r>
      <w:r>
        <w:rPr>
          <w:rFonts w:hint="default"/>
          <w:lang w:val="en-US" w:eastAsia="zh-CN"/>
        </w:rPr>
        <w:t>下</w:t>
      </w:r>
      <w:r>
        <w:rPr>
          <w:rFonts w:hint="default"/>
          <w:lang w:eastAsia="zh-CN"/>
        </w:rPr>
        <w:t>游式”。</w:t>
      </w:r>
      <w:r>
        <w:rPr>
          <w:rFonts w:hint="default"/>
          <w:lang w:val="en-US" w:eastAsia="zh-CN"/>
        </w:rPr>
        <w:t>尾矿库现状总库容约为72万m³，尾矿库现状等别为五等。</w:t>
      </w:r>
      <w:r>
        <w:rPr>
          <w:rFonts w:hint="eastAsia"/>
          <w:lang w:val="en-US" w:eastAsia="zh-CN"/>
        </w:rPr>
        <w:t>尾矿坝位于库区北侧，背离本次开采范围。现该尾矿库正在履行闭库手续，现状条件下库内已完成复垦，无积水区</w:t>
      </w:r>
      <w:r>
        <w:rPr>
          <w:rFonts w:hint="default"/>
          <w:lang w:val="en-US" w:eastAsia="zh-CN"/>
        </w:rPr>
        <w:t>。</w:t>
      </w:r>
      <w:r>
        <w:rPr>
          <w:rFonts w:hint="eastAsia"/>
          <w:lang w:val="en-US" w:eastAsia="zh-CN"/>
        </w:rPr>
        <w:t>该尾矿库距离原地下开采岩石移动范围23m，距离最近井口（斜坡道硐口）187m。</w:t>
      </w:r>
    </w:p>
    <w:p w14:paraId="3F464029">
      <w:pPr>
        <w:pStyle w:val="21"/>
        <w:bidi w:val="0"/>
        <w:rPr>
          <w:rFonts w:hint="eastAsia"/>
          <w:lang w:val="en-US" w:eastAsia="zh-CN"/>
        </w:rPr>
      </w:pPr>
      <w:r>
        <w:rPr>
          <w:rFonts w:hint="eastAsia"/>
          <w:lang w:val="en-US" w:eastAsia="zh-CN"/>
        </w:rPr>
        <w:t>（2）东山口水库</w:t>
      </w:r>
    </w:p>
    <w:p w14:paraId="6A68D80D">
      <w:pPr>
        <w:pStyle w:val="21"/>
        <w:bidi w:val="0"/>
        <w:rPr>
          <w:rFonts w:hint="default"/>
          <w:lang w:val="en-US" w:eastAsia="zh-CN"/>
        </w:rPr>
      </w:pPr>
      <w:r>
        <w:rPr>
          <w:rFonts w:hint="eastAsia"/>
          <w:lang w:val="en-US" w:eastAsia="zh-CN"/>
        </w:rPr>
        <w:t>矿山东北侧为沈阳市苏家屯区东山口水库，东山口水库位于苏家屯区东山口自然村，所在河流为北沙河支流，属于Ⅱ型水库，东山口水库与本项目原地下开采岩石移动范围最小距离772m，与本项目之间相隔两道山梁。</w:t>
      </w:r>
    </w:p>
    <w:p w14:paraId="34F416E8">
      <w:pPr>
        <w:pStyle w:val="21"/>
        <w:bidi w:val="0"/>
        <w:rPr>
          <w:rFonts w:hint="eastAsia"/>
          <w:lang w:val="en-US" w:eastAsia="zh-CN"/>
        </w:rPr>
      </w:pPr>
      <w:r>
        <w:rPr>
          <w:rFonts w:hint="eastAsia"/>
          <w:lang w:val="en-US" w:eastAsia="zh-CN"/>
        </w:rPr>
        <w:t>（3）地表水塘</w:t>
      </w:r>
    </w:p>
    <w:p w14:paraId="73F0D49F">
      <w:pPr>
        <w:pStyle w:val="21"/>
        <w:bidi w:val="0"/>
        <w:rPr>
          <w:rFonts w:hint="default"/>
          <w:lang w:val="en-US" w:eastAsia="zh-CN"/>
        </w:rPr>
      </w:pPr>
      <w:r>
        <w:rPr>
          <w:rFonts w:hint="eastAsia"/>
          <w:lang w:val="en-US" w:eastAsia="zh-CN"/>
        </w:rPr>
        <w:t>矿区西侧地表现有七处大小不等的地表水池，为原选矿厂回水水池。矿山计划利用西侧的三个水塘作为生产水池和事故池，在地下基建工程完成前将不再利用地表水池全部进行回填，恢复地表地貌。</w:t>
      </w:r>
    </w:p>
    <w:p w14:paraId="014DF6EF">
      <w:pPr>
        <w:pStyle w:val="21"/>
        <w:bidi w:val="0"/>
        <w:rPr>
          <w:rFonts w:hint="default"/>
          <w:lang w:val="en-US" w:eastAsia="zh-CN"/>
        </w:rPr>
      </w:pPr>
      <w:r>
        <w:rPr>
          <w:rFonts w:hint="eastAsia"/>
          <w:lang w:val="en-US" w:eastAsia="zh-CN"/>
        </w:rPr>
        <w:t>（4）S107省道</w:t>
      </w:r>
    </w:p>
    <w:p w14:paraId="5A09C51D">
      <w:pPr>
        <w:pStyle w:val="21"/>
        <w:bidi w:val="0"/>
        <w:rPr>
          <w:rFonts w:hint="default"/>
          <w:lang w:val="en-US" w:eastAsia="zh-CN"/>
        </w:rPr>
      </w:pPr>
      <w:r>
        <w:rPr>
          <w:rFonts w:hint="eastAsia"/>
          <w:lang w:val="en-US" w:eastAsia="zh-CN"/>
        </w:rPr>
        <w:t>本项目南侧为S107省道，根据《公路安全保护条例》及公路未来发展规划要求，沈阳浑南矿业有限责任公司应将公路保护矿柱设置在距公路用地外缘108m以外（由于省道的公路用地外缘起向外100m禁止从事采矿活动，公路用地范围为公路两侧边沟或外坡1m，未来发展规划需要公路两侧增加7m，因此该公路保护矿柱设置在距公路用地108m以外），确保S107省道的安全。留设保护矿柱后S107省道与矿山新地下开采岩石移动监测范围最小距离为108m。</w:t>
      </w:r>
    </w:p>
    <w:p w14:paraId="5846294E">
      <w:pPr>
        <w:pStyle w:val="21"/>
        <w:bidi w:val="0"/>
        <w:rPr>
          <w:rFonts w:hint="eastAsia"/>
          <w:lang w:val="en-US" w:eastAsia="zh-CN"/>
        </w:rPr>
      </w:pPr>
      <w:r>
        <w:rPr>
          <w:rFonts w:hint="eastAsia"/>
          <w:lang w:val="en-US" w:eastAsia="zh-CN"/>
        </w:rPr>
        <w:t>（5）民房</w:t>
      </w:r>
    </w:p>
    <w:p w14:paraId="355DA3CC">
      <w:pPr>
        <w:pStyle w:val="21"/>
        <w:bidi w:val="0"/>
        <w:rPr>
          <w:rFonts w:hint="eastAsia"/>
          <w:lang w:val="en-US" w:eastAsia="zh-CN"/>
        </w:rPr>
      </w:pPr>
      <w:r>
        <w:rPr>
          <w:rFonts w:hint="eastAsia"/>
          <w:lang w:val="en-US" w:eastAsia="zh-CN"/>
        </w:rPr>
        <w:t>矿区北侧为东山口村，与矿界最近距离为170m，与地下开采岩石移动监测范围最近距离870m。</w:t>
      </w:r>
    </w:p>
    <w:p w14:paraId="05F69CDD">
      <w:pPr>
        <w:pStyle w:val="21"/>
        <w:bidi w:val="0"/>
        <w:rPr>
          <w:rFonts w:hint="eastAsia"/>
          <w:lang w:val="en-US" w:eastAsia="zh-CN"/>
        </w:rPr>
      </w:pPr>
      <w:r>
        <w:rPr>
          <w:rFonts w:hint="eastAsia"/>
          <w:lang w:val="en-US" w:eastAsia="zh-CN"/>
        </w:rPr>
        <w:t>矿区南侧为德胜号村，与矿界最近距离为300m，与地下开采岩石移动监测范围最近距离780m。</w:t>
      </w:r>
    </w:p>
    <w:p w14:paraId="0DE8B823">
      <w:pPr>
        <w:pStyle w:val="21"/>
        <w:bidi w:val="0"/>
        <w:rPr>
          <w:rFonts w:hint="eastAsia"/>
          <w:lang w:val="en-US" w:eastAsia="zh-CN"/>
        </w:rPr>
      </w:pPr>
      <w:r>
        <w:rPr>
          <w:rFonts w:hint="eastAsia"/>
          <w:lang w:val="en-US" w:eastAsia="zh-CN"/>
        </w:rPr>
        <w:t>矿区范围内有莽公屯村民房共计101户，经统计位于岩石移动监测范围内和井巷工程施工影响范围内的居民共计77户，上述居民需要进行搬迁，同时为改善剩余居民的生活环境，由企业出资将剩余的24户一并考虑进行搬迁。搬迁工作由企业出资，已上交当地政府动迁款7000万用于上述居民搬迁工作，沈阳市苏家屯区十里河街道办事处组织实施，并承诺在矿山正式生产前全部搬迁完毕。</w:t>
      </w:r>
    </w:p>
    <w:p w14:paraId="126CC64E">
      <w:pPr>
        <w:pStyle w:val="21"/>
        <w:bidi w:val="0"/>
        <w:rPr>
          <w:rFonts w:hint="eastAsia"/>
          <w:lang w:val="en-US" w:eastAsia="zh-CN"/>
        </w:rPr>
      </w:pPr>
      <w:r>
        <w:rPr>
          <w:rFonts w:hint="eastAsia"/>
          <w:lang w:val="en-US" w:eastAsia="zh-CN"/>
        </w:rPr>
        <w:t>根据搬迁计划，按居民受影响程度划分三期进行搬迁，一期搬迁为岩石移动监测范围内的居民（43户），二期搬迁岩石移动监测范围周边及受井巷工程施工影响的居民（34户），三期搬迁远离开采范围不受开采影响的其余居民（24户）。一期和二期居民（共计77户）目前已经搬迁完毕，企业已出具承诺，极力配合政府搬迁工作，力争在2025年年底完成三期居民搬迁工作。</w:t>
      </w:r>
    </w:p>
    <w:p w14:paraId="0BAC0FBC">
      <w:pPr>
        <w:pStyle w:val="21"/>
        <w:bidi w:val="0"/>
        <w:rPr>
          <w:rFonts w:hint="eastAsia"/>
          <w:lang w:val="en-US" w:eastAsia="zh-CN"/>
        </w:rPr>
      </w:pPr>
      <w:r>
        <w:rPr>
          <w:rFonts w:hint="eastAsia"/>
          <w:lang w:val="en-US" w:eastAsia="zh-CN"/>
        </w:rPr>
        <w:t>莽公屯村范围内还有两处厂房和村部不在动迁范围内，其中厂房与地下开采岩石移动监测范围最近距离108m，村部与地下开采岩石移动监测范围最近距离228m。</w:t>
      </w:r>
    </w:p>
    <w:p w14:paraId="2456E659">
      <w:pPr>
        <w:pStyle w:val="21"/>
        <w:bidi w:val="0"/>
        <w:rPr>
          <w:rFonts w:hint="eastAsia"/>
          <w:lang w:val="en-US" w:eastAsia="zh-CN"/>
        </w:rPr>
      </w:pPr>
      <w:r>
        <w:rPr>
          <w:rFonts w:hint="eastAsia"/>
          <w:lang w:val="en-US" w:eastAsia="zh-CN"/>
        </w:rPr>
        <w:t>（6）信号塔</w:t>
      </w:r>
    </w:p>
    <w:p w14:paraId="355DB6BD">
      <w:pPr>
        <w:pStyle w:val="21"/>
        <w:bidi w:val="0"/>
        <w:rPr>
          <w:rFonts w:hint="eastAsia"/>
          <w:lang w:val="en-US" w:eastAsia="zh-CN"/>
        </w:rPr>
      </w:pPr>
      <w:r>
        <w:rPr>
          <w:rFonts w:hint="eastAsia"/>
          <w:lang w:val="en-US" w:eastAsia="zh-CN"/>
        </w:rPr>
        <w:t>矿区周边分布两个信号塔，分别位于矿区的东西两侧。其中西侧信号塔位于村部边缘，与地下开采岩石移动监测范围最近距离231m；东侧信号塔位于矿区外3m，与地下开采岩石移动监测范围最近距离202m。</w:t>
      </w:r>
    </w:p>
    <w:p w14:paraId="4214EFE1">
      <w:pPr>
        <w:pStyle w:val="21"/>
        <w:bidi w:val="0"/>
        <w:rPr>
          <w:rFonts w:hint="default"/>
          <w:lang w:val="en-US" w:eastAsia="zh-CN"/>
        </w:rPr>
      </w:pPr>
      <w:r>
        <w:rPr>
          <w:rFonts w:hint="eastAsia"/>
          <w:lang w:val="en-US" w:eastAsia="zh-CN"/>
        </w:rPr>
        <w:t>（7）基本农田</w:t>
      </w:r>
    </w:p>
    <w:p w14:paraId="5FE1FEEC">
      <w:pPr>
        <w:pStyle w:val="21"/>
        <w:bidi w:val="0"/>
        <w:rPr>
          <w:rFonts w:hint="eastAsia"/>
          <w:lang w:val="en-US" w:eastAsia="zh-CN"/>
        </w:rPr>
      </w:pPr>
      <w:r>
        <w:t>矿区范围内</w:t>
      </w:r>
      <w:r>
        <w:rPr>
          <w:rFonts w:hint="eastAsia"/>
        </w:rPr>
        <w:t>共分布7个地块为</w:t>
      </w:r>
      <w:r>
        <w:t>基本农田</w:t>
      </w:r>
      <w:r>
        <w:rPr>
          <w:rFonts w:hint="eastAsia"/>
        </w:rPr>
        <w:t>。矿区内基本农田</w:t>
      </w:r>
      <w:r>
        <w:t>总面积为</w:t>
      </w:r>
      <w:r>
        <w:rPr>
          <w:rFonts w:hint="eastAsia"/>
          <w:lang w:val="en-US" w:eastAsia="zh-CN"/>
        </w:rPr>
        <w:t>17.0809</w:t>
      </w:r>
      <w:r>
        <w:t>公顷，</w:t>
      </w:r>
      <w:r>
        <w:rPr>
          <w:rFonts w:hint="eastAsia"/>
        </w:rPr>
        <w:t>基本农田土地类型为水田、旱地</w:t>
      </w:r>
      <w:r>
        <w:rPr>
          <w:rFonts w:hint="eastAsia"/>
          <w:lang w:val="en-US" w:eastAsia="zh-CN"/>
        </w:rPr>
        <w:t>。</w:t>
      </w:r>
    </w:p>
    <w:p w14:paraId="56960587">
      <w:pPr>
        <w:pStyle w:val="21"/>
        <w:bidi w:val="0"/>
        <w:rPr>
          <w:rFonts w:hint="default"/>
          <w:lang w:val="en-US" w:eastAsia="zh-CN"/>
        </w:rPr>
      </w:pPr>
      <w:r>
        <w:rPr>
          <w:rFonts w:hint="eastAsia"/>
        </w:rPr>
        <w:t>2020年4月委托辽宁鼎唐生态环境咨询有限公司编制《沈阳浑南矿业有限责任公司（铁矿）矿产资源开发对矿区范围内基本农田影响论证报告》，2020年7月27日沈阳市自然资源局苏家屯分局出具了《关于沈阳浑南矿业有限责任公司（铁矿）划定矿区范围涉及基本农田保护区和永久基本农田审核和论证情况报告》，经专家充分论证和核实审查，矿山地上设施和其他建设不涉及占用永久基本农田，地下开采活动不会对耕作层造成破坏。</w:t>
      </w:r>
    </w:p>
    <w:p w14:paraId="2BC2AEE4">
      <w:pPr>
        <w:pStyle w:val="21"/>
        <w:bidi w:val="0"/>
        <w:rPr>
          <w:rFonts w:hint="eastAsia"/>
          <w:lang w:val="en-US" w:eastAsia="zh-CN"/>
        </w:rPr>
      </w:pPr>
      <w:r>
        <w:rPr>
          <w:rFonts w:hint="eastAsia"/>
          <w:lang w:eastAsia="zh-CN"/>
        </w:rPr>
        <w:t>除此之外，</w:t>
      </w:r>
      <w:r>
        <w:rPr>
          <w:rFonts w:hint="eastAsia"/>
          <w:lang w:val="en-US" w:eastAsia="zh-CN"/>
        </w:rPr>
        <w:t>矿区范围周边300m范围内无村庄、居民、学校、医院、文物古迹、旅游风景区、饮用水源保护区等需要保护的重要公共设施；500m范围内无高压线等电力设施、名胜古迹等；1000m及1000m外可视范围内无铁路、高速公路、国道。经苏家屯自然资源局核实，该矿不存在或涉及各级保护区，包括：土地、林业、环境等保护区，周边环境良好。</w:t>
      </w:r>
    </w:p>
    <w:p w14:paraId="26CF59E8">
      <w:pPr>
        <w:pStyle w:val="30"/>
        <w:bidi w:val="0"/>
        <w:rPr>
          <w:rFonts w:hint="eastAsia"/>
        </w:rPr>
      </w:pPr>
      <w:r>
        <mc:AlternateContent>
          <mc:Choice Requires="wps">
            <w:drawing>
              <wp:anchor distT="0" distB="0" distL="114300" distR="114300" simplePos="0" relativeHeight="251672576" behindDoc="0" locked="0" layoutInCell="1" allowOverlap="1">
                <wp:simplePos x="0" y="0"/>
                <wp:positionH relativeFrom="column">
                  <wp:posOffset>1509395</wp:posOffset>
                </wp:positionH>
                <wp:positionV relativeFrom="paragraph">
                  <wp:posOffset>3571875</wp:posOffset>
                </wp:positionV>
                <wp:extent cx="662305" cy="321945"/>
                <wp:effectExtent l="4445" t="234315" r="495300" b="15240"/>
                <wp:wrapNone/>
                <wp:docPr id="2" name="自选图形 3"/>
                <wp:cNvGraphicFramePr/>
                <a:graphic xmlns:a="http://schemas.openxmlformats.org/drawingml/2006/main">
                  <a:graphicData uri="http://schemas.microsoft.com/office/word/2010/wordprocessingShape">
                    <wps:wsp>
                      <wps:cNvSpPr/>
                      <wps:spPr>
                        <a:xfrm>
                          <a:off x="0" y="0"/>
                          <a:ext cx="662305" cy="321945"/>
                        </a:xfrm>
                        <a:prstGeom prst="wedgeRectCallout">
                          <a:avLst>
                            <a:gd name="adj1" fmla="val 117689"/>
                            <a:gd name="adj2" fmla="val -118047"/>
                          </a:avLst>
                        </a:prstGeom>
                        <a:solidFill>
                          <a:srgbClr val="FFFFFF"/>
                        </a:solidFill>
                        <a:ln w="9525" cap="flat" cmpd="sng">
                          <a:solidFill>
                            <a:srgbClr val="000000"/>
                          </a:solidFill>
                          <a:prstDash val="solid"/>
                          <a:miter/>
                          <a:headEnd type="none" w="med" len="med"/>
                          <a:tailEnd type="none" w="med" len="med"/>
                        </a:ln>
                      </wps:spPr>
                      <wps:txbx>
                        <w:txbxContent>
                          <w:p w14:paraId="7459CADC">
                            <w:pPr>
                              <w:rPr>
                                <w:rFonts w:hint="default"/>
                                <w:lang w:val="en-US" w:eastAsia="zh-CN"/>
                              </w:rPr>
                            </w:pPr>
                            <w:r>
                              <w:rPr>
                                <w:rFonts w:hint="eastAsia"/>
                                <w:lang w:val="en-US" w:eastAsia="zh-CN"/>
                              </w:rPr>
                              <w:t>信号塔</w:t>
                            </w:r>
                          </w:p>
                        </w:txbxContent>
                      </wps:txbx>
                      <wps:bodyPr upright="1"/>
                    </wps:wsp>
                  </a:graphicData>
                </a:graphic>
              </wp:anchor>
            </w:drawing>
          </mc:Choice>
          <mc:Fallback>
            <w:pict>
              <v:shape id="自选图形 3" o:spid="_x0000_s1026" o:spt="61" type="#_x0000_t61" style="position:absolute;left:0pt;margin-left:118.85pt;margin-top:281.25pt;height:25.35pt;width:52.15pt;z-index:251672576;mso-width-relative:page;mso-height-relative:page;" fillcolor="#FFFFFF" filled="t" stroked="t" coordsize="21600,21600" o:gfxdata="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AZvMBNgAAAALAQAADwAAAAAAAAABACAAAAAiAAAAZHJzL2Rv&#10;d25yZXYueG1sUEsBAhQAFAAAAAgAh07iQEPTSXI6AgAAjgQAAA4AAAAAAAAAAQAgAAAAJwEAAGRy&#10;cy9lMm9Eb2MueG1sUEsFBgAAAAAGAAYAWQEAANMFAAAAAA==&#10;" adj="36221,-14698">
                <v:fill on="t" focussize="0,0"/>
                <v:stroke color="#000000" joinstyle="miter"/>
                <v:imagedata o:title=""/>
                <o:lock v:ext="edit" aspectratio="f"/>
                <v:textbox>
                  <w:txbxContent>
                    <w:p w14:paraId="7459CADC">
                      <w:pPr>
                        <w:rPr>
                          <w:rFonts w:hint="default"/>
                          <w:lang w:val="en-US" w:eastAsia="zh-CN"/>
                        </w:rPr>
                      </w:pPr>
                      <w:r>
                        <w:rPr>
                          <w:rFonts w:hint="eastAsia"/>
                          <w:lang w:val="en-US" w:eastAsia="zh-CN"/>
                        </w:rPr>
                        <w:t>信号塔</w:t>
                      </w:r>
                    </w:p>
                  </w:txbxContent>
                </v:textbox>
              </v:shape>
            </w:pict>
          </mc:Fallback>
        </mc:AlternateContent>
      </w:r>
      <w:r>
        <mc:AlternateContent>
          <mc:Choice Requires="wps">
            <w:drawing>
              <wp:anchor distT="0" distB="0" distL="114300" distR="114300" simplePos="0" relativeHeight="251671552" behindDoc="0" locked="0" layoutInCell="1" allowOverlap="1">
                <wp:simplePos x="0" y="0"/>
                <wp:positionH relativeFrom="column">
                  <wp:posOffset>4079240</wp:posOffset>
                </wp:positionH>
                <wp:positionV relativeFrom="paragraph">
                  <wp:posOffset>1817370</wp:posOffset>
                </wp:positionV>
                <wp:extent cx="748665" cy="321945"/>
                <wp:effectExtent l="565785" t="5080" r="19050" b="130175"/>
                <wp:wrapNone/>
                <wp:docPr id="1" name="自选图形 3"/>
                <wp:cNvGraphicFramePr/>
                <a:graphic xmlns:a="http://schemas.openxmlformats.org/drawingml/2006/main">
                  <a:graphicData uri="http://schemas.microsoft.com/office/word/2010/wordprocessingShape">
                    <wps:wsp>
                      <wps:cNvSpPr/>
                      <wps:spPr>
                        <a:xfrm>
                          <a:off x="0" y="0"/>
                          <a:ext cx="748665" cy="321945"/>
                        </a:xfrm>
                        <a:prstGeom prst="wedgeRectCallout">
                          <a:avLst>
                            <a:gd name="adj1" fmla="val -120737"/>
                            <a:gd name="adj2" fmla="val 84714"/>
                          </a:avLst>
                        </a:prstGeom>
                        <a:solidFill>
                          <a:srgbClr val="FFFFFF"/>
                        </a:solidFill>
                        <a:ln w="9525" cap="flat" cmpd="sng">
                          <a:solidFill>
                            <a:srgbClr val="000000"/>
                          </a:solidFill>
                          <a:prstDash val="solid"/>
                          <a:miter/>
                          <a:headEnd type="none" w="med" len="med"/>
                          <a:tailEnd type="none" w="med" len="med"/>
                        </a:ln>
                      </wps:spPr>
                      <wps:txbx>
                        <w:txbxContent>
                          <w:p w14:paraId="6AA30D69">
                            <w:pPr>
                              <w:rPr>
                                <w:rFonts w:hint="default"/>
                                <w:lang w:val="en-US" w:eastAsia="zh-CN"/>
                              </w:rPr>
                            </w:pPr>
                            <w:r>
                              <w:rPr>
                                <w:rFonts w:hint="eastAsia"/>
                                <w:lang w:val="en-US" w:eastAsia="zh-CN"/>
                              </w:rPr>
                              <w:t>基本农田</w:t>
                            </w:r>
                          </w:p>
                        </w:txbxContent>
                      </wps:txbx>
                      <wps:bodyPr upright="1"/>
                    </wps:wsp>
                  </a:graphicData>
                </a:graphic>
              </wp:anchor>
            </w:drawing>
          </mc:Choice>
          <mc:Fallback>
            <w:pict>
              <v:shape id="自选图形 3" o:spid="_x0000_s1026" o:spt="61" type="#_x0000_t61" style="position:absolute;left:0pt;margin-left:321.2pt;margin-top:143.1pt;height:25.35pt;width:58.95pt;z-index:251671552;mso-width-relative:page;mso-height-relative:page;" fillcolor="#FFFFFF" filled="t" stroked="t" coordsize="21600,21600" o:gfxdata="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Aqwm9/2wAAAAsBAAAPAAAAAAAAAAEAIAAAACIAAABkcnMv&#10;ZG93bnJldi54bWxQSwECFAAUAAAACACHTuJAw6qpuzkCAACNBAAADgAAAAAAAAABACAAAAAqAQAA&#10;ZHJzL2Uyb0RvYy54bWxQSwUGAAAAAAYABgBZAQAA1QUAAAAA&#10;" adj="-15279,29098">
                <v:fill on="t" focussize="0,0"/>
                <v:stroke color="#000000" joinstyle="miter"/>
                <v:imagedata o:title=""/>
                <o:lock v:ext="edit" aspectratio="f"/>
                <v:textbox>
                  <w:txbxContent>
                    <w:p w14:paraId="6AA30D69">
                      <w:pPr>
                        <w:rPr>
                          <w:rFonts w:hint="default"/>
                          <w:lang w:val="en-US" w:eastAsia="zh-CN"/>
                        </w:rPr>
                      </w:pPr>
                      <w:r>
                        <w:rPr>
                          <w:rFonts w:hint="eastAsia"/>
                          <w:lang w:val="en-US" w:eastAsia="zh-CN"/>
                        </w:rPr>
                        <w:t>基本农田</w:t>
                      </w:r>
                    </w:p>
                  </w:txbxContent>
                </v:textbox>
              </v:shape>
            </w:pict>
          </mc:Fallback>
        </mc:AlternateContent>
      </w:r>
      <w:r>
        <mc:AlternateContent>
          <mc:Choice Requires="wps">
            <w:drawing>
              <wp:anchor distT="0" distB="0" distL="114300" distR="114300" simplePos="0" relativeHeight="251670528" behindDoc="0" locked="0" layoutInCell="1" allowOverlap="1">
                <wp:simplePos x="0" y="0"/>
                <wp:positionH relativeFrom="column">
                  <wp:posOffset>3012440</wp:posOffset>
                </wp:positionH>
                <wp:positionV relativeFrom="paragraph">
                  <wp:posOffset>1512570</wp:posOffset>
                </wp:positionV>
                <wp:extent cx="748665" cy="321945"/>
                <wp:effectExtent l="623570" t="5080" r="18415" b="15875"/>
                <wp:wrapNone/>
                <wp:docPr id="31" name="自选图形 3"/>
                <wp:cNvGraphicFramePr/>
                <a:graphic xmlns:a="http://schemas.openxmlformats.org/drawingml/2006/main">
                  <a:graphicData uri="http://schemas.microsoft.com/office/word/2010/wordprocessingShape">
                    <wps:wsp>
                      <wps:cNvSpPr/>
                      <wps:spPr>
                        <a:xfrm>
                          <a:off x="0" y="0"/>
                          <a:ext cx="748665" cy="321945"/>
                        </a:xfrm>
                        <a:prstGeom prst="wedgeRectCallout">
                          <a:avLst>
                            <a:gd name="adj1" fmla="val -128240"/>
                            <a:gd name="adj2" fmla="val 20611"/>
                          </a:avLst>
                        </a:prstGeom>
                        <a:solidFill>
                          <a:srgbClr val="FFFFFF"/>
                        </a:solidFill>
                        <a:ln w="9525" cap="flat" cmpd="sng">
                          <a:solidFill>
                            <a:srgbClr val="000000"/>
                          </a:solidFill>
                          <a:prstDash val="solid"/>
                          <a:miter/>
                          <a:headEnd type="none" w="med" len="med"/>
                          <a:tailEnd type="none" w="med" len="med"/>
                        </a:ln>
                      </wps:spPr>
                      <wps:txbx>
                        <w:txbxContent>
                          <w:p w14:paraId="2C9A7C35">
                            <w:pPr>
                              <w:rPr>
                                <w:rFonts w:hint="default"/>
                                <w:lang w:val="en-US" w:eastAsia="zh-CN"/>
                              </w:rPr>
                            </w:pPr>
                            <w:r>
                              <w:rPr>
                                <w:rFonts w:hint="eastAsia"/>
                                <w:lang w:val="en-US" w:eastAsia="zh-CN"/>
                              </w:rPr>
                              <w:t>露天采坑</w:t>
                            </w:r>
                          </w:p>
                        </w:txbxContent>
                      </wps:txbx>
                      <wps:bodyPr upright="1"/>
                    </wps:wsp>
                  </a:graphicData>
                </a:graphic>
              </wp:anchor>
            </w:drawing>
          </mc:Choice>
          <mc:Fallback>
            <w:pict>
              <v:shape id="自选图形 3" o:spid="_x0000_s1026" o:spt="61" type="#_x0000_t61" style="position:absolute;left:0pt;margin-left:237.2pt;margin-top:119.1pt;height:25.35pt;width:58.95pt;z-index:251670528;mso-width-relative:page;mso-height-relative:page;" fillcolor="#FFFFFF" filled="t" stroked="t" coordsize="21600,21600" o:gfxdata="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C55F812gAAAAsBAAAPAAAAAAAAAAEAIAAAACIAAABkcnMv&#10;ZG93bnJldi54bWxQSwECFAAUAAAACACHTuJAvBsAhjoCAACOBAAADgAAAAAAAAABACAAAAApAQAA&#10;ZHJzL2Uyb0RvYy54bWxQSwUGAAAAAAYABgBZAQAA1QUAAAAA&#10;" adj="-16900,15252">
                <v:fill on="t" focussize="0,0"/>
                <v:stroke color="#000000" joinstyle="miter"/>
                <v:imagedata o:title=""/>
                <o:lock v:ext="edit" aspectratio="f"/>
                <v:textbox>
                  <w:txbxContent>
                    <w:p w14:paraId="2C9A7C35">
                      <w:pPr>
                        <w:rPr>
                          <w:rFonts w:hint="default"/>
                          <w:lang w:val="en-US" w:eastAsia="zh-CN"/>
                        </w:rPr>
                      </w:pPr>
                      <w:r>
                        <w:rPr>
                          <w:rFonts w:hint="eastAsia"/>
                          <w:lang w:val="en-US" w:eastAsia="zh-CN"/>
                        </w:rPr>
                        <w:t>露天采坑</w:t>
                      </w:r>
                    </w:p>
                  </w:txbxContent>
                </v:textbox>
              </v:shape>
            </w:pict>
          </mc:Fallback>
        </mc:AlternateContent>
      </w:r>
      <w:r>
        <mc:AlternateContent>
          <mc:Choice Requires="wps">
            <w:drawing>
              <wp:anchor distT="0" distB="0" distL="114300" distR="114300" simplePos="0" relativeHeight="251669504" behindDoc="0" locked="0" layoutInCell="1" allowOverlap="1">
                <wp:simplePos x="0" y="0"/>
                <wp:positionH relativeFrom="column">
                  <wp:posOffset>3154680</wp:posOffset>
                </wp:positionH>
                <wp:positionV relativeFrom="paragraph">
                  <wp:posOffset>745490</wp:posOffset>
                </wp:positionV>
                <wp:extent cx="671195" cy="321945"/>
                <wp:effectExtent l="485140" t="5080" r="5715" b="15875"/>
                <wp:wrapNone/>
                <wp:docPr id="30" name="自选图形 3"/>
                <wp:cNvGraphicFramePr/>
                <a:graphic xmlns:a="http://schemas.openxmlformats.org/drawingml/2006/main">
                  <a:graphicData uri="http://schemas.microsoft.com/office/word/2010/wordprocessingShape">
                    <wps:wsp>
                      <wps:cNvSpPr/>
                      <wps:spPr>
                        <a:xfrm>
                          <a:off x="0" y="0"/>
                          <a:ext cx="671195" cy="321945"/>
                        </a:xfrm>
                        <a:prstGeom prst="wedgeRectCallout">
                          <a:avLst>
                            <a:gd name="adj1" fmla="val -116603"/>
                            <a:gd name="adj2" fmla="val 20611"/>
                          </a:avLst>
                        </a:prstGeom>
                        <a:solidFill>
                          <a:srgbClr val="FFFFFF"/>
                        </a:solidFill>
                        <a:ln w="9525" cap="flat" cmpd="sng">
                          <a:solidFill>
                            <a:srgbClr val="000000"/>
                          </a:solidFill>
                          <a:prstDash val="solid"/>
                          <a:miter/>
                          <a:headEnd type="none" w="med" len="med"/>
                          <a:tailEnd type="none" w="med" len="med"/>
                        </a:ln>
                      </wps:spPr>
                      <wps:txbx>
                        <w:txbxContent>
                          <w:p w14:paraId="2E6324B7">
                            <w:pPr>
                              <w:rPr>
                                <w:rFonts w:hint="default"/>
                                <w:lang w:val="en-US" w:eastAsia="zh-CN"/>
                              </w:rPr>
                            </w:pPr>
                            <w:r>
                              <w:rPr>
                                <w:rFonts w:hint="eastAsia"/>
                                <w:lang w:val="en-US" w:eastAsia="zh-CN"/>
                              </w:rPr>
                              <w:t>办公楼</w:t>
                            </w:r>
                          </w:p>
                        </w:txbxContent>
                      </wps:txbx>
                      <wps:bodyPr upright="1"/>
                    </wps:wsp>
                  </a:graphicData>
                </a:graphic>
              </wp:anchor>
            </w:drawing>
          </mc:Choice>
          <mc:Fallback>
            <w:pict>
              <v:shape id="自选图形 3" o:spid="_x0000_s1026" o:spt="61" type="#_x0000_t61" style="position:absolute;left:0pt;margin-left:248.4pt;margin-top:58.7pt;height:25.35pt;width:52.85pt;z-index:251669504;mso-width-relative:page;mso-height-relative:page;" fillcolor="#FFFFFF" filled="t" stroked="t" coordsize="21600,21600" o:gfxdata="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CxMn5nYAAAACwEAAA8AAAAAAAAAAQAgAAAAIgAAAGRycy9k&#10;b3ducmV2LnhtbFBLAQIUABQAAAAIAIdO4kCWN1dCOwIAAI4EAAAOAAAAAAAAAAEAIAAAACcBAABk&#10;cnMvZTJvRG9jLnhtbFBLBQYAAAAABgAGAFkBAADUBQAAAAA=&#10;" adj="-14386,15252">
                <v:fill on="t" focussize="0,0"/>
                <v:stroke color="#000000" joinstyle="miter"/>
                <v:imagedata o:title=""/>
                <o:lock v:ext="edit" aspectratio="f"/>
                <v:textbox>
                  <w:txbxContent>
                    <w:p w14:paraId="2E6324B7">
                      <w:pPr>
                        <w:rPr>
                          <w:rFonts w:hint="default"/>
                          <w:lang w:val="en-US" w:eastAsia="zh-CN"/>
                        </w:rPr>
                      </w:pPr>
                      <w:r>
                        <w:rPr>
                          <w:rFonts w:hint="eastAsia"/>
                          <w:lang w:val="en-US" w:eastAsia="zh-CN"/>
                        </w:rPr>
                        <w:t>办公楼</w:t>
                      </w:r>
                    </w:p>
                  </w:txbxContent>
                </v:textbox>
              </v:shape>
            </w:pict>
          </mc:Fallback>
        </mc:AlternateContent>
      </w:r>
      <w:r>
        <mc:AlternateContent>
          <mc:Choice Requires="wps">
            <w:drawing>
              <wp:anchor distT="0" distB="0" distL="114300" distR="114300" simplePos="0" relativeHeight="251668480" behindDoc="0" locked="0" layoutInCell="1" allowOverlap="1">
                <wp:simplePos x="0" y="0"/>
                <wp:positionH relativeFrom="column">
                  <wp:posOffset>915670</wp:posOffset>
                </wp:positionH>
                <wp:positionV relativeFrom="paragraph">
                  <wp:posOffset>1493520</wp:posOffset>
                </wp:positionV>
                <wp:extent cx="671195" cy="321945"/>
                <wp:effectExtent l="4445" t="146685" r="467360" b="7620"/>
                <wp:wrapNone/>
                <wp:docPr id="29" name="自选图形 3"/>
                <wp:cNvGraphicFramePr/>
                <a:graphic xmlns:a="http://schemas.openxmlformats.org/drawingml/2006/main">
                  <a:graphicData uri="http://schemas.microsoft.com/office/word/2010/wordprocessingShape">
                    <wps:wsp>
                      <wps:cNvSpPr/>
                      <wps:spPr>
                        <a:xfrm>
                          <a:off x="0" y="0"/>
                          <a:ext cx="671195" cy="321945"/>
                        </a:xfrm>
                        <a:prstGeom prst="wedgeRectCallout">
                          <a:avLst>
                            <a:gd name="adj1" fmla="val 114333"/>
                            <a:gd name="adj2" fmla="val -89644"/>
                          </a:avLst>
                        </a:prstGeom>
                        <a:solidFill>
                          <a:srgbClr val="FFFFFF"/>
                        </a:solidFill>
                        <a:ln w="9525" cap="flat" cmpd="sng">
                          <a:solidFill>
                            <a:srgbClr val="000000"/>
                          </a:solidFill>
                          <a:prstDash val="solid"/>
                          <a:miter/>
                          <a:headEnd type="none" w="med" len="med"/>
                          <a:tailEnd type="none" w="med" len="med"/>
                        </a:ln>
                      </wps:spPr>
                      <wps:txbx>
                        <w:txbxContent>
                          <w:p w14:paraId="2A630475">
                            <w:pPr>
                              <w:rPr>
                                <w:rFonts w:hint="default"/>
                                <w:lang w:val="en-US" w:eastAsia="zh-CN"/>
                              </w:rPr>
                            </w:pPr>
                            <w:r>
                              <w:rPr>
                                <w:rFonts w:hint="eastAsia"/>
                                <w:lang w:val="en-US" w:eastAsia="zh-CN"/>
                              </w:rPr>
                              <w:t>斜坡道</w:t>
                            </w:r>
                          </w:p>
                        </w:txbxContent>
                      </wps:txbx>
                      <wps:bodyPr upright="1"/>
                    </wps:wsp>
                  </a:graphicData>
                </a:graphic>
              </wp:anchor>
            </w:drawing>
          </mc:Choice>
          <mc:Fallback>
            <w:pict>
              <v:shape id="自选图形 3" o:spid="_x0000_s1026" o:spt="61" type="#_x0000_t61" style="position:absolute;left:0pt;margin-left:72.1pt;margin-top:117.6pt;height:25.35pt;width:52.85pt;z-index:251668480;mso-width-relative:page;mso-height-relative:page;" fillcolor="#FFFFFF" filled="t" stroked="t" coordsize="21600,21600" o:gfxdata="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ytSvJNsAAAALAQAADwAAAAAAAAABACAAAAAiAAAA&#10;ZHJzL2Rvd25yZXYueG1sUEsBAhQAFAAAAAgAh07iQGQm+mk9AgAAjgQAAA4AAAAAAAAAAQAgAAAA&#10;KgEAAGRycy9lMm9Eb2MueG1sUEsFBgAAAAAGAAYAWQEAANkFAAAAAA==&#10;" adj="35496,-8563">
                <v:fill on="t" focussize="0,0"/>
                <v:stroke color="#000000" joinstyle="miter"/>
                <v:imagedata o:title=""/>
                <o:lock v:ext="edit" aspectratio="f"/>
                <v:textbox>
                  <w:txbxContent>
                    <w:p w14:paraId="2A630475">
                      <w:pPr>
                        <w:rPr>
                          <w:rFonts w:hint="default"/>
                          <w:lang w:val="en-US" w:eastAsia="zh-CN"/>
                        </w:rPr>
                      </w:pPr>
                      <w:r>
                        <w:rPr>
                          <w:rFonts w:hint="eastAsia"/>
                          <w:lang w:val="en-US" w:eastAsia="zh-CN"/>
                        </w:rPr>
                        <w:t>斜坡道</w:t>
                      </w:r>
                    </w:p>
                  </w:txbxContent>
                </v:textbox>
              </v:shape>
            </w:pict>
          </mc:Fallback>
        </mc:AlternateContent>
      </w:r>
      <w:r>
        <mc:AlternateContent>
          <mc:Choice Requires="wps">
            <w:drawing>
              <wp:anchor distT="0" distB="0" distL="114300" distR="114300" simplePos="0" relativeHeight="251667456" behindDoc="0" locked="0" layoutInCell="1" allowOverlap="1">
                <wp:simplePos x="0" y="0"/>
                <wp:positionH relativeFrom="column">
                  <wp:posOffset>1602740</wp:posOffset>
                </wp:positionH>
                <wp:positionV relativeFrom="paragraph">
                  <wp:posOffset>2839720</wp:posOffset>
                </wp:positionV>
                <wp:extent cx="662305" cy="321945"/>
                <wp:effectExtent l="4445" t="5080" r="457200" b="15875"/>
                <wp:wrapNone/>
                <wp:docPr id="28" name="自选图形 3"/>
                <wp:cNvGraphicFramePr/>
                <a:graphic xmlns:a="http://schemas.openxmlformats.org/drawingml/2006/main">
                  <a:graphicData uri="http://schemas.microsoft.com/office/word/2010/wordprocessingShape">
                    <wps:wsp>
                      <wps:cNvSpPr/>
                      <wps:spPr>
                        <a:xfrm>
                          <a:off x="0" y="0"/>
                          <a:ext cx="662305" cy="321945"/>
                        </a:xfrm>
                        <a:prstGeom prst="wedgeRectCallout">
                          <a:avLst>
                            <a:gd name="adj1" fmla="val 112895"/>
                            <a:gd name="adj2" fmla="val 32248"/>
                          </a:avLst>
                        </a:prstGeom>
                        <a:solidFill>
                          <a:srgbClr val="FFFFFF"/>
                        </a:solidFill>
                        <a:ln w="9525" cap="flat" cmpd="sng">
                          <a:solidFill>
                            <a:srgbClr val="000000"/>
                          </a:solidFill>
                          <a:prstDash val="solid"/>
                          <a:miter/>
                          <a:headEnd type="none" w="med" len="med"/>
                          <a:tailEnd type="none" w="med" len="med"/>
                        </a:ln>
                      </wps:spPr>
                      <wps:txbx>
                        <w:txbxContent>
                          <w:p w14:paraId="6E7F30F2">
                            <w:pPr>
                              <w:rPr>
                                <w:rFonts w:hint="default"/>
                                <w:lang w:val="en-US" w:eastAsia="zh-CN"/>
                              </w:rPr>
                            </w:pPr>
                            <w:r>
                              <w:rPr>
                                <w:rFonts w:hint="eastAsia"/>
                                <w:lang w:val="en-US" w:eastAsia="zh-CN"/>
                              </w:rPr>
                              <w:t>回风井</w:t>
                            </w:r>
                          </w:p>
                        </w:txbxContent>
                      </wps:txbx>
                      <wps:bodyPr upright="1"/>
                    </wps:wsp>
                  </a:graphicData>
                </a:graphic>
              </wp:anchor>
            </w:drawing>
          </mc:Choice>
          <mc:Fallback>
            <w:pict>
              <v:shape id="自选图形 3" o:spid="_x0000_s1026" o:spt="61" type="#_x0000_t61" style="position:absolute;left:0pt;margin-left:126.2pt;margin-top:223.6pt;height:25.35pt;width:52.15pt;z-index:251667456;mso-width-relative:page;mso-height-relative:page;" fillcolor="#FFFFFF" filled="t" stroked="t" coordsize="21600,21600" o:gfxdata="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A/yTxc2wAAAAsBAAAPAAAAAAAAAAEAIAAAACIAAABkcnMv&#10;ZG93bnJldi54bWxQSwECFAAUAAAACACHTuJAML1deDkCAACNBAAADgAAAAAAAAABACAAAAAqAQAA&#10;ZHJzL2Uyb0RvYy54bWxQSwUGAAAAAAYABgBZAQAA1QUAAAAA&#10;" adj="35185,17766">
                <v:fill on="t" focussize="0,0"/>
                <v:stroke color="#000000" joinstyle="miter"/>
                <v:imagedata o:title=""/>
                <o:lock v:ext="edit" aspectratio="f"/>
                <v:textbox>
                  <w:txbxContent>
                    <w:p w14:paraId="6E7F30F2">
                      <w:pPr>
                        <w:rPr>
                          <w:rFonts w:hint="default"/>
                          <w:lang w:val="en-US" w:eastAsia="zh-CN"/>
                        </w:rPr>
                      </w:pPr>
                      <w:r>
                        <w:rPr>
                          <w:rFonts w:hint="eastAsia"/>
                          <w:lang w:val="en-US" w:eastAsia="zh-CN"/>
                        </w:rPr>
                        <w:t>回风井</w:t>
                      </w: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546100</wp:posOffset>
                </wp:positionH>
                <wp:positionV relativeFrom="paragraph">
                  <wp:posOffset>2112010</wp:posOffset>
                </wp:positionV>
                <wp:extent cx="756920" cy="321945"/>
                <wp:effectExtent l="4445" t="5080" r="572135" b="15875"/>
                <wp:wrapNone/>
                <wp:docPr id="27" name="自选图形 3"/>
                <wp:cNvGraphicFramePr/>
                <a:graphic xmlns:a="http://schemas.openxmlformats.org/drawingml/2006/main">
                  <a:graphicData uri="http://schemas.microsoft.com/office/word/2010/wordprocessingShape">
                    <wps:wsp>
                      <wps:cNvSpPr/>
                      <wps:spPr>
                        <a:xfrm>
                          <a:off x="0" y="0"/>
                          <a:ext cx="756920" cy="321945"/>
                        </a:xfrm>
                        <a:prstGeom prst="wedgeRectCallout">
                          <a:avLst>
                            <a:gd name="adj1" fmla="val 120218"/>
                            <a:gd name="adj2" fmla="val 36587"/>
                          </a:avLst>
                        </a:prstGeom>
                        <a:solidFill>
                          <a:srgbClr val="FFFFFF"/>
                        </a:solidFill>
                        <a:ln w="9525" cap="flat" cmpd="sng">
                          <a:solidFill>
                            <a:srgbClr val="000000"/>
                          </a:solidFill>
                          <a:prstDash val="solid"/>
                          <a:miter/>
                          <a:headEnd type="none" w="med" len="med"/>
                          <a:tailEnd type="none" w="med" len="med"/>
                        </a:ln>
                      </wps:spPr>
                      <wps:txbx>
                        <w:txbxContent>
                          <w:p w14:paraId="46A4F8AC">
                            <w:pPr>
                              <w:rPr>
                                <w:rFonts w:hint="default"/>
                                <w:lang w:val="en-US" w:eastAsia="zh-CN"/>
                              </w:rPr>
                            </w:pPr>
                            <w:r>
                              <w:rPr>
                                <w:rFonts w:hint="eastAsia"/>
                                <w:lang w:val="en-US" w:eastAsia="zh-CN"/>
                              </w:rPr>
                              <w:t>矿区范围</w:t>
                            </w:r>
                          </w:p>
                        </w:txbxContent>
                      </wps:txbx>
                      <wps:bodyPr upright="1"/>
                    </wps:wsp>
                  </a:graphicData>
                </a:graphic>
              </wp:anchor>
            </w:drawing>
          </mc:Choice>
          <mc:Fallback>
            <w:pict>
              <v:shape id="自选图形 3" o:spid="_x0000_s1026" o:spt="61" type="#_x0000_t61" style="position:absolute;left:0pt;margin-left:43pt;margin-top:166.3pt;height:25.35pt;width:59.6pt;z-index:251666432;mso-width-relative:page;mso-height-relative:page;" fillcolor="#FFFFFF" filled="t" stroked="t" coordsize="21600,21600" o:gfxdata="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Ve5JN9sAAAAKAQAADwAAAAAAAAABACAAAAAiAAAAZHJzL2Rv&#10;d25yZXYueG1sUEsBAhQAFAAAAAgAh07iQKgBCmQ3AgAAjQQAAA4AAAAAAAAAAQAgAAAAKgEAAGRy&#10;cy9lMm9Eb2MueG1sUEsFBgAAAAAGAAYAWQEAANMFAAAAAA==&#10;" adj="36767,18703">
                <v:fill on="t" focussize="0,0"/>
                <v:stroke color="#000000" joinstyle="miter"/>
                <v:imagedata o:title=""/>
                <o:lock v:ext="edit" aspectratio="f"/>
                <v:textbox>
                  <w:txbxContent>
                    <w:p w14:paraId="46A4F8AC">
                      <w:pPr>
                        <w:rPr>
                          <w:rFonts w:hint="default"/>
                          <w:lang w:val="en-US" w:eastAsia="zh-CN"/>
                        </w:rPr>
                      </w:pPr>
                      <w:r>
                        <w:rPr>
                          <w:rFonts w:hint="eastAsia"/>
                          <w:lang w:val="en-US" w:eastAsia="zh-CN"/>
                        </w:rPr>
                        <w:t>矿区范围</w:t>
                      </w:r>
                    </w:p>
                  </w:txbxContent>
                </v:textbox>
              </v:shape>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2030095</wp:posOffset>
                </wp:positionH>
                <wp:positionV relativeFrom="paragraph">
                  <wp:posOffset>2383790</wp:posOffset>
                </wp:positionV>
                <wp:extent cx="756920" cy="321945"/>
                <wp:effectExtent l="4445" t="5080" r="95885" b="320675"/>
                <wp:wrapNone/>
                <wp:docPr id="26" name="自选图形 3"/>
                <wp:cNvGraphicFramePr/>
                <a:graphic xmlns:a="http://schemas.openxmlformats.org/drawingml/2006/main">
                  <a:graphicData uri="http://schemas.microsoft.com/office/word/2010/wordprocessingShape">
                    <wps:wsp>
                      <wps:cNvSpPr/>
                      <wps:spPr>
                        <a:xfrm>
                          <a:off x="0" y="0"/>
                          <a:ext cx="756920" cy="321945"/>
                        </a:xfrm>
                        <a:prstGeom prst="wedgeRectCallout">
                          <a:avLst>
                            <a:gd name="adj1" fmla="val 58374"/>
                            <a:gd name="adj2" fmla="val 141321"/>
                          </a:avLst>
                        </a:prstGeom>
                        <a:solidFill>
                          <a:srgbClr val="FFFFFF"/>
                        </a:solidFill>
                        <a:ln w="9525" cap="flat" cmpd="sng">
                          <a:solidFill>
                            <a:srgbClr val="000000"/>
                          </a:solidFill>
                          <a:prstDash val="solid"/>
                          <a:miter/>
                          <a:headEnd type="none" w="med" len="med"/>
                          <a:tailEnd type="none" w="med" len="med"/>
                        </a:ln>
                      </wps:spPr>
                      <wps:txbx>
                        <w:txbxContent>
                          <w:p w14:paraId="166EC59C">
                            <w:pPr>
                              <w:rPr>
                                <w:rFonts w:hint="eastAsia"/>
                                <w:lang w:val="en-US" w:eastAsia="zh-CN"/>
                              </w:rPr>
                            </w:pPr>
                            <w:r>
                              <w:rPr>
                                <w:rFonts w:hint="eastAsia"/>
                                <w:lang w:val="en-US" w:eastAsia="zh-CN"/>
                              </w:rPr>
                              <w:t>莽公屯村</w:t>
                            </w:r>
                          </w:p>
                        </w:txbxContent>
                      </wps:txbx>
                      <wps:bodyPr upright="1"/>
                    </wps:wsp>
                  </a:graphicData>
                </a:graphic>
              </wp:anchor>
            </w:drawing>
          </mc:Choice>
          <mc:Fallback>
            <w:pict>
              <v:shape id="自选图形 3" o:spid="_x0000_s1026" o:spt="61" type="#_x0000_t61" style="position:absolute;left:0pt;margin-left:159.85pt;margin-top:187.7pt;height:25.35pt;width:59.6pt;z-index:251665408;mso-width-relative:page;mso-height-relative:page;" fillcolor="#FFFFFF" filled="t" stroked="t" coordsize="21600,21600" o:gfxdata="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t2nUa9sAAAALAQAADwAAAAAAAAABACAAAAAiAAAAZHJzL2Rv&#10;d25yZXYueG1sUEsBAhQAFAAAAAgAh07iQIk/OYs3AgAAjQQAAA4AAAAAAAAAAQAgAAAAKgEAAGRy&#10;cy9lMm9Eb2MueG1sUEsFBgAAAAAGAAYAWQEAANMFAAAAAA==&#10;" adj="23409,41325">
                <v:fill on="t" focussize="0,0"/>
                <v:stroke color="#000000" joinstyle="miter"/>
                <v:imagedata o:title=""/>
                <o:lock v:ext="edit" aspectratio="f"/>
                <v:textbox>
                  <w:txbxContent>
                    <w:p w14:paraId="166EC59C">
                      <w:pPr>
                        <w:rPr>
                          <w:rFonts w:hint="eastAsia"/>
                          <w:lang w:val="en-US" w:eastAsia="zh-CN"/>
                        </w:rPr>
                      </w:pPr>
                      <w:r>
                        <w:rPr>
                          <w:rFonts w:hint="eastAsia"/>
                          <w:lang w:val="en-US" w:eastAsia="zh-CN"/>
                        </w:rPr>
                        <w:t>莽公屯村</w:t>
                      </w:r>
                    </w:p>
                  </w:txbxContent>
                </v:textbox>
              </v:shape>
            </w:pict>
          </mc:Fallback>
        </mc:AlternateContent>
      </w:r>
      <w:r>
        <mc:AlternateContent>
          <mc:Choice Requires="wps">
            <w:drawing>
              <wp:anchor distT="0" distB="0" distL="114300" distR="114300" simplePos="0" relativeHeight="251664384" behindDoc="0" locked="0" layoutInCell="1" allowOverlap="1">
                <wp:simplePos x="0" y="0"/>
                <wp:positionH relativeFrom="column">
                  <wp:posOffset>730250</wp:posOffset>
                </wp:positionH>
                <wp:positionV relativeFrom="paragraph">
                  <wp:posOffset>961390</wp:posOffset>
                </wp:positionV>
                <wp:extent cx="739140" cy="321945"/>
                <wp:effectExtent l="4445" t="5080" r="208915" b="206375"/>
                <wp:wrapNone/>
                <wp:docPr id="24" name="自选图形 3"/>
                <wp:cNvGraphicFramePr/>
                <a:graphic xmlns:a="http://schemas.openxmlformats.org/drawingml/2006/main">
                  <a:graphicData uri="http://schemas.microsoft.com/office/word/2010/wordprocessingShape">
                    <wps:wsp>
                      <wps:cNvSpPr/>
                      <wps:spPr>
                        <a:xfrm>
                          <a:off x="0" y="0"/>
                          <a:ext cx="739140" cy="321945"/>
                        </a:xfrm>
                        <a:prstGeom prst="wedgeRectCallout">
                          <a:avLst>
                            <a:gd name="adj1" fmla="val 71162"/>
                            <a:gd name="adj2" fmla="val 106410"/>
                          </a:avLst>
                        </a:prstGeom>
                        <a:solidFill>
                          <a:srgbClr val="FFFFFF"/>
                        </a:solidFill>
                        <a:ln w="9525" cap="flat" cmpd="sng">
                          <a:solidFill>
                            <a:srgbClr val="000000"/>
                          </a:solidFill>
                          <a:prstDash val="solid"/>
                          <a:miter/>
                          <a:headEnd type="none" w="med" len="med"/>
                          <a:tailEnd type="none" w="med" len="med"/>
                        </a:ln>
                      </wps:spPr>
                      <wps:txbx>
                        <w:txbxContent>
                          <w:p w14:paraId="130F420F">
                            <w:pPr>
                              <w:rPr>
                                <w:rFonts w:hint="default"/>
                                <w:lang w:val="en-US" w:eastAsia="zh-CN"/>
                              </w:rPr>
                            </w:pPr>
                            <w:r>
                              <w:rPr>
                                <w:rFonts w:hint="eastAsia"/>
                                <w:lang w:val="en-US" w:eastAsia="zh-CN"/>
                              </w:rPr>
                              <w:t>地表水塘</w:t>
                            </w:r>
                          </w:p>
                        </w:txbxContent>
                      </wps:txbx>
                      <wps:bodyPr upright="1"/>
                    </wps:wsp>
                  </a:graphicData>
                </a:graphic>
              </wp:anchor>
            </w:drawing>
          </mc:Choice>
          <mc:Fallback>
            <w:pict>
              <v:shape id="自选图形 3" o:spid="_x0000_s1026" o:spt="61" type="#_x0000_t61" style="position:absolute;left:0pt;margin-left:57.5pt;margin-top:75.7pt;height:25.35pt;width:58.2pt;z-index:251664384;mso-width-relative:page;mso-height-relative:page;" fillcolor="#FFFFFF" filled="t" stroked="t" coordsize="21600,21600" o:gfxdata="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SwpkttcAAAALAQAADwAAAAAAAAABACAAAAAiAAAAZHJzL2Rvd25y&#10;ZXYueG1sUEsBAhQAFAAAAAgAh07iQHJLlhA4AgAAjQQAAA4AAAAAAAAAAQAgAAAAJgEAAGRycy9l&#10;Mm9Eb2MueG1sUEsFBgAAAAAGAAYAWQEAANAFAAAAAA==&#10;" adj="26171,33785">
                <v:fill on="t" focussize="0,0"/>
                <v:stroke color="#000000" joinstyle="miter"/>
                <v:imagedata o:title=""/>
                <o:lock v:ext="edit" aspectratio="f"/>
                <v:textbox>
                  <w:txbxContent>
                    <w:p w14:paraId="130F420F">
                      <w:pPr>
                        <w:rPr>
                          <w:rFonts w:hint="default"/>
                          <w:lang w:val="en-US" w:eastAsia="zh-CN"/>
                        </w:rPr>
                      </w:pPr>
                      <w:r>
                        <w:rPr>
                          <w:rFonts w:hint="eastAsia"/>
                          <w:lang w:val="en-US" w:eastAsia="zh-CN"/>
                        </w:rPr>
                        <w:t>地表水塘</w:t>
                      </w:r>
                    </w:p>
                  </w:txbxContent>
                </v:textbox>
              </v:shape>
            </w:pict>
          </mc:Fallback>
        </mc:AlternateContent>
      </w:r>
      <w:r>
        <w:drawing>
          <wp:anchor distT="0" distB="0" distL="114300" distR="114300" simplePos="0" relativeHeight="251663360" behindDoc="0" locked="0" layoutInCell="1" allowOverlap="1">
            <wp:simplePos x="0" y="0"/>
            <wp:positionH relativeFrom="column">
              <wp:posOffset>5434330</wp:posOffset>
            </wp:positionH>
            <wp:positionV relativeFrom="paragraph">
              <wp:posOffset>135255</wp:posOffset>
            </wp:positionV>
            <wp:extent cx="243205" cy="315595"/>
            <wp:effectExtent l="0" t="0" r="4445" b="8255"/>
            <wp:wrapNone/>
            <wp:docPr id="2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
                    <pic:cNvPicPr>
                      <a:picLocks noChangeAspect="1"/>
                    </pic:cNvPicPr>
                  </pic:nvPicPr>
                  <pic:blipFill>
                    <a:blip r:embed="rId7"/>
                    <a:stretch>
                      <a:fillRect/>
                    </a:stretch>
                  </pic:blipFill>
                  <pic:spPr>
                    <a:xfrm>
                      <a:off x="0" y="0"/>
                      <a:ext cx="243205" cy="315595"/>
                    </a:xfrm>
                    <a:prstGeom prst="rect">
                      <a:avLst/>
                    </a:prstGeom>
                    <a:noFill/>
                    <a:ln>
                      <a:noFill/>
                    </a:ln>
                  </pic:spPr>
                </pic:pic>
              </a:graphicData>
            </a:graphic>
          </wp:anchor>
        </w:drawing>
      </w:r>
      <w:r>
        <mc:AlternateContent>
          <mc:Choice Requires="wps">
            <w:drawing>
              <wp:anchor distT="0" distB="0" distL="114300" distR="114300" simplePos="0" relativeHeight="251662336" behindDoc="0" locked="0" layoutInCell="1" allowOverlap="1">
                <wp:simplePos x="0" y="0"/>
                <wp:positionH relativeFrom="column">
                  <wp:posOffset>3557905</wp:posOffset>
                </wp:positionH>
                <wp:positionV relativeFrom="paragraph">
                  <wp:posOffset>1122680</wp:posOffset>
                </wp:positionV>
                <wp:extent cx="773430" cy="321945"/>
                <wp:effectExtent l="4445" t="5080" r="98425" b="320675"/>
                <wp:wrapNone/>
                <wp:docPr id="22" name="自选图形 3"/>
                <wp:cNvGraphicFramePr/>
                <a:graphic xmlns:a="http://schemas.openxmlformats.org/drawingml/2006/main">
                  <a:graphicData uri="http://schemas.microsoft.com/office/word/2010/wordprocessingShape">
                    <wps:wsp>
                      <wps:cNvSpPr/>
                      <wps:spPr>
                        <a:xfrm>
                          <a:off x="0" y="0"/>
                          <a:ext cx="773430" cy="321945"/>
                        </a:xfrm>
                        <a:prstGeom prst="wedgeRectCallout">
                          <a:avLst>
                            <a:gd name="adj1" fmla="val 58374"/>
                            <a:gd name="adj2" fmla="val 141321"/>
                          </a:avLst>
                        </a:prstGeom>
                        <a:solidFill>
                          <a:srgbClr val="FFFFFF"/>
                        </a:solidFill>
                        <a:ln w="9525" cap="flat" cmpd="sng">
                          <a:solidFill>
                            <a:srgbClr val="000000"/>
                          </a:solidFill>
                          <a:prstDash val="solid"/>
                          <a:miter/>
                          <a:headEnd type="none" w="med" len="med"/>
                          <a:tailEnd type="none" w="med" len="med"/>
                        </a:ln>
                      </wps:spPr>
                      <wps:txbx>
                        <w:txbxContent>
                          <w:p w14:paraId="04642C40">
                            <w:pPr>
                              <w:rPr>
                                <w:rFonts w:hint="default"/>
                                <w:lang w:val="en-US" w:eastAsia="zh-CN"/>
                              </w:rPr>
                            </w:pPr>
                            <w:r>
                              <w:rPr>
                                <w:rFonts w:hint="eastAsia"/>
                                <w:lang w:val="en-US" w:eastAsia="zh-CN"/>
                              </w:rPr>
                              <w:t>S107省道</w:t>
                            </w:r>
                          </w:p>
                        </w:txbxContent>
                      </wps:txbx>
                      <wps:bodyPr upright="1"/>
                    </wps:wsp>
                  </a:graphicData>
                </a:graphic>
              </wp:anchor>
            </w:drawing>
          </mc:Choice>
          <mc:Fallback>
            <w:pict>
              <v:shape id="自选图形 3" o:spid="_x0000_s1026" o:spt="61" type="#_x0000_t61" style="position:absolute;left:0pt;margin-left:280.15pt;margin-top:88.4pt;height:25.35pt;width:60.9pt;z-index:251662336;mso-width-relative:page;mso-height-relative:page;" fillcolor="#FFFFFF" filled="t" stroked="t" coordsize="21600,21600" o:gfxdata="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ffWIftoAAAALAQAADwAAAAAAAAABACAAAAAiAAAAZHJzL2Rv&#10;d25yZXYueG1sUEsBAhQAFAAAAAgAh07iQAOdbzA4AgAAjQQAAA4AAAAAAAAAAQAgAAAAKQEAAGRy&#10;cy9lMm9Eb2MueG1sUEsFBgAAAAAGAAYAWQEAANMFAAAAAA==&#10;" adj="23409,41325">
                <v:fill on="t" focussize="0,0"/>
                <v:stroke color="#000000" joinstyle="miter"/>
                <v:imagedata o:title=""/>
                <o:lock v:ext="edit" aspectratio="f"/>
                <v:textbox>
                  <w:txbxContent>
                    <w:p w14:paraId="04642C40">
                      <w:pPr>
                        <w:rPr>
                          <w:rFonts w:hint="default"/>
                          <w:lang w:val="en-US" w:eastAsia="zh-CN"/>
                        </w:rPr>
                      </w:pPr>
                      <w:r>
                        <w:rPr>
                          <w:rFonts w:hint="eastAsia"/>
                          <w:lang w:val="en-US" w:eastAsia="zh-CN"/>
                        </w:rPr>
                        <w:t>S107省道</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3075940</wp:posOffset>
                </wp:positionH>
                <wp:positionV relativeFrom="paragraph">
                  <wp:posOffset>311785</wp:posOffset>
                </wp:positionV>
                <wp:extent cx="972185" cy="321945"/>
                <wp:effectExtent l="253365" t="168275" r="12700" b="5080"/>
                <wp:wrapNone/>
                <wp:docPr id="21" name="自选图形 3"/>
                <wp:cNvGraphicFramePr/>
                <a:graphic xmlns:a="http://schemas.openxmlformats.org/drawingml/2006/main">
                  <a:graphicData uri="http://schemas.microsoft.com/office/word/2010/wordprocessingShape">
                    <wps:wsp>
                      <wps:cNvSpPr/>
                      <wps:spPr>
                        <a:xfrm>
                          <a:off x="0" y="0"/>
                          <a:ext cx="972185" cy="321945"/>
                        </a:xfrm>
                        <a:prstGeom prst="wedgeRectCallout">
                          <a:avLst>
                            <a:gd name="adj1" fmla="val -72273"/>
                            <a:gd name="adj2" fmla="val -97928"/>
                          </a:avLst>
                        </a:prstGeom>
                        <a:solidFill>
                          <a:srgbClr val="FFFFFF"/>
                        </a:solidFill>
                        <a:ln w="9525" cap="flat" cmpd="sng">
                          <a:solidFill>
                            <a:srgbClr val="000000"/>
                          </a:solidFill>
                          <a:prstDash val="solid"/>
                          <a:miter/>
                          <a:headEnd type="none" w="med" len="med"/>
                          <a:tailEnd type="none" w="med" len="med"/>
                        </a:ln>
                      </wps:spPr>
                      <wps:txbx>
                        <w:txbxContent>
                          <w:p w14:paraId="7CBA2092">
                            <w:pPr>
                              <w:rPr>
                                <w:rFonts w:hint="default"/>
                                <w:lang w:val="en-US" w:eastAsia="zh-CN"/>
                              </w:rPr>
                            </w:pPr>
                            <w:r>
                              <w:rPr>
                                <w:rFonts w:hint="eastAsia"/>
                                <w:lang w:val="en-US" w:eastAsia="zh-CN"/>
                              </w:rPr>
                              <w:t>东山口水库</w:t>
                            </w:r>
                          </w:p>
                        </w:txbxContent>
                      </wps:txbx>
                      <wps:bodyPr upright="1"/>
                    </wps:wsp>
                  </a:graphicData>
                </a:graphic>
              </wp:anchor>
            </w:drawing>
          </mc:Choice>
          <mc:Fallback>
            <w:pict>
              <v:shape id="自选图形 3" o:spid="_x0000_s1026" o:spt="61" type="#_x0000_t61" style="position:absolute;left:0pt;margin-left:242.2pt;margin-top:24.55pt;height:25.35pt;width:76.55pt;z-index:251661312;mso-width-relative:page;mso-height-relative:page;" fillcolor="#FFFFFF" filled="t" stroked="t" coordsize="21600,21600" o:gfxdata="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CsPh341wAAAAkBAAAPAAAAAAAAAAEAIAAAACIAAABkcnMvZG93&#10;bnJldi54bWxQSwECFAAUAAAACACHTuJAzKxTcDoCAACOBAAADgAAAAAAAAABACAAAAAmAQAAZHJz&#10;L2Uyb0RvYy54bWxQSwUGAAAAAAYABgBZAQAA0gUAAAAA&#10;" adj="-4811,-10352">
                <v:fill on="t" focussize="0,0"/>
                <v:stroke color="#000000" joinstyle="miter"/>
                <v:imagedata o:title=""/>
                <o:lock v:ext="edit" aspectratio="f"/>
                <v:textbox>
                  <w:txbxContent>
                    <w:p w14:paraId="7CBA2092">
                      <w:pPr>
                        <w:rPr>
                          <w:rFonts w:hint="default"/>
                          <w:lang w:val="en-US" w:eastAsia="zh-CN"/>
                        </w:rPr>
                      </w:pPr>
                      <w:r>
                        <w:rPr>
                          <w:rFonts w:hint="eastAsia"/>
                          <w:lang w:val="en-US" w:eastAsia="zh-CN"/>
                        </w:rPr>
                        <w:t>东山口水库</w:t>
                      </w: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1477645</wp:posOffset>
                </wp:positionH>
                <wp:positionV relativeFrom="paragraph">
                  <wp:posOffset>151130</wp:posOffset>
                </wp:positionV>
                <wp:extent cx="972185" cy="321945"/>
                <wp:effectExtent l="4445" t="5080" r="13970" b="358775"/>
                <wp:wrapNone/>
                <wp:docPr id="17" name="自选图形 3"/>
                <wp:cNvGraphicFramePr/>
                <a:graphic xmlns:a="http://schemas.openxmlformats.org/drawingml/2006/main">
                  <a:graphicData uri="http://schemas.microsoft.com/office/word/2010/wordprocessingShape">
                    <wps:wsp>
                      <wps:cNvSpPr/>
                      <wps:spPr>
                        <a:xfrm>
                          <a:off x="0" y="0"/>
                          <a:ext cx="972185" cy="321945"/>
                        </a:xfrm>
                        <a:prstGeom prst="wedgeRectCallout">
                          <a:avLst>
                            <a:gd name="adj1" fmla="val 3429"/>
                            <a:gd name="adj2" fmla="val 154930"/>
                          </a:avLst>
                        </a:prstGeom>
                        <a:solidFill>
                          <a:srgbClr val="FFFFFF"/>
                        </a:solidFill>
                        <a:ln w="9525" cap="flat" cmpd="sng">
                          <a:solidFill>
                            <a:srgbClr val="000000"/>
                          </a:solidFill>
                          <a:prstDash val="solid"/>
                          <a:miter/>
                          <a:headEnd type="none" w="med" len="med"/>
                          <a:tailEnd type="none" w="med" len="med"/>
                        </a:ln>
                      </wps:spPr>
                      <wps:txbx>
                        <w:txbxContent>
                          <w:p w14:paraId="58FA799E">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尾矿库</w:t>
                            </w:r>
                          </w:p>
                        </w:txbxContent>
                      </wps:txbx>
                      <wps:bodyPr upright="1"/>
                    </wps:wsp>
                  </a:graphicData>
                </a:graphic>
              </wp:anchor>
            </w:drawing>
          </mc:Choice>
          <mc:Fallback>
            <w:pict>
              <v:shape id="自选图形 3" o:spid="_x0000_s1026" o:spt="61" type="#_x0000_t61" style="position:absolute;left:0pt;margin-left:116.35pt;margin-top:11.9pt;height:25.35pt;width:76.55pt;z-index:251660288;mso-width-relative:page;mso-height-relative:page;" fillcolor="#FFFFFF" filled="t" stroked="t" coordsize="21600,21600" o:gfxdata="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AVq7G11gAAAAkBAAAPAAAAAAAAAAEAIAAAACIAAABkcnMvZG93bnJl&#10;di54bWxQSwECFAAUAAAACACHTuJANSP3XDgCAACMBAAADgAAAAAAAAABACAAAAAlAQAAZHJzL2Uy&#10;b0RvYy54bWxQSwUGAAAAAAYABgBZAQAAzwUAAAAA&#10;" adj="11541,44265">
                <v:fill on="t" focussize="0,0"/>
                <v:stroke color="#000000" joinstyle="miter"/>
                <v:imagedata o:title=""/>
                <o:lock v:ext="edit" aspectratio="f"/>
                <v:textbox>
                  <w:txbxContent>
                    <w:p w14:paraId="58FA799E">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尾矿库</w:t>
                      </w:r>
                    </w:p>
                  </w:txbxContent>
                </v:textbox>
              </v:shape>
            </w:pict>
          </mc:Fallback>
        </mc:AlternateContent>
      </w:r>
      <w:r>
        <w:drawing>
          <wp:inline distT="0" distB="0" distL="114300" distR="114300">
            <wp:extent cx="5830570" cy="4126865"/>
            <wp:effectExtent l="0" t="0" r="17780" b="6985"/>
            <wp:docPr id="16"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0"/>
                    <pic:cNvPicPr>
                      <a:picLocks noChangeAspect="1"/>
                    </pic:cNvPicPr>
                  </pic:nvPicPr>
                  <pic:blipFill>
                    <a:blip r:embed="rId8"/>
                    <a:stretch>
                      <a:fillRect/>
                    </a:stretch>
                  </pic:blipFill>
                  <pic:spPr>
                    <a:xfrm>
                      <a:off x="0" y="0"/>
                      <a:ext cx="5830570" cy="4126865"/>
                    </a:xfrm>
                    <a:prstGeom prst="rect">
                      <a:avLst/>
                    </a:prstGeom>
                    <a:noFill/>
                    <a:ln>
                      <a:noFill/>
                    </a:ln>
                  </pic:spPr>
                </pic:pic>
              </a:graphicData>
            </a:graphic>
          </wp:inline>
        </w:drawing>
      </w:r>
    </w:p>
    <w:p w14:paraId="1393E62E">
      <w:pPr>
        <w:pStyle w:val="30"/>
        <w:bidi w:val="0"/>
        <w:rPr>
          <w:rFonts w:hint="eastAsia"/>
        </w:rPr>
      </w:pPr>
      <w:r>
        <w:rPr>
          <w:rFonts w:hint="eastAsia"/>
        </w:rPr>
        <w:t xml:space="preserve">图2.1-2 </w:t>
      </w:r>
      <w:r>
        <w:rPr>
          <w:rFonts w:hint="eastAsia"/>
          <w:lang w:val="en-US" w:eastAsia="zh-CN"/>
        </w:rPr>
        <w:t xml:space="preserve"> </w:t>
      </w:r>
      <w:r>
        <w:rPr>
          <w:rFonts w:hint="eastAsia"/>
        </w:rPr>
        <w:t>周边环境卫星图</w:t>
      </w:r>
    </w:p>
    <w:p w14:paraId="12B914D8">
      <w:pPr>
        <w:pStyle w:val="30"/>
        <w:bidi w:val="0"/>
        <w:rPr>
          <w:rFonts w:hint="eastAsia"/>
          <w:lang w:eastAsia="zh-CN"/>
        </w:rPr>
      </w:pPr>
      <w:r>
        <w:drawing>
          <wp:inline distT="0" distB="0" distL="114300" distR="114300">
            <wp:extent cx="4695825" cy="6496050"/>
            <wp:effectExtent l="0" t="0" r="9525" b="0"/>
            <wp:docPr id="5" name="图片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45"/>
                    <pic:cNvPicPr>
                      <a:picLocks noChangeAspect="1"/>
                    </pic:cNvPicPr>
                  </pic:nvPicPr>
                  <pic:blipFill>
                    <a:blip r:embed="rId9"/>
                    <a:stretch>
                      <a:fillRect/>
                    </a:stretch>
                  </pic:blipFill>
                  <pic:spPr>
                    <a:xfrm>
                      <a:off x="0" y="0"/>
                      <a:ext cx="4695825" cy="6496050"/>
                    </a:xfrm>
                    <a:prstGeom prst="rect">
                      <a:avLst/>
                    </a:prstGeom>
                    <a:noFill/>
                    <a:ln>
                      <a:noFill/>
                    </a:ln>
                  </pic:spPr>
                </pic:pic>
              </a:graphicData>
            </a:graphic>
          </wp:inline>
        </w:drawing>
      </w:r>
    </w:p>
    <w:p w14:paraId="5E7150FA">
      <w:pPr>
        <w:pStyle w:val="30"/>
        <w:bidi w:val="0"/>
        <w:rPr>
          <w:rFonts w:hint="eastAsia"/>
        </w:rPr>
      </w:pPr>
      <w:r>
        <w:rPr>
          <w:rFonts w:hint="eastAsia"/>
        </w:rPr>
        <w:t>图2.1-</w:t>
      </w:r>
      <w:r>
        <w:rPr>
          <w:rFonts w:hint="eastAsia"/>
          <w:lang w:val="en-US" w:eastAsia="zh-CN"/>
        </w:rPr>
        <w:t>3  矿山周边环境示意</w:t>
      </w:r>
      <w:r>
        <w:rPr>
          <w:rFonts w:hint="eastAsia"/>
          <w:lang w:eastAsia="zh-CN"/>
        </w:rPr>
        <w:t>图</w:t>
      </w:r>
    </w:p>
    <w:p w14:paraId="713AE20B">
      <w:pPr>
        <w:pStyle w:val="28"/>
        <w:bidi w:val="0"/>
        <w:rPr>
          <w:rFonts w:hint="default"/>
          <w:lang w:val="en-US" w:eastAsia="zh-CN"/>
        </w:rPr>
      </w:pPr>
      <w:bookmarkStart w:id="14" w:name="_Toc6956"/>
      <w:r>
        <w:rPr>
          <w:rFonts w:hint="eastAsia"/>
          <w:lang w:val="en-US" w:eastAsia="zh-CN"/>
        </w:rPr>
        <w:t>自然环境概况</w:t>
      </w:r>
      <w:bookmarkEnd w:id="14"/>
    </w:p>
    <w:p w14:paraId="708482B6">
      <w:pPr>
        <w:pStyle w:val="21"/>
        <w:bidi w:val="0"/>
        <w:rPr>
          <w:rFonts w:hint="eastAsia"/>
          <w:lang w:val="en-US" w:eastAsia="zh-CN"/>
        </w:rPr>
      </w:pPr>
      <w:r>
        <w:rPr>
          <w:rFonts w:hint="eastAsia"/>
          <w:lang w:val="en-US" w:eastAsia="zh-CN"/>
        </w:rPr>
        <w:t>（1）地形地貌</w:t>
      </w:r>
    </w:p>
    <w:p w14:paraId="12810230">
      <w:pPr>
        <w:pStyle w:val="21"/>
        <w:bidi w:val="0"/>
        <w:rPr>
          <w:rFonts w:hint="eastAsia"/>
          <w:lang w:val="en-US" w:eastAsia="zh-CN"/>
        </w:rPr>
      </w:pPr>
      <w:r>
        <w:rPr>
          <w:rFonts w:hint="eastAsia"/>
          <w:lang w:val="en-US" w:eastAsia="zh-CN"/>
        </w:rPr>
        <w:t>矿区地处千山山脉中北部，辽东山地西部边缘地带，其地貌类型为丘陵区，海拔高度一般在60m～121m，相对高差61m，地势较低，地形起伏较大。地形坡度15°。沟谷不甚发育。</w:t>
      </w:r>
    </w:p>
    <w:p w14:paraId="0DE548C3">
      <w:pPr>
        <w:pStyle w:val="21"/>
        <w:bidi w:val="0"/>
        <w:rPr>
          <w:rFonts w:hint="eastAsia"/>
          <w:lang w:val="en-US" w:eastAsia="zh-CN"/>
        </w:rPr>
      </w:pPr>
      <w:r>
        <w:rPr>
          <w:rFonts w:hint="eastAsia"/>
          <w:lang w:val="en-US" w:eastAsia="zh-CN"/>
        </w:rPr>
        <w:t>当地侵蚀基准面标高为60m，矿体大部分位于侵蚀基准面以下。</w:t>
      </w:r>
    </w:p>
    <w:p w14:paraId="22A3FC51">
      <w:pPr>
        <w:pStyle w:val="21"/>
        <w:bidi w:val="0"/>
        <w:rPr>
          <w:rFonts w:hint="eastAsia"/>
          <w:lang w:val="en-US" w:eastAsia="zh-CN"/>
        </w:rPr>
      </w:pPr>
      <w:r>
        <w:rPr>
          <w:rFonts w:hint="eastAsia"/>
          <w:lang w:val="en-US" w:eastAsia="zh-CN"/>
        </w:rPr>
        <w:t>综上所述；地貌类型单一，地形起伏变化较大，地形地貌中等复杂。</w:t>
      </w:r>
    </w:p>
    <w:p w14:paraId="7DE5D886">
      <w:pPr>
        <w:pStyle w:val="21"/>
        <w:bidi w:val="0"/>
        <w:rPr>
          <w:rFonts w:hint="eastAsia"/>
          <w:lang w:val="en-US" w:eastAsia="zh-CN"/>
        </w:rPr>
      </w:pPr>
      <w:r>
        <w:rPr>
          <w:rFonts w:hint="eastAsia"/>
          <w:lang w:val="en-US" w:eastAsia="zh-CN"/>
        </w:rPr>
        <w:t>（2）气象水文</w:t>
      </w:r>
    </w:p>
    <w:p w14:paraId="0A5360BE">
      <w:pPr>
        <w:pStyle w:val="21"/>
        <w:bidi w:val="0"/>
        <w:rPr>
          <w:rFonts w:hint="eastAsia"/>
          <w:lang w:val="en-US" w:eastAsia="zh-CN"/>
        </w:rPr>
      </w:pPr>
      <w:r>
        <w:rPr>
          <w:rFonts w:hint="eastAsia"/>
          <w:lang w:val="en-US" w:eastAsia="zh-CN"/>
        </w:rPr>
        <w:t>矿区属大陆性季风气候，地处中温带湿润区，受山地气候影响，冬寒夏爽，温差大，气侯较湿润。多年平均气温5～8℃左右，一月最冷，7～8月平均气温最高，月平均最低气温-25℃，月平均最高气温28.7℃，日最高极端气温达36.3℃，日最低极端气温-35.2℃。矿区内多年平均降水量800mm左右，降水量的年际变化较大，丰水年和枯水年相差2倍以上。降雨在年内分配极不均匀，雨量多集中在夏季，6~9月约占全年降水量的72％，其中7、8两月更为集中，占全年50％左右。矿区内多年平均蒸发量1100mm。5-6月份相对湿度小，气温上升快，风速大，是蒸发量最大时期。11～3月为结冰期，蒸发量最小。全年晴天平均为93天，阴天为76天，云天为196天，年平均雾天为25.3天，最多为41天。</w:t>
      </w:r>
    </w:p>
    <w:p w14:paraId="0ADA26CA">
      <w:pPr>
        <w:pStyle w:val="21"/>
        <w:bidi w:val="0"/>
        <w:rPr>
          <w:rFonts w:hint="default"/>
          <w:lang w:val="en-US" w:eastAsia="zh-CN"/>
        </w:rPr>
      </w:pPr>
      <w:r>
        <w:rPr>
          <w:rFonts w:hint="eastAsia"/>
          <w:lang w:val="en-US" w:eastAsia="zh-CN"/>
        </w:rPr>
        <w:t>矿区内冬季受西伯利亚冷空气南下及地形影响，多西南风、西北风，多年平均风速在1.5m／s～3.4m／s之间，最大风速可达20m／s，多发生在4月～5月之间。地面冻土深度为1.2～1.4m，冰厚0.5m，无霜期145天。矿区地表无水系。</w:t>
      </w:r>
    </w:p>
    <w:p w14:paraId="6891A840">
      <w:pPr>
        <w:pStyle w:val="28"/>
        <w:bidi w:val="0"/>
        <w:rPr>
          <w:rFonts w:hint="default"/>
          <w:lang w:val="en-US" w:eastAsia="zh-CN"/>
        </w:rPr>
      </w:pPr>
      <w:bookmarkStart w:id="15" w:name="_Toc19344"/>
      <w:r>
        <w:rPr>
          <w:rFonts w:hint="eastAsia"/>
          <w:lang w:val="en-US" w:eastAsia="zh-CN"/>
        </w:rPr>
        <w:t>建设项目地质概况</w:t>
      </w:r>
      <w:bookmarkEnd w:id="15"/>
    </w:p>
    <w:p w14:paraId="11875F58">
      <w:pPr>
        <w:pStyle w:val="29"/>
        <w:rPr>
          <w:rFonts w:hint="default"/>
          <w:lang w:val="en-US" w:eastAsia="zh-CN"/>
        </w:rPr>
      </w:pPr>
      <w:r>
        <w:rPr>
          <w:rFonts w:hint="eastAsia"/>
          <w:lang w:val="en-US" w:eastAsia="zh-CN"/>
        </w:rPr>
        <w:t>矿区地质概况</w:t>
      </w:r>
    </w:p>
    <w:p w14:paraId="0D344E4F">
      <w:pPr>
        <w:pStyle w:val="21"/>
        <w:numPr>
          <w:ilvl w:val="0"/>
          <w:numId w:val="7"/>
        </w:numPr>
        <w:bidi w:val="0"/>
        <w:rPr>
          <w:rFonts w:hint="default"/>
          <w:lang w:val="en-US" w:eastAsia="zh-CN"/>
        </w:rPr>
      </w:pPr>
      <w:r>
        <w:rPr>
          <w:rFonts w:hint="eastAsia"/>
          <w:lang w:val="en-US" w:eastAsia="zh-CN"/>
        </w:rPr>
        <w:t>矿区地层</w:t>
      </w:r>
    </w:p>
    <w:p w14:paraId="59BB1437">
      <w:pPr>
        <w:pStyle w:val="21"/>
        <w:bidi w:val="0"/>
        <w:rPr>
          <w:rFonts w:hint="eastAsia"/>
          <w:lang w:eastAsia="zh-CN"/>
        </w:rPr>
      </w:pPr>
      <w:r>
        <w:rPr>
          <w:rFonts w:hint="eastAsia"/>
          <w:lang w:eastAsia="zh-CN"/>
        </w:rPr>
        <w:t>矿区出露的地层主要为太古界鞍山群的大峪沟组二段（Ar</w:t>
      </w:r>
      <w:r>
        <w:rPr>
          <w:rFonts w:hint="eastAsia"/>
          <w:vertAlign w:val="subscript"/>
          <w:lang w:eastAsia="zh-CN"/>
        </w:rPr>
        <w:t>3</w:t>
      </w:r>
      <w:r>
        <w:rPr>
          <w:rFonts w:hint="eastAsia"/>
          <w:lang w:eastAsia="zh-CN"/>
        </w:rPr>
        <w:t>d</w:t>
      </w:r>
      <w:r>
        <w:rPr>
          <w:rFonts w:hint="eastAsia"/>
          <w:vertAlign w:val="superscript"/>
          <w:lang w:eastAsia="zh-CN"/>
        </w:rPr>
        <w:t>2</w:t>
      </w:r>
      <w:r>
        <w:rPr>
          <w:rFonts w:hint="eastAsia"/>
          <w:lang w:eastAsia="zh-CN"/>
        </w:rPr>
        <w:t>）和新元古界青白口系钓鱼台组（Pt</w:t>
      </w:r>
      <w:r>
        <w:rPr>
          <w:rFonts w:hint="eastAsia"/>
          <w:vertAlign w:val="subscript"/>
          <w:lang w:eastAsia="zh-CN"/>
        </w:rPr>
        <w:t>3</w:t>
      </w:r>
      <w:r>
        <w:rPr>
          <w:rFonts w:hint="eastAsia"/>
          <w:vertAlign w:val="superscript"/>
          <w:lang w:eastAsia="zh-CN"/>
        </w:rPr>
        <w:t>1b</w:t>
      </w:r>
      <w:r>
        <w:rPr>
          <w:rFonts w:hint="eastAsia"/>
          <w:lang w:eastAsia="zh-CN"/>
        </w:rPr>
        <w:t>d）。本区铁矿赋存在鞍山群大峪沟组二段（Ar</w:t>
      </w:r>
      <w:r>
        <w:rPr>
          <w:rFonts w:hint="eastAsia"/>
          <w:vertAlign w:val="subscript"/>
          <w:lang w:eastAsia="zh-CN"/>
        </w:rPr>
        <w:t>3</w:t>
      </w:r>
      <w:r>
        <w:rPr>
          <w:rFonts w:hint="eastAsia"/>
          <w:lang w:eastAsia="zh-CN"/>
        </w:rPr>
        <w:t>d</w:t>
      </w:r>
      <w:r>
        <w:rPr>
          <w:rFonts w:hint="eastAsia"/>
          <w:vertAlign w:val="superscript"/>
          <w:lang w:eastAsia="zh-CN"/>
        </w:rPr>
        <w:t>2</w:t>
      </w:r>
      <w:r>
        <w:rPr>
          <w:rFonts w:hint="eastAsia"/>
          <w:lang w:eastAsia="zh-CN"/>
        </w:rPr>
        <w:t>）地层中，为“鞍山式”沉积变质铁矿床。</w:t>
      </w:r>
    </w:p>
    <w:p w14:paraId="7C60F60C">
      <w:pPr>
        <w:pStyle w:val="21"/>
        <w:bidi w:val="0"/>
        <w:rPr>
          <w:rFonts w:hint="eastAsia"/>
          <w:lang w:eastAsia="zh-CN"/>
        </w:rPr>
      </w:pPr>
      <w:r>
        <w:rPr>
          <w:rFonts w:hint="eastAsia"/>
          <w:lang w:val="en-US" w:eastAsia="zh-CN"/>
        </w:rPr>
        <w:t>1、</w:t>
      </w:r>
      <w:r>
        <w:rPr>
          <w:rFonts w:hint="eastAsia"/>
          <w:lang w:eastAsia="zh-CN"/>
        </w:rPr>
        <w:t>太古界鞍山群的大峪沟组二段（Ar</w:t>
      </w:r>
      <w:r>
        <w:rPr>
          <w:rFonts w:hint="eastAsia"/>
          <w:vertAlign w:val="subscript"/>
          <w:lang w:eastAsia="zh-CN"/>
        </w:rPr>
        <w:t>3</w:t>
      </w:r>
      <w:r>
        <w:rPr>
          <w:rFonts w:hint="eastAsia"/>
          <w:lang w:eastAsia="zh-CN"/>
        </w:rPr>
        <w:t>d</w:t>
      </w:r>
      <w:r>
        <w:rPr>
          <w:rFonts w:hint="eastAsia"/>
          <w:vertAlign w:val="superscript"/>
          <w:lang w:eastAsia="zh-CN"/>
        </w:rPr>
        <w:t>2</w:t>
      </w:r>
      <w:r>
        <w:rPr>
          <w:rFonts w:hint="eastAsia"/>
          <w:lang w:eastAsia="zh-CN"/>
        </w:rPr>
        <w:t>），主要分布于矿区中部，为本区主要的含铁层位。</w:t>
      </w:r>
    </w:p>
    <w:p w14:paraId="535A04A8">
      <w:pPr>
        <w:pStyle w:val="21"/>
        <w:bidi w:val="0"/>
        <w:rPr>
          <w:rFonts w:hint="eastAsia"/>
          <w:lang w:eastAsia="zh-CN"/>
        </w:rPr>
      </w:pPr>
      <w:r>
        <w:rPr>
          <w:rFonts w:hint="eastAsia"/>
          <w:lang w:eastAsia="zh-CN"/>
        </w:rPr>
        <w:t>矿区内出露的层位相当于大峪沟组上部含铁层位，岩性以角闪斜长变粒岩及二云石英岩为主，为区内主要岩性。北矿段磁铁石英岩（铁矿层）呈扁豆体赋存于角闪斜长变粒岩段中，南矿段磁铁石英岩（铁矿层）呈扁豆体赋存于二云石英岩中；磁铁石英岩（铁矿层）分布不稳定。近矿围岩为角闪斜长变粒岩及二云石英岩。</w:t>
      </w:r>
    </w:p>
    <w:p w14:paraId="4C6A7CE2">
      <w:pPr>
        <w:pStyle w:val="21"/>
        <w:bidi w:val="0"/>
        <w:rPr>
          <w:rFonts w:hint="eastAsia"/>
          <w:lang w:eastAsia="zh-CN"/>
        </w:rPr>
      </w:pPr>
      <w:r>
        <w:rPr>
          <w:rFonts w:hint="eastAsia"/>
          <w:lang w:eastAsia="zh-CN"/>
        </w:rPr>
        <w:t>本组经历区域变质作用，岩性复杂，主要以二云石英岩、角闪斜长变粒岩、透闪片岩、石榴石英黑云片岩、二云斜长变粒岩、矽线石英白云母片岩等为主，夹有磁铁石英岩，局部穿插混合花岗岩及二长花岗岩。</w:t>
      </w:r>
    </w:p>
    <w:p w14:paraId="1AB4249D">
      <w:pPr>
        <w:pStyle w:val="21"/>
        <w:bidi w:val="0"/>
        <w:rPr>
          <w:rFonts w:hint="eastAsia"/>
          <w:lang w:eastAsia="zh-CN"/>
        </w:rPr>
      </w:pPr>
      <w:r>
        <w:rPr>
          <w:rFonts w:hint="eastAsia"/>
          <w:lang w:eastAsia="zh-CN"/>
        </w:rPr>
        <w:t>a．二云石英岩：浅灰色，片状粒状变晶结构，条带状构造。岩石主要由黑云母（15％）、白云母（3％）、石英（65％）、斜长石（7％）及微斜长石（10％）组成。斜长石（7％）及微斜长石（10％）组成。黑云母，片状，片径为0.1-0.3mm±；白云母，片状，无色，片径为0.2-0.3mm±；石英，他形晶，粒状，粒径为0.2-0.3mm±；斜长石，半自形晶，板状，发育有聚片双晶，具绢云母化，粒径为0.3mm±；微斜长石：半自形晶，板状，粒径为0.3mm±。</w:t>
      </w:r>
    </w:p>
    <w:p w14:paraId="6CDA6AD0">
      <w:pPr>
        <w:pStyle w:val="21"/>
        <w:bidi w:val="0"/>
        <w:rPr>
          <w:rFonts w:hint="eastAsia"/>
          <w:lang w:eastAsia="zh-CN"/>
        </w:rPr>
      </w:pPr>
      <w:r>
        <w:rPr>
          <w:rFonts w:hint="eastAsia"/>
          <w:lang w:eastAsia="zh-CN"/>
        </w:rPr>
        <w:t>b．石榴石英黑云片岩：斑状变晶结构，粒状片状变晶结构，片状构造。岩石主要由石榴石（8％）、石英（35％）、黑云母（55％）及不透明矿物（2％）组成。石榴石，为变斑晶，呈圆形及椭圆形粒状，粒径为0.5-1.5mm±；黑云母，片状，连续方向性分布，具绿泥石化，片径为0.5mm±；石英，他形晶，粒状，粒径为0.1-0.5mm±；不透明矿物，他形粒状，定向拉长，粒径为0.5mm±。</w:t>
      </w:r>
    </w:p>
    <w:p w14:paraId="43E16401">
      <w:pPr>
        <w:pStyle w:val="21"/>
        <w:bidi w:val="0"/>
        <w:rPr>
          <w:rFonts w:hint="eastAsia"/>
          <w:lang w:eastAsia="zh-CN"/>
        </w:rPr>
      </w:pPr>
      <w:r>
        <w:rPr>
          <w:rFonts w:hint="eastAsia"/>
          <w:lang w:eastAsia="zh-CN"/>
        </w:rPr>
        <w:t>c．二云斜长变粒岩：灰色，细粒片状粒状变晶结构，弱片麻状构造。岩石主要由黑云母（20％）、白云母（10％）、石英（30％）及斜长石（40％）组成。黑云母，片状，片径0.2mm；白云母，片状，无色，片径0.2mm；石英，他形晶，粒状，粒径0.1-0.3mm；斜长石，半自行晶，板状，发育有聚片双晶，粒径0.2-0.5mm.</w:t>
      </w:r>
    </w:p>
    <w:p w14:paraId="30F11BA0">
      <w:pPr>
        <w:pStyle w:val="21"/>
        <w:bidi w:val="0"/>
        <w:rPr>
          <w:rFonts w:hint="eastAsia"/>
          <w:lang w:eastAsia="zh-CN"/>
        </w:rPr>
      </w:pPr>
      <w:r>
        <w:rPr>
          <w:rFonts w:hint="eastAsia"/>
          <w:lang w:eastAsia="zh-CN"/>
        </w:rPr>
        <w:t>d、角闪斜长变粒岩：岩石呈灰绿色，中粒变晶结构，块状构造。暗色矿物以角闪石为主，含量约占25%，黑云母5%，含少量石榴石、紫苏辉石。浅色矿物占65%，由石英和斜长石组成。</w:t>
      </w:r>
    </w:p>
    <w:p w14:paraId="63D02DAC">
      <w:pPr>
        <w:pStyle w:val="21"/>
        <w:bidi w:val="0"/>
        <w:rPr>
          <w:rFonts w:hint="eastAsia"/>
          <w:lang w:eastAsia="zh-CN"/>
        </w:rPr>
      </w:pPr>
      <w:r>
        <w:rPr>
          <w:rFonts w:hint="eastAsia"/>
          <w:lang w:eastAsia="zh-CN"/>
        </w:rPr>
        <w:t>e、透闪片岩：岩石呈灰色，柱状变晶结构，片状构造。岩石主要由透闪石（100％）组成。透闪石：柱状，部分呈碎裂状，具简单双晶，单偏光下无色，正中突起，干涉色二级蓝绿，二轴晶负光性，正延性，连续方向性分布，粒径为0.5-2mm±。</w:t>
      </w:r>
    </w:p>
    <w:p w14:paraId="22422023">
      <w:pPr>
        <w:pStyle w:val="21"/>
        <w:bidi w:val="0"/>
        <w:rPr>
          <w:rFonts w:hint="eastAsia"/>
          <w:lang w:eastAsia="zh-CN"/>
        </w:rPr>
      </w:pPr>
      <w:r>
        <w:rPr>
          <w:rFonts w:hint="eastAsia"/>
          <w:lang w:eastAsia="zh-CN"/>
        </w:rPr>
        <w:t>f．矽线石英白云母片岩：片状粒状变晶结构，片状构造。岩石主要由矽线石（1％）、黑云母（5％）、白云母（59％）及石英（35％）组成。矽线石，发丝状，粒径0.2mm；石英，他形晶，粒状，粒径为0.2-0.5mm；黑云母，片状，片径0.5mm；白云母，片状，无色，片径0.5-1mm。</w:t>
      </w:r>
    </w:p>
    <w:p w14:paraId="2BFAB0F4">
      <w:pPr>
        <w:pStyle w:val="21"/>
        <w:bidi w:val="0"/>
        <w:rPr>
          <w:rFonts w:hint="eastAsia"/>
          <w:lang w:eastAsia="zh-CN"/>
        </w:rPr>
      </w:pPr>
      <w:r>
        <w:rPr>
          <w:rFonts w:hint="eastAsia"/>
          <w:lang w:val="en-US" w:eastAsia="zh-CN"/>
        </w:rPr>
        <w:t>2、</w:t>
      </w:r>
      <w:r>
        <w:rPr>
          <w:rFonts w:hint="eastAsia"/>
          <w:lang w:eastAsia="zh-CN"/>
        </w:rPr>
        <w:t>新元古界青白口系钓鱼台组（Pt</w:t>
      </w:r>
      <w:r>
        <w:rPr>
          <w:rFonts w:hint="eastAsia"/>
          <w:vertAlign w:val="subscript"/>
          <w:lang w:eastAsia="zh-CN"/>
        </w:rPr>
        <w:t>3</w:t>
      </w:r>
      <w:r>
        <w:rPr>
          <w:rFonts w:hint="eastAsia"/>
          <w:vertAlign w:val="superscript"/>
          <w:lang w:eastAsia="zh-CN"/>
        </w:rPr>
        <w:t>1b</w:t>
      </w:r>
      <w:r>
        <w:rPr>
          <w:rFonts w:hint="eastAsia"/>
          <w:lang w:eastAsia="zh-CN"/>
        </w:rPr>
        <w:t>d）</w:t>
      </w:r>
    </w:p>
    <w:p w14:paraId="0CBB2F0E">
      <w:pPr>
        <w:pStyle w:val="21"/>
        <w:bidi w:val="0"/>
        <w:rPr>
          <w:rFonts w:hint="default"/>
          <w:lang w:val="en-US" w:eastAsia="zh-CN"/>
        </w:rPr>
      </w:pPr>
      <w:r>
        <w:rPr>
          <w:rFonts w:hint="eastAsia"/>
          <w:lang w:eastAsia="zh-CN"/>
        </w:rPr>
        <w:t>为震旦系下部层位。与下部太古代二长花岗质片麻岩呈角度不整合接触。区域上岩石组合为中厚层、厚层石英砂岩、薄层粉砂岩、页岩、厚层石英砂岩及底砾岩。矿区出露岩石以中厚层、厚层石英砂岩为主。</w:t>
      </w:r>
    </w:p>
    <w:p w14:paraId="168A394A">
      <w:pPr>
        <w:pStyle w:val="21"/>
        <w:numPr>
          <w:ilvl w:val="0"/>
          <w:numId w:val="7"/>
        </w:numPr>
        <w:bidi w:val="0"/>
        <w:rPr>
          <w:rFonts w:hint="default"/>
          <w:lang w:val="en-US" w:eastAsia="zh-CN"/>
        </w:rPr>
      </w:pPr>
      <w:r>
        <w:rPr>
          <w:rFonts w:hint="eastAsia"/>
          <w:lang w:val="en-US" w:eastAsia="zh-CN"/>
        </w:rPr>
        <w:t>矿区构造</w:t>
      </w:r>
    </w:p>
    <w:p w14:paraId="06BCF7E7">
      <w:pPr>
        <w:pStyle w:val="21"/>
        <w:bidi w:val="0"/>
        <w:rPr>
          <w:rFonts w:hint="default"/>
          <w:lang w:val="en-US" w:eastAsia="zh-CN"/>
        </w:rPr>
      </w:pPr>
      <w:r>
        <w:rPr>
          <w:rFonts w:hint="eastAsia"/>
          <w:lang w:val="en-US" w:eastAsia="zh-CN"/>
        </w:rPr>
        <w:t>矿区内无褶皱构造，岩层为单斜，走向南北，北矿段总体走向160°，倾向北东，倾角46-84°；南矿段总体走向296°，倾向北东，倾角56-72°。区内北东向断裂F2为区内重要的断裂构造，F2断裂错断地层，将矿区分成北矿段和南矿段。F2断裂走向210°，倾向120°，倾角70°-80°，为正断层，断层面北后期闪长岩脉充填。本次钻探中3线钻探工程ZK301、ZK302、ZK303距F2断裂较近，3个钻孔已控制到标高-153- -321m，但并未钻至断层，从此标高看，判断F2断层倾角较大或断层直立，对南矿段矿体无破坏作用。</w:t>
      </w:r>
    </w:p>
    <w:p w14:paraId="00B0B0B1">
      <w:pPr>
        <w:pStyle w:val="21"/>
        <w:numPr>
          <w:ilvl w:val="0"/>
          <w:numId w:val="7"/>
        </w:numPr>
        <w:bidi w:val="0"/>
        <w:rPr>
          <w:rFonts w:hint="default"/>
          <w:lang w:val="en-US" w:eastAsia="zh-CN"/>
        </w:rPr>
      </w:pPr>
      <w:r>
        <w:rPr>
          <w:rFonts w:hint="eastAsia"/>
          <w:lang w:val="en-US" w:eastAsia="zh-CN"/>
        </w:rPr>
        <w:t>岩浆岩</w:t>
      </w:r>
    </w:p>
    <w:p w14:paraId="2318C640">
      <w:pPr>
        <w:pStyle w:val="21"/>
        <w:bidi w:val="0"/>
        <w:rPr>
          <w:rFonts w:hint="eastAsia"/>
          <w:lang w:val="en-US" w:eastAsia="zh-CN"/>
        </w:rPr>
      </w:pPr>
      <w:r>
        <w:rPr>
          <w:rFonts w:hint="eastAsia"/>
          <w:lang w:val="en-US" w:eastAsia="zh-CN"/>
        </w:rPr>
        <w:t>区内岩浆岩分布较少，为二长花岗岩及闪长岩。二长花岗岩在矿区呈南北向分布，闪长岩在中部呈脉状沿北东向断裂侵入于太古代二长花岗岩及太古界鞍山群大峪沟组。</w:t>
      </w:r>
    </w:p>
    <w:p w14:paraId="064329D0">
      <w:pPr>
        <w:pStyle w:val="21"/>
        <w:bidi w:val="0"/>
        <w:rPr>
          <w:rFonts w:hint="eastAsia"/>
          <w:lang w:val="en-US" w:eastAsia="zh-CN"/>
        </w:rPr>
      </w:pPr>
      <w:r>
        <w:rPr>
          <w:rFonts w:hint="eastAsia"/>
          <w:lang w:val="en-US" w:eastAsia="zh-CN"/>
        </w:rPr>
        <w:t>二长花岗岩：变余半自形粒状结构，块状构造。岩石主要由黑云母（2％）、白云母（8％）、石英（30％）、斜长石（25％）及微斜长石（35％）组成。黑云母，片状，片径为0.3mm±；白云母，片状，无色，片径为0.5-1mm±；石英，他形晶，粒状，部分交代微斜长石及斜长石，呈港湾状，粒径为0.5-2mm±；斜长石：半自形晶，板状，发育有聚片双晶，具绢云母化及黝帘石化，粒径为0.5-3mm±；微斜长石：半自形晶，板状，粒径为1-2mm±。</w:t>
      </w:r>
    </w:p>
    <w:p w14:paraId="4376D1A0">
      <w:pPr>
        <w:pStyle w:val="21"/>
        <w:bidi w:val="0"/>
        <w:rPr>
          <w:rFonts w:hint="eastAsia"/>
          <w:lang w:val="en-US" w:eastAsia="zh-CN"/>
        </w:rPr>
      </w:pPr>
      <w:r>
        <w:rPr>
          <w:rFonts w:hint="eastAsia"/>
          <w:lang w:val="en-US" w:eastAsia="zh-CN"/>
        </w:rPr>
        <w:t>闪长岩：风化色及新鲜面均为灰黑色。岩石主要由斜长石、角闪石、黑云母、石英组成。其中斜长石（70%±），近半自形板状－它形粒状，略显定向分布，绢云母化明显；角闪石（15%±），它形柱、粒状，与黑云母、石英等混杂定向分布。黑云母（10%±），片状，主与角闪石混杂相对显条纹状定向分布；石英（5%±），石英它形粒状，零散或集合体呈似条纹状等定向分布。</w:t>
      </w:r>
    </w:p>
    <w:p w14:paraId="68430328">
      <w:pPr>
        <w:pStyle w:val="21"/>
        <w:numPr>
          <w:ilvl w:val="0"/>
          <w:numId w:val="7"/>
        </w:numPr>
        <w:bidi w:val="0"/>
        <w:rPr>
          <w:rFonts w:hint="default"/>
          <w:lang w:val="en-US" w:eastAsia="zh-CN"/>
        </w:rPr>
      </w:pPr>
      <w:r>
        <w:rPr>
          <w:rFonts w:hint="eastAsia"/>
          <w:lang w:val="en-US" w:eastAsia="zh-CN"/>
        </w:rPr>
        <w:t>变质作用及围岩蚀变</w:t>
      </w:r>
    </w:p>
    <w:p w14:paraId="2FE9A4B3">
      <w:pPr>
        <w:pStyle w:val="21"/>
        <w:bidi w:val="0"/>
        <w:rPr>
          <w:rFonts w:hint="eastAsia"/>
          <w:lang w:val="en-US" w:eastAsia="zh-CN"/>
        </w:rPr>
      </w:pPr>
      <w:r>
        <w:rPr>
          <w:rFonts w:hint="eastAsia"/>
          <w:lang w:val="en-US" w:eastAsia="zh-CN"/>
        </w:rPr>
        <w:t>矿区铁矿赋存在鞍山岩群茨沟岩组地层中，为“鞍山式”沉积变质铁矿床。鞍～本地区是太古宙花岗岩～绿岩带主要分布区之一。太古宙层状岩系（绿岩带）惯称鞍山群，也称为含铁岩系。主要含铁层位为茨沟岩组；茨沟岩组相当于绿岩带中部岩系的上部，原岩为含沉积岩的基性～中酸性火山岩建造。在这些绿岩建造中，成矿所需的铁与硅质是由地幔喷气或喷浆作用提供的，进入海水后形成铁硅质化学沉积岩；硅铁质岩经区域变形变质作用，变质分异作用，形成条带状硅铁建造（BIF）型铁矿，相当于阿尔戈马型铁矿，通称“鞍山式”铁矿。后期太古宙花岗岩对铁矿及其围岩的侵入、改造，使其呈大小不等的包体状赋存在太古宙花岗质岩石中。</w:t>
      </w:r>
    </w:p>
    <w:p w14:paraId="55FDF7D9">
      <w:pPr>
        <w:pStyle w:val="21"/>
        <w:bidi w:val="0"/>
        <w:rPr>
          <w:rFonts w:hint="default"/>
          <w:lang w:val="en-US" w:eastAsia="zh-CN"/>
        </w:rPr>
      </w:pPr>
      <w:r>
        <w:rPr>
          <w:rFonts w:hint="eastAsia"/>
          <w:lang w:val="en-US" w:eastAsia="zh-CN"/>
        </w:rPr>
        <w:t>“鞍山式”铁矿为火山～沉积成因，工作区铁矿主要富集在茨沟岩组中。北矿段矿体顶底界面近矿围岩为角闪斜长变粒岩和太古代混合花岗岩，南矿段矿体顶底界面围岩岩性有石榴石英黑云片岩、透闪片岩、二云石英岩。</w:t>
      </w:r>
    </w:p>
    <w:p w14:paraId="34CB7FEA">
      <w:pPr>
        <w:pStyle w:val="29"/>
        <w:bidi w:val="0"/>
        <w:rPr>
          <w:rFonts w:hint="default"/>
          <w:lang w:val="en-US" w:eastAsia="zh-CN"/>
        </w:rPr>
      </w:pPr>
      <w:r>
        <w:rPr>
          <w:rFonts w:hint="eastAsia"/>
          <w:lang w:val="en-US" w:eastAsia="zh-CN"/>
        </w:rPr>
        <w:t>水文地质概况</w:t>
      </w:r>
    </w:p>
    <w:p w14:paraId="7D2E3998">
      <w:pPr>
        <w:pStyle w:val="21"/>
        <w:numPr>
          <w:ilvl w:val="0"/>
          <w:numId w:val="8"/>
        </w:numPr>
        <w:bidi w:val="0"/>
        <w:rPr>
          <w:rFonts w:hint="eastAsia"/>
          <w:lang w:val="en-US" w:eastAsia="zh-CN"/>
        </w:rPr>
      </w:pPr>
      <w:r>
        <w:rPr>
          <w:rFonts w:hint="eastAsia"/>
          <w:lang w:val="en-US" w:eastAsia="zh-CN"/>
        </w:rPr>
        <w:t>矿区水文地质概述</w:t>
      </w:r>
    </w:p>
    <w:p w14:paraId="573C6560">
      <w:pPr>
        <w:pStyle w:val="21"/>
        <w:bidi w:val="0"/>
        <w:rPr>
          <w:rFonts w:hint="eastAsia"/>
          <w:lang w:val="en-US" w:eastAsia="zh-CN"/>
        </w:rPr>
      </w:pPr>
      <w:r>
        <w:rPr>
          <w:rFonts w:hint="eastAsia"/>
          <w:lang w:val="en-US" w:eastAsia="zh-CN"/>
        </w:rPr>
        <w:t>2003年10月，辽宁省矿产勘查院提交了《沈阳市立新铁矿北矿段1号矿体储量核实报告》，报告由辽宁富源矿产资源储量评估公司评审，省国土资源厅备案（辽国土资储备字〔2004〕042号）；2004年4月13日，辽宁省矿产勘查院提交了《沈阳市立新铁矿北矿段2—1号、2号矿体储量核实报告》，报告由辽宁富源矿产资源储量评估公司评审，省国土资源厅备案（辽国土资储备字（2004）076号）；2019年9月东煤沈阳地质物探勘察工程公司提交了《辽宁省沈阳市立新铁矿资源储量核实报告》（辽自然资储备字[2019]164号）。</w:t>
      </w:r>
    </w:p>
    <w:p w14:paraId="773FF480">
      <w:pPr>
        <w:pStyle w:val="21"/>
        <w:bidi w:val="0"/>
        <w:rPr>
          <w:rFonts w:hint="eastAsia"/>
          <w:lang w:val="en-US" w:eastAsia="zh-CN"/>
        </w:rPr>
      </w:pPr>
      <w:r>
        <w:rPr>
          <w:rFonts w:hint="eastAsia"/>
          <w:lang w:val="en-US" w:eastAsia="zh-CN"/>
        </w:rPr>
        <w:t>上述报告中水文地质、工程地质工作达到了详查程度，报告中水文地质条件均为简单。再次核查工作的目的任务是详细查明矿区的水文地质、工程地质和环境地质条件；查明矿床的充水因素及边界条件；进行矿坑涌水量的预测，为矿山未来开采提供依据。</w:t>
      </w:r>
    </w:p>
    <w:p w14:paraId="07AD24A7">
      <w:pPr>
        <w:pStyle w:val="21"/>
        <w:bidi w:val="0"/>
        <w:rPr>
          <w:rFonts w:hint="eastAsia"/>
          <w:lang w:val="en-US" w:eastAsia="zh-CN"/>
        </w:rPr>
      </w:pPr>
      <w:r>
        <w:rPr>
          <w:rFonts w:hint="eastAsia"/>
          <w:lang w:val="en-US" w:eastAsia="zh-CN"/>
        </w:rPr>
        <w:t>储量标高位于-12～-487m之间，矿体位于当地侵蚀基准面以下，未来采取地下开采方式。矿山采矿许可证最低开采标高-580m。地下水主要接受大气降水补给，沿沟谷迳流排泄。</w:t>
      </w:r>
    </w:p>
    <w:p w14:paraId="27E5EA17">
      <w:pPr>
        <w:pStyle w:val="21"/>
        <w:bidi w:val="0"/>
        <w:rPr>
          <w:rFonts w:hint="eastAsia"/>
          <w:lang w:val="en-US" w:eastAsia="zh-CN"/>
        </w:rPr>
      </w:pPr>
      <w:r>
        <w:rPr>
          <w:rFonts w:hint="eastAsia"/>
          <w:lang w:val="en-US" w:eastAsia="zh-CN"/>
        </w:rPr>
        <w:t>矿山前期开采方式为露天/地下开采，生产规模为30.0万吨/年，矿区面积0.1023km</w:t>
      </w:r>
      <w:r>
        <w:rPr>
          <w:rFonts w:hint="eastAsia"/>
          <w:vertAlign w:val="superscript"/>
          <w:lang w:val="en-US" w:eastAsia="zh-CN"/>
        </w:rPr>
        <w:t>2</w:t>
      </w:r>
      <w:r>
        <w:rPr>
          <w:rFonts w:hint="eastAsia"/>
          <w:lang w:val="en-US" w:eastAsia="zh-CN"/>
        </w:rPr>
        <w:t>，开采标高：由103～-120m标高。据调查，矿山前期已开采至-96m标高，据矿山提供开采时的排水记录，生产时日排水量350-900m</w:t>
      </w:r>
      <w:r>
        <w:rPr>
          <w:rFonts w:hint="eastAsia"/>
          <w:vertAlign w:val="superscript"/>
          <w:lang w:val="en-US" w:eastAsia="zh-CN"/>
        </w:rPr>
        <w:t>3</w:t>
      </w:r>
      <w:r>
        <w:rPr>
          <w:rFonts w:hint="eastAsia"/>
          <w:lang w:val="en-US" w:eastAsia="zh-CN"/>
        </w:rPr>
        <w:t>/d。</w:t>
      </w:r>
    </w:p>
    <w:p w14:paraId="4CE790C1">
      <w:pPr>
        <w:pStyle w:val="21"/>
        <w:bidi w:val="0"/>
        <w:rPr>
          <w:rFonts w:hint="default"/>
          <w:lang w:val="en-US" w:eastAsia="zh-CN"/>
        </w:rPr>
      </w:pPr>
      <w:r>
        <w:rPr>
          <w:rFonts w:hint="eastAsia"/>
          <w:lang w:val="en-US" w:eastAsia="zh-CN"/>
        </w:rPr>
        <w:t>矿山前期开采在地表形成了较大的露天采坑，露天采坑位于丘陵坡地上，为凹形采坑，采坑中汇集的雨水和基岩裂隙水不能自行排泄，调查时坑内见积水。</w:t>
      </w:r>
    </w:p>
    <w:p w14:paraId="27803E45">
      <w:pPr>
        <w:pStyle w:val="21"/>
        <w:numPr>
          <w:ilvl w:val="0"/>
          <w:numId w:val="8"/>
        </w:numPr>
        <w:bidi w:val="0"/>
        <w:rPr>
          <w:rFonts w:hint="default"/>
          <w:lang w:val="en-US" w:eastAsia="zh-CN"/>
        </w:rPr>
      </w:pPr>
      <w:r>
        <w:rPr>
          <w:rFonts w:hint="default"/>
          <w:lang w:val="en-US" w:eastAsia="zh-CN"/>
        </w:rPr>
        <w:t>岩（矿）层的富水性</w:t>
      </w:r>
    </w:p>
    <w:p w14:paraId="26B11CBF">
      <w:pPr>
        <w:pStyle w:val="21"/>
        <w:bidi w:val="0"/>
        <w:rPr>
          <w:rFonts w:hint="eastAsia"/>
          <w:lang w:val="en-US" w:eastAsia="zh-CN"/>
        </w:rPr>
      </w:pPr>
      <w:r>
        <w:rPr>
          <w:rFonts w:hint="eastAsia"/>
          <w:lang w:val="en-US" w:eastAsia="zh-CN"/>
        </w:rPr>
        <w:t>1、根据矿区内出露岩性特征及地下水的赋存条件，本区地下水含水层有第四系孔隙潜水含水层、基岩裂隙含水层两种。处于第四系地层之下的基岩风化裂隙带水常与孔隙潜水构成统一含水体。</w:t>
      </w:r>
    </w:p>
    <w:p w14:paraId="61E3CD8C">
      <w:pPr>
        <w:pStyle w:val="21"/>
        <w:bidi w:val="0"/>
        <w:rPr>
          <w:rFonts w:hint="eastAsia"/>
          <w:lang w:val="en-US" w:eastAsia="zh-CN"/>
        </w:rPr>
      </w:pPr>
      <w:r>
        <w:rPr>
          <w:rFonts w:hint="eastAsia"/>
          <w:lang w:val="en-US" w:eastAsia="zh-CN"/>
        </w:rPr>
        <w:t>第四系孔隙潜水含水层：分布于丘陵坡地松散堆积物中。该层主要为粉质粘土、砾、碎石混粉土，厚度3.0～15.0 m。地下水位埋深2.60～12.50m，富水性弱，单井涌水量＜100m3/d。据区域水文地质资料，地下水渗透系数为6.95m/d。地下水动态受季节控制明显，主要接受大气降水及侧向基岩裂隙水补给，水化学类型为重碳酸、硫酸钙型。矿化度0.73g/L。</w:t>
      </w:r>
    </w:p>
    <w:p w14:paraId="3F2EC082">
      <w:pPr>
        <w:pStyle w:val="21"/>
        <w:bidi w:val="0"/>
        <w:rPr>
          <w:rFonts w:hint="eastAsia"/>
          <w:lang w:val="en-US" w:eastAsia="zh-CN"/>
        </w:rPr>
      </w:pPr>
      <w:r>
        <w:rPr>
          <w:rFonts w:hint="eastAsia"/>
          <w:lang w:val="en-US" w:eastAsia="zh-CN"/>
        </w:rPr>
        <w:t>基岩裂隙含水层：分布于坡麓地带及第四系地层以下基岩的风化裂隙带和成岩裂隙中，地层岩性主要为二云石英岩、二长花岗岩、角闪斜长变粒岩及石英砂岩等。二长花岗岩、角闪斜长变粒岩为矿体主要围岩，含水层受基岩裂隙发育控制，分布不均。基岩风化带厚度约35～55m，风化裂隙含水层位于基岩风化带中。基岩风化裂隙含水层厚度一般5～10m，地下水位埋深变化较大，一般10.0-15.0m。据收集矿区前期水文地质钻孔抽水试验资料，该含水层渗透系数K为0.092～0.156m/d，单位涌水量0.044～0.126L/s·m，富水性弱～中等。地下水水化学类型为重碳酸、硫酸钙及重碳酸、硫酸钙镁型水，矿化度0.45～0.48g/L。主要接受大气降水补给，随季节性变化较大。</w:t>
      </w:r>
    </w:p>
    <w:p w14:paraId="02908323">
      <w:pPr>
        <w:pStyle w:val="21"/>
        <w:bidi w:val="0"/>
        <w:rPr>
          <w:rFonts w:hint="eastAsia"/>
          <w:lang w:val="en-US" w:eastAsia="zh-CN"/>
        </w:rPr>
      </w:pPr>
      <w:r>
        <w:rPr>
          <w:rFonts w:hint="eastAsia"/>
          <w:lang w:val="en-US" w:eastAsia="zh-CN"/>
        </w:rPr>
        <w:t>矿区内有一条北东向断层F2出露，走向210°，倾向SE，倾角70°～80°，为正断层，断层面被后期闪长岩脉充填。在构造带及岩、矿脉附近发育次生构造裂隙，地下水呈脉状赋存其间，受裂隙发育程度影响，该含水带具有不均匀性或略具承压性的特征，与基岩裂隙水含水层为统一含水体。</w:t>
      </w:r>
    </w:p>
    <w:p w14:paraId="4ADFD57E">
      <w:pPr>
        <w:pStyle w:val="21"/>
        <w:bidi w:val="0"/>
        <w:rPr>
          <w:rFonts w:hint="eastAsia"/>
          <w:lang w:val="en-US" w:eastAsia="zh-CN"/>
        </w:rPr>
      </w:pPr>
      <w:r>
        <w:rPr>
          <w:rFonts w:hint="eastAsia"/>
          <w:lang w:val="en-US" w:eastAsia="zh-CN"/>
        </w:rPr>
        <w:t>2、井巷充水的主要含水层为基岩裂隙含水层，井巷中出水点位置多位于矿脉与围岩接触部位的裂隙发育地带及小型破碎带附近，多以点滴状、串珠状形式渗出，随丰、枯水期大气降水的变化呈现涌水量的同步增减，动态变化明显。</w:t>
      </w:r>
    </w:p>
    <w:p w14:paraId="3AB5B44F">
      <w:pPr>
        <w:pStyle w:val="21"/>
        <w:bidi w:val="0"/>
        <w:rPr>
          <w:rFonts w:hint="eastAsia"/>
          <w:lang w:val="en-US" w:eastAsia="zh-CN"/>
        </w:rPr>
      </w:pPr>
      <w:r>
        <w:rPr>
          <w:rFonts w:hint="eastAsia"/>
          <w:lang w:val="en-US" w:eastAsia="zh-CN"/>
        </w:rPr>
        <w:t>3、隔水层</w:t>
      </w:r>
    </w:p>
    <w:p w14:paraId="2948FD0C">
      <w:pPr>
        <w:pStyle w:val="21"/>
        <w:bidi w:val="0"/>
        <w:rPr>
          <w:rFonts w:hint="eastAsia"/>
          <w:lang w:val="en-US" w:eastAsia="zh-CN"/>
        </w:rPr>
      </w:pPr>
      <w:r>
        <w:rPr>
          <w:rFonts w:hint="eastAsia"/>
          <w:lang w:val="en-US" w:eastAsia="zh-CN"/>
        </w:rPr>
        <w:t>区内无绝对意义的隔水层，由于构造运动和成矿作用的影响，裂隙较发育但连通性较差。</w:t>
      </w:r>
    </w:p>
    <w:p w14:paraId="4C17F53E">
      <w:pPr>
        <w:pStyle w:val="21"/>
        <w:numPr>
          <w:ilvl w:val="0"/>
          <w:numId w:val="8"/>
        </w:numPr>
        <w:bidi w:val="0"/>
        <w:rPr>
          <w:rFonts w:hint="default"/>
          <w:lang w:val="en-US" w:eastAsia="zh-CN"/>
        </w:rPr>
      </w:pPr>
      <w:r>
        <w:rPr>
          <w:rFonts w:hint="default"/>
          <w:lang w:val="en-US" w:eastAsia="zh-CN"/>
        </w:rPr>
        <w:t>地下水动态特征及其补给、径流与排泄</w:t>
      </w:r>
    </w:p>
    <w:p w14:paraId="063D1CCA">
      <w:pPr>
        <w:pStyle w:val="21"/>
        <w:bidi w:val="0"/>
        <w:rPr>
          <w:rFonts w:hint="default"/>
          <w:lang w:val="en-US" w:eastAsia="zh-CN"/>
        </w:rPr>
      </w:pPr>
      <w:r>
        <w:rPr>
          <w:rFonts w:hint="eastAsia"/>
          <w:lang w:val="en-US" w:eastAsia="zh-CN"/>
        </w:rPr>
        <w:t>矿区内地下水为第四系孔隙潜水、基岩裂隙潜水，主要接受大气降水入渗补给。以地貌上的分水岭为汇水边界，基岩区坡麓地段为补给迳流区，沟谷地段为迳流排泄区，由于地形坡差较大，迳流条件良好。第四系松散堆积孔隙潜水含水层除接受大气降水外，还接受周边坡地基岩裂隙水补给，由高向低迳流排泄，除部分为人工开采利用外，多以地下迳流方式流出区外，地下水位枯、丰水期变化明显，年变化幅度一般2-3m</w:t>
      </w:r>
      <w:r>
        <w:rPr>
          <w:rFonts w:hint="default"/>
          <w:lang w:val="en-US" w:eastAsia="zh-CN"/>
        </w:rPr>
        <w:t>。</w:t>
      </w:r>
    </w:p>
    <w:p w14:paraId="176CC2BD">
      <w:pPr>
        <w:pStyle w:val="21"/>
        <w:numPr>
          <w:ilvl w:val="0"/>
          <w:numId w:val="8"/>
        </w:numPr>
        <w:bidi w:val="0"/>
        <w:rPr>
          <w:rFonts w:hint="default"/>
          <w:lang w:val="en-US" w:eastAsia="zh-CN"/>
        </w:rPr>
      </w:pPr>
      <w:r>
        <w:rPr>
          <w:rFonts w:hint="default"/>
          <w:lang w:val="en-US" w:eastAsia="zh-CN"/>
        </w:rPr>
        <w:t>矿床充水因素分析</w:t>
      </w:r>
    </w:p>
    <w:p w14:paraId="76CE654D">
      <w:pPr>
        <w:pStyle w:val="21"/>
        <w:bidi w:val="0"/>
        <w:rPr>
          <w:rFonts w:hint="default"/>
          <w:lang w:val="en-US" w:eastAsia="zh-CN"/>
        </w:rPr>
      </w:pPr>
      <w:r>
        <w:rPr>
          <w:rFonts w:hint="eastAsia"/>
          <w:lang w:val="en-US" w:eastAsia="zh-CN"/>
        </w:rPr>
        <w:t>矿区附近无地表水体，矿床充水主要与大气降水、基岩裂隙水相关。矿山前期为露天/地下开采。露天开采的充水主要因素是大气降水；地下开采的主要充水因素是基岩裂隙水，大气降水是矿床充水的间接因素。基岩裂隙水含水层富水性弱，不会对矿床开采形成较大威胁。矿床开采可能引起局部地下水水位的下降。据收集矿山前期地下开采时井下排水资料，雨季时排水量约900m</w:t>
      </w:r>
      <w:r>
        <w:rPr>
          <w:rFonts w:hint="eastAsia"/>
          <w:vertAlign w:val="superscript"/>
          <w:lang w:val="en-US" w:eastAsia="zh-CN"/>
        </w:rPr>
        <w:t>3</w:t>
      </w:r>
      <w:r>
        <w:rPr>
          <w:rFonts w:hint="eastAsia"/>
          <w:lang w:val="en-US" w:eastAsia="zh-CN"/>
        </w:rPr>
        <w:t>/d，日常排水量350m</w:t>
      </w:r>
      <w:r>
        <w:rPr>
          <w:rFonts w:hint="eastAsia"/>
          <w:vertAlign w:val="superscript"/>
          <w:lang w:val="en-US" w:eastAsia="zh-CN"/>
        </w:rPr>
        <w:t>3</w:t>
      </w:r>
      <w:r>
        <w:rPr>
          <w:rFonts w:hint="eastAsia"/>
          <w:lang w:val="en-US" w:eastAsia="zh-CN"/>
        </w:rPr>
        <w:t>/d，动态变化明显。充水水源为基岩裂隙水，沿裂隙发育带呈点滴状、串珠状渗出</w:t>
      </w:r>
      <w:r>
        <w:rPr>
          <w:rFonts w:hint="default"/>
          <w:lang w:val="en-US" w:eastAsia="zh-CN"/>
        </w:rPr>
        <w:t>。</w:t>
      </w:r>
    </w:p>
    <w:p w14:paraId="5E89CDDD">
      <w:pPr>
        <w:pStyle w:val="21"/>
        <w:numPr>
          <w:ilvl w:val="0"/>
          <w:numId w:val="8"/>
        </w:numPr>
        <w:bidi w:val="0"/>
        <w:rPr>
          <w:rFonts w:hint="default" w:ascii="Times New Roman" w:hAnsi="Times New Roman" w:eastAsia="仿宋"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矿坑涌水量</w:t>
      </w:r>
    </w:p>
    <w:p w14:paraId="0C552801">
      <w:pPr>
        <w:pStyle w:val="21"/>
        <w:bidi w:val="0"/>
        <w:rPr>
          <w:rFonts w:hint="eastAsia"/>
          <w:lang w:val="en-US" w:eastAsia="zh-CN"/>
        </w:rPr>
      </w:pPr>
      <w:r>
        <w:rPr>
          <w:rFonts w:hint="eastAsia"/>
          <w:lang w:val="en-US" w:eastAsia="zh-CN"/>
        </w:rPr>
        <w:t>1、大井法</w:t>
      </w:r>
    </w:p>
    <w:p w14:paraId="5E8B806B">
      <w:pPr>
        <w:pStyle w:val="21"/>
        <w:bidi w:val="0"/>
        <w:rPr>
          <w:rFonts w:hint="default"/>
          <w:lang w:val="en-US" w:eastAsia="zh-CN"/>
        </w:rPr>
      </w:pPr>
      <m:oMath>
        <m:r>
          <m:rPr>
            <m:sty m:val="p"/>
          </m:rPr>
          <w:rPr>
            <w:rFonts w:hint="default" w:ascii="Cambria Math" w:hAnsi="Cambria Math"/>
          </w:rPr>
          <m:t>Q=</m:t>
        </m:r>
        <m:f>
          <m:fPr>
            <m:ctrlPr>
              <w:rPr>
                <w:rFonts w:hint="default" w:ascii="Cambria Math" w:hAnsi="Cambria Math"/>
              </w:rPr>
            </m:ctrlPr>
          </m:fPr>
          <m:num>
            <m:r>
              <m:rPr>
                <m:sty m:val="p"/>
              </m:rPr>
              <w:rPr>
                <w:rFonts w:hint="default" w:ascii="Cambria Math" w:hAnsi="Cambria Math"/>
              </w:rPr>
              <m:t>1.366K(2H−S)S</m:t>
            </m:r>
            <m:ctrlPr>
              <w:rPr>
                <w:rFonts w:ascii="Cambria Math" w:hAnsi="Cambria Math"/>
              </w:rPr>
            </m:ctrlPr>
          </m:num>
          <m:den>
            <m:func>
              <m:funcPr>
                <m:ctrlPr>
                  <w:rPr>
                    <w:rFonts w:hint="default" w:ascii="Cambria Math" w:hAnsi="Cambria Math"/>
                  </w:rPr>
                </m:ctrlPr>
              </m:funcPr>
              <m:fName>
                <m:r>
                  <m:rPr>
                    <m:sty m:val="p"/>
                  </m:rPr>
                  <w:rPr>
                    <w:rFonts w:hint="default" w:ascii="Cambria Math" w:hAnsi="Cambria Math"/>
                  </w:rPr>
                  <m:t>lg</m:t>
                </m:r>
                <m:ctrlPr>
                  <w:rPr>
                    <w:rFonts w:ascii="Cambria Math" w:hAnsi="Cambria Math"/>
                  </w:rPr>
                </m:ctrlPr>
              </m:fName>
              <m:e>
                <m:sSub>
                  <m:sSubPr>
                    <m:ctrlPr>
                      <w:rPr>
                        <w:rFonts w:hint="default" w:ascii="Cambria Math" w:hAnsi="Cambria Math"/>
                      </w:rPr>
                    </m:ctrlPr>
                  </m:sSubPr>
                  <m:e>
                    <m:r>
                      <m:rPr>
                        <m:sty m:val="p"/>
                      </m:rPr>
                      <w:rPr>
                        <w:rFonts w:hint="default" w:ascii="Cambria Math" w:hAnsi="Cambria Math"/>
                      </w:rPr>
                      <m:t>R</m:t>
                    </m:r>
                    <m:ctrlPr>
                      <w:rPr>
                        <w:rFonts w:ascii="Cambria Math" w:hAnsi="Cambria Math"/>
                      </w:rPr>
                    </m:ctrlPr>
                  </m:e>
                  <m:sub>
                    <m:r>
                      <m:rPr>
                        <m:sty m:val="p"/>
                      </m:rPr>
                      <w:rPr>
                        <w:rFonts w:hint="default" w:ascii="Cambria Math" w:hAnsi="Cambria Math"/>
                      </w:rPr>
                      <m:t>0</m:t>
                    </m:r>
                    <m:ctrlPr>
                      <w:rPr>
                        <w:rFonts w:ascii="Cambria Math" w:hAnsi="Cambria Math"/>
                      </w:rPr>
                    </m:ctrlPr>
                  </m:sub>
                </m:sSub>
                <m:ctrlPr>
                  <w:rPr>
                    <w:rFonts w:hint="default" w:ascii="Cambria Math" w:hAnsi="Cambria Math"/>
                  </w:rPr>
                </m:ctrlPr>
              </m:e>
            </m:func>
            <m:r>
              <m:rPr>
                <m:sty m:val="p"/>
              </m:rPr>
              <w:rPr>
                <w:rFonts w:hint="default" w:ascii="Cambria Math" w:hAnsi="Cambria Math"/>
              </w:rPr>
              <m:t>+</m:t>
            </m:r>
            <m:func>
              <m:funcPr>
                <m:ctrlPr>
                  <w:rPr>
                    <w:rFonts w:hint="default" w:ascii="Cambria Math" w:hAnsi="Cambria Math"/>
                  </w:rPr>
                </m:ctrlPr>
              </m:funcPr>
              <m:fName>
                <m:r>
                  <m:rPr>
                    <m:sty m:val="p"/>
                  </m:rPr>
                  <w:rPr>
                    <w:rFonts w:hint="default" w:ascii="Cambria Math" w:hAnsi="Cambria Math"/>
                  </w:rPr>
                  <m:t>lg</m:t>
                </m:r>
                <m:ctrlPr>
                  <w:rPr>
                    <w:rFonts w:hint="default" w:ascii="Cambria Math" w:hAnsi="Cambria Math"/>
                  </w:rPr>
                </m:ctrlPr>
              </m:fName>
              <m:e>
                <m:sSub>
                  <m:sSubPr>
                    <m:ctrlPr>
                      <w:rPr>
                        <w:rFonts w:hint="default" w:ascii="Cambria Math" w:hAnsi="Cambria Math"/>
                      </w:rPr>
                    </m:ctrlPr>
                  </m:sSubPr>
                  <m:e>
                    <m:r>
                      <m:rPr>
                        <m:sty m:val="p"/>
                      </m:rPr>
                      <w:rPr>
                        <w:rFonts w:hint="default" w:ascii="Cambria Math" w:hAnsi="Cambria Math"/>
                      </w:rPr>
                      <m:t>r</m:t>
                    </m:r>
                    <m:ctrlPr>
                      <w:rPr>
                        <w:rFonts w:ascii="Cambria Math" w:hAnsi="Cambria Math"/>
                      </w:rPr>
                    </m:ctrlPr>
                  </m:e>
                  <m:sub>
                    <m:r>
                      <m:rPr>
                        <m:sty m:val="p"/>
                      </m:rPr>
                      <w:rPr>
                        <w:rFonts w:hint="default" w:ascii="Cambria Math" w:hAnsi="Cambria Math"/>
                      </w:rPr>
                      <m:t>0</m:t>
                    </m:r>
                    <m:ctrlPr>
                      <w:rPr>
                        <w:rFonts w:ascii="Cambria Math" w:hAnsi="Cambria Math"/>
                      </w:rPr>
                    </m:ctrlPr>
                  </m:sub>
                </m:sSub>
                <m:ctrlPr>
                  <w:rPr>
                    <w:rFonts w:hint="default" w:ascii="Cambria Math" w:hAnsi="Cambria Math"/>
                  </w:rPr>
                </m:ctrlPr>
              </m:e>
            </m:func>
            <m:ctrlPr>
              <w:rPr>
                <w:rFonts w:hint="default" w:ascii="Cambria Math" w:hAnsi="Cambria Math"/>
              </w:rPr>
            </m:ctrlPr>
          </m:den>
        </m:f>
      </m:oMath>
      <w:r>
        <w:rPr>
          <w:rFonts w:hint="eastAsia"/>
          <w:lang w:val="en-US" w:eastAsia="zh-CN"/>
        </w:rPr>
        <w:tab/>
      </w:r>
      <w:r>
        <w:rPr>
          <w:rFonts w:hint="eastAsia"/>
          <w:lang w:val="en-US" w:eastAsia="zh-CN"/>
        </w:rPr>
        <w:t>（1）</w:t>
      </w:r>
    </w:p>
    <w:p w14:paraId="0684E9B0">
      <w:pPr>
        <w:pStyle w:val="21"/>
        <w:bidi w:val="0"/>
        <w:rPr>
          <w:rFonts w:hint="eastAsia"/>
          <w:lang w:val="en-US" w:eastAsia="zh-CN"/>
        </w:rPr>
      </w:pPr>
      <m:oMath>
        <m:sSub>
          <m:sSubPr>
            <m:ctrlPr>
              <w:rPr>
                <w:rFonts w:hint="default" w:ascii="Cambria Math" w:hAnsi="Cambria Math"/>
              </w:rPr>
            </m:ctrlPr>
          </m:sSubPr>
          <m:e>
            <m:r>
              <m:rPr>
                <m:sty m:val="p"/>
              </m:rPr>
              <w:rPr>
                <w:rFonts w:hint="default" w:ascii="Cambria Math" w:hAnsi="Cambria Math"/>
              </w:rPr>
              <m:t>R</m:t>
            </m:r>
            <m:ctrlPr>
              <w:rPr>
                <w:rFonts w:ascii="Cambria Math" w:hAnsi="Cambria Math"/>
              </w:rPr>
            </m:ctrlPr>
          </m:e>
          <m:sub>
            <m:r>
              <m:rPr>
                <m:sty m:val="p"/>
              </m:rPr>
              <w:rPr>
                <w:rFonts w:hint="default" w:ascii="Cambria Math" w:hAnsi="Cambria Math"/>
              </w:rPr>
              <m:t>0</m:t>
            </m:r>
            <m:ctrlPr>
              <w:rPr>
                <w:rFonts w:ascii="Cambria Math" w:hAnsi="Cambria Math"/>
              </w:rPr>
            </m:ctrlPr>
          </m:sub>
        </m:sSub>
        <m:r>
          <m:rPr>
            <m:sty m:val="p"/>
          </m:rPr>
          <w:rPr>
            <w:rFonts w:hint="default" w:ascii="Cambria Math" w:hAnsi="Cambria Math"/>
          </w:rPr>
          <m:t>=R+</m:t>
        </m:r>
        <m:sSub>
          <m:sSubPr>
            <m:ctrlPr>
              <w:rPr>
                <w:rFonts w:hint="default" w:ascii="Cambria Math" w:hAnsi="Cambria Math"/>
              </w:rPr>
            </m:ctrlPr>
          </m:sSubPr>
          <m:e>
            <m:r>
              <m:rPr>
                <m:sty m:val="p"/>
              </m:rPr>
              <w:rPr>
                <w:rFonts w:hint="default" w:ascii="Cambria Math" w:hAnsi="Cambria Math"/>
              </w:rPr>
              <m:t>r</m:t>
            </m:r>
            <m:ctrlPr>
              <w:rPr>
                <w:rFonts w:ascii="Cambria Math" w:hAnsi="Cambria Math"/>
              </w:rPr>
            </m:ctrlPr>
          </m:e>
          <m:sub>
            <m:r>
              <m:rPr>
                <m:sty m:val="p"/>
              </m:rPr>
              <w:rPr>
                <w:rFonts w:hint="default" w:ascii="Cambria Math" w:hAnsi="Cambria Math"/>
              </w:rPr>
              <m:t>0</m:t>
            </m:r>
            <m:ctrlPr>
              <w:rPr>
                <w:rFonts w:ascii="Cambria Math" w:hAnsi="Cambria Math"/>
              </w:rPr>
            </m:ctrlPr>
          </m:sub>
        </m:sSub>
      </m:oMath>
      <w:r>
        <w:rPr>
          <w:rFonts w:hint="eastAsia"/>
          <w:lang w:val="en-US" w:eastAsia="zh-CN"/>
        </w:rPr>
        <w:tab/>
      </w:r>
      <w:r>
        <w:rPr>
          <w:rFonts w:hint="eastAsia"/>
          <w:lang w:val="en-US" w:eastAsia="zh-CN"/>
        </w:rPr>
        <w:t>（2）</w:t>
      </w:r>
    </w:p>
    <w:p w14:paraId="24DC458A">
      <w:pPr>
        <w:pStyle w:val="21"/>
        <w:bidi w:val="0"/>
        <w:rPr>
          <w:rFonts w:hint="eastAsia"/>
          <w:lang w:val="en-US" w:eastAsia="zh-CN"/>
        </w:rPr>
      </w:pPr>
      <m:oMath>
        <m:r>
          <m:rPr>
            <m:sty m:val="p"/>
          </m:rPr>
          <w:rPr>
            <w:rFonts w:hint="default" w:ascii="Cambria Math" w:hAnsi="Cambria Math"/>
          </w:rPr>
          <m:t>R=2S</m:t>
        </m:r>
        <m:rad>
          <m:radPr>
            <m:degHide m:val="1"/>
            <m:ctrlPr>
              <w:rPr>
                <w:rFonts w:hint="default" w:ascii="Cambria Math" w:hAnsi="Cambria Math"/>
              </w:rPr>
            </m:ctrlPr>
          </m:radPr>
          <m:deg>
            <m:ctrlPr>
              <w:rPr>
                <w:rFonts w:ascii="Cambria Math" w:hAnsi="Cambria Math"/>
              </w:rPr>
            </m:ctrlPr>
          </m:deg>
          <m:e>
            <m:r>
              <m:rPr>
                <m:sty m:val="p"/>
              </m:rPr>
              <w:rPr>
                <w:rFonts w:hint="default" w:ascii="Cambria Math" w:hAnsi="Cambria Math"/>
              </w:rPr>
              <m:t>HK</m:t>
            </m:r>
            <m:ctrlPr>
              <w:rPr>
                <w:rFonts w:ascii="Cambria Math" w:hAnsi="Cambria Math"/>
              </w:rPr>
            </m:ctrlPr>
          </m:e>
        </m:rad>
      </m:oMath>
      <w:r>
        <w:rPr>
          <w:rFonts w:hint="eastAsia"/>
          <w:lang w:val="en-US" w:eastAsia="zh-CN"/>
        </w:rPr>
        <w:t>（潜水含水层）</w:t>
      </w:r>
      <w:r>
        <w:rPr>
          <w:rFonts w:hint="eastAsia"/>
          <w:lang w:val="en-US" w:eastAsia="zh-CN"/>
        </w:rPr>
        <w:tab/>
      </w:r>
      <w:r>
        <w:rPr>
          <w:rFonts w:hint="eastAsia"/>
          <w:lang w:val="en-US" w:eastAsia="zh-CN"/>
        </w:rPr>
        <w:t>（3）</w:t>
      </w:r>
    </w:p>
    <w:p w14:paraId="5F6CFE00">
      <w:pPr>
        <w:pStyle w:val="21"/>
        <w:bidi w:val="0"/>
        <w:rPr>
          <w:rFonts w:hint="eastAsia"/>
          <w:lang w:val="en-US" w:eastAsia="zh-CN"/>
        </w:rPr>
      </w:pPr>
      <m:oMath>
        <m:sSub>
          <m:sSubPr>
            <m:ctrlPr>
              <w:rPr>
                <w:rFonts w:hint="default" w:ascii="Cambria Math" w:hAnsi="Cambria Math"/>
              </w:rPr>
            </m:ctrlPr>
          </m:sSubPr>
          <m:e>
            <m:r>
              <m:rPr>
                <m:sty m:val="p"/>
              </m:rPr>
              <w:rPr>
                <w:rFonts w:hint="default" w:ascii="Cambria Math" w:hAnsi="Cambria Math"/>
              </w:rPr>
              <m:t>r</m:t>
            </m:r>
            <m:ctrlPr>
              <w:rPr>
                <w:rFonts w:ascii="Cambria Math" w:hAnsi="Cambria Math"/>
              </w:rPr>
            </m:ctrlPr>
          </m:e>
          <m:sub>
            <m:r>
              <m:rPr>
                <m:sty m:val="p"/>
              </m:rPr>
              <w:rPr>
                <w:rFonts w:hint="default" w:ascii="Cambria Math" w:hAnsi="Cambria Math"/>
              </w:rPr>
              <m:t>0</m:t>
            </m:r>
            <m:ctrlPr>
              <w:rPr>
                <w:rFonts w:ascii="Cambria Math" w:hAnsi="Cambria Math"/>
              </w:rPr>
            </m:ctrlPr>
          </m:sub>
        </m:sSub>
        <m:r>
          <m:rPr>
            <m:sty m:val="p"/>
          </m:rPr>
          <w:rPr>
            <w:rFonts w:hint="default" w:ascii="Cambria Math" w:hAnsi="Cambria Math"/>
          </w:rPr>
          <m:t>=</m:t>
        </m:r>
        <m:rad>
          <m:radPr>
            <m:degHide m:val="1"/>
            <m:ctrlPr>
              <w:rPr>
                <w:rFonts w:hint="default" w:ascii="Cambria Math" w:hAnsi="Cambria Math"/>
              </w:rPr>
            </m:ctrlPr>
          </m:radPr>
          <m:deg>
            <m:ctrlPr>
              <w:rPr>
                <w:rFonts w:ascii="Cambria Math" w:hAnsi="Cambria Math"/>
              </w:rPr>
            </m:ctrlPr>
          </m:deg>
          <m:e>
            <m:f>
              <m:fPr>
                <m:ctrlPr>
                  <w:rPr>
                    <w:rFonts w:hint="default" w:ascii="Cambria Math" w:hAnsi="Cambria Math"/>
                  </w:rPr>
                </m:ctrlPr>
              </m:fPr>
              <m:num>
                <m:r>
                  <m:rPr>
                    <m:sty m:val="p"/>
                  </m:rPr>
                  <w:rPr>
                    <w:rFonts w:hint="default" w:ascii="Cambria Math" w:hAnsi="Cambria Math"/>
                  </w:rPr>
                  <m:t>F</m:t>
                </m:r>
                <m:ctrlPr>
                  <w:rPr>
                    <w:rFonts w:ascii="Cambria Math" w:hAnsi="Cambria Math"/>
                  </w:rPr>
                </m:ctrlPr>
              </m:num>
              <m:den>
                <m:r>
                  <m:rPr>
                    <m:sty m:val="p"/>
                  </m:rPr>
                  <w:rPr>
                    <w:rFonts w:hint="default" w:ascii="Cambria Math" w:hAnsi="Cambria Math"/>
                  </w:rPr>
                  <m:t>π</m:t>
                </m:r>
                <m:ctrlPr>
                  <w:rPr>
                    <w:rFonts w:ascii="Cambria Math" w:hAnsi="Cambria Math"/>
                  </w:rPr>
                </m:ctrlPr>
              </m:den>
            </m:f>
            <m:ctrlPr>
              <w:rPr>
                <w:rFonts w:hint="default" w:ascii="Cambria Math" w:hAnsi="Cambria Math"/>
              </w:rPr>
            </m:ctrlPr>
          </m:e>
        </m:rad>
        <m:r>
          <m:rPr>
            <m:sty m:val="p"/>
          </m:rPr>
          <w:rPr>
            <w:rFonts w:hint="default" w:ascii="Cambria Math" w:hAnsi="Cambria Math"/>
          </w:rPr>
          <m:t>=0.565</m:t>
        </m:r>
        <m:rad>
          <m:radPr>
            <m:degHide m:val="1"/>
            <m:ctrlPr>
              <w:rPr>
                <w:rFonts w:hint="default" w:ascii="Cambria Math" w:hAnsi="Cambria Math"/>
              </w:rPr>
            </m:ctrlPr>
          </m:radPr>
          <m:deg>
            <m:ctrlPr>
              <w:rPr>
                <w:rFonts w:hint="default" w:ascii="Cambria Math" w:hAnsi="Cambria Math"/>
              </w:rPr>
            </m:ctrlPr>
          </m:deg>
          <m:e>
            <m:r>
              <m:rPr>
                <m:sty m:val="p"/>
              </m:rPr>
              <w:rPr>
                <w:rFonts w:hint="default" w:ascii="Cambria Math" w:hAnsi="Cambria Math"/>
              </w:rPr>
              <m:t>F</m:t>
            </m:r>
            <m:ctrlPr>
              <w:rPr>
                <w:rFonts w:hint="default" w:ascii="Cambria Math" w:hAnsi="Cambria Math"/>
              </w:rPr>
            </m:ctrlPr>
          </m:e>
        </m:rad>
      </m:oMath>
      <w:r>
        <w:rPr>
          <w:rFonts w:hint="eastAsia"/>
          <w:lang w:val="en-US" w:eastAsia="zh-CN"/>
        </w:rPr>
        <w:t>（不规则形）</w:t>
      </w:r>
      <w:r>
        <w:rPr>
          <w:rFonts w:hint="eastAsia"/>
          <w:lang w:val="en-US" w:eastAsia="zh-CN"/>
        </w:rPr>
        <w:tab/>
      </w:r>
      <w:r>
        <w:rPr>
          <w:rFonts w:hint="eastAsia"/>
          <w:lang w:val="en-US" w:eastAsia="zh-CN"/>
        </w:rPr>
        <w:t>（4）</w:t>
      </w:r>
    </w:p>
    <w:p w14:paraId="1FA6D61C">
      <w:pPr>
        <w:pStyle w:val="21"/>
        <w:bidi w:val="0"/>
        <w:rPr>
          <w:rFonts w:hint="eastAsia"/>
          <w:lang w:val="en-US" w:eastAsia="zh-CN"/>
        </w:rPr>
      </w:pPr>
      <w:r>
        <w:rPr>
          <w:rFonts w:hint="eastAsia"/>
          <w:lang w:val="en-US" w:eastAsia="zh-CN"/>
        </w:rPr>
        <w:t>式中：Q——矿坑排水量（m</w:t>
      </w:r>
      <w:r>
        <w:rPr>
          <w:rFonts w:hint="eastAsia"/>
          <w:vertAlign w:val="superscript"/>
          <w:lang w:val="en-US" w:eastAsia="zh-CN"/>
        </w:rPr>
        <w:t>3</w:t>
      </w:r>
      <w:r>
        <w:rPr>
          <w:rFonts w:hint="eastAsia"/>
          <w:lang w:val="en-US" w:eastAsia="zh-CN"/>
        </w:rPr>
        <w:t>/d）</w:t>
      </w:r>
    </w:p>
    <w:p w14:paraId="63CDAABB">
      <w:pPr>
        <w:pStyle w:val="21"/>
        <w:bidi w:val="0"/>
        <w:rPr>
          <w:rFonts w:hint="eastAsia"/>
          <w:lang w:val="en-US" w:eastAsia="zh-CN"/>
        </w:rPr>
      </w:pPr>
      <m:oMath>
        <m:sSub>
          <m:sSubPr>
            <m:ctrlPr>
              <w:rPr>
                <w:rFonts w:hint="default" w:ascii="Cambria Math" w:hAnsi="Cambria Math"/>
              </w:rPr>
            </m:ctrlPr>
          </m:sSubPr>
          <m:e>
            <m:r>
              <m:rPr>
                <m:sty m:val="p"/>
              </m:rPr>
              <w:rPr>
                <w:rFonts w:hint="default" w:ascii="Cambria Math" w:hAnsi="Cambria Math"/>
              </w:rPr>
              <m:t>R</m:t>
            </m:r>
            <m:ctrlPr>
              <w:rPr>
                <w:rFonts w:ascii="Cambria Math" w:hAnsi="Cambria Math"/>
              </w:rPr>
            </m:ctrlPr>
          </m:e>
          <m:sub>
            <m:r>
              <m:rPr>
                <m:sty m:val="p"/>
              </m:rPr>
              <w:rPr>
                <w:rFonts w:hint="default" w:ascii="Cambria Math" w:hAnsi="Cambria Math"/>
              </w:rPr>
              <m:t>0</m:t>
            </m:r>
            <m:ctrlPr>
              <w:rPr>
                <w:rFonts w:ascii="Cambria Math" w:hAnsi="Cambria Math"/>
              </w:rPr>
            </m:ctrlPr>
          </m:sub>
        </m:sSub>
      </m:oMath>
      <w:r>
        <w:rPr>
          <w:rFonts w:hint="eastAsia"/>
          <w:lang w:val="en-US" w:eastAsia="zh-CN"/>
        </w:rPr>
        <w:t>——矿坑排水地下水引用影响半径（m）</w:t>
      </w:r>
    </w:p>
    <w:p w14:paraId="50DAAE2B">
      <w:pPr>
        <w:pStyle w:val="21"/>
        <w:bidi w:val="0"/>
        <w:rPr>
          <w:rFonts w:hint="eastAsia"/>
          <w:lang w:val="en-US" w:eastAsia="zh-CN"/>
        </w:rPr>
      </w:pPr>
      <w:r>
        <w:rPr>
          <w:rFonts w:hint="eastAsia"/>
          <w:lang w:val="en-US" w:eastAsia="zh-CN"/>
        </w:rPr>
        <w:t>R——“大井”的影响半径（m）</w:t>
      </w:r>
    </w:p>
    <w:p w14:paraId="4F8D3404">
      <w:pPr>
        <w:pStyle w:val="21"/>
        <w:bidi w:val="0"/>
        <w:rPr>
          <w:rFonts w:hint="eastAsia"/>
          <w:lang w:val="en-US" w:eastAsia="zh-CN"/>
        </w:rPr>
      </w:pPr>
      <w:r>
        <w:rPr>
          <w:rFonts w:hint="eastAsia"/>
          <w:lang w:val="en-US" w:eastAsia="zh-CN"/>
        </w:rPr>
        <w:t>H——潜水含水层厚度（m）</w:t>
      </w:r>
    </w:p>
    <w:p w14:paraId="4ECF62C6">
      <w:pPr>
        <w:pStyle w:val="21"/>
        <w:bidi w:val="0"/>
        <w:rPr>
          <w:rFonts w:hint="eastAsia"/>
          <w:lang w:val="en-US" w:eastAsia="zh-CN"/>
        </w:rPr>
      </w:pPr>
      <m:oMath>
        <m:sSub>
          <m:sSubPr>
            <m:ctrlPr>
              <w:rPr>
                <w:rFonts w:hint="default" w:ascii="Cambria Math" w:hAnsi="Cambria Math"/>
              </w:rPr>
            </m:ctrlPr>
          </m:sSubPr>
          <m:e>
            <m:r>
              <m:rPr>
                <m:sty m:val="p"/>
              </m:rPr>
              <w:rPr>
                <w:rFonts w:hint="default" w:ascii="Cambria Math" w:hAnsi="Cambria Math"/>
              </w:rPr>
              <m:t>r</m:t>
            </m:r>
            <m:ctrlPr>
              <w:rPr>
                <w:rFonts w:ascii="Cambria Math" w:hAnsi="Cambria Math"/>
              </w:rPr>
            </m:ctrlPr>
          </m:e>
          <m:sub>
            <m:r>
              <m:rPr>
                <m:sty m:val="p"/>
              </m:rPr>
              <w:rPr>
                <w:rFonts w:hint="default" w:ascii="Cambria Math" w:hAnsi="Cambria Math"/>
              </w:rPr>
              <m:t>0</m:t>
            </m:r>
            <m:ctrlPr>
              <w:rPr>
                <w:rFonts w:ascii="Cambria Math" w:hAnsi="Cambria Math"/>
              </w:rPr>
            </m:ctrlPr>
          </m:sub>
        </m:sSub>
      </m:oMath>
      <w:r>
        <w:rPr>
          <w:rFonts w:hint="eastAsia"/>
          <w:lang w:val="en-US" w:eastAsia="zh-CN"/>
        </w:rPr>
        <w:t>——“大井”的引用半径（m）</w:t>
      </w:r>
    </w:p>
    <w:p w14:paraId="4E0C075A">
      <w:pPr>
        <w:pStyle w:val="21"/>
        <w:bidi w:val="0"/>
        <w:rPr>
          <w:rFonts w:hint="eastAsia"/>
          <w:lang w:val="en-US" w:eastAsia="zh-CN"/>
        </w:rPr>
      </w:pPr>
      <w:r>
        <w:rPr>
          <w:rFonts w:hint="eastAsia"/>
          <w:lang w:val="en-US" w:eastAsia="zh-CN"/>
        </w:rPr>
        <w:t>F——采坑分布范围所圈定的面积（km</w:t>
      </w:r>
      <w:r>
        <w:rPr>
          <w:rFonts w:hint="eastAsia"/>
          <w:vertAlign w:val="superscript"/>
          <w:lang w:val="en-US" w:eastAsia="zh-CN"/>
        </w:rPr>
        <w:t>3</w:t>
      </w:r>
      <w:r>
        <w:rPr>
          <w:rFonts w:hint="eastAsia"/>
          <w:lang w:val="en-US" w:eastAsia="zh-CN"/>
        </w:rPr>
        <w:t>）</w:t>
      </w:r>
    </w:p>
    <w:p w14:paraId="36B9A859">
      <w:pPr>
        <w:pStyle w:val="21"/>
        <w:bidi w:val="0"/>
        <w:rPr>
          <w:rFonts w:hint="eastAsia"/>
          <w:lang w:val="en-US" w:eastAsia="zh-CN"/>
        </w:rPr>
      </w:pPr>
      <w:r>
        <w:rPr>
          <w:rFonts w:hint="eastAsia"/>
          <w:lang w:val="en-US" w:eastAsia="zh-CN"/>
        </w:rPr>
        <w:t>K——含水层渗透系数（m/d）</w:t>
      </w:r>
    </w:p>
    <w:p w14:paraId="47EFED05">
      <w:pPr>
        <w:pStyle w:val="21"/>
        <w:bidi w:val="0"/>
        <w:rPr>
          <w:rFonts w:hint="eastAsia"/>
          <w:lang w:val="en-US" w:eastAsia="zh-CN"/>
        </w:rPr>
      </w:pPr>
      <w:r>
        <w:rPr>
          <w:rFonts w:hint="eastAsia"/>
          <w:lang w:val="en-US" w:eastAsia="zh-CN"/>
        </w:rPr>
        <w:t>S——水位降深（m）</w:t>
      </w:r>
    </w:p>
    <w:p w14:paraId="381BDD05">
      <w:pPr>
        <w:pStyle w:val="21"/>
        <w:bidi w:val="0"/>
        <w:rPr>
          <w:rFonts w:hint="eastAsia"/>
          <w:lang w:val="en-US" w:eastAsia="zh-CN"/>
        </w:rPr>
      </w:pPr>
      <w:r>
        <w:rPr>
          <w:rFonts w:hint="eastAsia"/>
          <w:lang w:val="en-US" w:eastAsia="zh-CN"/>
        </w:rPr>
        <w:t>2、比拟法</w:t>
      </w:r>
    </w:p>
    <w:p w14:paraId="4FFC868C">
      <w:pPr>
        <w:pStyle w:val="21"/>
        <w:bidi w:val="0"/>
        <w:rPr>
          <w:rFonts w:hint="eastAsia"/>
          <w:lang w:val="en-US" w:eastAsia="zh-CN"/>
        </w:rPr>
      </w:pPr>
      <w:r>
        <w:rPr>
          <w:rFonts w:hint="eastAsia"/>
          <w:lang w:val="en-US" w:eastAsia="zh-CN"/>
        </w:rPr>
        <w:t>预测采用公式：</w:t>
      </w:r>
      <m:oMath>
        <m:r>
          <m:rPr>
            <m:sty m:val="p"/>
          </m:rPr>
          <w:rPr>
            <w:rFonts w:hint="default" w:ascii="Cambria Math" w:hAnsi="Cambria Math"/>
          </w:rPr>
          <m:t>Q=</m:t>
        </m:r>
        <m:sSub>
          <m:sSubPr>
            <m:ctrlPr>
              <w:rPr>
                <w:rFonts w:hint="default" w:ascii="Cambria Math" w:hAnsi="Cambria Math"/>
              </w:rPr>
            </m:ctrlPr>
          </m:sSubPr>
          <m:e>
            <m:r>
              <m:rPr>
                <m:sty m:val="p"/>
              </m:rPr>
              <w:rPr>
                <w:rFonts w:hint="default" w:ascii="Cambria Math" w:hAnsi="Cambria Math"/>
              </w:rPr>
              <m:t>Q</m:t>
            </m:r>
            <m:ctrlPr>
              <w:rPr>
                <w:rFonts w:ascii="Cambria Math" w:hAnsi="Cambria Math"/>
              </w:rPr>
            </m:ctrlPr>
          </m:e>
          <m:sub>
            <m:r>
              <m:rPr>
                <m:sty m:val="p"/>
              </m:rPr>
              <w:rPr>
                <w:rFonts w:hint="default" w:ascii="Cambria Math" w:hAnsi="Cambria Math"/>
              </w:rPr>
              <m:t>0</m:t>
            </m:r>
            <m:ctrlPr>
              <w:rPr>
                <w:rFonts w:ascii="Cambria Math" w:hAnsi="Cambria Math"/>
              </w:rPr>
            </m:ctrlPr>
          </m:sub>
        </m:sSub>
        <m:r>
          <m:rPr>
            <m:sty m:val="p"/>
          </m:rPr>
          <w:rPr>
            <w:rFonts w:hint="default" w:ascii="Cambria Math" w:hAnsi="Cambria Math"/>
          </w:rPr>
          <m:t>(</m:t>
        </m:r>
        <m:f>
          <m:fPr>
            <m:ctrlPr>
              <w:rPr>
                <w:rFonts w:hint="default" w:ascii="Cambria Math" w:hAnsi="Cambria Math"/>
              </w:rPr>
            </m:ctrlPr>
          </m:fPr>
          <m:num>
            <m:r>
              <m:rPr>
                <m:sty m:val="p"/>
              </m:rPr>
              <w:rPr>
                <w:rFonts w:hint="default" w:ascii="Cambria Math" w:hAnsi="Cambria Math"/>
              </w:rPr>
              <m:t>F</m:t>
            </m:r>
            <m:ctrlPr>
              <w:rPr>
                <w:rFonts w:ascii="Cambria Math" w:hAnsi="Cambria Math"/>
              </w:rPr>
            </m:ctrlPr>
          </m:num>
          <m:den>
            <m:sSub>
              <m:sSubPr>
                <m:ctrlPr>
                  <w:rPr>
                    <w:rFonts w:hint="default" w:ascii="Cambria Math" w:hAnsi="Cambria Math"/>
                  </w:rPr>
                </m:ctrlPr>
              </m:sSubPr>
              <m:e>
                <m:r>
                  <m:rPr>
                    <m:sty m:val="p"/>
                  </m:rPr>
                  <w:rPr>
                    <w:rFonts w:hint="default" w:ascii="Cambria Math" w:hAnsi="Cambria Math"/>
                  </w:rPr>
                  <m:t>F</m:t>
                </m:r>
                <m:ctrlPr>
                  <w:rPr>
                    <w:rFonts w:ascii="Cambria Math" w:hAnsi="Cambria Math"/>
                  </w:rPr>
                </m:ctrlPr>
              </m:e>
              <m:sub>
                <m:r>
                  <m:rPr>
                    <m:sty m:val="p"/>
                  </m:rPr>
                  <w:rPr>
                    <w:rFonts w:hint="default" w:ascii="Cambria Math" w:hAnsi="Cambria Math"/>
                  </w:rPr>
                  <m:t>0</m:t>
                </m:r>
                <m:ctrlPr>
                  <w:rPr>
                    <w:rFonts w:ascii="Cambria Math" w:hAnsi="Cambria Math"/>
                  </w:rPr>
                </m:ctrlPr>
              </m:sub>
            </m:sSub>
            <m:ctrlPr>
              <w:rPr>
                <w:rFonts w:hint="default" w:ascii="Cambria Math" w:hAnsi="Cambria Math"/>
              </w:rPr>
            </m:ctrlPr>
          </m:den>
        </m:f>
        <m:sSup>
          <m:sSupPr>
            <m:ctrlPr>
              <w:rPr>
                <w:rFonts w:hint="default" w:ascii="Cambria Math" w:hAnsi="Cambria Math"/>
              </w:rPr>
            </m:ctrlPr>
          </m:sSupPr>
          <m:e>
            <m:r>
              <m:rPr>
                <m:sty m:val="p"/>
              </m:rPr>
              <w:rPr>
                <w:rFonts w:hint="default" w:ascii="Cambria Math" w:hAnsi="Cambria Math"/>
              </w:rPr>
              <m:t>)</m:t>
            </m:r>
            <m:ctrlPr>
              <w:rPr>
                <w:rFonts w:hint="default" w:ascii="Cambria Math" w:hAnsi="Cambria Math"/>
              </w:rPr>
            </m:ctrlPr>
          </m:e>
          <m:sup>
            <m:r>
              <m:rPr>
                <m:sty m:val="p"/>
              </m:rPr>
              <w:rPr>
                <w:rFonts w:hint="default" w:ascii="Cambria Math" w:hAnsi="Cambria Math"/>
              </w:rPr>
              <m:t>n</m:t>
            </m:r>
            <m:ctrlPr>
              <w:rPr>
                <w:rFonts w:hint="default" w:ascii="Cambria Math" w:hAnsi="Cambria Math"/>
              </w:rPr>
            </m:ctrlPr>
          </m:sup>
        </m:sSup>
        <m:r>
          <m:rPr>
            <m:sty m:val="p"/>
          </m:rPr>
          <w:rPr>
            <w:rFonts w:hint="default" w:ascii="Cambria Math" w:hAnsi="Cambria Math"/>
          </w:rPr>
          <m:t>(</m:t>
        </m:r>
        <m:f>
          <m:fPr>
            <m:ctrlPr>
              <w:rPr>
                <w:rFonts w:hint="default" w:ascii="Cambria Math" w:hAnsi="Cambria Math"/>
              </w:rPr>
            </m:ctrlPr>
          </m:fPr>
          <m:num>
            <m:r>
              <m:rPr>
                <m:sty m:val="p"/>
              </m:rPr>
              <w:rPr>
                <w:rFonts w:hint="default" w:ascii="Cambria Math" w:hAnsi="Cambria Math"/>
              </w:rPr>
              <m:t>S</m:t>
            </m:r>
            <m:ctrlPr>
              <w:rPr>
                <w:rFonts w:hint="default" w:ascii="Cambria Math" w:hAnsi="Cambria Math"/>
              </w:rPr>
            </m:ctrlPr>
          </m:num>
          <m:den>
            <m:sSub>
              <m:sSubPr>
                <m:ctrlPr>
                  <w:rPr>
                    <w:rFonts w:hint="default" w:ascii="Cambria Math" w:hAnsi="Cambria Math"/>
                  </w:rPr>
                </m:ctrlPr>
              </m:sSubPr>
              <m:e>
                <m:r>
                  <m:rPr>
                    <m:sty m:val="p"/>
                  </m:rPr>
                  <w:rPr>
                    <w:rFonts w:hint="default" w:ascii="Cambria Math" w:hAnsi="Cambria Math"/>
                  </w:rPr>
                  <m:t>S</m:t>
                </m:r>
                <m:ctrlPr>
                  <w:rPr>
                    <w:rFonts w:ascii="Cambria Math" w:hAnsi="Cambria Math"/>
                  </w:rPr>
                </m:ctrlPr>
              </m:e>
              <m:sub>
                <m:r>
                  <m:rPr>
                    <m:sty m:val="p"/>
                  </m:rPr>
                  <w:rPr>
                    <w:rFonts w:hint="default" w:ascii="Cambria Math" w:hAnsi="Cambria Math"/>
                  </w:rPr>
                  <m:t>0</m:t>
                </m:r>
                <m:ctrlPr>
                  <w:rPr>
                    <w:rFonts w:ascii="Cambria Math" w:hAnsi="Cambria Math"/>
                  </w:rPr>
                </m:ctrlPr>
              </m:sub>
            </m:sSub>
            <m:ctrlPr>
              <w:rPr>
                <w:rFonts w:hint="default" w:ascii="Cambria Math" w:hAnsi="Cambria Math"/>
              </w:rPr>
            </m:ctrlPr>
          </m:den>
        </m:f>
        <m:sSup>
          <m:sSupPr>
            <m:ctrlPr>
              <w:rPr>
                <w:rFonts w:hint="default" w:ascii="Cambria Math" w:hAnsi="Cambria Math"/>
              </w:rPr>
            </m:ctrlPr>
          </m:sSupPr>
          <m:e>
            <m:r>
              <m:rPr>
                <m:sty m:val="p"/>
              </m:rPr>
              <w:rPr>
                <w:rFonts w:hint="default" w:ascii="Cambria Math" w:hAnsi="Cambria Math"/>
              </w:rPr>
              <m:t>)</m:t>
            </m:r>
            <m:ctrlPr>
              <w:rPr>
                <w:rFonts w:hint="default" w:ascii="Cambria Math" w:hAnsi="Cambria Math"/>
              </w:rPr>
            </m:ctrlPr>
          </m:e>
          <m:sup>
            <m:f>
              <m:fPr>
                <m:ctrlPr>
                  <w:rPr>
                    <w:rFonts w:hint="default" w:ascii="Cambria Math" w:hAnsi="Cambria Math"/>
                  </w:rPr>
                </m:ctrlPr>
              </m:fPr>
              <m:num>
                <m:r>
                  <m:rPr>
                    <m:sty m:val="p"/>
                  </m:rPr>
                  <w:rPr>
                    <w:rFonts w:hint="default" w:ascii="Cambria Math" w:hAnsi="Cambria Math"/>
                  </w:rPr>
                  <m:t>1</m:t>
                </m:r>
                <m:ctrlPr>
                  <w:rPr>
                    <w:rFonts w:ascii="Cambria Math" w:hAnsi="Cambria Math"/>
                  </w:rPr>
                </m:ctrlPr>
              </m:num>
              <m:den>
                <m:r>
                  <m:rPr>
                    <m:sty m:val="p"/>
                  </m:rPr>
                  <w:rPr>
                    <w:rFonts w:hint="default" w:ascii="Cambria Math" w:hAnsi="Cambria Math"/>
                  </w:rPr>
                  <m:t>m</m:t>
                </m:r>
                <m:ctrlPr>
                  <w:rPr>
                    <w:rFonts w:ascii="Cambria Math" w:hAnsi="Cambria Math"/>
                  </w:rPr>
                </m:ctrlPr>
              </m:den>
            </m:f>
            <m:ctrlPr>
              <w:rPr>
                <w:rFonts w:hint="default" w:ascii="Cambria Math" w:hAnsi="Cambria Math"/>
              </w:rPr>
            </m:ctrlPr>
          </m:sup>
        </m:sSup>
      </m:oMath>
      <w:r>
        <w:rPr>
          <w:rFonts w:hint="eastAsia"/>
          <w:lang w:val="en-US" w:eastAsia="zh-CN"/>
        </w:rPr>
        <w:t>（n≤1，m ≥2）</w:t>
      </w:r>
    </w:p>
    <w:p w14:paraId="349E6722">
      <w:pPr>
        <w:pStyle w:val="21"/>
        <w:bidi w:val="0"/>
        <w:rPr>
          <w:rFonts w:hint="eastAsia"/>
          <w:lang w:val="en-US" w:eastAsia="zh-CN"/>
        </w:rPr>
      </w:pPr>
      <w:r>
        <w:rPr>
          <w:rFonts w:hint="eastAsia"/>
          <w:lang w:val="en-US" w:eastAsia="zh-CN"/>
        </w:rPr>
        <w:t>式中：</w:t>
      </w:r>
      <m:oMath>
        <m:sSub>
          <m:sSubPr>
            <m:ctrlPr>
              <w:rPr>
                <w:rFonts w:hint="default" w:ascii="Cambria Math" w:hAnsi="Cambria Math"/>
              </w:rPr>
            </m:ctrlPr>
          </m:sSubPr>
          <m:e>
            <m:r>
              <m:rPr>
                <m:sty m:val="p"/>
              </m:rPr>
              <w:rPr>
                <w:rFonts w:hint="default" w:ascii="Cambria Math" w:hAnsi="Cambria Math"/>
              </w:rPr>
              <m:t>Q</m:t>
            </m:r>
            <m:ctrlPr>
              <w:rPr>
                <w:rFonts w:ascii="Cambria Math" w:hAnsi="Cambria Math"/>
              </w:rPr>
            </m:ctrlPr>
          </m:e>
          <m:sub>
            <m:r>
              <m:rPr>
                <m:sty m:val="p"/>
              </m:rPr>
              <w:rPr>
                <w:rFonts w:hint="default" w:ascii="Cambria Math" w:hAnsi="Cambria Math"/>
              </w:rPr>
              <m:t>0</m:t>
            </m:r>
            <m:ctrlPr>
              <w:rPr>
                <w:rFonts w:ascii="Cambria Math" w:hAnsi="Cambria Math"/>
              </w:rPr>
            </m:ctrlPr>
          </m:sub>
        </m:sSub>
      </m:oMath>
      <w:r>
        <w:rPr>
          <w:rFonts w:hint="eastAsia"/>
          <w:lang w:val="en-US" w:eastAsia="zh-CN"/>
        </w:rPr>
        <w:t>—现有矿坑的正常或最大涌水量(m</w:t>
      </w:r>
      <w:r>
        <w:rPr>
          <w:rFonts w:hint="eastAsia"/>
          <w:vertAlign w:val="superscript"/>
          <w:lang w:val="en-US" w:eastAsia="zh-CN"/>
        </w:rPr>
        <w:t>3</w:t>
      </w:r>
      <w:r>
        <w:rPr>
          <w:rFonts w:hint="eastAsia"/>
          <w:lang w:val="en-US" w:eastAsia="zh-CN"/>
        </w:rPr>
        <w:t>/d)</w:t>
      </w:r>
    </w:p>
    <w:p w14:paraId="455E9FE7">
      <w:pPr>
        <w:pStyle w:val="21"/>
        <w:bidi w:val="0"/>
        <w:rPr>
          <w:rFonts w:hint="eastAsia"/>
          <w:lang w:val="en-US" w:eastAsia="zh-CN"/>
        </w:rPr>
      </w:pPr>
      <m:oMath>
        <m:sSub>
          <m:sSubPr>
            <m:ctrlPr>
              <w:rPr>
                <w:rFonts w:hint="default" w:ascii="Cambria Math" w:hAnsi="Cambria Math"/>
              </w:rPr>
            </m:ctrlPr>
          </m:sSubPr>
          <m:e>
            <m:r>
              <m:rPr>
                <m:sty m:val="p"/>
              </m:rPr>
              <w:rPr>
                <w:rFonts w:hint="default" w:ascii="Cambria Math" w:hAnsi="Cambria Math"/>
                <w:lang w:val="en-US" w:eastAsia="zh-CN"/>
              </w:rPr>
              <m:t>F</m:t>
            </m:r>
            <m:ctrlPr>
              <w:rPr>
                <w:rFonts w:ascii="Cambria Math" w:hAnsi="Cambria Math"/>
              </w:rPr>
            </m:ctrlPr>
          </m:e>
          <m:sub>
            <m:r>
              <m:rPr>
                <m:sty m:val="p"/>
              </m:rPr>
              <w:rPr>
                <w:rFonts w:hint="default" w:ascii="Cambria Math" w:hAnsi="Cambria Math"/>
              </w:rPr>
              <m:t>0</m:t>
            </m:r>
            <m:ctrlPr>
              <w:rPr>
                <w:rFonts w:ascii="Cambria Math" w:hAnsi="Cambria Math"/>
              </w:rPr>
            </m:ctrlPr>
          </m:sub>
        </m:sSub>
      </m:oMath>
      <w:r>
        <w:rPr>
          <w:rFonts w:hint="eastAsia"/>
          <w:lang w:val="en-US" w:eastAsia="zh-CN"/>
        </w:rPr>
        <w:t>—现有矿坑系统面积（m</w:t>
      </w:r>
      <w:r>
        <w:rPr>
          <w:rFonts w:hint="eastAsia"/>
          <w:vertAlign w:val="superscript"/>
          <w:lang w:val="en-US" w:eastAsia="zh-CN"/>
        </w:rPr>
        <w:t>2</w:t>
      </w:r>
      <w:r>
        <w:rPr>
          <w:rFonts w:hint="eastAsia"/>
          <w:lang w:val="en-US" w:eastAsia="zh-CN"/>
        </w:rPr>
        <w:t>）</w:t>
      </w:r>
    </w:p>
    <w:p w14:paraId="497653AA">
      <w:pPr>
        <w:pStyle w:val="21"/>
        <w:bidi w:val="0"/>
        <w:rPr>
          <w:rFonts w:hint="eastAsia"/>
          <w:lang w:val="en-US" w:eastAsia="zh-CN"/>
        </w:rPr>
      </w:pPr>
      <m:oMath>
        <m:sSub>
          <m:sSubPr>
            <m:ctrlPr>
              <w:rPr>
                <w:rFonts w:hint="default" w:ascii="Cambria Math" w:hAnsi="Cambria Math"/>
              </w:rPr>
            </m:ctrlPr>
          </m:sSubPr>
          <m:e>
            <m:r>
              <m:rPr>
                <m:sty m:val="p"/>
              </m:rPr>
              <w:rPr>
                <w:rFonts w:hint="default" w:ascii="Cambria Math" w:hAnsi="Cambria Math"/>
                <w:lang w:val="en-US" w:eastAsia="zh-CN"/>
              </w:rPr>
              <m:t>S</m:t>
            </m:r>
            <m:ctrlPr>
              <w:rPr>
                <w:rFonts w:ascii="Cambria Math" w:hAnsi="Cambria Math"/>
              </w:rPr>
            </m:ctrlPr>
          </m:e>
          <m:sub>
            <m:r>
              <m:rPr>
                <m:sty m:val="p"/>
              </m:rPr>
              <w:rPr>
                <w:rFonts w:hint="default" w:ascii="Cambria Math" w:hAnsi="Cambria Math"/>
              </w:rPr>
              <m:t>0</m:t>
            </m:r>
            <m:ctrlPr>
              <w:rPr>
                <w:rFonts w:ascii="Cambria Math" w:hAnsi="Cambria Math"/>
              </w:rPr>
            </m:ctrlPr>
          </m:sub>
        </m:sSub>
      </m:oMath>
      <w:r>
        <w:rPr>
          <w:rFonts w:hint="eastAsia"/>
          <w:lang w:val="en-US" w:eastAsia="zh-CN"/>
        </w:rPr>
        <w:t>—现有矿坑水位降深(m)</w:t>
      </w:r>
    </w:p>
    <w:p w14:paraId="663217D8">
      <w:pPr>
        <w:pStyle w:val="21"/>
        <w:bidi w:val="0"/>
        <w:rPr>
          <w:rFonts w:hint="eastAsia"/>
          <w:lang w:val="en-US" w:eastAsia="zh-CN"/>
        </w:rPr>
      </w:pPr>
      <w:r>
        <w:rPr>
          <w:rFonts w:hint="eastAsia"/>
          <w:lang w:val="en-US" w:eastAsia="zh-CN"/>
        </w:rPr>
        <w:t>Q—设计矿坑的正常或最大涌水量(m</w:t>
      </w:r>
      <w:r>
        <w:rPr>
          <w:rFonts w:hint="eastAsia"/>
          <w:vertAlign w:val="superscript"/>
          <w:lang w:val="en-US" w:eastAsia="zh-CN"/>
        </w:rPr>
        <w:t>3</w:t>
      </w:r>
      <w:r>
        <w:rPr>
          <w:rFonts w:hint="eastAsia"/>
          <w:lang w:val="en-US" w:eastAsia="zh-CN"/>
        </w:rPr>
        <w:t>/d)</w:t>
      </w:r>
    </w:p>
    <w:p w14:paraId="3C5E9D18">
      <w:pPr>
        <w:pStyle w:val="21"/>
        <w:bidi w:val="0"/>
        <w:rPr>
          <w:rFonts w:hint="eastAsia"/>
          <w:lang w:val="en-US" w:eastAsia="zh-CN"/>
        </w:rPr>
      </w:pPr>
      <w:r>
        <w:rPr>
          <w:rFonts w:hint="eastAsia"/>
          <w:lang w:val="en-US" w:eastAsia="zh-CN"/>
        </w:rPr>
        <w:t>F—设计矿坑面积（m</w:t>
      </w:r>
      <w:r>
        <w:rPr>
          <w:rFonts w:hint="eastAsia"/>
          <w:vertAlign w:val="superscript"/>
          <w:lang w:val="en-US" w:eastAsia="zh-CN"/>
        </w:rPr>
        <w:t>2</w:t>
      </w:r>
      <w:r>
        <w:rPr>
          <w:rFonts w:hint="eastAsia"/>
          <w:lang w:val="en-US" w:eastAsia="zh-CN"/>
        </w:rPr>
        <w:t>）</w:t>
      </w:r>
    </w:p>
    <w:p w14:paraId="6719E536">
      <w:pPr>
        <w:pStyle w:val="21"/>
        <w:bidi w:val="0"/>
        <w:rPr>
          <w:rFonts w:hint="eastAsia"/>
          <w:lang w:val="en-US" w:eastAsia="zh-CN"/>
        </w:rPr>
      </w:pPr>
      <w:r>
        <w:rPr>
          <w:rFonts w:hint="eastAsia"/>
          <w:lang w:val="en-US" w:eastAsia="zh-CN"/>
        </w:rPr>
        <w:t>S—设计矿坑水位降深(m)</w:t>
      </w:r>
    </w:p>
    <w:p w14:paraId="4AAE4186">
      <w:pPr>
        <w:pStyle w:val="21"/>
        <w:bidi w:val="0"/>
        <w:rPr>
          <w:rFonts w:hint="eastAsia"/>
          <w:lang w:val="en-US" w:eastAsia="zh-CN"/>
        </w:rPr>
      </w:pPr>
      <w:r>
        <w:rPr>
          <w:rFonts w:hint="eastAsia"/>
          <w:lang w:val="en-US" w:eastAsia="zh-CN"/>
        </w:rPr>
        <w:t>m、n—地下水流态系数（据矿坑涌水量变化速度，m取值2.0，n取值1.0）</w:t>
      </w:r>
    </w:p>
    <w:p w14:paraId="3706F188">
      <w:pPr>
        <w:pStyle w:val="21"/>
        <w:bidi w:val="0"/>
        <w:rPr>
          <w:rFonts w:hint="eastAsia"/>
          <w:lang w:val="en-US" w:eastAsia="zh-CN"/>
        </w:rPr>
      </w:pPr>
      <w:r>
        <w:rPr>
          <w:rFonts w:hint="eastAsia"/>
          <w:lang w:val="en-US" w:eastAsia="zh-CN"/>
        </w:rPr>
        <w:t>3、参数确定</w:t>
      </w:r>
    </w:p>
    <w:p w14:paraId="2AC83108">
      <w:pPr>
        <w:pStyle w:val="21"/>
        <w:bidi w:val="0"/>
        <w:rPr>
          <w:rFonts w:hint="eastAsia"/>
          <w:lang w:val="en-US" w:eastAsia="zh-CN"/>
        </w:rPr>
      </w:pPr>
      <w:r>
        <w:rPr>
          <w:rFonts w:hint="eastAsia"/>
          <w:lang w:val="en-US" w:eastAsia="zh-CN"/>
        </w:rPr>
        <w:t>根据矿区水文地质钻孔抽水试验资料，基岩裂隙含水层渗透系数K取平均值0.124m/d；矿山前期生产时排水量350-900m</w:t>
      </w:r>
      <w:r>
        <w:rPr>
          <w:rFonts w:hint="eastAsia"/>
          <w:vertAlign w:val="superscript"/>
          <w:lang w:val="en-US" w:eastAsia="zh-CN"/>
        </w:rPr>
        <w:t>3</w:t>
      </w:r>
      <w:r>
        <w:rPr>
          <w:rFonts w:hint="eastAsia"/>
          <w:lang w:val="en-US" w:eastAsia="zh-CN"/>
        </w:rPr>
        <w:t>/d，地下水位平均值取70.30m，矿山前期开采最低标高-96m，水位降深166.3m，本次最低储量计算标高-450m。未来开采至储量最低标高时水位降深520.3m。</w:t>
      </w:r>
    </w:p>
    <w:p w14:paraId="2A64B65D">
      <w:pPr>
        <w:pStyle w:val="21"/>
        <w:bidi w:val="0"/>
        <w:rPr>
          <w:rFonts w:hint="eastAsia"/>
          <w:lang w:val="en-US" w:eastAsia="zh-CN"/>
        </w:rPr>
      </w:pPr>
      <w:r>
        <w:rPr>
          <w:rFonts w:hint="eastAsia"/>
          <w:lang w:val="en-US" w:eastAsia="zh-CN"/>
        </w:rPr>
        <w:t>4、计算结果</w:t>
      </w:r>
    </w:p>
    <w:p w14:paraId="38496D89">
      <w:pPr>
        <w:pStyle w:val="21"/>
        <w:bidi w:val="0"/>
        <w:rPr>
          <w:rFonts w:hint="eastAsia"/>
          <w:lang w:val="en-US" w:eastAsia="zh-CN"/>
        </w:rPr>
      </w:pPr>
      <w:r>
        <w:rPr>
          <w:rFonts w:hint="eastAsia"/>
          <w:lang w:val="en-US" w:eastAsia="zh-CN"/>
        </w:rPr>
        <w:t>将所有参数分别代入以上计算公式，计算结果见</w:t>
      </w:r>
      <w:r>
        <w:rPr>
          <w:rFonts w:hint="default"/>
        </w:rPr>
        <w:t>表</w:t>
      </w:r>
      <w:r>
        <w:rPr>
          <w:rFonts w:hint="eastAsia"/>
          <w:lang w:val="en-US" w:eastAsia="zh-CN"/>
        </w:rPr>
        <w:t>2.3</w:t>
      </w:r>
      <w:r>
        <w:rPr>
          <w:rFonts w:hint="default"/>
        </w:rPr>
        <w:t>-</w:t>
      </w:r>
      <w:r>
        <w:rPr>
          <w:rFonts w:hint="eastAsia"/>
          <w:lang w:val="en-US" w:eastAsia="zh-CN"/>
        </w:rPr>
        <w:t>1、</w:t>
      </w:r>
      <w:r>
        <w:rPr>
          <w:rFonts w:hint="default"/>
        </w:rPr>
        <w:t>表</w:t>
      </w:r>
      <w:r>
        <w:rPr>
          <w:rFonts w:hint="eastAsia"/>
          <w:lang w:val="en-US" w:eastAsia="zh-CN"/>
        </w:rPr>
        <w:t>2.3</w:t>
      </w:r>
      <w:r>
        <w:rPr>
          <w:rFonts w:hint="default"/>
        </w:rPr>
        <w:t>-</w:t>
      </w:r>
      <w:r>
        <w:rPr>
          <w:rFonts w:hint="eastAsia"/>
          <w:lang w:val="en-US" w:eastAsia="zh-CN"/>
        </w:rPr>
        <w:t>2。</w:t>
      </w:r>
    </w:p>
    <w:p w14:paraId="64458612">
      <w:pPr>
        <w:pStyle w:val="30"/>
        <w:bidi w:val="0"/>
        <w:rPr>
          <w:rFonts w:hint="eastAsia"/>
          <w:lang w:val="en-US" w:eastAsia="zh-CN"/>
        </w:rPr>
      </w:pPr>
      <w:bookmarkStart w:id="16" w:name="_Ref24184"/>
      <w:r>
        <w:rPr>
          <w:rFonts w:hint="default"/>
        </w:rPr>
        <w:t>表</w:t>
      </w:r>
      <w:r>
        <w:rPr>
          <w:rFonts w:hint="eastAsia"/>
          <w:lang w:val="en-US" w:eastAsia="zh-CN"/>
        </w:rPr>
        <w:t>2.3</w:t>
      </w:r>
      <w:r>
        <w:rPr>
          <w:rFonts w:hint="default"/>
        </w:rPr>
        <w:t>-</w:t>
      </w:r>
      <w:bookmarkEnd w:id="16"/>
      <w:r>
        <w:rPr>
          <w:rFonts w:hint="eastAsia"/>
          <w:lang w:val="en-US" w:eastAsia="zh-CN"/>
        </w:rPr>
        <w:t>1  大井法矿坑涌水量预测计算结果表</w:t>
      </w:r>
    </w:p>
    <w:tbl>
      <w:tblPr>
        <w:tblStyle w:val="24"/>
        <w:tblW w:w="87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66"/>
        <w:gridCol w:w="1140"/>
        <w:gridCol w:w="1133"/>
        <w:gridCol w:w="1200"/>
        <w:gridCol w:w="1250"/>
        <w:gridCol w:w="1201"/>
        <w:gridCol w:w="1695"/>
      </w:tblGrid>
      <w:tr w14:paraId="33337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exact"/>
          <w:jc w:val="center"/>
        </w:trPr>
        <w:tc>
          <w:tcPr>
            <w:tcW w:w="1166" w:type="dxa"/>
            <w:vAlign w:val="center"/>
          </w:tcPr>
          <w:p w14:paraId="6D2C83C1">
            <w:pPr>
              <w:pStyle w:val="31"/>
              <w:bidi w:val="0"/>
              <w:rPr>
                <w:rFonts w:hint="eastAsia"/>
                <w:lang w:val="en-US" w:eastAsia="zh-CN"/>
              </w:rPr>
            </w:pPr>
            <w:r>
              <w:rPr>
                <w:rFonts w:hint="eastAsia"/>
                <w:lang w:val="en-US" w:eastAsia="zh-CN"/>
              </w:rPr>
              <w:t>最低计算标高(m)</w:t>
            </w:r>
          </w:p>
          <w:p w14:paraId="1C55A5DC">
            <w:pPr>
              <w:pStyle w:val="31"/>
              <w:bidi w:val="0"/>
              <w:rPr>
                <w:rFonts w:hint="eastAsia"/>
                <w:lang w:val="en-US" w:eastAsia="zh-CN"/>
              </w:rPr>
            </w:pPr>
          </w:p>
          <w:p w14:paraId="19B5FC63">
            <w:pPr>
              <w:pStyle w:val="31"/>
              <w:bidi w:val="0"/>
              <w:rPr>
                <w:rFonts w:hint="eastAsia"/>
                <w:lang w:val="en-US" w:eastAsia="zh-CN"/>
              </w:rPr>
            </w:pPr>
          </w:p>
        </w:tc>
        <w:tc>
          <w:tcPr>
            <w:tcW w:w="1140" w:type="dxa"/>
            <w:vAlign w:val="center"/>
          </w:tcPr>
          <w:p w14:paraId="437DAD99">
            <w:pPr>
              <w:pStyle w:val="31"/>
              <w:bidi w:val="0"/>
              <w:rPr>
                <w:rFonts w:hint="eastAsia"/>
                <w:lang w:val="en-US" w:eastAsia="zh-CN"/>
              </w:rPr>
            </w:pPr>
            <w:r>
              <w:rPr>
                <w:rFonts w:hint="eastAsia"/>
                <w:lang w:val="en-US" w:eastAsia="zh-CN"/>
              </w:rPr>
              <w:t>渗透系数（m/d）</w:t>
            </w:r>
          </w:p>
        </w:tc>
        <w:tc>
          <w:tcPr>
            <w:tcW w:w="1133" w:type="dxa"/>
            <w:vAlign w:val="center"/>
          </w:tcPr>
          <w:p w14:paraId="7785EEDE">
            <w:pPr>
              <w:pStyle w:val="31"/>
              <w:bidi w:val="0"/>
              <w:rPr>
                <w:rFonts w:hint="eastAsia"/>
                <w:lang w:val="en-US" w:eastAsia="zh-CN"/>
              </w:rPr>
            </w:pPr>
            <w:r>
              <w:rPr>
                <w:rFonts w:hint="eastAsia"/>
                <w:lang w:val="en-US" w:eastAsia="zh-CN"/>
              </w:rPr>
              <w:t>引用半径（m）</w:t>
            </w:r>
          </w:p>
          <w:p w14:paraId="3271B535">
            <w:pPr>
              <w:pStyle w:val="31"/>
              <w:bidi w:val="0"/>
              <w:rPr>
                <w:rFonts w:hint="eastAsia"/>
                <w:lang w:val="en-US" w:eastAsia="zh-CN"/>
              </w:rPr>
            </w:pPr>
          </w:p>
        </w:tc>
        <w:tc>
          <w:tcPr>
            <w:tcW w:w="1200" w:type="dxa"/>
            <w:vAlign w:val="center"/>
          </w:tcPr>
          <w:p w14:paraId="097541D0">
            <w:pPr>
              <w:pStyle w:val="31"/>
              <w:bidi w:val="0"/>
              <w:rPr>
                <w:rFonts w:hint="eastAsia"/>
                <w:lang w:val="en-US" w:eastAsia="zh-CN"/>
              </w:rPr>
            </w:pPr>
            <w:r>
              <w:rPr>
                <w:rFonts w:hint="eastAsia"/>
                <w:lang w:val="en-US" w:eastAsia="zh-CN"/>
              </w:rPr>
              <w:t>影响半径（m）</w:t>
            </w:r>
          </w:p>
        </w:tc>
        <w:tc>
          <w:tcPr>
            <w:tcW w:w="1250" w:type="dxa"/>
            <w:vAlign w:val="center"/>
          </w:tcPr>
          <w:p w14:paraId="27D676DD">
            <w:pPr>
              <w:pStyle w:val="31"/>
              <w:bidi w:val="0"/>
              <w:rPr>
                <w:rFonts w:hint="eastAsia"/>
                <w:lang w:val="en-US" w:eastAsia="zh-CN"/>
              </w:rPr>
            </w:pPr>
            <w:r>
              <w:rPr>
                <w:rFonts w:hint="eastAsia"/>
                <w:lang w:val="en-US" w:eastAsia="zh-CN"/>
              </w:rPr>
              <w:t>引用影响半径（m）</w:t>
            </w:r>
          </w:p>
          <w:p w14:paraId="750BAC03">
            <w:pPr>
              <w:pStyle w:val="31"/>
              <w:bidi w:val="0"/>
              <w:rPr>
                <w:rFonts w:hint="eastAsia"/>
                <w:lang w:val="en-US" w:eastAsia="zh-CN"/>
              </w:rPr>
            </w:pPr>
          </w:p>
        </w:tc>
        <w:tc>
          <w:tcPr>
            <w:tcW w:w="1201" w:type="dxa"/>
            <w:noWrap/>
            <w:vAlign w:val="center"/>
          </w:tcPr>
          <w:p w14:paraId="5AD01489">
            <w:pPr>
              <w:pStyle w:val="31"/>
              <w:bidi w:val="0"/>
              <w:rPr>
                <w:rFonts w:hint="eastAsia"/>
                <w:lang w:val="en-US" w:eastAsia="zh-CN"/>
              </w:rPr>
            </w:pPr>
            <w:r>
              <w:rPr>
                <w:rFonts w:hint="eastAsia"/>
                <w:lang w:val="en-US" w:eastAsia="zh-CN"/>
              </w:rPr>
              <w:t>水位降深（m）</w:t>
            </w:r>
          </w:p>
        </w:tc>
        <w:tc>
          <w:tcPr>
            <w:tcW w:w="1695" w:type="dxa"/>
            <w:noWrap/>
            <w:vAlign w:val="center"/>
          </w:tcPr>
          <w:p w14:paraId="44E024E2">
            <w:pPr>
              <w:pStyle w:val="31"/>
              <w:bidi w:val="0"/>
              <w:rPr>
                <w:rFonts w:hint="eastAsia"/>
                <w:lang w:val="en-US" w:eastAsia="zh-CN"/>
              </w:rPr>
            </w:pPr>
            <w:r>
              <w:rPr>
                <w:rFonts w:hint="eastAsia"/>
                <w:lang w:val="en-US" w:eastAsia="zh-CN"/>
              </w:rPr>
              <w:t>涌水量（m</w:t>
            </w:r>
            <w:r>
              <w:rPr>
                <w:rFonts w:hint="eastAsia"/>
                <w:vertAlign w:val="superscript"/>
                <w:lang w:val="en-US" w:eastAsia="zh-CN"/>
              </w:rPr>
              <w:t>3</w:t>
            </w:r>
            <w:r>
              <w:rPr>
                <w:rFonts w:hint="eastAsia"/>
                <w:lang w:val="en-US" w:eastAsia="zh-CN"/>
              </w:rPr>
              <w:t>/d）</w:t>
            </w:r>
          </w:p>
        </w:tc>
      </w:tr>
      <w:tr w14:paraId="58768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jc w:val="center"/>
        </w:trPr>
        <w:tc>
          <w:tcPr>
            <w:tcW w:w="1166" w:type="dxa"/>
            <w:noWrap/>
            <w:vAlign w:val="center"/>
          </w:tcPr>
          <w:p w14:paraId="77AE50DD">
            <w:pPr>
              <w:pStyle w:val="31"/>
              <w:bidi w:val="0"/>
              <w:rPr>
                <w:rFonts w:hint="default"/>
                <w:lang w:val="en-US" w:eastAsia="zh-CN"/>
              </w:rPr>
            </w:pPr>
            <w:r>
              <w:rPr>
                <w:rFonts w:hint="eastAsia"/>
                <w:lang w:val="en-US" w:eastAsia="zh-CN"/>
              </w:rPr>
              <w:t>-450</w:t>
            </w:r>
          </w:p>
        </w:tc>
        <w:tc>
          <w:tcPr>
            <w:tcW w:w="1140" w:type="dxa"/>
            <w:noWrap/>
            <w:vAlign w:val="center"/>
          </w:tcPr>
          <w:p w14:paraId="0406C3E9">
            <w:pPr>
              <w:pStyle w:val="31"/>
              <w:bidi w:val="0"/>
              <w:rPr>
                <w:rFonts w:hint="eastAsia"/>
                <w:lang w:val="en-US" w:eastAsia="zh-CN"/>
              </w:rPr>
            </w:pPr>
            <w:r>
              <w:rPr>
                <w:rFonts w:hint="eastAsia"/>
                <w:lang w:val="en-US" w:eastAsia="zh-CN"/>
              </w:rPr>
              <w:t>0.124</w:t>
            </w:r>
          </w:p>
        </w:tc>
        <w:tc>
          <w:tcPr>
            <w:tcW w:w="1133" w:type="dxa"/>
            <w:noWrap/>
            <w:vAlign w:val="center"/>
          </w:tcPr>
          <w:p w14:paraId="6FF7CCD4">
            <w:pPr>
              <w:pStyle w:val="31"/>
              <w:bidi w:val="0"/>
              <w:rPr>
                <w:rFonts w:hint="default"/>
                <w:lang w:val="en-US" w:eastAsia="zh-CN"/>
              </w:rPr>
            </w:pPr>
            <w:r>
              <w:rPr>
                <w:rFonts w:hint="eastAsia"/>
                <w:lang w:val="en-US" w:eastAsia="zh-CN"/>
              </w:rPr>
              <w:t>180</w:t>
            </w:r>
          </w:p>
        </w:tc>
        <w:tc>
          <w:tcPr>
            <w:tcW w:w="1200" w:type="dxa"/>
            <w:noWrap/>
            <w:vAlign w:val="center"/>
          </w:tcPr>
          <w:p w14:paraId="5E04945A">
            <w:pPr>
              <w:pStyle w:val="31"/>
              <w:bidi w:val="0"/>
              <w:rPr>
                <w:rFonts w:hint="default"/>
                <w:lang w:val="en-US" w:eastAsia="zh-CN"/>
              </w:rPr>
            </w:pPr>
            <w:r>
              <w:rPr>
                <w:rFonts w:hint="eastAsia"/>
                <w:lang w:val="en-US" w:eastAsia="zh-CN"/>
              </w:rPr>
              <w:t>6757</w:t>
            </w:r>
          </w:p>
        </w:tc>
        <w:tc>
          <w:tcPr>
            <w:tcW w:w="1250" w:type="dxa"/>
            <w:noWrap/>
            <w:vAlign w:val="center"/>
          </w:tcPr>
          <w:p w14:paraId="10D810D1">
            <w:pPr>
              <w:pStyle w:val="31"/>
              <w:bidi w:val="0"/>
              <w:rPr>
                <w:rFonts w:hint="default"/>
                <w:lang w:val="en-US" w:eastAsia="zh-CN"/>
              </w:rPr>
            </w:pPr>
            <w:r>
              <w:rPr>
                <w:rFonts w:hint="eastAsia"/>
                <w:lang w:val="en-US" w:eastAsia="zh-CN"/>
              </w:rPr>
              <w:t>6936</w:t>
            </w:r>
          </w:p>
        </w:tc>
        <w:tc>
          <w:tcPr>
            <w:tcW w:w="1201" w:type="dxa"/>
            <w:noWrap/>
            <w:vAlign w:val="center"/>
          </w:tcPr>
          <w:p w14:paraId="585705AB">
            <w:pPr>
              <w:pStyle w:val="31"/>
              <w:bidi w:val="0"/>
              <w:rPr>
                <w:rFonts w:hint="eastAsia"/>
                <w:lang w:val="en-US" w:eastAsia="zh-CN"/>
              </w:rPr>
            </w:pPr>
            <w:r>
              <w:rPr>
                <w:rFonts w:hint="eastAsia"/>
                <w:lang w:val="en-US" w:eastAsia="zh-CN"/>
              </w:rPr>
              <w:t>520.3</w:t>
            </w:r>
          </w:p>
        </w:tc>
        <w:tc>
          <w:tcPr>
            <w:tcW w:w="1695" w:type="dxa"/>
            <w:noWrap/>
            <w:vAlign w:val="center"/>
          </w:tcPr>
          <w:p w14:paraId="4E36A771">
            <w:pPr>
              <w:pStyle w:val="31"/>
              <w:bidi w:val="0"/>
              <w:rPr>
                <w:rFonts w:hint="default"/>
                <w:lang w:val="en-US" w:eastAsia="zh-CN"/>
              </w:rPr>
            </w:pPr>
            <w:r>
              <w:rPr>
                <w:rFonts w:hint="eastAsia"/>
                <w:lang w:val="en-US" w:eastAsia="zh-CN"/>
              </w:rPr>
              <w:t>8871</w:t>
            </w:r>
          </w:p>
        </w:tc>
      </w:tr>
    </w:tbl>
    <w:p w14:paraId="0A9BB94D">
      <w:pPr>
        <w:pStyle w:val="30"/>
        <w:bidi w:val="0"/>
        <w:rPr>
          <w:rFonts w:hint="eastAsia"/>
          <w:lang w:val="en-US" w:eastAsia="zh-CN"/>
        </w:rPr>
      </w:pPr>
    </w:p>
    <w:p w14:paraId="3FE72838">
      <w:pPr>
        <w:pStyle w:val="30"/>
        <w:bidi w:val="0"/>
        <w:rPr>
          <w:rFonts w:hint="eastAsia"/>
          <w:lang w:val="en-US" w:eastAsia="zh-CN"/>
        </w:rPr>
      </w:pPr>
      <w:bookmarkStart w:id="17" w:name="_Ref24191"/>
      <w:r>
        <w:rPr>
          <w:rFonts w:hint="default"/>
        </w:rPr>
        <w:t>表</w:t>
      </w:r>
      <w:r>
        <w:rPr>
          <w:rFonts w:hint="eastAsia"/>
          <w:lang w:val="en-US" w:eastAsia="zh-CN"/>
        </w:rPr>
        <w:t>2.3</w:t>
      </w:r>
      <w:r>
        <w:rPr>
          <w:rFonts w:hint="default"/>
        </w:rPr>
        <w:t>-</w:t>
      </w:r>
      <w:r>
        <w:rPr>
          <w:rFonts w:hint="eastAsia"/>
          <w:lang w:val="en-US" w:eastAsia="zh-CN"/>
        </w:rPr>
        <w:t>2</w:t>
      </w:r>
      <w:bookmarkEnd w:id="17"/>
      <w:r>
        <w:rPr>
          <w:rFonts w:hint="eastAsia"/>
          <w:lang w:val="en-US" w:eastAsia="zh-CN"/>
        </w:rPr>
        <w:t xml:space="preserve">  比拟法矿坑涌水量预测计算结果表</w:t>
      </w:r>
    </w:p>
    <w:tbl>
      <w:tblPr>
        <w:tblStyle w:val="24"/>
        <w:tblW w:w="87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5"/>
        <w:gridCol w:w="1272"/>
        <w:gridCol w:w="1321"/>
        <w:gridCol w:w="1271"/>
        <w:gridCol w:w="1265"/>
        <w:gridCol w:w="1256"/>
        <w:gridCol w:w="1256"/>
      </w:tblGrid>
      <w:tr w14:paraId="6DD30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exact"/>
          <w:jc w:val="center"/>
        </w:trPr>
        <w:tc>
          <w:tcPr>
            <w:tcW w:w="1155" w:type="dxa"/>
            <w:vMerge w:val="restart"/>
            <w:vAlign w:val="center"/>
          </w:tcPr>
          <w:p w14:paraId="46A34F04">
            <w:pPr>
              <w:pStyle w:val="31"/>
              <w:bidi w:val="0"/>
              <w:rPr>
                <w:rFonts w:hint="eastAsia"/>
                <w:lang w:val="en-US" w:eastAsia="zh-CN"/>
              </w:rPr>
            </w:pPr>
            <w:r>
              <w:rPr>
                <w:rFonts w:hint="eastAsia"/>
                <w:lang w:val="en-US" w:eastAsia="zh-CN"/>
              </w:rPr>
              <w:t>最低计算标高(m)</w:t>
            </w:r>
          </w:p>
          <w:p w14:paraId="196424D5">
            <w:pPr>
              <w:pStyle w:val="31"/>
              <w:bidi w:val="0"/>
              <w:rPr>
                <w:rFonts w:hint="eastAsia"/>
                <w:lang w:val="en-US" w:eastAsia="zh-CN"/>
              </w:rPr>
            </w:pPr>
          </w:p>
          <w:p w14:paraId="6FC2DFC6">
            <w:pPr>
              <w:pStyle w:val="31"/>
              <w:bidi w:val="0"/>
              <w:rPr>
                <w:rFonts w:hint="eastAsia"/>
                <w:lang w:val="en-US" w:eastAsia="zh-CN"/>
              </w:rPr>
            </w:pPr>
          </w:p>
        </w:tc>
        <w:tc>
          <w:tcPr>
            <w:tcW w:w="1272" w:type="dxa"/>
            <w:vMerge w:val="restart"/>
            <w:vAlign w:val="center"/>
          </w:tcPr>
          <w:p w14:paraId="01FFE17E">
            <w:pPr>
              <w:pStyle w:val="31"/>
              <w:bidi w:val="0"/>
              <w:rPr>
                <w:rFonts w:hint="eastAsia"/>
                <w:lang w:val="en-US" w:eastAsia="zh-CN"/>
              </w:rPr>
            </w:pPr>
            <w:r>
              <w:rPr>
                <w:rFonts w:hint="eastAsia"/>
                <w:lang w:val="en-US" w:eastAsia="zh-CN"/>
              </w:rPr>
              <w:t>前期矿坑系统面积（m2）</w:t>
            </w:r>
          </w:p>
        </w:tc>
        <w:tc>
          <w:tcPr>
            <w:tcW w:w="1321" w:type="dxa"/>
            <w:vMerge w:val="restart"/>
            <w:vAlign w:val="center"/>
          </w:tcPr>
          <w:p w14:paraId="45FAD1FB">
            <w:pPr>
              <w:pStyle w:val="31"/>
              <w:bidi w:val="0"/>
              <w:rPr>
                <w:rFonts w:hint="eastAsia"/>
                <w:lang w:val="en-US" w:eastAsia="zh-CN"/>
              </w:rPr>
            </w:pPr>
            <w:r>
              <w:rPr>
                <w:rFonts w:hint="eastAsia"/>
                <w:lang w:val="en-US" w:eastAsia="zh-CN"/>
              </w:rPr>
              <w:t>前期矿坑水位降深（m）</w:t>
            </w:r>
          </w:p>
          <w:p w14:paraId="171090B3">
            <w:pPr>
              <w:pStyle w:val="31"/>
              <w:bidi w:val="0"/>
              <w:rPr>
                <w:rFonts w:hint="eastAsia"/>
                <w:lang w:val="en-US" w:eastAsia="zh-CN"/>
              </w:rPr>
            </w:pPr>
          </w:p>
        </w:tc>
        <w:tc>
          <w:tcPr>
            <w:tcW w:w="1271" w:type="dxa"/>
            <w:vMerge w:val="restart"/>
            <w:vAlign w:val="center"/>
          </w:tcPr>
          <w:p w14:paraId="57DE8BFA">
            <w:pPr>
              <w:pStyle w:val="31"/>
              <w:bidi w:val="0"/>
              <w:rPr>
                <w:rFonts w:hint="eastAsia"/>
                <w:lang w:val="en-US" w:eastAsia="zh-CN"/>
              </w:rPr>
            </w:pPr>
            <w:r>
              <w:rPr>
                <w:rFonts w:hint="eastAsia"/>
                <w:lang w:val="en-US" w:eastAsia="zh-CN"/>
              </w:rPr>
              <w:t>未来矿坑开采面积（m2）</w:t>
            </w:r>
          </w:p>
        </w:tc>
        <w:tc>
          <w:tcPr>
            <w:tcW w:w="1265" w:type="dxa"/>
            <w:vMerge w:val="restart"/>
            <w:vAlign w:val="center"/>
          </w:tcPr>
          <w:p w14:paraId="7989F7C0">
            <w:pPr>
              <w:pStyle w:val="31"/>
              <w:bidi w:val="0"/>
              <w:rPr>
                <w:rFonts w:hint="eastAsia"/>
                <w:lang w:val="en-US" w:eastAsia="zh-CN"/>
              </w:rPr>
            </w:pPr>
            <w:r>
              <w:rPr>
                <w:rFonts w:hint="eastAsia"/>
                <w:lang w:val="en-US" w:eastAsia="zh-CN"/>
              </w:rPr>
              <w:t>未来矿坑水位降深（m）</w:t>
            </w:r>
          </w:p>
          <w:p w14:paraId="13C7575E">
            <w:pPr>
              <w:pStyle w:val="31"/>
              <w:bidi w:val="0"/>
              <w:rPr>
                <w:rFonts w:hint="eastAsia"/>
                <w:lang w:val="en-US" w:eastAsia="zh-CN"/>
              </w:rPr>
            </w:pPr>
          </w:p>
        </w:tc>
        <w:tc>
          <w:tcPr>
            <w:tcW w:w="2512" w:type="dxa"/>
            <w:gridSpan w:val="2"/>
            <w:noWrap/>
            <w:vAlign w:val="center"/>
          </w:tcPr>
          <w:p w14:paraId="59BDB600">
            <w:pPr>
              <w:pStyle w:val="31"/>
              <w:bidi w:val="0"/>
              <w:rPr>
                <w:rFonts w:hint="eastAsia"/>
                <w:lang w:val="en-US" w:eastAsia="zh-CN"/>
              </w:rPr>
            </w:pPr>
            <w:r>
              <w:rPr>
                <w:rFonts w:hint="eastAsia"/>
                <w:lang w:val="en-US" w:eastAsia="zh-CN"/>
              </w:rPr>
              <w:t>涌水量（m</w:t>
            </w:r>
            <w:r>
              <w:rPr>
                <w:rFonts w:hint="eastAsia"/>
                <w:vertAlign w:val="superscript"/>
                <w:lang w:val="en-US" w:eastAsia="zh-CN"/>
              </w:rPr>
              <w:t>3</w:t>
            </w:r>
            <w:r>
              <w:rPr>
                <w:rFonts w:hint="eastAsia"/>
                <w:lang w:val="en-US" w:eastAsia="zh-CN"/>
              </w:rPr>
              <w:t>/d）</w:t>
            </w:r>
          </w:p>
        </w:tc>
      </w:tr>
      <w:tr w14:paraId="2F263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exact"/>
          <w:jc w:val="center"/>
        </w:trPr>
        <w:tc>
          <w:tcPr>
            <w:tcW w:w="1155" w:type="dxa"/>
            <w:vMerge w:val="continue"/>
            <w:vAlign w:val="center"/>
          </w:tcPr>
          <w:p w14:paraId="280EE997">
            <w:pPr>
              <w:pStyle w:val="31"/>
              <w:bidi w:val="0"/>
              <w:rPr>
                <w:rFonts w:hint="eastAsia"/>
                <w:lang w:val="en-US" w:eastAsia="zh-CN"/>
              </w:rPr>
            </w:pPr>
          </w:p>
        </w:tc>
        <w:tc>
          <w:tcPr>
            <w:tcW w:w="1272" w:type="dxa"/>
            <w:vMerge w:val="continue"/>
            <w:vAlign w:val="center"/>
          </w:tcPr>
          <w:p w14:paraId="302BECA6">
            <w:pPr>
              <w:pStyle w:val="31"/>
              <w:bidi w:val="0"/>
              <w:rPr>
                <w:rFonts w:hint="eastAsia"/>
                <w:lang w:val="en-US" w:eastAsia="zh-CN"/>
              </w:rPr>
            </w:pPr>
          </w:p>
        </w:tc>
        <w:tc>
          <w:tcPr>
            <w:tcW w:w="1321" w:type="dxa"/>
            <w:vMerge w:val="continue"/>
            <w:vAlign w:val="center"/>
          </w:tcPr>
          <w:p w14:paraId="47B959F4">
            <w:pPr>
              <w:pStyle w:val="31"/>
              <w:bidi w:val="0"/>
              <w:rPr>
                <w:rFonts w:hint="eastAsia"/>
                <w:lang w:val="en-US" w:eastAsia="zh-CN"/>
              </w:rPr>
            </w:pPr>
          </w:p>
        </w:tc>
        <w:tc>
          <w:tcPr>
            <w:tcW w:w="1271" w:type="dxa"/>
            <w:vMerge w:val="continue"/>
            <w:vAlign w:val="center"/>
          </w:tcPr>
          <w:p w14:paraId="0703948F">
            <w:pPr>
              <w:pStyle w:val="31"/>
              <w:bidi w:val="0"/>
              <w:rPr>
                <w:rFonts w:hint="eastAsia"/>
                <w:lang w:val="en-US" w:eastAsia="zh-CN"/>
              </w:rPr>
            </w:pPr>
          </w:p>
        </w:tc>
        <w:tc>
          <w:tcPr>
            <w:tcW w:w="1265" w:type="dxa"/>
            <w:vMerge w:val="continue"/>
            <w:vAlign w:val="center"/>
          </w:tcPr>
          <w:p w14:paraId="7618747A">
            <w:pPr>
              <w:pStyle w:val="31"/>
              <w:bidi w:val="0"/>
              <w:rPr>
                <w:rFonts w:hint="eastAsia"/>
                <w:lang w:val="en-US" w:eastAsia="zh-CN"/>
              </w:rPr>
            </w:pPr>
          </w:p>
        </w:tc>
        <w:tc>
          <w:tcPr>
            <w:tcW w:w="1256" w:type="dxa"/>
            <w:noWrap/>
            <w:vAlign w:val="center"/>
          </w:tcPr>
          <w:p w14:paraId="615A87BE">
            <w:pPr>
              <w:pStyle w:val="31"/>
              <w:bidi w:val="0"/>
              <w:rPr>
                <w:rFonts w:hint="eastAsia"/>
                <w:lang w:val="en-US" w:eastAsia="zh-CN"/>
              </w:rPr>
            </w:pPr>
            <w:r>
              <w:rPr>
                <w:rFonts w:hint="eastAsia"/>
                <w:lang w:val="en-US" w:eastAsia="zh-CN"/>
              </w:rPr>
              <w:t>正常</w:t>
            </w:r>
          </w:p>
        </w:tc>
        <w:tc>
          <w:tcPr>
            <w:tcW w:w="1256" w:type="dxa"/>
            <w:noWrap/>
            <w:vAlign w:val="center"/>
          </w:tcPr>
          <w:p w14:paraId="37EDC8CF">
            <w:pPr>
              <w:pStyle w:val="31"/>
              <w:bidi w:val="0"/>
              <w:rPr>
                <w:rFonts w:hint="eastAsia"/>
                <w:lang w:val="en-US" w:eastAsia="zh-CN"/>
              </w:rPr>
            </w:pPr>
            <w:r>
              <w:rPr>
                <w:rFonts w:hint="eastAsia"/>
                <w:lang w:val="en-US" w:eastAsia="zh-CN"/>
              </w:rPr>
              <w:t>最大</w:t>
            </w:r>
          </w:p>
        </w:tc>
      </w:tr>
      <w:tr w14:paraId="2D301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jc w:val="center"/>
        </w:trPr>
        <w:tc>
          <w:tcPr>
            <w:tcW w:w="1155" w:type="dxa"/>
            <w:noWrap/>
            <w:vAlign w:val="center"/>
          </w:tcPr>
          <w:p w14:paraId="14FEE9D6">
            <w:pPr>
              <w:pStyle w:val="31"/>
              <w:bidi w:val="0"/>
              <w:rPr>
                <w:rFonts w:hint="default"/>
                <w:lang w:val="en-US" w:eastAsia="zh-CN"/>
              </w:rPr>
            </w:pPr>
            <w:r>
              <w:rPr>
                <w:rFonts w:hint="eastAsia"/>
                <w:lang w:val="en-US" w:eastAsia="zh-CN"/>
              </w:rPr>
              <w:t>-450</w:t>
            </w:r>
          </w:p>
        </w:tc>
        <w:tc>
          <w:tcPr>
            <w:tcW w:w="1272" w:type="dxa"/>
            <w:noWrap/>
            <w:vAlign w:val="center"/>
          </w:tcPr>
          <w:p w14:paraId="7E5F2710">
            <w:pPr>
              <w:pStyle w:val="31"/>
              <w:bidi w:val="0"/>
              <w:rPr>
                <w:rFonts w:hint="eastAsia"/>
                <w:lang w:val="en-US" w:eastAsia="zh-CN"/>
              </w:rPr>
            </w:pPr>
            <w:r>
              <w:rPr>
                <w:rFonts w:hint="eastAsia"/>
                <w:lang w:val="en-US" w:eastAsia="zh-CN"/>
              </w:rPr>
              <w:t>25825</w:t>
            </w:r>
          </w:p>
        </w:tc>
        <w:tc>
          <w:tcPr>
            <w:tcW w:w="1321" w:type="dxa"/>
            <w:noWrap/>
            <w:vAlign w:val="center"/>
          </w:tcPr>
          <w:p w14:paraId="32A71E15">
            <w:pPr>
              <w:pStyle w:val="31"/>
              <w:bidi w:val="0"/>
              <w:rPr>
                <w:rFonts w:hint="eastAsia"/>
                <w:lang w:val="en-US" w:eastAsia="zh-CN"/>
              </w:rPr>
            </w:pPr>
            <w:r>
              <w:rPr>
                <w:rFonts w:hint="eastAsia"/>
                <w:lang w:val="en-US" w:eastAsia="zh-CN"/>
              </w:rPr>
              <w:t>166.3</w:t>
            </w:r>
          </w:p>
        </w:tc>
        <w:tc>
          <w:tcPr>
            <w:tcW w:w="1271" w:type="dxa"/>
            <w:noWrap/>
            <w:vAlign w:val="center"/>
          </w:tcPr>
          <w:p w14:paraId="55493A78">
            <w:pPr>
              <w:pStyle w:val="31"/>
              <w:bidi w:val="0"/>
              <w:rPr>
                <w:rFonts w:hint="eastAsia"/>
                <w:lang w:val="en-US" w:eastAsia="zh-CN"/>
              </w:rPr>
            </w:pPr>
            <w:r>
              <w:rPr>
                <w:rFonts w:hint="eastAsia"/>
                <w:lang w:val="en-US" w:eastAsia="zh-CN"/>
              </w:rPr>
              <w:t>101389</w:t>
            </w:r>
          </w:p>
        </w:tc>
        <w:tc>
          <w:tcPr>
            <w:tcW w:w="1265" w:type="dxa"/>
            <w:noWrap/>
            <w:vAlign w:val="center"/>
          </w:tcPr>
          <w:p w14:paraId="63622E33">
            <w:pPr>
              <w:pStyle w:val="31"/>
              <w:bidi w:val="0"/>
              <w:rPr>
                <w:rFonts w:hint="eastAsia"/>
                <w:lang w:val="en-US" w:eastAsia="zh-CN"/>
              </w:rPr>
            </w:pPr>
            <w:r>
              <w:rPr>
                <w:rFonts w:hint="eastAsia"/>
                <w:lang w:val="en-US" w:eastAsia="zh-CN"/>
              </w:rPr>
              <w:t>520.3</w:t>
            </w:r>
          </w:p>
        </w:tc>
        <w:tc>
          <w:tcPr>
            <w:tcW w:w="1256" w:type="dxa"/>
            <w:noWrap/>
            <w:vAlign w:val="center"/>
          </w:tcPr>
          <w:p w14:paraId="1F8A7D83">
            <w:pPr>
              <w:pStyle w:val="31"/>
              <w:bidi w:val="0"/>
              <w:rPr>
                <w:rFonts w:hint="default"/>
                <w:lang w:val="en-US" w:eastAsia="zh-CN"/>
              </w:rPr>
            </w:pPr>
            <w:r>
              <w:rPr>
                <w:rFonts w:hint="eastAsia"/>
                <w:lang w:val="en-US" w:eastAsia="zh-CN"/>
              </w:rPr>
              <w:t>2431</w:t>
            </w:r>
          </w:p>
        </w:tc>
        <w:tc>
          <w:tcPr>
            <w:tcW w:w="1256" w:type="dxa"/>
            <w:noWrap/>
            <w:vAlign w:val="center"/>
          </w:tcPr>
          <w:p w14:paraId="7E4659BD">
            <w:pPr>
              <w:pStyle w:val="31"/>
              <w:bidi w:val="0"/>
              <w:rPr>
                <w:rFonts w:hint="default"/>
                <w:lang w:val="en-US" w:eastAsia="zh-CN"/>
              </w:rPr>
            </w:pPr>
            <w:r>
              <w:rPr>
                <w:rFonts w:hint="eastAsia"/>
                <w:lang w:val="en-US" w:eastAsia="zh-CN"/>
              </w:rPr>
              <w:t>6250</w:t>
            </w:r>
          </w:p>
        </w:tc>
      </w:tr>
    </w:tbl>
    <w:p w14:paraId="3A860CB5">
      <w:pPr>
        <w:pStyle w:val="21"/>
        <w:bidi w:val="0"/>
        <w:rPr>
          <w:rFonts w:hint="eastAsia"/>
          <w:lang w:val="en-US" w:eastAsia="zh-CN"/>
        </w:rPr>
      </w:pPr>
      <w:r>
        <w:rPr>
          <w:rFonts w:hint="eastAsia"/>
          <w:lang w:val="en-US" w:eastAsia="zh-CN"/>
        </w:rPr>
        <w:t>本次计算的矿坑涌水量是在查明矿区水文地质条件、矿坑充水因素的基础上，采用“大井法”和“比拟法”计算公式所得，两种方法计算结果偏差较大，根据矿山前期生产经验，比拟法计算的结果接近实际。推荐矿坑涌水量选取比拟法计算的结果。</w:t>
      </w:r>
    </w:p>
    <w:p w14:paraId="15A88706">
      <w:pPr>
        <w:pStyle w:val="21"/>
        <w:bidi w:val="0"/>
        <w:rPr>
          <w:rFonts w:hint="default"/>
          <w:lang w:val="en-US" w:eastAsia="zh-CN"/>
        </w:rPr>
      </w:pPr>
      <w:r>
        <w:rPr>
          <w:rFonts w:hint="eastAsia"/>
          <w:lang w:val="en-US" w:eastAsia="zh-CN"/>
        </w:rPr>
        <w:t>此次核实水文地质计算方法、参数选择合理，符合矿区水文地质条件。其计算结果可作为矿山开采设计依据。</w:t>
      </w:r>
    </w:p>
    <w:p w14:paraId="5EA5A453">
      <w:pPr>
        <w:pStyle w:val="21"/>
        <w:numPr>
          <w:ilvl w:val="0"/>
          <w:numId w:val="8"/>
        </w:numPr>
        <w:bidi w:val="0"/>
        <w:rPr>
          <w:rFonts w:hint="default"/>
          <w:lang w:val="en-US" w:eastAsia="zh-CN"/>
        </w:rPr>
      </w:pPr>
      <w:r>
        <w:rPr>
          <w:rFonts w:hint="default"/>
          <w:lang w:val="en-US" w:eastAsia="zh-CN"/>
        </w:rPr>
        <w:t>水文地质勘查类型</w:t>
      </w:r>
    </w:p>
    <w:p w14:paraId="2E60DBB4">
      <w:pPr>
        <w:pStyle w:val="21"/>
        <w:bidi w:val="0"/>
        <w:rPr>
          <w:rFonts w:hint="default"/>
          <w:lang w:val="en-US" w:eastAsia="zh-CN"/>
        </w:rPr>
      </w:pPr>
      <w:r>
        <w:rPr>
          <w:rFonts w:hint="default"/>
          <w:lang w:val="en-US" w:eastAsia="zh-CN"/>
        </w:rPr>
        <w:t>矿区水文地质勘探类型属于以裂隙含水层充水为主、顶底板直接进水、水文地质条件简单的裂隙充水矿床。区内无地表水体，矿床充水主要与基岩裂隙水有关。大气降水是区内地下水的唯一补给源，也是矿床充水的间接因素。受地貌、气象要素的影响，各含水层（带）富水性弱。</w:t>
      </w:r>
    </w:p>
    <w:p w14:paraId="2088E2D1">
      <w:pPr>
        <w:pStyle w:val="29"/>
        <w:bidi w:val="0"/>
        <w:rPr>
          <w:rFonts w:hint="default"/>
          <w:lang w:val="en-US" w:eastAsia="zh-CN"/>
        </w:rPr>
      </w:pPr>
      <w:r>
        <w:rPr>
          <w:rFonts w:hint="eastAsia"/>
          <w:lang w:val="en-US" w:eastAsia="zh-CN"/>
        </w:rPr>
        <w:t>工程地质概况</w:t>
      </w:r>
    </w:p>
    <w:p w14:paraId="5DB967BB">
      <w:pPr>
        <w:pStyle w:val="21"/>
        <w:numPr>
          <w:ilvl w:val="0"/>
          <w:numId w:val="9"/>
        </w:numPr>
        <w:bidi w:val="0"/>
        <w:rPr>
          <w:rFonts w:hint="default"/>
          <w:lang w:val="en-US" w:eastAsia="zh-CN"/>
        </w:rPr>
      </w:pPr>
      <w:r>
        <w:rPr>
          <w:rFonts w:hint="default"/>
          <w:lang w:val="en-US" w:eastAsia="zh-CN"/>
        </w:rPr>
        <w:t>工程地质岩组特征</w:t>
      </w:r>
    </w:p>
    <w:p w14:paraId="76A4E6DE">
      <w:pPr>
        <w:pStyle w:val="21"/>
        <w:bidi w:val="0"/>
        <w:rPr>
          <w:rFonts w:hint="eastAsia"/>
          <w:lang w:val="en-US" w:eastAsia="zh-CN"/>
        </w:rPr>
      </w:pPr>
      <w:r>
        <w:rPr>
          <w:rFonts w:hint="eastAsia"/>
          <w:lang w:val="en-US" w:eastAsia="zh-CN"/>
        </w:rPr>
        <w:t>矿区内的工程地质岩组有两组，分别为分布在坡地及河谷两侧的第四系松散堆积物软弱岩组及块状岩类变质岩组。</w:t>
      </w:r>
    </w:p>
    <w:p w14:paraId="58791132">
      <w:pPr>
        <w:pStyle w:val="21"/>
        <w:bidi w:val="0"/>
        <w:rPr>
          <w:rFonts w:hint="eastAsia"/>
          <w:lang w:val="en-US" w:eastAsia="zh-CN"/>
        </w:rPr>
      </w:pPr>
      <w:r>
        <w:rPr>
          <w:rFonts w:hint="eastAsia"/>
          <w:lang w:val="en-US" w:eastAsia="zh-CN"/>
        </w:rPr>
        <w:t>第四系松散堆积物软弱岩组：成分主要为粉质粘土、砾、碎石混粉土，厚度3.0～15.0 m，干—稍湿，可塑—硬塑状态，压缩性中等。</w:t>
      </w:r>
    </w:p>
    <w:p w14:paraId="3CC53A0A">
      <w:pPr>
        <w:pStyle w:val="21"/>
        <w:bidi w:val="0"/>
        <w:rPr>
          <w:rFonts w:hint="eastAsia"/>
          <w:lang w:val="en-US" w:eastAsia="zh-CN"/>
        </w:rPr>
      </w:pPr>
      <w:r>
        <w:rPr>
          <w:rFonts w:hint="eastAsia"/>
          <w:lang w:val="en-US" w:eastAsia="zh-CN"/>
        </w:rPr>
        <w:t>块状岩类变质岩组：地层岩性主要为二云石英岩、二长花岗岩、角闪斜长变粒岩及石英砂岩等。二云石英岩、石榴石黑云母片岩和透闪片岩为矿体顶、底板主要围岩，岩体较坚硬，一般较完整。风化带厚度约35～55m，表层强风化，强风化破碎带厚度3～5m。风化带和井下局部地段较破碎，岩体稳定性较差。钻孔揭露围岩RQD值为23.36～84.68，岩体稳定性较好。区内结构面分级为Ⅳ级，一般发育2-3组，多闭合，结构面形式主要为节理裂隙，延展有限，无明显深度及宽度。其结构类型为块状岩类块状结构。风化带和井下局部地段较破碎，岩体稳定性较差；磁铁石英岩岩体较坚硬，岩体稳定性较好，为含矿岩石。矿区内出露厚度较小，其他工程地质特征与围岩相同。局部与围岩接触部位裂隙较发育。</w:t>
      </w:r>
    </w:p>
    <w:p w14:paraId="5391B9FD">
      <w:pPr>
        <w:pStyle w:val="21"/>
        <w:bidi w:val="0"/>
        <w:rPr>
          <w:rFonts w:hint="eastAsia"/>
          <w:lang w:val="en-US" w:eastAsia="zh-CN"/>
        </w:rPr>
      </w:pPr>
      <w:r>
        <w:rPr>
          <w:rFonts w:hint="eastAsia"/>
          <w:lang w:val="en-US" w:eastAsia="zh-CN"/>
        </w:rPr>
        <w:t>根据收集前期资料和本次岩石力学取样分析结果，其岩石力学性质指标见下表。</w:t>
      </w:r>
    </w:p>
    <w:p w14:paraId="4D1FCB38">
      <w:pPr>
        <w:pStyle w:val="30"/>
        <w:bidi w:val="0"/>
        <w:rPr>
          <w:rFonts w:hint="default"/>
          <w:lang w:val="en-US" w:eastAsia="zh-CN"/>
        </w:rPr>
      </w:pPr>
      <w:r>
        <w:rPr>
          <w:rFonts w:hint="default"/>
        </w:rPr>
        <w:t>表</w:t>
      </w:r>
      <w:r>
        <w:rPr>
          <w:rFonts w:hint="eastAsia"/>
          <w:lang w:val="en-US" w:eastAsia="zh-CN"/>
        </w:rPr>
        <w:t>2.3</w:t>
      </w:r>
      <w:r>
        <w:rPr>
          <w:rFonts w:hint="default"/>
        </w:rPr>
        <w:t>-</w:t>
      </w:r>
      <w:r>
        <w:rPr>
          <w:rFonts w:hint="eastAsia"/>
          <w:lang w:val="en-US" w:eastAsia="zh-CN"/>
        </w:rPr>
        <w:t>3  岩石力学性质指标表</w:t>
      </w:r>
    </w:p>
    <w:tbl>
      <w:tblPr>
        <w:tblStyle w:val="2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96"/>
        <w:gridCol w:w="1823"/>
        <w:gridCol w:w="1640"/>
        <w:gridCol w:w="1542"/>
        <w:gridCol w:w="1432"/>
        <w:gridCol w:w="1468"/>
      </w:tblGrid>
      <w:tr w14:paraId="028CA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756" w:type="pct"/>
            <w:vMerge w:val="restart"/>
            <w:vAlign w:val="center"/>
          </w:tcPr>
          <w:p w14:paraId="13641A24">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岩样编号</w:t>
            </w:r>
          </w:p>
        </w:tc>
        <w:tc>
          <w:tcPr>
            <w:tcW w:w="977" w:type="pct"/>
            <w:vMerge w:val="restart"/>
            <w:vAlign w:val="center"/>
          </w:tcPr>
          <w:p w14:paraId="1961A13F">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岩石名称</w:t>
            </w:r>
          </w:p>
        </w:tc>
        <w:tc>
          <w:tcPr>
            <w:tcW w:w="880" w:type="pct"/>
            <w:vMerge w:val="restart"/>
            <w:vAlign w:val="center"/>
          </w:tcPr>
          <w:p w14:paraId="1FEB522A">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抗拉强度</w:t>
            </w:r>
          </w:p>
          <w:p w14:paraId="5D234159">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σ</w:t>
            </w:r>
            <w:r>
              <w:rPr>
                <w:rFonts w:hint="default" w:ascii="Times New Roman" w:hAnsi="Times New Roman" w:cs="Times New Roman"/>
                <w:vertAlign w:val="subscript"/>
                <w:lang w:val="en-US" w:eastAsia="zh-CN"/>
              </w:rPr>
              <w:t>t</w:t>
            </w:r>
            <w:r>
              <w:rPr>
                <w:rFonts w:hint="default" w:ascii="Times New Roman" w:hAnsi="Times New Roman" w:cs="Times New Roman"/>
                <w:lang w:val="en-US" w:eastAsia="zh-CN"/>
              </w:rPr>
              <w:t>(MPa)</w:t>
            </w:r>
          </w:p>
        </w:tc>
        <w:tc>
          <w:tcPr>
            <w:tcW w:w="828" w:type="pct"/>
            <w:vMerge w:val="restart"/>
            <w:vAlign w:val="center"/>
          </w:tcPr>
          <w:p w14:paraId="20E7008F">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饱和单轴抗压强度</w:t>
            </w:r>
          </w:p>
        </w:tc>
        <w:tc>
          <w:tcPr>
            <w:tcW w:w="1557" w:type="pct"/>
            <w:gridSpan w:val="2"/>
            <w:vAlign w:val="center"/>
          </w:tcPr>
          <w:p w14:paraId="452E9006">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抗剪强度</w:t>
            </w:r>
          </w:p>
        </w:tc>
      </w:tr>
      <w:tr w14:paraId="7069C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756" w:type="pct"/>
            <w:vMerge w:val="continue"/>
            <w:vAlign w:val="center"/>
          </w:tcPr>
          <w:p w14:paraId="2E96FEBF">
            <w:pPr>
              <w:pStyle w:val="31"/>
              <w:bidi w:val="0"/>
              <w:rPr>
                <w:rFonts w:hint="default" w:ascii="Times New Roman" w:hAnsi="Times New Roman" w:cs="Times New Roman"/>
                <w:lang w:val="en-US" w:eastAsia="zh-CN"/>
              </w:rPr>
            </w:pPr>
          </w:p>
        </w:tc>
        <w:tc>
          <w:tcPr>
            <w:tcW w:w="977" w:type="pct"/>
            <w:vMerge w:val="continue"/>
            <w:vAlign w:val="center"/>
          </w:tcPr>
          <w:p w14:paraId="09479E68">
            <w:pPr>
              <w:pStyle w:val="31"/>
              <w:bidi w:val="0"/>
              <w:rPr>
                <w:rFonts w:hint="default" w:ascii="Times New Roman" w:hAnsi="Times New Roman" w:cs="Times New Roman"/>
                <w:lang w:val="en-US" w:eastAsia="zh-CN"/>
              </w:rPr>
            </w:pPr>
          </w:p>
        </w:tc>
        <w:tc>
          <w:tcPr>
            <w:tcW w:w="880" w:type="pct"/>
            <w:vMerge w:val="continue"/>
            <w:vAlign w:val="center"/>
          </w:tcPr>
          <w:p w14:paraId="7F53ECF1">
            <w:pPr>
              <w:pStyle w:val="31"/>
              <w:bidi w:val="0"/>
              <w:rPr>
                <w:rFonts w:hint="default" w:ascii="Times New Roman" w:hAnsi="Times New Roman" w:cs="Times New Roman"/>
                <w:lang w:val="en-US" w:eastAsia="zh-CN"/>
              </w:rPr>
            </w:pPr>
          </w:p>
        </w:tc>
        <w:tc>
          <w:tcPr>
            <w:tcW w:w="828" w:type="pct"/>
            <w:vMerge w:val="continue"/>
          </w:tcPr>
          <w:p w14:paraId="67B117DE">
            <w:pPr>
              <w:pStyle w:val="31"/>
              <w:bidi w:val="0"/>
              <w:rPr>
                <w:rFonts w:hint="default" w:ascii="Times New Roman" w:hAnsi="Times New Roman" w:cs="Times New Roman"/>
                <w:lang w:val="en-US" w:eastAsia="zh-CN"/>
              </w:rPr>
            </w:pPr>
          </w:p>
        </w:tc>
        <w:tc>
          <w:tcPr>
            <w:tcW w:w="769" w:type="pct"/>
            <w:vAlign w:val="center"/>
          </w:tcPr>
          <w:p w14:paraId="7BD1D691">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内聚力C</w:t>
            </w:r>
          </w:p>
        </w:tc>
        <w:tc>
          <w:tcPr>
            <w:tcW w:w="788" w:type="pct"/>
            <w:vAlign w:val="center"/>
          </w:tcPr>
          <w:p w14:paraId="33CFA371">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内摩擦角</w:t>
            </w:r>
          </w:p>
        </w:tc>
      </w:tr>
      <w:tr w14:paraId="655E9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756" w:type="pct"/>
            <w:vMerge w:val="continue"/>
            <w:vAlign w:val="center"/>
          </w:tcPr>
          <w:p w14:paraId="783B46A1">
            <w:pPr>
              <w:pStyle w:val="31"/>
              <w:bidi w:val="0"/>
              <w:rPr>
                <w:rFonts w:hint="default" w:ascii="Times New Roman" w:hAnsi="Times New Roman" w:cs="Times New Roman"/>
                <w:lang w:val="en-US" w:eastAsia="zh-CN"/>
              </w:rPr>
            </w:pPr>
          </w:p>
        </w:tc>
        <w:tc>
          <w:tcPr>
            <w:tcW w:w="977" w:type="pct"/>
            <w:vMerge w:val="continue"/>
            <w:vAlign w:val="center"/>
          </w:tcPr>
          <w:p w14:paraId="24C4EEC2">
            <w:pPr>
              <w:pStyle w:val="31"/>
              <w:bidi w:val="0"/>
              <w:rPr>
                <w:rFonts w:hint="default" w:ascii="Times New Roman" w:hAnsi="Times New Roman" w:cs="Times New Roman"/>
                <w:lang w:val="en-US" w:eastAsia="zh-CN"/>
              </w:rPr>
            </w:pPr>
          </w:p>
        </w:tc>
        <w:tc>
          <w:tcPr>
            <w:tcW w:w="880" w:type="pct"/>
            <w:vMerge w:val="continue"/>
            <w:vAlign w:val="center"/>
          </w:tcPr>
          <w:p w14:paraId="2E9C5285">
            <w:pPr>
              <w:pStyle w:val="31"/>
              <w:bidi w:val="0"/>
              <w:rPr>
                <w:rFonts w:hint="default" w:ascii="Times New Roman" w:hAnsi="Times New Roman" w:cs="Times New Roman"/>
                <w:lang w:val="en-US" w:eastAsia="zh-CN"/>
              </w:rPr>
            </w:pPr>
          </w:p>
        </w:tc>
        <w:tc>
          <w:tcPr>
            <w:tcW w:w="828" w:type="pct"/>
          </w:tcPr>
          <w:p w14:paraId="5DFD999C">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Rsa(MPa)</w:t>
            </w:r>
          </w:p>
        </w:tc>
        <w:tc>
          <w:tcPr>
            <w:tcW w:w="769" w:type="pct"/>
            <w:vAlign w:val="center"/>
          </w:tcPr>
          <w:p w14:paraId="29EA308B">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（MPa）</w:t>
            </w:r>
          </w:p>
        </w:tc>
        <w:tc>
          <w:tcPr>
            <w:tcW w:w="788" w:type="pct"/>
            <w:vAlign w:val="center"/>
          </w:tcPr>
          <w:p w14:paraId="0976E4ED">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φ（°）</w:t>
            </w:r>
          </w:p>
        </w:tc>
      </w:tr>
      <w:tr w14:paraId="485A4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exact"/>
        </w:trPr>
        <w:tc>
          <w:tcPr>
            <w:tcW w:w="756" w:type="pct"/>
            <w:vAlign w:val="center"/>
          </w:tcPr>
          <w:p w14:paraId="1E3C5E14">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ZK101-LX-1</w:t>
            </w:r>
          </w:p>
        </w:tc>
        <w:tc>
          <w:tcPr>
            <w:tcW w:w="977" w:type="pct"/>
            <w:vAlign w:val="center"/>
          </w:tcPr>
          <w:p w14:paraId="62B3A9E5">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二云石英岩</w:t>
            </w:r>
          </w:p>
        </w:tc>
        <w:tc>
          <w:tcPr>
            <w:tcW w:w="880" w:type="pct"/>
            <w:vAlign w:val="center"/>
          </w:tcPr>
          <w:p w14:paraId="067A02B2">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4.71</w:t>
            </w:r>
          </w:p>
        </w:tc>
        <w:tc>
          <w:tcPr>
            <w:tcW w:w="828" w:type="pct"/>
            <w:vAlign w:val="center"/>
          </w:tcPr>
          <w:p w14:paraId="1CAF49DA">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84.5</w:t>
            </w:r>
          </w:p>
        </w:tc>
        <w:tc>
          <w:tcPr>
            <w:tcW w:w="769" w:type="pct"/>
            <w:vAlign w:val="center"/>
          </w:tcPr>
          <w:p w14:paraId="17B280D2">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6.75</w:t>
            </w:r>
          </w:p>
        </w:tc>
        <w:tc>
          <w:tcPr>
            <w:tcW w:w="788" w:type="pct"/>
            <w:vAlign w:val="center"/>
          </w:tcPr>
          <w:p w14:paraId="2547EFD7">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 xml:space="preserve">26.2 </w:t>
            </w:r>
          </w:p>
        </w:tc>
      </w:tr>
      <w:tr w14:paraId="63139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exact"/>
        </w:trPr>
        <w:tc>
          <w:tcPr>
            <w:tcW w:w="756" w:type="pct"/>
            <w:vAlign w:val="center"/>
          </w:tcPr>
          <w:p w14:paraId="6537780F">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ZK101-LX-2</w:t>
            </w:r>
          </w:p>
        </w:tc>
        <w:tc>
          <w:tcPr>
            <w:tcW w:w="977" w:type="pct"/>
            <w:vAlign w:val="center"/>
          </w:tcPr>
          <w:p w14:paraId="4B093B59">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磁铁石英岩</w:t>
            </w:r>
          </w:p>
        </w:tc>
        <w:tc>
          <w:tcPr>
            <w:tcW w:w="880" w:type="pct"/>
            <w:vAlign w:val="center"/>
          </w:tcPr>
          <w:p w14:paraId="429F19D8">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10.6</w:t>
            </w:r>
          </w:p>
        </w:tc>
        <w:tc>
          <w:tcPr>
            <w:tcW w:w="828" w:type="pct"/>
            <w:vAlign w:val="center"/>
          </w:tcPr>
          <w:p w14:paraId="39A3AD96">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121</w:t>
            </w:r>
          </w:p>
        </w:tc>
        <w:tc>
          <w:tcPr>
            <w:tcW w:w="769" w:type="pct"/>
            <w:vAlign w:val="center"/>
          </w:tcPr>
          <w:p w14:paraId="0FC19C56">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23.0</w:t>
            </w:r>
          </w:p>
        </w:tc>
        <w:tc>
          <w:tcPr>
            <w:tcW w:w="788" w:type="pct"/>
            <w:vAlign w:val="center"/>
          </w:tcPr>
          <w:p w14:paraId="2AA76F29">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22.5</w:t>
            </w:r>
          </w:p>
        </w:tc>
      </w:tr>
      <w:tr w14:paraId="20166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exact"/>
        </w:trPr>
        <w:tc>
          <w:tcPr>
            <w:tcW w:w="756" w:type="pct"/>
            <w:vAlign w:val="center"/>
          </w:tcPr>
          <w:p w14:paraId="10B5960B">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ZK101-LX-3</w:t>
            </w:r>
          </w:p>
        </w:tc>
        <w:tc>
          <w:tcPr>
            <w:tcW w:w="977" w:type="pct"/>
            <w:vAlign w:val="center"/>
          </w:tcPr>
          <w:p w14:paraId="3EE2776F">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石榴石黑云片岩</w:t>
            </w:r>
          </w:p>
        </w:tc>
        <w:tc>
          <w:tcPr>
            <w:tcW w:w="880" w:type="pct"/>
            <w:vAlign w:val="center"/>
          </w:tcPr>
          <w:p w14:paraId="66268B33">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6.15</w:t>
            </w:r>
          </w:p>
        </w:tc>
        <w:tc>
          <w:tcPr>
            <w:tcW w:w="828" w:type="pct"/>
            <w:vAlign w:val="center"/>
          </w:tcPr>
          <w:p w14:paraId="114110CD">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61.8</w:t>
            </w:r>
          </w:p>
        </w:tc>
        <w:tc>
          <w:tcPr>
            <w:tcW w:w="769" w:type="pct"/>
            <w:vAlign w:val="center"/>
          </w:tcPr>
          <w:p w14:paraId="2636781B">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15.4</w:t>
            </w:r>
          </w:p>
        </w:tc>
        <w:tc>
          <w:tcPr>
            <w:tcW w:w="788" w:type="pct"/>
            <w:vAlign w:val="center"/>
          </w:tcPr>
          <w:p w14:paraId="00652BFD">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33.4</w:t>
            </w:r>
          </w:p>
        </w:tc>
      </w:tr>
      <w:tr w14:paraId="22548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exact"/>
        </w:trPr>
        <w:tc>
          <w:tcPr>
            <w:tcW w:w="756" w:type="pct"/>
            <w:vAlign w:val="center"/>
          </w:tcPr>
          <w:p w14:paraId="2FF3E550">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ZK101-LX-4</w:t>
            </w:r>
          </w:p>
        </w:tc>
        <w:tc>
          <w:tcPr>
            <w:tcW w:w="977" w:type="pct"/>
            <w:vAlign w:val="center"/>
          </w:tcPr>
          <w:p w14:paraId="50824693">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磁铁石英岩</w:t>
            </w:r>
          </w:p>
        </w:tc>
        <w:tc>
          <w:tcPr>
            <w:tcW w:w="880" w:type="pct"/>
            <w:vAlign w:val="center"/>
          </w:tcPr>
          <w:p w14:paraId="7E5D908A">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6.34</w:t>
            </w:r>
          </w:p>
        </w:tc>
        <w:tc>
          <w:tcPr>
            <w:tcW w:w="828" w:type="pct"/>
            <w:vAlign w:val="center"/>
          </w:tcPr>
          <w:p w14:paraId="62DD4DF8">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84.2</w:t>
            </w:r>
          </w:p>
        </w:tc>
        <w:tc>
          <w:tcPr>
            <w:tcW w:w="769" w:type="pct"/>
            <w:vAlign w:val="center"/>
          </w:tcPr>
          <w:p w14:paraId="21502C63">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14.8</w:t>
            </w:r>
          </w:p>
        </w:tc>
        <w:tc>
          <w:tcPr>
            <w:tcW w:w="788" w:type="pct"/>
            <w:vAlign w:val="center"/>
          </w:tcPr>
          <w:p w14:paraId="37FF96E9">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31.3</w:t>
            </w:r>
          </w:p>
        </w:tc>
      </w:tr>
      <w:tr w14:paraId="44425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exact"/>
        </w:trPr>
        <w:tc>
          <w:tcPr>
            <w:tcW w:w="756" w:type="pct"/>
            <w:vAlign w:val="center"/>
          </w:tcPr>
          <w:p w14:paraId="5FBF6F32">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ZK101-LX-5</w:t>
            </w:r>
          </w:p>
        </w:tc>
        <w:tc>
          <w:tcPr>
            <w:tcW w:w="977" w:type="pct"/>
            <w:vAlign w:val="center"/>
          </w:tcPr>
          <w:p w14:paraId="1EB4DAFE">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透闪片岩</w:t>
            </w:r>
          </w:p>
        </w:tc>
        <w:tc>
          <w:tcPr>
            <w:tcW w:w="880" w:type="pct"/>
            <w:vAlign w:val="center"/>
          </w:tcPr>
          <w:p w14:paraId="57DD1E06">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4.90</w:t>
            </w:r>
          </w:p>
        </w:tc>
        <w:tc>
          <w:tcPr>
            <w:tcW w:w="828" w:type="pct"/>
            <w:vAlign w:val="center"/>
          </w:tcPr>
          <w:p w14:paraId="44D0758F">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66.6</w:t>
            </w:r>
          </w:p>
        </w:tc>
        <w:tc>
          <w:tcPr>
            <w:tcW w:w="769" w:type="pct"/>
            <w:vAlign w:val="center"/>
          </w:tcPr>
          <w:p w14:paraId="713472BA">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12.40</w:t>
            </w:r>
          </w:p>
        </w:tc>
        <w:tc>
          <w:tcPr>
            <w:tcW w:w="788" w:type="pct"/>
            <w:vAlign w:val="center"/>
          </w:tcPr>
          <w:p w14:paraId="2F79C0A0">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37.5</w:t>
            </w:r>
          </w:p>
        </w:tc>
      </w:tr>
      <w:tr w14:paraId="471C3F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exact"/>
        </w:trPr>
        <w:tc>
          <w:tcPr>
            <w:tcW w:w="756" w:type="pct"/>
            <w:vAlign w:val="center"/>
          </w:tcPr>
          <w:p w14:paraId="0EB4F3C4">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ZK202-LX-1</w:t>
            </w:r>
          </w:p>
        </w:tc>
        <w:tc>
          <w:tcPr>
            <w:tcW w:w="977" w:type="pct"/>
            <w:vAlign w:val="center"/>
          </w:tcPr>
          <w:p w14:paraId="0ACEFAAE">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二云石英岩</w:t>
            </w:r>
          </w:p>
        </w:tc>
        <w:tc>
          <w:tcPr>
            <w:tcW w:w="880" w:type="pct"/>
            <w:vAlign w:val="center"/>
          </w:tcPr>
          <w:p w14:paraId="15E8E512">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3.77</w:t>
            </w:r>
          </w:p>
        </w:tc>
        <w:tc>
          <w:tcPr>
            <w:tcW w:w="828" w:type="pct"/>
            <w:vAlign w:val="center"/>
          </w:tcPr>
          <w:p w14:paraId="6687F5EA">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65.8</w:t>
            </w:r>
          </w:p>
        </w:tc>
        <w:tc>
          <w:tcPr>
            <w:tcW w:w="769" w:type="pct"/>
            <w:vAlign w:val="center"/>
          </w:tcPr>
          <w:p w14:paraId="6FEF48AD">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8.75</w:t>
            </w:r>
          </w:p>
        </w:tc>
        <w:tc>
          <w:tcPr>
            <w:tcW w:w="788" w:type="pct"/>
            <w:vAlign w:val="center"/>
          </w:tcPr>
          <w:p w14:paraId="535196B8">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 xml:space="preserve">29.2 </w:t>
            </w:r>
          </w:p>
        </w:tc>
      </w:tr>
      <w:tr w14:paraId="54697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exact"/>
        </w:trPr>
        <w:tc>
          <w:tcPr>
            <w:tcW w:w="756" w:type="pct"/>
            <w:vAlign w:val="center"/>
          </w:tcPr>
          <w:p w14:paraId="452710A1">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ZK202-LX-2</w:t>
            </w:r>
          </w:p>
        </w:tc>
        <w:tc>
          <w:tcPr>
            <w:tcW w:w="977" w:type="pct"/>
            <w:vAlign w:val="center"/>
          </w:tcPr>
          <w:p w14:paraId="1E4C4632">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磁铁石英岩</w:t>
            </w:r>
          </w:p>
        </w:tc>
        <w:tc>
          <w:tcPr>
            <w:tcW w:w="880" w:type="pct"/>
            <w:vAlign w:val="center"/>
          </w:tcPr>
          <w:p w14:paraId="7219F432">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 xml:space="preserve">7.01 </w:t>
            </w:r>
          </w:p>
        </w:tc>
        <w:tc>
          <w:tcPr>
            <w:tcW w:w="828" w:type="pct"/>
            <w:vAlign w:val="center"/>
          </w:tcPr>
          <w:p w14:paraId="3723A633">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108</w:t>
            </w:r>
          </w:p>
        </w:tc>
        <w:tc>
          <w:tcPr>
            <w:tcW w:w="769" w:type="pct"/>
            <w:vAlign w:val="center"/>
          </w:tcPr>
          <w:p w14:paraId="5E10BA81">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9.04</w:t>
            </w:r>
          </w:p>
        </w:tc>
        <w:tc>
          <w:tcPr>
            <w:tcW w:w="788" w:type="pct"/>
            <w:vAlign w:val="center"/>
          </w:tcPr>
          <w:p w14:paraId="68507CB7">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 xml:space="preserve">33.8 </w:t>
            </w:r>
          </w:p>
        </w:tc>
      </w:tr>
      <w:tr w14:paraId="5336F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exact"/>
        </w:trPr>
        <w:tc>
          <w:tcPr>
            <w:tcW w:w="756" w:type="pct"/>
            <w:vAlign w:val="center"/>
          </w:tcPr>
          <w:p w14:paraId="4269442A">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ZK202-LX-3</w:t>
            </w:r>
          </w:p>
        </w:tc>
        <w:tc>
          <w:tcPr>
            <w:tcW w:w="977" w:type="pct"/>
            <w:vAlign w:val="center"/>
          </w:tcPr>
          <w:p w14:paraId="782C5BB4">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石榴石黑云母片岩</w:t>
            </w:r>
          </w:p>
        </w:tc>
        <w:tc>
          <w:tcPr>
            <w:tcW w:w="880" w:type="pct"/>
            <w:vAlign w:val="center"/>
          </w:tcPr>
          <w:p w14:paraId="30342265">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 xml:space="preserve">6.80 </w:t>
            </w:r>
          </w:p>
        </w:tc>
        <w:tc>
          <w:tcPr>
            <w:tcW w:w="828" w:type="pct"/>
            <w:vAlign w:val="center"/>
          </w:tcPr>
          <w:p w14:paraId="5B6C9A45">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53.0</w:t>
            </w:r>
          </w:p>
        </w:tc>
        <w:tc>
          <w:tcPr>
            <w:tcW w:w="769" w:type="pct"/>
            <w:vAlign w:val="center"/>
          </w:tcPr>
          <w:p w14:paraId="76F88699">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9.80</w:t>
            </w:r>
          </w:p>
        </w:tc>
        <w:tc>
          <w:tcPr>
            <w:tcW w:w="788" w:type="pct"/>
            <w:vAlign w:val="center"/>
          </w:tcPr>
          <w:p w14:paraId="616D82EA">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30.4</w:t>
            </w:r>
          </w:p>
        </w:tc>
      </w:tr>
      <w:tr w14:paraId="7CFB72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exact"/>
        </w:trPr>
        <w:tc>
          <w:tcPr>
            <w:tcW w:w="756" w:type="pct"/>
            <w:vAlign w:val="center"/>
          </w:tcPr>
          <w:p w14:paraId="3EF93BFA">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ZK202-LX-4</w:t>
            </w:r>
          </w:p>
        </w:tc>
        <w:tc>
          <w:tcPr>
            <w:tcW w:w="977" w:type="pct"/>
            <w:vAlign w:val="center"/>
          </w:tcPr>
          <w:p w14:paraId="6D76EF89">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磁铁石英岩</w:t>
            </w:r>
          </w:p>
        </w:tc>
        <w:tc>
          <w:tcPr>
            <w:tcW w:w="880" w:type="pct"/>
            <w:vAlign w:val="center"/>
          </w:tcPr>
          <w:p w14:paraId="204F1999">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6.47</w:t>
            </w:r>
          </w:p>
        </w:tc>
        <w:tc>
          <w:tcPr>
            <w:tcW w:w="828" w:type="pct"/>
            <w:vAlign w:val="center"/>
          </w:tcPr>
          <w:p w14:paraId="7F32F3B9">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87.6</w:t>
            </w:r>
          </w:p>
        </w:tc>
        <w:tc>
          <w:tcPr>
            <w:tcW w:w="769" w:type="pct"/>
            <w:vAlign w:val="center"/>
          </w:tcPr>
          <w:p w14:paraId="0C77E060">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11.5</w:t>
            </w:r>
          </w:p>
        </w:tc>
        <w:tc>
          <w:tcPr>
            <w:tcW w:w="788" w:type="pct"/>
            <w:vAlign w:val="center"/>
          </w:tcPr>
          <w:p w14:paraId="733EC733">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28.3</w:t>
            </w:r>
          </w:p>
        </w:tc>
      </w:tr>
      <w:tr w14:paraId="4C6F8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exact"/>
        </w:trPr>
        <w:tc>
          <w:tcPr>
            <w:tcW w:w="756" w:type="pct"/>
            <w:vAlign w:val="center"/>
          </w:tcPr>
          <w:p w14:paraId="5844FB34">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ZK202-LX-5</w:t>
            </w:r>
          </w:p>
        </w:tc>
        <w:tc>
          <w:tcPr>
            <w:tcW w:w="977" w:type="pct"/>
            <w:vAlign w:val="center"/>
          </w:tcPr>
          <w:p w14:paraId="1E4BE6F8">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透闪片岩</w:t>
            </w:r>
          </w:p>
        </w:tc>
        <w:tc>
          <w:tcPr>
            <w:tcW w:w="880" w:type="pct"/>
            <w:vAlign w:val="center"/>
          </w:tcPr>
          <w:p w14:paraId="19C101E5">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4.01</w:t>
            </w:r>
          </w:p>
        </w:tc>
        <w:tc>
          <w:tcPr>
            <w:tcW w:w="828" w:type="pct"/>
            <w:vAlign w:val="center"/>
          </w:tcPr>
          <w:p w14:paraId="0E6964D9">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50.1</w:t>
            </w:r>
          </w:p>
        </w:tc>
        <w:tc>
          <w:tcPr>
            <w:tcW w:w="769" w:type="pct"/>
            <w:vAlign w:val="center"/>
          </w:tcPr>
          <w:p w14:paraId="71FA53C8">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8.63</w:t>
            </w:r>
          </w:p>
        </w:tc>
        <w:tc>
          <w:tcPr>
            <w:tcW w:w="788" w:type="pct"/>
            <w:vAlign w:val="center"/>
          </w:tcPr>
          <w:p w14:paraId="188AF440">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30.5</w:t>
            </w:r>
          </w:p>
        </w:tc>
      </w:tr>
      <w:tr w14:paraId="2D186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exact"/>
        </w:trPr>
        <w:tc>
          <w:tcPr>
            <w:tcW w:w="756" w:type="pct"/>
            <w:vAlign w:val="center"/>
          </w:tcPr>
          <w:p w14:paraId="19857108">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LX1</w:t>
            </w:r>
          </w:p>
        </w:tc>
        <w:tc>
          <w:tcPr>
            <w:tcW w:w="977" w:type="pct"/>
          </w:tcPr>
          <w:p w14:paraId="2BE269B5">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二云石英岩</w:t>
            </w:r>
          </w:p>
        </w:tc>
        <w:tc>
          <w:tcPr>
            <w:tcW w:w="880" w:type="pct"/>
            <w:vAlign w:val="center"/>
          </w:tcPr>
          <w:p w14:paraId="032BF65F">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3.61</w:t>
            </w:r>
          </w:p>
        </w:tc>
        <w:tc>
          <w:tcPr>
            <w:tcW w:w="828" w:type="pct"/>
            <w:vAlign w:val="center"/>
          </w:tcPr>
          <w:p w14:paraId="5E1BE900">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62.54</w:t>
            </w:r>
          </w:p>
        </w:tc>
        <w:tc>
          <w:tcPr>
            <w:tcW w:w="769" w:type="pct"/>
            <w:vAlign w:val="center"/>
          </w:tcPr>
          <w:p w14:paraId="5E6D45F3">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2.02</w:t>
            </w:r>
          </w:p>
        </w:tc>
        <w:tc>
          <w:tcPr>
            <w:tcW w:w="788" w:type="pct"/>
            <w:vAlign w:val="center"/>
          </w:tcPr>
          <w:p w14:paraId="0BDDBA26">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42.7</w:t>
            </w:r>
          </w:p>
        </w:tc>
      </w:tr>
      <w:tr w14:paraId="7B7B0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exact"/>
        </w:trPr>
        <w:tc>
          <w:tcPr>
            <w:tcW w:w="756" w:type="pct"/>
            <w:vAlign w:val="center"/>
          </w:tcPr>
          <w:p w14:paraId="3CFAFF0C">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LX2</w:t>
            </w:r>
          </w:p>
        </w:tc>
        <w:tc>
          <w:tcPr>
            <w:tcW w:w="977" w:type="pct"/>
          </w:tcPr>
          <w:p w14:paraId="667A774D">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石榴石黑云片岩</w:t>
            </w:r>
          </w:p>
        </w:tc>
        <w:tc>
          <w:tcPr>
            <w:tcW w:w="880" w:type="pct"/>
            <w:vAlign w:val="center"/>
          </w:tcPr>
          <w:p w14:paraId="45B202E7">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4.01</w:t>
            </w:r>
          </w:p>
        </w:tc>
        <w:tc>
          <w:tcPr>
            <w:tcW w:w="828" w:type="pct"/>
            <w:vAlign w:val="center"/>
          </w:tcPr>
          <w:p w14:paraId="4664EEF3">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73.21</w:t>
            </w:r>
          </w:p>
        </w:tc>
        <w:tc>
          <w:tcPr>
            <w:tcW w:w="769" w:type="pct"/>
            <w:vAlign w:val="center"/>
          </w:tcPr>
          <w:p w14:paraId="068D60A9">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2.39</w:t>
            </w:r>
          </w:p>
        </w:tc>
        <w:tc>
          <w:tcPr>
            <w:tcW w:w="788" w:type="pct"/>
            <w:vAlign w:val="center"/>
          </w:tcPr>
          <w:p w14:paraId="1598C6EA">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43.3</w:t>
            </w:r>
          </w:p>
        </w:tc>
      </w:tr>
      <w:tr w14:paraId="7A8184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exact"/>
        </w:trPr>
        <w:tc>
          <w:tcPr>
            <w:tcW w:w="756" w:type="pct"/>
            <w:vAlign w:val="center"/>
          </w:tcPr>
          <w:p w14:paraId="1F90E2F4">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LX3</w:t>
            </w:r>
          </w:p>
        </w:tc>
        <w:tc>
          <w:tcPr>
            <w:tcW w:w="977" w:type="pct"/>
          </w:tcPr>
          <w:p w14:paraId="22D406EE">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透闪片岩</w:t>
            </w:r>
          </w:p>
        </w:tc>
        <w:tc>
          <w:tcPr>
            <w:tcW w:w="880" w:type="pct"/>
            <w:vAlign w:val="center"/>
          </w:tcPr>
          <w:p w14:paraId="10865190">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2.78</w:t>
            </w:r>
          </w:p>
        </w:tc>
        <w:tc>
          <w:tcPr>
            <w:tcW w:w="828" w:type="pct"/>
            <w:vAlign w:val="center"/>
          </w:tcPr>
          <w:p w14:paraId="2BE6D1E1">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71.62</w:t>
            </w:r>
          </w:p>
        </w:tc>
        <w:tc>
          <w:tcPr>
            <w:tcW w:w="769" w:type="pct"/>
            <w:vAlign w:val="center"/>
          </w:tcPr>
          <w:p w14:paraId="7AD87C76">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2.06</w:t>
            </w:r>
          </w:p>
        </w:tc>
        <w:tc>
          <w:tcPr>
            <w:tcW w:w="788" w:type="pct"/>
            <w:vAlign w:val="center"/>
          </w:tcPr>
          <w:p w14:paraId="533B32BB">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42.8</w:t>
            </w:r>
          </w:p>
        </w:tc>
      </w:tr>
      <w:tr w14:paraId="5B2740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exact"/>
        </w:trPr>
        <w:tc>
          <w:tcPr>
            <w:tcW w:w="756" w:type="pct"/>
            <w:vMerge w:val="restart"/>
            <w:vAlign w:val="center"/>
          </w:tcPr>
          <w:p w14:paraId="5B792AF5">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平均值</w:t>
            </w:r>
          </w:p>
        </w:tc>
        <w:tc>
          <w:tcPr>
            <w:tcW w:w="977" w:type="pct"/>
          </w:tcPr>
          <w:p w14:paraId="09E05E72">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二云石英岩</w:t>
            </w:r>
          </w:p>
        </w:tc>
        <w:tc>
          <w:tcPr>
            <w:tcW w:w="880" w:type="pct"/>
            <w:vAlign w:val="center"/>
          </w:tcPr>
          <w:p w14:paraId="3A7FBFA7">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4.03</w:t>
            </w:r>
          </w:p>
        </w:tc>
        <w:tc>
          <w:tcPr>
            <w:tcW w:w="828" w:type="pct"/>
            <w:vAlign w:val="center"/>
          </w:tcPr>
          <w:p w14:paraId="695DD9E6">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70.95</w:t>
            </w:r>
          </w:p>
        </w:tc>
        <w:tc>
          <w:tcPr>
            <w:tcW w:w="769" w:type="pct"/>
            <w:vAlign w:val="center"/>
          </w:tcPr>
          <w:p w14:paraId="2CA1D7E5">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5.84</w:t>
            </w:r>
          </w:p>
        </w:tc>
        <w:tc>
          <w:tcPr>
            <w:tcW w:w="788" w:type="pct"/>
            <w:vAlign w:val="center"/>
          </w:tcPr>
          <w:p w14:paraId="0774FF9D">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32.7</w:t>
            </w:r>
          </w:p>
        </w:tc>
      </w:tr>
      <w:tr w14:paraId="4D425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exact"/>
        </w:trPr>
        <w:tc>
          <w:tcPr>
            <w:tcW w:w="756" w:type="pct"/>
            <w:vMerge w:val="continue"/>
            <w:vAlign w:val="center"/>
          </w:tcPr>
          <w:p w14:paraId="3C73D0A5">
            <w:pPr>
              <w:pStyle w:val="31"/>
              <w:bidi w:val="0"/>
              <w:rPr>
                <w:rFonts w:hint="default" w:ascii="Times New Roman" w:hAnsi="Times New Roman" w:cs="Times New Roman"/>
                <w:lang w:val="en-US" w:eastAsia="zh-CN"/>
              </w:rPr>
            </w:pPr>
          </w:p>
        </w:tc>
        <w:tc>
          <w:tcPr>
            <w:tcW w:w="977" w:type="pct"/>
          </w:tcPr>
          <w:p w14:paraId="63A27ACB">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石榴石黑云片岩</w:t>
            </w:r>
          </w:p>
        </w:tc>
        <w:tc>
          <w:tcPr>
            <w:tcW w:w="880" w:type="pct"/>
            <w:vAlign w:val="center"/>
          </w:tcPr>
          <w:p w14:paraId="6E55E4CA">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5.65</w:t>
            </w:r>
          </w:p>
        </w:tc>
        <w:tc>
          <w:tcPr>
            <w:tcW w:w="828" w:type="pct"/>
            <w:vAlign w:val="center"/>
          </w:tcPr>
          <w:p w14:paraId="040AA613">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62.67</w:t>
            </w:r>
          </w:p>
        </w:tc>
        <w:tc>
          <w:tcPr>
            <w:tcW w:w="769" w:type="pct"/>
            <w:vAlign w:val="center"/>
          </w:tcPr>
          <w:p w14:paraId="13B99B6C">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9.19</w:t>
            </w:r>
          </w:p>
        </w:tc>
        <w:tc>
          <w:tcPr>
            <w:tcW w:w="788" w:type="pct"/>
            <w:vAlign w:val="center"/>
          </w:tcPr>
          <w:p w14:paraId="1C79A9D4">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35.7</w:t>
            </w:r>
          </w:p>
        </w:tc>
      </w:tr>
      <w:tr w14:paraId="5F427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exact"/>
        </w:trPr>
        <w:tc>
          <w:tcPr>
            <w:tcW w:w="756" w:type="pct"/>
            <w:vMerge w:val="continue"/>
            <w:vAlign w:val="center"/>
          </w:tcPr>
          <w:p w14:paraId="17BAB2C9">
            <w:pPr>
              <w:pStyle w:val="31"/>
              <w:bidi w:val="0"/>
              <w:rPr>
                <w:rFonts w:hint="default" w:ascii="Times New Roman" w:hAnsi="Times New Roman" w:cs="Times New Roman"/>
                <w:lang w:val="en-US" w:eastAsia="zh-CN"/>
              </w:rPr>
            </w:pPr>
          </w:p>
        </w:tc>
        <w:tc>
          <w:tcPr>
            <w:tcW w:w="977" w:type="pct"/>
          </w:tcPr>
          <w:p w14:paraId="012881B6">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透闪片岩</w:t>
            </w:r>
          </w:p>
        </w:tc>
        <w:tc>
          <w:tcPr>
            <w:tcW w:w="880" w:type="pct"/>
            <w:vAlign w:val="center"/>
          </w:tcPr>
          <w:p w14:paraId="097BBB62">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3.89</w:t>
            </w:r>
          </w:p>
        </w:tc>
        <w:tc>
          <w:tcPr>
            <w:tcW w:w="828" w:type="pct"/>
            <w:vAlign w:val="center"/>
          </w:tcPr>
          <w:p w14:paraId="3E2A0479">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62.77</w:t>
            </w:r>
          </w:p>
        </w:tc>
        <w:tc>
          <w:tcPr>
            <w:tcW w:w="769" w:type="pct"/>
            <w:vAlign w:val="center"/>
          </w:tcPr>
          <w:p w14:paraId="6228A9DC">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7.69</w:t>
            </w:r>
          </w:p>
        </w:tc>
        <w:tc>
          <w:tcPr>
            <w:tcW w:w="788" w:type="pct"/>
            <w:vAlign w:val="center"/>
          </w:tcPr>
          <w:p w14:paraId="5DA7289C">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36.93</w:t>
            </w:r>
          </w:p>
        </w:tc>
      </w:tr>
      <w:tr w14:paraId="59260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exact"/>
        </w:trPr>
        <w:tc>
          <w:tcPr>
            <w:tcW w:w="756" w:type="pct"/>
            <w:vMerge w:val="continue"/>
            <w:vAlign w:val="center"/>
          </w:tcPr>
          <w:p w14:paraId="2205F06F">
            <w:pPr>
              <w:pStyle w:val="31"/>
              <w:bidi w:val="0"/>
              <w:rPr>
                <w:rFonts w:hint="default" w:ascii="Times New Roman" w:hAnsi="Times New Roman" w:cs="Times New Roman"/>
                <w:lang w:val="en-US" w:eastAsia="zh-CN"/>
              </w:rPr>
            </w:pPr>
          </w:p>
        </w:tc>
        <w:tc>
          <w:tcPr>
            <w:tcW w:w="977" w:type="pct"/>
          </w:tcPr>
          <w:p w14:paraId="2608FCC0">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磁铁石英岩</w:t>
            </w:r>
          </w:p>
        </w:tc>
        <w:tc>
          <w:tcPr>
            <w:tcW w:w="880" w:type="pct"/>
            <w:vAlign w:val="center"/>
          </w:tcPr>
          <w:p w14:paraId="6B283B2D">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7.60</w:t>
            </w:r>
          </w:p>
        </w:tc>
        <w:tc>
          <w:tcPr>
            <w:tcW w:w="828" w:type="pct"/>
            <w:vAlign w:val="center"/>
          </w:tcPr>
          <w:p w14:paraId="79E7F856">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100.2</w:t>
            </w:r>
          </w:p>
        </w:tc>
        <w:tc>
          <w:tcPr>
            <w:tcW w:w="769" w:type="pct"/>
            <w:vAlign w:val="center"/>
          </w:tcPr>
          <w:p w14:paraId="4D57515C">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14.58</w:t>
            </w:r>
          </w:p>
        </w:tc>
        <w:tc>
          <w:tcPr>
            <w:tcW w:w="788" w:type="pct"/>
            <w:vAlign w:val="center"/>
          </w:tcPr>
          <w:p w14:paraId="548CDC39">
            <w:pPr>
              <w:pStyle w:val="31"/>
              <w:bidi w:val="0"/>
              <w:rPr>
                <w:rFonts w:hint="default" w:ascii="Times New Roman" w:hAnsi="Times New Roman" w:cs="Times New Roman"/>
                <w:lang w:val="en-US" w:eastAsia="zh-CN"/>
              </w:rPr>
            </w:pPr>
            <w:r>
              <w:rPr>
                <w:rFonts w:hint="default" w:ascii="Times New Roman" w:hAnsi="Times New Roman" w:cs="Times New Roman"/>
                <w:lang w:val="en-US" w:eastAsia="zh-CN"/>
              </w:rPr>
              <w:t>28.97</w:t>
            </w:r>
          </w:p>
        </w:tc>
      </w:tr>
    </w:tbl>
    <w:p w14:paraId="09F3BAE2">
      <w:pPr>
        <w:pStyle w:val="21"/>
        <w:bidi w:val="0"/>
        <w:rPr>
          <w:rFonts w:hint="eastAsia"/>
          <w:lang w:val="en-US" w:eastAsia="zh-CN"/>
        </w:rPr>
      </w:pPr>
      <w:r>
        <w:rPr>
          <w:rFonts w:hint="eastAsia"/>
          <w:lang w:val="en-US" w:eastAsia="zh-CN"/>
        </w:rPr>
        <w:t>矿区内有一条北东向断层F2出露，走向210°，倾向SE，倾角70°～80°，为正断层，断层面被后期闪长岩脉充填。在构造带及岩、矿脉附近发育次生构造裂隙，对采坑CK1边坡稳定性有一定的影响。矿体围岩主要为二云石英岩、石榴石黑云母片岩和透闪片岩，岩石饱和单轴抗压强度50.1 ～84.5MPa，属较硬岩～坚硬岩。其结构类型为块状岩类块状结构。围岩岩体质量评价如下。</w:t>
      </w:r>
    </w:p>
    <w:p w14:paraId="33AFA026">
      <w:pPr>
        <w:pStyle w:val="21"/>
        <w:bidi w:val="0"/>
        <w:rPr>
          <w:rFonts w:hint="eastAsia"/>
          <w:lang w:val="en-US" w:eastAsia="zh-CN"/>
        </w:rPr>
      </w:pPr>
      <w:r>
        <w:rPr>
          <w:rFonts w:hint="eastAsia"/>
          <w:lang w:val="en-US" w:eastAsia="zh-CN"/>
        </w:rPr>
        <w:t>计算公式：</w:t>
      </w:r>
    </w:p>
    <w:p w14:paraId="727D313A">
      <w:pPr>
        <w:pStyle w:val="21"/>
        <w:bidi w:val="0"/>
        <w:rPr>
          <w:rFonts w:hint="eastAsia"/>
          <w:lang w:val="en-US" w:eastAsia="zh-CN"/>
        </w:rPr>
      </w:pPr>
      <w:r>
        <w:rPr>
          <w:rFonts w:hint="eastAsia"/>
          <w:lang w:val="en-US" w:eastAsia="zh-CN"/>
        </w:rPr>
        <w:t>岩体质量系数Z=I×μ×S</w:t>
      </w:r>
    </w:p>
    <w:p w14:paraId="36B74BDD">
      <w:pPr>
        <w:pStyle w:val="21"/>
        <w:bidi w:val="0"/>
        <w:rPr>
          <w:rFonts w:hint="eastAsia"/>
          <w:lang w:val="en-US" w:eastAsia="zh-CN"/>
        </w:rPr>
      </w:pPr>
      <w:r>
        <w:rPr>
          <w:rFonts w:hint="eastAsia"/>
          <w:lang w:val="en-US" w:eastAsia="zh-CN"/>
        </w:rPr>
        <w:t>S= fr/10</w:t>
      </w:r>
    </w:p>
    <w:p w14:paraId="0D2EDD8D">
      <w:pPr>
        <w:pStyle w:val="21"/>
        <w:bidi w:val="0"/>
        <w:rPr>
          <w:rFonts w:hint="eastAsia"/>
          <w:lang w:val="en-US" w:eastAsia="zh-CN"/>
        </w:rPr>
      </w:pPr>
      <w:r>
        <w:rPr>
          <w:rFonts w:hint="eastAsia"/>
          <w:lang w:val="en-US" w:eastAsia="zh-CN"/>
        </w:rPr>
        <w:t>岩体质量指标M= fr×RQD/30</w:t>
      </w:r>
    </w:p>
    <w:p w14:paraId="664D2198">
      <w:pPr>
        <w:pStyle w:val="21"/>
        <w:bidi w:val="0"/>
        <w:rPr>
          <w:rFonts w:hint="eastAsia"/>
          <w:lang w:val="en-US" w:eastAsia="zh-CN"/>
        </w:rPr>
      </w:pPr>
      <w:r>
        <w:rPr>
          <w:rFonts w:hint="eastAsia"/>
          <w:lang w:val="en-US" w:eastAsia="zh-CN"/>
        </w:rPr>
        <w:t>岩体质量系数及岩体质量指标计算结果见下表。</w:t>
      </w:r>
    </w:p>
    <w:p w14:paraId="2070DCCE">
      <w:pPr>
        <w:pStyle w:val="30"/>
        <w:bidi w:val="0"/>
        <w:rPr>
          <w:rFonts w:hint="eastAsia"/>
          <w:lang w:val="en-US" w:eastAsia="zh-CN"/>
        </w:rPr>
      </w:pPr>
      <w:r>
        <w:rPr>
          <w:rFonts w:hint="default"/>
        </w:rPr>
        <w:t>表</w:t>
      </w:r>
      <w:r>
        <w:rPr>
          <w:rFonts w:hint="eastAsia"/>
          <w:lang w:val="en-US" w:eastAsia="zh-CN"/>
        </w:rPr>
        <w:t>2.3-4  岩体质量系数及岩体质量指标计算结果表</w:t>
      </w:r>
    </w:p>
    <w:tbl>
      <w:tblPr>
        <w:tblStyle w:val="25"/>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34"/>
        <w:gridCol w:w="1664"/>
        <w:gridCol w:w="2126"/>
        <w:gridCol w:w="1664"/>
        <w:gridCol w:w="1509"/>
      </w:tblGrid>
      <w:tr w14:paraId="028E9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295" w:type="pct"/>
            <w:vAlign w:val="center"/>
          </w:tcPr>
          <w:p w14:paraId="7D154B48">
            <w:pPr>
              <w:pStyle w:val="31"/>
              <w:widowControl w:val="0"/>
              <w:bidi w:val="0"/>
              <w:rPr>
                <w:rFonts w:hint="eastAsia"/>
                <w:lang w:val="en-US" w:eastAsia="zh-CN"/>
              </w:rPr>
            </w:pPr>
            <w:r>
              <w:rPr>
                <w:rFonts w:hint="eastAsia"/>
                <w:lang w:val="en-US" w:eastAsia="zh-CN"/>
              </w:rPr>
              <w:t>岩石名称</w:t>
            </w:r>
          </w:p>
        </w:tc>
        <w:tc>
          <w:tcPr>
            <w:tcW w:w="885" w:type="pct"/>
            <w:vAlign w:val="center"/>
          </w:tcPr>
          <w:p w14:paraId="43B3F5DB">
            <w:pPr>
              <w:pStyle w:val="31"/>
              <w:widowControl w:val="0"/>
              <w:bidi w:val="0"/>
              <w:rPr>
                <w:rFonts w:hint="eastAsia"/>
                <w:lang w:val="en-US" w:eastAsia="zh-CN"/>
              </w:rPr>
            </w:pPr>
            <w:r>
              <w:rPr>
                <w:rFonts w:hint="eastAsia"/>
                <w:lang w:val="en-US" w:eastAsia="zh-CN"/>
              </w:rPr>
              <w:t>Z</w:t>
            </w:r>
          </w:p>
        </w:tc>
        <w:tc>
          <w:tcPr>
            <w:tcW w:w="1131" w:type="pct"/>
            <w:vAlign w:val="center"/>
          </w:tcPr>
          <w:p w14:paraId="002D37A3">
            <w:pPr>
              <w:pStyle w:val="31"/>
              <w:widowControl w:val="0"/>
              <w:bidi w:val="0"/>
              <w:rPr>
                <w:rFonts w:hint="eastAsia"/>
                <w:lang w:val="en-US" w:eastAsia="zh-CN"/>
              </w:rPr>
            </w:pPr>
            <w:r>
              <w:rPr>
                <w:rFonts w:hint="eastAsia"/>
                <w:lang w:val="en-US" w:eastAsia="zh-CN"/>
              </w:rPr>
              <w:t>岩体质量等级</w:t>
            </w:r>
          </w:p>
        </w:tc>
        <w:tc>
          <w:tcPr>
            <w:tcW w:w="885" w:type="pct"/>
            <w:vAlign w:val="center"/>
          </w:tcPr>
          <w:p w14:paraId="26D051C0">
            <w:pPr>
              <w:pStyle w:val="31"/>
              <w:widowControl w:val="0"/>
              <w:bidi w:val="0"/>
              <w:rPr>
                <w:rFonts w:hint="eastAsia"/>
                <w:lang w:val="en-US" w:eastAsia="zh-CN"/>
              </w:rPr>
            </w:pPr>
            <w:r>
              <w:rPr>
                <w:rFonts w:hint="eastAsia"/>
                <w:lang w:val="en-US" w:eastAsia="zh-CN"/>
              </w:rPr>
              <w:t>M</w:t>
            </w:r>
          </w:p>
        </w:tc>
        <w:tc>
          <w:tcPr>
            <w:tcW w:w="803" w:type="pct"/>
            <w:vAlign w:val="center"/>
          </w:tcPr>
          <w:p w14:paraId="5D513871">
            <w:pPr>
              <w:pStyle w:val="31"/>
              <w:widowControl w:val="0"/>
              <w:bidi w:val="0"/>
              <w:rPr>
                <w:rFonts w:hint="eastAsia"/>
                <w:lang w:val="en-US" w:eastAsia="zh-CN"/>
              </w:rPr>
            </w:pPr>
            <w:r>
              <w:rPr>
                <w:rFonts w:hint="eastAsia"/>
                <w:lang w:val="en-US" w:eastAsia="zh-CN"/>
              </w:rPr>
              <w:t>岩体质量</w:t>
            </w:r>
          </w:p>
        </w:tc>
      </w:tr>
      <w:tr w14:paraId="12DCF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295" w:type="pct"/>
            <w:vAlign w:val="center"/>
          </w:tcPr>
          <w:p w14:paraId="2C7103A0">
            <w:pPr>
              <w:pStyle w:val="31"/>
              <w:widowControl w:val="0"/>
              <w:bidi w:val="0"/>
              <w:rPr>
                <w:rFonts w:hint="eastAsia"/>
                <w:lang w:val="en-US" w:eastAsia="zh-CN"/>
              </w:rPr>
            </w:pPr>
            <w:r>
              <w:rPr>
                <w:rFonts w:hint="eastAsia"/>
                <w:lang w:val="en-US" w:eastAsia="zh-CN"/>
              </w:rPr>
              <w:t>二云石英岩</w:t>
            </w:r>
          </w:p>
        </w:tc>
        <w:tc>
          <w:tcPr>
            <w:tcW w:w="885" w:type="pct"/>
            <w:vAlign w:val="center"/>
          </w:tcPr>
          <w:p w14:paraId="62006846">
            <w:pPr>
              <w:pStyle w:val="31"/>
              <w:widowControl w:val="0"/>
              <w:bidi w:val="0"/>
              <w:rPr>
                <w:rFonts w:hint="eastAsia"/>
                <w:lang w:val="en-US" w:eastAsia="zh-CN"/>
              </w:rPr>
            </w:pPr>
            <w:r>
              <w:rPr>
                <w:rFonts w:hint="eastAsia"/>
                <w:lang w:val="en-US" w:eastAsia="zh-CN"/>
              </w:rPr>
              <w:t>1.06-3.68</w:t>
            </w:r>
          </w:p>
        </w:tc>
        <w:tc>
          <w:tcPr>
            <w:tcW w:w="1131" w:type="pct"/>
            <w:vAlign w:val="center"/>
          </w:tcPr>
          <w:p w14:paraId="57544DAE">
            <w:pPr>
              <w:pStyle w:val="31"/>
              <w:widowControl w:val="0"/>
              <w:bidi w:val="0"/>
              <w:rPr>
                <w:rFonts w:hint="eastAsia"/>
                <w:lang w:val="en-US" w:eastAsia="zh-CN"/>
              </w:rPr>
            </w:pPr>
            <w:r>
              <w:rPr>
                <w:rFonts w:hint="eastAsia"/>
                <w:lang w:val="en-US" w:eastAsia="zh-CN"/>
              </w:rPr>
              <w:t>一般～好</w:t>
            </w:r>
          </w:p>
        </w:tc>
        <w:tc>
          <w:tcPr>
            <w:tcW w:w="885" w:type="pct"/>
            <w:vAlign w:val="center"/>
          </w:tcPr>
          <w:p w14:paraId="7ED023D8">
            <w:pPr>
              <w:pStyle w:val="31"/>
              <w:widowControl w:val="0"/>
              <w:bidi w:val="0"/>
              <w:rPr>
                <w:rFonts w:hint="eastAsia"/>
                <w:lang w:val="en-US" w:eastAsia="zh-CN"/>
              </w:rPr>
            </w:pPr>
            <w:r>
              <w:rPr>
                <w:rFonts w:hint="eastAsia"/>
                <w:lang w:val="en-US" w:eastAsia="zh-CN"/>
              </w:rPr>
              <w:t>0.55-1.91</w:t>
            </w:r>
          </w:p>
        </w:tc>
        <w:tc>
          <w:tcPr>
            <w:tcW w:w="803" w:type="pct"/>
            <w:vAlign w:val="center"/>
          </w:tcPr>
          <w:p w14:paraId="53C46F2B">
            <w:pPr>
              <w:pStyle w:val="31"/>
              <w:widowControl w:val="0"/>
              <w:bidi w:val="0"/>
              <w:rPr>
                <w:rFonts w:hint="eastAsia"/>
                <w:lang w:val="en-US" w:eastAsia="zh-CN"/>
              </w:rPr>
            </w:pPr>
            <w:r>
              <w:rPr>
                <w:rFonts w:hint="eastAsia"/>
                <w:lang w:val="en-US" w:eastAsia="zh-CN"/>
              </w:rPr>
              <w:t>中等～良</w:t>
            </w:r>
          </w:p>
        </w:tc>
      </w:tr>
      <w:tr w14:paraId="521CB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295" w:type="pct"/>
            <w:vAlign w:val="center"/>
          </w:tcPr>
          <w:p w14:paraId="36CE518B">
            <w:pPr>
              <w:pStyle w:val="31"/>
              <w:widowControl w:val="0"/>
              <w:bidi w:val="0"/>
              <w:rPr>
                <w:rFonts w:hint="eastAsia"/>
                <w:lang w:val="en-US" w:eastAsia="zh-CN"/>
              </w:rPr>
            </w:pPr>
            <w:r>
              <w:rPr>
                <w:rFonts w:hint="eastAsia"/>
                <w:lang w:val="en-US" w:eastAsia="zh-CN"/>
              </w:rPr>
              <w:t>石榴石云母片岩</w:t>
            </w:r>
          </w:p>
        </w:tc>
        <w:tc>
          <w:tcPr>
            <w:tcW w:w="885" w:type="pct"/>
            <w:vAlign w:val="center"/>
          </w:tcPr>
          <w:p w14:paraId="15400A1B">
            <w:pPr>
              <w:pStyle w:val="31"/>
              <w:widowControl w:val="0"/>
              <w:bidi w:val="0"/>
              <w:rPr>
                <w:rFonts w:hint="eastAsia"/>
                <w:lang w:val="en-US" w:eastAsia="zh-CN"/>
              </w:rPr>
            </w:pPr>
            <w:r>
              <w:rPr>
                <w:rFonts w:hint="eastAsia"/>
                <w:lang w:val="en-US" w:eastAsia="zh-CN"/>
              </w:rPr>
              <w:t>1.98-3.01</w:t>
            </w:r>
          </w:p>
        </w:tc>
        <w:tc>
          <w:tcPr>
            <w:tcW w:w="1131" w:type="pct"/>
            <w:vAlign w:val="center"/>
          </w:tcPr>
          <w:p w14:paraId="214F935C">
            <w:pPr>
              <w:pStyle w:val="31"/>
              <w:widowControl w:val="0"/>
              <w:bidi w:val="0"/>
              <w:rPr>
                <w:rFonts w:hint="eastAsia"/>
                <w:lang w:val="en-US" w:eastAsia="zh-CN"/>
              </w:rPr>
            </w:pPr>
            <w:r>
              <w:rPr>
                <w:rFonts w:hint="eastAsia"/>
                <w:lang w:val="en-US" w:eastAsia="zh-CN"/>
              </w:rPr>
              <w:t>一般～好</w:t>
            </w:r>
          </w:p>
        </w:tc>
        <w:tc>
          <w:tcPr>
            <w:tcW w:w="885" w:type="pct"/>
            <w:vAlign w:val="center"/>
          </w:tcPr>
          <w:p w14:paraId="10CF199C">
            <w:pPr>
              <w:pStyle w:val="31"/>
              <w:widowControl w:val="0"/>
              <w:bidi w:val="0"/>
              <w:rPr>
                <w:rFonts w:hint="eastAsia"/>
                <w:lang w:val="en-US" w:eastAsia="zh-CN"/>
              </w:rPr>
            </w:pPr>
            <w:r>
              <w:rPr>
                <w:rFonts w:hint="eastAsia"/>
                <w:lang w:val="en-US" w:eastAsia="zh-CN"/>
              </w:rPr>
              <w:t>0.92-1.40</w:t>
            </w:r>
          </w:p>
        </w:tc>
        <w:tc>
          <w:tcPr>
            <w:tcW w:w="803" w:type="pct"/>
            <w:vAlign w:val="center"/>
          </w:tcPr>
          <w:p w14:paraId="5A6DC195">
            <w:pPr>
              <w:pStyle w:val="31"/>
              <w:widowControl w:val="0"/>
              <w:bidi w:val="0"/>
              <w:rPr>
                <w:rFonts w:hint="eastAsia"/>
                <w:lang w:val="en-US" w:eastAsia="zh-CN"/>
              </w:rPr>
            </w:pPr>
            <w:r>
              <w:rPr>
                <w:rFonts w:hint="eastAsia"/>
                <w:lang w:val="en-US" w:eastAsia="zh-CN"/>
              </w:rPr>
              <w:t>中等～良</w:t>
            </w:r>
          </w:p>
        </w:tc>
      </w:tr>
      <w:tr w14:paraId="75E38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295" w:type="pct"/>
            <w:vAlign w:val="center"/>
          </w:tcPr>
          <w:p w14:paraId="37E669EA">
            <w:pPr>
              <w:pStyle w:val="31"/>
              <w:widowControl w:val="0"/>
              <w:bidi w:val="0"/>
              <w:rPr>
                <w:rFonts w:hint="eastAsia"/>
                <w:lang w:val="en-US" w:eastAsia="zh-CN"/>
              </w:rPr>
            </w:pPr>
            <w:r>
              <w:rPr>
                <w:rFonts w:hint="eastAsia"/>
                <w:lang w:val="en-US" w:eastAsia="zh-CN"/>
              </w:rPr>
              <w:t>透闪片岩</w:t>
            </w:r>
          </w:p>
        </w:tc>
        <w:tc>
          <w:tcPr>
            <w:tcW w:w="885" w:type="pct"/>
            <w:vAlign w:val="center"/>
          </w:tcPr>
          <w:p w14:paraId="08B477A5">
            <w:pPr>
              <w:pStyle w:val="31"/>
              <w:widowControl w:val="0"/>
              <w:bidi w:val="0"/>
              <w:rPr>
                <w:rFonts w:hint="eastAsia"/>
                <w:lang w:val="en-US" w:eastAsia="zh-CN"/>
              </w:rPr>
            </w:pPr>
            <w:r>
              <w:rPr>
                <w:rFonts w:hint="eastAsia"/>
                <w:lang w:val="en-US" w:eastAsia="zh-CN"/>
              </w:rPr>
              <w:t>2.68-3.34</w:t>
            </w:r>
          </w:p>
        </w:tc>
        <w:tc>
          <w:tcPr>
            <w:tcW w:w="1131" w:type="pct"/>
            <w:vAlign w:val="center"/>
          </w:tcPr>
          <w:p w14:paraId="16B43B3B">
            <w:pPr>
              <w:pStyle w:val="31"/>
              <w:widowControl w:val="0"/>
              <w:bidi w:val="0"/>
              <w:rPr>
                <w:rFonts w:hint="eastAsia"/>
                <w:lang w:val="en-US" w:eastAsia="zh-CN"/>
              </w:rPr>
            </w:pPr>
            <w:r>
              <w:rPr>
                <w:rFonts w:hint="eastAsia"/>
                <w:lang w:val="en-US" w:eastAsia="zh-CN"/>
              </w:rPr>
              <w:t>好</w:t>
            </w:r>
          </w:p>
        </w:tc>
        <w:tc>
          <w:tcPr>
            <w:tcW w:w="885" w:type="pct"/>
            <w:vAlign w:val="center"/>
          </w:tcPr>
          <w:p w14:paraId="2A30A83D">
            <w:pPr>
              <w:pStyle w:val="31"/>
              <w:widowControl w:val="0"/>
              <w:bidi w:val="0"/>
              <w:rPr>
                <w:rFonts w:hint="eastAsia"/>
                <w:lang w:val="en-US" w:eastAsia="zh-CN"/>
              </w:rPr>
            </w:pPr>
            <w:r>
              <w:rPr>
                <w:rFonts w:hint="eastAsia"/>
                <w:lang w:val="en-US" w:eastAsia="zh-CN"/>
              </w:rPr>
              <w:t>1.19-1.48</w:t>
            </w:r>
          </w:p>
        </w:tc>
        <w:tc>
          <w:tcPr>
            <w:tcW w:w="803" w:type="pct"/>
            <w:vAlign w:val="center"/>
          </w:tcPr>
          <w:p w14:paraId="0AB038F2">
            <w:pPr>
              <w:pStyle w:val="31"/>
              <w:widowControl w:val="0"/>
              <w:bidi w:val="0"/>
              <w:rPr>
                <w:rFonts w:hint="eastAsia"/>
                <w:lang w:val="en-US" w:eastAsia="zh-CN"/>
              </w:rPr>
            </w:pPr>
            <w:r>
              <w:rPr>
                <w:rFonts w:hint="eastAsia"/>
                <w:lang w:val="en-US" w:eastAsia="zh-CN"/>
              </w:rPr>
              <w:t>良</w:t>
            </w:r>
          </w:p>
        </w:tc>
      </w:tr>
      <w:tr w14:paraId="4235D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295" w:type="pct"/>
            <w:vAlign w:val="center"/>
          </w:tcPr>
          <w:p w14:paraId="1F36357A">
            <w:pPr>
              <w:pStyle w:val="31"/>
              <w:widowControl w:val="0"/>
              <w:bidi w:val="0"/>
              <w:rPr>
                <w:rFonts w:hint="eastAsia"/>
                <w:lang w:val="en-US" w:eastAsia="zh-CN"/>
              </w:rPr>
            </w:pPr>
            <w:r>
              <w:rPr>
                <w:rFonts w:hint="eastAsia"/>
                <w:lang w:val="en-US" w:eastAsia="zh-CN"/>
              </w:rPr>
              <w:t>磁铁石英岩</w:t>
            </w:r>
          </w:p>
        </w:tc>
        <w:tc>
          <w:tcPr>
            <w:tcW w:w="885" w:type="pct"/>
            <w:vAlign w:val="center"/>
          </w:tcPr>
          <w:p w14:paraId="6A622FD7">
            <w:pPr>
              <w:pStyle w:val="31"/>
              <w:widowControl w:val="0"/>
              <w:bidi w:val="0"/>
              <w:rPr>
                <w:rFonts w:hint="eastAsia"/>
                <w:lang w:val="en-US" w:eastAsia="zh-CN"/>
              </w:rPr>
            </w:pPr>
            <w:r>
              <w:rPr>
                <w:rFonts w:hint="eastAsia"/>
                <w:lang w:val="en-US" w:eastAsia="zh-CN"/>
              </w:rPr>
              <w:t>3.98-4.64</w:t>
            </w:r>
          </w:p>
        </w:tc>
        <w:tc>
          <w:tcPr>
            <w:tcW w:w="1131" w:type="pct"/>
            <w:vAlign w:val="center"/>
          </w:tcPr>
          <w:p w14:paraId="2025016B">
            <w:pPr>
              <w:pStyle w:val="31"/>
              <w:widowControl w:val="0"/>
              <w:bidi w:val="0"/>
              <w:rPr>
                <w:rFonts w:hint="eastAsia"/>
                <w:lang w:val="en-US" w:eastAsia="zh-CN"/>
              </w:rPr>
            </w:pPr>
            <w:r>
              <w:rPr>
                <w:rFonts w:hint="eastAsia"/>
                <w:lang w:val="en-US" w:eastAsia="zh-CN"/>
              </w:rPr>
              <w:t>好～特好</w:t>
            </w:r>
          </w:p>
        </w:tc>
        <w:tc>
          <w:tcPr>
            <w:tcW w:w="885" w:type="pct"/>
            <w:vAlign w:val="center"/>
          </w:tcPr>
          <w:p w14:paraId="22A7988D">
            <w:pPr>
              <w:pStyle w:val="31"/>
              <w:widowControl w:val="0"/>
              <w:bidi w:val="0"/>
              <w:rPr>
                <w:rFonts w:hint="eastAsia"/>
                <w:lang w:val="en-US" w:eastAsia="zh-CN"/>
              </w:rPr>
            </w:pPr>
            <w:r>
              <w:rPr>
                <w:rFonts w:hint="eastAsia"/>
                <w:lang w:val="en-US" w:eastAsia="zh-CN"/>
              </w:rPr>
              <w:t>2.40-2.80</w:t>
            </w:r>
          </w:p>
        </w:tc>
        <w:tc>
          <w:tcPr>
            <w:tcW w:w="803" w:type="pct"/>
            <w:vAlign w:val="center"/>
          </w:tcPr>
          <w:p w14:paraId="4B985EE9">
            <w:pPr>
              <w:pStyle w:val="31"/>
              <w:widowControl w:val="0"/>
              <w:bidi w:val="0"/>
              <w:rPr>
                <w:rFonts w:hint="eastAsia"/>
                <w:lang w:val="en-US" w:eastAsia="zh-CN"/>
              </w:rPr>
            </w:pPr>
            <w:r>
              <w:rPr>
                <w:rFonts w:hint="eastAsia"/>
                <w:lang w:val="en-US" w:eastAsia="zh-CN"/>
              </w:rPr>
              <w:t>良</w:t>
            </w:r>
          </w:p>
        </w:tc>
      </w:tr>
    </w:tbl>
    <w:p w14:paraId="0EBB2D84">
      <w:pPr>
        <w:pStyle w:val="21"/>
        <w:bidi w:val="0"/>
        <w:rPr>
          <w:rFonts w:hint="default"/>
          <w:lang w:val="en-US" w:eastAsia="zh-CN"/>
        </w:rPr>
      </w:pPr>
    </w:p>
    <w:p w14:paraId="4B075680">
      <w:pPr>
        <w:pStyle w:val="21"/>
        <w:numPr>
          <w:ilvl w:val="0"/>
          <w:numId w:val="9"/>
        </w:numPr>
        <w:bidi w:val="0"/>
        <w:rPr>
          <w:rFonts w:hint="default"/>
          <w:lang w:val="en-US" w:eastAsia="zh-CN"/>
        </w:rPr>
      </w:pPr>
      <w:r>
        <w:rPr>
          <w:rFonts w:hint="default"/>
          <w:lang w:val="en-US" w:eastAsia="zh-CN"/>
        </w:rPr>
        <w:t>工程地质评价</w:t>
      </w:r>
    </w:p>
    <w:p w14:paraId="4DED9868">
      <w:pPr>
        <w:pStyle w:val="21"/>
        <w:bidi w:val="0"/>
        <w:rPr>
          <w:rFonts w:hint="default"/>
          <w:lang w:val="en-US" w:eastAsia="zh-CN"/>
        </w:rPr>
      </w:pPr>
      <w:r>
        <w:rPr>
          <w:rFonts w:hint="default"/>
          <w:lang w:val="en-US" w:eastAsia="zh-CN"/>
        </w:rPr>
        <w:t>矿区内出露的构造对含矿层及围岩均有破坏作用。因此，矿山巷道掘进和后期开采均应采取相应的支护措施，对构造破碎带和矿体夹层等相对软弱位置提前做好安全措施。至调查时，矿山前期井下开采未发生过片帮、冒顶等工程地质问题，为施工安全起见，仅在局部破碎带附近进行了喷锚加固及钢筋仝支护等措施。露天开采的边坡大部分为岩石边坡和土、岩组合边坡，坡脚见少量崩、滑塌堆积物，规模较小。矿区工程地质条件中等。</w:t>
      </w:r>
    </w:p>
    <w:p w14:paraId="3C0F7A07">
      <w:pPr>
        <w:pStyle w:val="21"/>
        <w:numPr>
          <w:ilvl w:val="0"/>
          <w:numId w:val="9"/>
        </w:numPr>
        <w:bidi w:val="0"/>
        <w:rPr>
          <w:rFonts w:hint="default"/>
          <w:lang w:val="en-US" w:eastAsia="zh-CN"/>
        </w:rPr>
      </w:pPr>
      <w:r>
        <w:rPr>
          <w:rFonts w:hint="default"/>
          <w:lang w:val="en-US" w:eastAsia="zh-CN"/>
        </w:rPr>
        <w:t>工程地质勘查类型</w:t>
      </w:r>
    </w:p>
    <w:p w14:paraId="5FA07EA5">
      <w:pPr>
        <w:pStyle w:val="21"/>
        <w:bidi w:val="0"/>
        <w:rPr>
          <w:rFonts w:hint="default"/>
          <w:lang w:val="en-US" w:eastAsia="zh-CN"/>
        </w:rPr>
      </w:pPr>
      <w:r>
        <w:rPr>
          <w:rFonts w:hint="eastAsia"/>
          <w:lang w:val="en-US" w:eastAsia="zh-CN"/>
        </w:rPr>
        <w:t>矿区内出露的工程地质岩组主要为第四系松散堆积物软弱岩组及块状岩类变质岩组。第四系松散堆积物软弱岩组层厚约3.0-15m；块状岩类变质岩组属较硬岩～坚硬岩，未见明显软弱夹层。岩体表层风化裂隙发育，风化带和井下局部地段较破碎，岩体稳定性较差。矿区工程地质勘探类型属于块状岩类、工程地质条件中等型，即第三类第二型。</w:t>
      </w:r>
    </w:p>
    <w:p w14:paraId="7C1D4DBD">
      <w:pPr>
        <w:pStyle w:val="29"/>
        <w:bidi w:val="0"/>
        <w:rPr>
          <w:rFonts w:hint="default"/>
          <w:lang w:val="en-US" w:eastAsia="zh-CN"/>
        </w:rPr>
      </w:pPr>
      <w:r>
        <w:rPr>
          <w:rFonts w:hint="default"/>
          <w:lang w:val="en-US" w:eastAsia="zh-CN"/>
        </w:rPr>
        <w:t>矿床地质特征</w:t>
      </w:r>
    </w:p>
    <w:p w14:paraId="0F4072F0">
      <w:pPr>
        <w:pStyle w:val="21"/>
        <w:numPr>
          <w:ilvl w:val="0"/>
          <w:numId w:val="10"/>
        </w:numPr>
        <w:bidi w:val="0"/>
        <w:rPr>
          <w:rFonts w:hint="default"/>
          <w:lang w:val="en-US" w:eastAsia="zh-CN"/>
        </w:rPr>
      </w:pPr>
      <w:r>
        <w:rPr>
          <w:rFonts w:hint="default"/>
          <w:lang w:val="en-US" w:eastAsia="zh-CN"/>
        </w:rPr>
        <w:t>矿体特征</w:t>
      </w:r>
    </w:p>
    <w:p w14:paraId="6F1365E9">
      <w:pPr>
        <w:pStyle w:val="21"/>
        <w:bidi w:val="0"/>
        <w:rPr>
          <w:rFonts w:hint="default"/>
        </w:rPr>
      </w:pPr>
      <w:r>
        <w:t>矿区内共圈定5条铁矿体（Fe1、Fe2-1、Fe2-2、Fe3-1、Fe3-2矿体），铁矿床成因类型为“鞍山式”沉积变质型铁矿床，磁铁矿体均赋存于鞍山岩群大峪沟组二段地层中。矿体多呈层状、透镜状产出。矿体均为隐伏矿体，矿体厚度、走向变化不一致，无明显对应关系。</w:t>
      </w:r>
    </w:p>
    <w:p w14:paraId="34089EC1">
      <w:pPr>
        <w:pStyle w:val="21"/>
        <w:bidi w:val="0"/>
        <w:rPr>
          <w:rFonts w:hint="default"/>
        </w:rPr>
      </w:pPr>
      <w:r>
        <w:t>Fe1矿体分布在南矿段中部，呈层状产出，赋存于大峪沟组磁铁石英岩中，矿体延长400m，延深185～324m，平均厚度约19.09m，变化系数为42.12%，属于厚度变化稳定型矿体。矿体走向290°～343°，倾向20°～73°，倾角59°～70°，TFe平均品位31.21%，mFe平均品位24.87%，TFe变化系数10.36%，mFe变化系数16.07%。矿体由4条勘探线上的ZK301、ZK302、ZK303、ZK104、ZK103、ZK101、ZK102、ZK001、ZK002、ZK003、ZK203、ZK201、ZK202共14个钻孔控制，矿体赋存标高11.75～-332.66m ，埋深49.08～372.45m。</w:t>
      </w:r>
    </w:p>
    <w:p w14:paraId="318C9655">
      <w:pPr>
        <w:pStyle w:val="21"/>
        <w:bidi w:val="0"/>
        <w:rPr>
          <w:rFonts w:hint="default"/>
        </w:rPr>
      </w:pPr>
      <w:r>
        <w:t>Fe2-1矿体分布在南矿段中部，呈层状产出，赋存于大峪沟组磁铁石英岩中，矿体延长400m，延深185～305m，平均厚度约11.58m，变化系数为56.04%，属于厚度变化较稳定型矿体。矿体走向290°～346°，倾向20°～76°，倾角59°～72°，TFe平均品位31.77%，mFe平均品位23.84%，TFe变化系数10.81%，mFe变化系数18.02%。矿体由4条勘探线上的ZK301、ZK302、ZK303、ZK104、ZK103、ZK101、ZK102、ZK001、ZK002、ZK003、ZK203、ZK201共13个钻孔控制，矿体赋存标高-16.78～-385.77m ，埋深90.81～446.28m。</w:t>
      </w:r>
    </w:p>
    <w:p w14:paraId="237865EF">
      <w:pPr>
        <w:pStyle w:val="21"/>
        <w:bidi w:val="0"/>
        <w:rPr>
          <w:rFonts w:hint="default"/>
        </w:rPr>
      </w:pPr>
      <w:r>
        <w:t>Fe2-2矿体分布在南矿段中部，呈层状产出，赋存于大峪沟组磁铁石英岩中，矿体延长400m，延深100～266m，平均厚度约7.02m，变化系数为52.22%，属于厚度变化较稳定型矿体。矿体走向286°～302°，倾向16°～32°，倾角60°～69°，TFe平均品位32.73%，mFe平均品位19.94%，为矿体及低品位矿体混合，TFe变化系数9.14%，mFe变化系数18.64%。矿体由4条勘探线上的ZK103、ZK101、ZK102、ZK001、ZK002、ZK003、ZK203、ZK201、ZK202、ZK401共10个钻孔控制，矿体赋存标高-70.03～-394.67m ，埋深132.78～461.54m。</w:t>
      </w:r>
    </w:p>
    <w:p w14:paraId="7151F163">
      <w:pPr>
        <w:pStyle w:val="21"/>
        <w:bidi w:val="0"/>
        <w:rPr>
          <w:rFonts w:hint="default"/>
        </w:rPr>
      </w:pPr>
      <w:r>
        <w:t>Fe3-1矿体分布在南矿段中部，呈层状产出，赋存于大峪沟组磁铁石英岩中，矿体延长150m，延深232m，平均厚度约4.38m，变化系数为24.71%，属于厚度变化稳定型矿体。矿体走向290°～320°，倾向20°～50°，倾角56°～69°，TFe平均品位33.75%，mFe平均品位28.13%，TFe变化系数16.11%，mFe变化系数34.02%。矿体由2条勘探线上的ZK103、ZK101、ZK102、ZK001、ZK002、ZK003共6个钻孔控制，矿体赋存标高-124.20～-488.18m，埋深199.56～545.47m。</w:t>
      </w:r>
    </w:p>
    <w:p w14:paraId="1F9DF69B">
      <w:pPr>
        <w:pStyle w:val="21"/>
        <w:bidi w:val="0"/>
        <w:rPr>
          <w:rFonts w:hint="default"/>
        </w:rPr>
      </w:pPr>
      <w:r>
        <w:t>Fe3-2矿体分布在南矿段中南部，呈层状产出，赋存于大峪沟组磁铁石英岩中，矿体延长100m，延深100m，平均厚度约3.29m，为单工程见矿。矿体走向296°，倾向26°，倾角65°，TFe平均品位30.07%，mFe平均品位17.02%，为低品位矿体，TFe变化系数2.28%， mFe变化系数0.47%。矿体由ZK401单工程控制，矿体赋存标高-189.94～-287.64m ，埋深244.36～352.75m。</w:t>
      </w:r>
    </w:p>
    <w:p w14:paraId="517F20A2">
      <w:pPr>
        <w:pStyle w:val="21"/>
        <w:bidi w:val="0"/>
        <w:rPr>
          <w:rFonts w:hint="eastAsia"/>
          <w:lang w:eastAsia="zh-CN"/>
        </w:rPr>
      </w:pPr>
      <w:r>
        <w:rPr>
          <w:rFonts w:hint="eastAsia"/>
          <w:lang w:eastAsia="zh-CN"/>
        </w:rPr>
        <w:t>详见矿体特征一览表。</w:t>
      </w:r>
    </w:p>
    <w:p w14:paraId="7C3E4864">
      <w:pPr>
        <w:pStyle w:val="30"/>
        <w:bidi w:val="0"/>
        <w:rPr>
          <w:rFonts w:hint="default"/>
          <w:lang w:val="en-US" w:eastAsia="zh-CN"/>
        </w:rPr>
      </w:pPr>
      <w:r>
        <w:rPr>
          <w:rFonts w:hint="default"/>
        </w:rPr>
        <w:t>表</w:t>
      </w:r>
      <w:r>
        <w:rPr>
          <w:rFonts w:hint="eastAsia"/>
          <w:lang w:val="en-US" w:eastAsia="zh-CN"/>
        </w:rPr>
        <w:t xml:space="preserve">2.3-5  </w:t>
      </w:r>
      <w:r>
        <w:rPr>
          <w:rFonts w:hint="eastAsia"/>
          <w:lang w:eastAsia="zh-CN"/>
        </w:rPr>
        <w:t>矿体特征一览表</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600"/>
        <w:gridCol w:w="725"/>
        <w:gridCol w:w="383"/>
        <w:gridCol w:w="383"/>
        <w:gridCol w:w="2520"/>
        <w:gridCol w:w="672"/>
        <w:gridCol w:w="879"/>
        <w:gridCol w:w="873"/>
        <w:gridCol w:w="1127"/>
        <w:gridCol w:w="1033"/>
      </w:tblGrid>
      <w:tr w14:paraId="00210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93" w:hRule="atLeast"/>
          <w:jc w:val="center"/>
        </w:trPr>
        <w:tc>
          <w:tcPr>
            <w:tcW w:w="0" w:type="auto"/>
            <w:vMerge w:val="restart"/>
            <w:vAlign w:val="center"/>
          </w:tcPr>
          <w:p w14:paraId="7CD0EFA2">
            <w:pPr>
              <w:pStyle w:val="31"/>
              <w:bidi w:val="0"/>
            </w:pPr>
            <w:r>
              <w:rPr>
                <w:rFonts w:hint="eastAsia"/>
              </w:rPr>
              <w:t>矿体号</w:t>
            </w:r>
          </w:p>
        </w:tc>
        <w:tc>
          <w:tcPr>
            <w:tcW w:w="0" w:type="auto"/>
            <w:vMerge w:val="restart"/>
            <w:vAlign w:val="center"/>
          </w:tcPr>
          <w:p w14:paraId="559E91DC">
            <w:pPr>
              <w:pStyle w:val="31"/>
              <w:bidi w:val="0"/>
            </w:pPr>
            <w:r>
              <w:rPr>
                <w:rFonts w:hint="eastAsia"/>
              </w:rPr>
              <w:t>位置</w:t>
            </w:r>
          </w:p>
        </w:tc>
        <w:tc>
          <w:tcPr>
            <w:tcW w:w="0" w:type="auto"/>
            <w:vMerge w:val="restart"/>
            <w:vAlign w:val="center"/>
          </w:tcPr>
          <w:p w14:paraId="58C2A701">
            <w:pPr>
              <w:pStyle w:val="31"/>
              <w:bidi w:val="0"/>
            </w:pPr>
            <w:r>
              <w:rPr>
                <w:rFonts w:hint="eastAsia"/>
              </w:rPr>
              <w:t>产出状态</w:t>
            </w:r>
          </w:p>
        </w:tc>
        <w:tc>
          <w:tcPr>
            <w:tcW w:w="0" w:type="auto"/>
            <w:vMerge w:val="restart"/>
            <w:vAlign w:val="center"/>
          </w:tcPr>
          <w:p w14:paraId="7797D204">
            <w:pPr>
              <w:pStyle w:val="31"/>
              <w:bidi w:val="0"/>
            </w:pPr>
            <w:r>
              <w:rPr>
                <w:rFonts w:hint="eastAsia"/>
              </w:rPr>
              <w:t>出露情况</w:t>
            </w:r>
          </w:p>
        </w:tc>
        <w:tc>
          <w:tcPr>
            <w:tcW w:w="0" w:type="auto"/>
            <w:vMerge w:val="restart"/>
            <w:vAlign w:val="center"/>
          </w:tcPr>
          <w:p w14:paraId="05D1FEB7">
            <w:pPr>
              <w:pStyle w:val="31"/>
              <w:bidi w:val="0"/>
            </w:pPr>
            <w:r>
              <w:rPr>
                <w:rFonts w:hint="eastAsia"/>
              </w:rPr>
              <w:t>规模及产状</w:t>
            </w:r>
          </w:p>
        </w:tc>
        <w:tc>
          <w:tcPr>
            <w:tcW w:w="0" w:type="auto"/>
            <w:vMerge w:val="restart"/>
            <w:vAlign w:val="center"/>
          </w:tcPr>
          <w:p w14:paraId="6D8A8CB9">
            <w:pPr>
              <w:pStyle w:val="31"/>
              <w:bidi w:val="0"/>
            </w:pPr>
            <w:r>
              <w:rPr>
                <w:rFonts w:hint="eastAsia"/>
              </w:rPr>
              <w:t>平均真厚度</w:t>
            </w:r>
          </w:p>
        </w:tc>
        <w:tc>
          <w:tcPr>
            <w:tcW w:w="0" w:type="auto"/>
            <w:vMerge w:val="restart"/>
          </w:tcPr>
          <w:p w14:paraId="02B81542">
            <w:pPr>
              <w:pStyle w:val="31"/>
              <w:bidi w:val="0"/>
            </w:pPr>
            <w:r>
              <w:rPr>
                <w:rFonts w:hint="eastAsia"/>
              </w:rPr>
              <w:t>厚度</w:t>
            </w:r>
            <w:r>
              <w:t>变化系数</w:t>
            </w:r>
          </w:p>
        </w:tc>
        <w:tc>
          <w:tcPr>
            <w:tcW w:w="0" w:type="auto"/>
            <w:vMerge w:val="restart"/>
            <w:vAlign w:val="center"/>
          </w:tcPr>
          <w:p w14:paraId="0F5819AB">
            <w:pPr>
              <w:pStyle w:val="31"/>
              <w:bidi w:val="0"/>
            </w:pPr>
            <w:r>
              <w:rPr>
                <w:rFonts w:hint="eastAsia"/>
              </w:rPr>
              <w:t>品位</w:t>
            </w:r>
          </w:p>
        </w:tc>
        <w:tc>
          <w:tcPr>
            <w:tcW w:w="0" w:type="auto"/>
            <w:vAlign w:val="center"/>
          </w:tcPr>
          <w:p w14:paraId="7B493E07">
            <w:pPr>
              <w:pStyle w:val="31"/>
              <w:bidi w:val="0"/>
            </w:pPr>
            <w:r>
              <w:rPr>
                <w:rFonts w:hint="eastAsia"/>
              </w:rPr>
              <w:t>赋存标高</w:t>
            </w:r>
          </w:p>
        </w:tc>
        <w:tc>
          <w:tcPr>
            <w:tcW w:w="0" w:type="auto"/>
            <w:vAlign w:val="center"/>
          </w:tcPr>
          <w:p w14:paraId="112B9FE9">
            <w:pPr>
              <w:pStyle w:val="31"/>
              <w:bidi w:val="0"/>
            </w:pPr>
            <w:r>
              <w:rPr>
                <w:rFonts w:hint="eastAsia"/>
              </w:rPr>
              <w:t>矿体埋深</w:t>
            </w:r>
          </w:p>
        </w:tc>
      </w:tr>
      <w:tr w14:paraId="384FC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8" w:hRule="atLeast"/>
          <w:jc w:val="center"/>
        </w:trPr>
        <w:tc>
          <w:tcPr>
            <w:tcW w:w="0" w:type="auto"/>
            <w:vMerge w:val="continue"/>
            <w:vAlign w:val="center"/>
          </w:tcPr>
          <w:p w14:paraId="559697B7">
            <w:pPr>
              <w:pStyle w:val="31"/>
              <w:bidi w:val="0"/>
            </w:pPr>
          </w:p>
        </w:tc>
        <w:tc>
          <w:tcPr>
            <w:tcW w:w="0" w:type="auto"/>
            <w:vMerge w:val="continue"/>
            <w:vAlign w:val="center"/>
          </w:tcPr>
          <w:p w14:paraId="7BD10B92">
            <w:pPr>
              <w:pStyle w:val="31"/>
              <w:bidi w:val="0"/>
            </w:pPr>
          </w:p>
        </w:tc>
        <w:tc>
          <w:tcPr>
            <w:tcW w:w="0" w:type="auto"/>
            <w:vMerge w:val="continue"/>
            <w:vAlign w:val="center"/>
          </w:tcPr>
          <w:p w14:paraId="13CE964E">
            <w:pPr>
              <w:pStyle w:val="31"/>
              <w:bidi w:val="0"/>
            </w:pPr>
          </w:p>
        </w:tc>
        <w:tc>
          <w:tcPr>
            <w:tcW w:w="0" w:type="auto"/>
            <w:vMerge w:val="continue"/>
            <w:vAlign w:val="center"/>
          </w:tcPr>
          <w:p w14:paraId="36B55B57">
            <w:pPr>
              <w:pStyle w:val="31"/>
              <w:bidi w:val="0"/>
            </w:pPr>
          </w:p>
        </w:tc>
        <w:tc>
          <w:tcPr>
            <w:tcW w:w="0" w:type="auto"/>
            <w:vMerge w:val="continue"/>
            <w:vAlign w:val="center"/>
          </w:tcPr>
          <w:p w14:paraId="745A4E69">
            <w:pPr>
              <w:pStyle w:val="31"/>
              <w:bidi w:val="0"/>
            </w:pPr>
          </w:p>
        </w:tc>
        <w:tc>
          <w:tcPr>
            <w:tcW w:w="0" w:type="auto"/>
            <w:vMerge w:val="continue"/>
            <w:vAlign w:val="center"/>
          </w:tcPr>
          <w:p w14:paraId="5D7AF657">
            <w:pPr>
              <w:pStyle w:val="31"/>
              <w:bidi w:val="0"/>
            </w:pPr>
          </w:p>
        </w:tc>
        <w:tc>
          <w:tcPr>
            <w:tcW w:w="0" w:type="auto"/>
            <w:vMerge w:val="continue"/>
          </w:tcPr>
          <w:p w14:paraId="22F818A3">
            <w:pPr>
              <w:pStyle w:val="31"/>
              <w:bidi w:val="0"/>
            </w:pPr>
          </w:p>
        </w:tc>
        <w:tc>
          <w:tcPr>
            <w:tcW w:w="0" w:type="auto"/>
            <w:vMerge w:val="continue"/>
            <w:vAlign w:val="center"/>
          </w:tcPr>
          <w:p w14:paraId="4C51E8EA">
            <w:pPr>
              <w:pStyle w:val="31"/>
              <w:bidi w:val="0"/>
            </w:pPr>
          </w:p>
        </w:tc>
        <w:tc>
          <w:tcPr>
            <w:tcW w:w="0" w:type="auto"/>
            <w:vAlign w:val="center"/>
          </w:tcPr>
          <w:p w14:paraId="665EFE39">
            <w:pPr>
              <w:pStyle w:val="31"/>
              <w:bidi w:val="0"/>
            </w:pPr>
            <w:r>
              <w:rPr>
                <w:rFonts w:hint="eastAsia"/>
              </w:rPr>
              <w:t>（</w:t>
            </w:r>
            <w:r>
              <w:t>m</w:t>
            </w:r>
            <w:r>
              <w:rPr>
                <w:rFonts w:hint="eastAsia"/>
              </w:rPr>
              <w:t>）</w:t>
            </w:r>
          </w:p>
        </w:tc>
        <w:tc>
          <w:tcPr>
            <w:tcW w:w="0" w:type="auto"/>
            <w:vAlign w:val="center"/>
          </w:tcPr>
          <w:p w14:paraId="25744BE9">
            <w:pPr>
              <w:pStyle w:val="31"/>
              <w:bidi w:val="0"/>
            </w:pPr>
            <w:r>
              <w:rPr>
                <w:rFonts w:hint="eastAsia"/>
              </w:rPr>
              <w:t>（</w:t>
            </w:r>
            <w:r>
              <w:t>m</w:t>
            </w:r>
            <w:r>
              <w:rPr>
                <w:rFonts w:hint="eastAsia"/>
              </w:rPr>
              <w:t>）</w:t>
            </w:r>
          </w:p>
        </w:tc>
      </w:tr>
      <w:tr w14:paraId="05E0C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46" w:hRule="atLeast"/>
          <w:jc w:val="center"/>
        </w:trPr>
        <w:tc>
          <w:tcPr>
            <w:tcW w:w="0" w:type="auto"/>
            <w:vMerge w:val="restart"/>
            <w:vAlign w:val="center"/>
          </w:tcPr>
          <w:p w14:paraId="419C035D">
            <w:pPr>
              <w:pStyle w:val="31"/>
              <w:bidi w:val="0"/>
            </w:pPr>
            <w:r>
              <w:t>Fe1</w:t>
            </w:r>
          </w:p>
        </w:tc>
        <w:tc>
          <w:tcPr>
            <w:tcW w:w="0" w:type="auto"/>
            <w:vMerge w:val="restart"/>
            <w:vAlign w:val="center"/>
          </w:tcPr>
          <w:p w14:paraId="6795576A">
            <w:pPr>
              <w:pStyle w:val="31"/>
              <w:bidi w:val="0"/>
            </w:pPr>
            <w:r>
              <w:rPr>
                <w:rFonts w:hint="eastAsia"/>
              </w:rPr>
              <w:t>南矿段3、1、0、2线</w:t>
            </w:r>
          </w:p>
        </w:tc>
        <w:tc>
          <w:tcPr>
            <w:tcW w:w="0" w:type="auto"/>
            <w:vMerge w:val="restart"/>
            <w:vAlign w:val="center"/>
          </w:tcPr>
          <w:p w14:paraId="2B1F5F3F">
            <w:pPr>
              <w:pStyle w:val="31"/>
              <w:bidi w:val="0"/>
            </w:pPr>
            <w:r>
              <w:rPr>
                <w:rFonts w:hint="eastAsia"/>
              </w:rPr>
              <w:t>层状</w:t>
            </w:r>
          </w:p>
        </w:tc>
        <w:tc>
          <w:tcPr>
            <w:tcW w:w="0" w:type="auto"/>
            <w:vMerge w:val="restart"/>
            <w:vAlign w:val="center"/>
          </w:tcPr>
          <w:p w14:paraId="25A6F365">
            <w:pPr>
              <w:pStyle w:val="31"/>
              <w:bidi w:val="0"/>
            </w:pPr>
            <w:r>
              <w:rPr>
                <w:rFonts w:hint="eastAsia"/>
              </w:rPr>
              <w:t>隐伏矿体</w:t>
            </w:r>
          </w:p>
        </w:tc>
        <w:tc>
          <w:tcPr>
            <w:tcW w:w="0" w:type="auto"/>
            <w:vMerge w:val="restart"/>
            <w:vAlign w:val="center"/>
          </w:tcPr>
          <w:p w14:paraId="7BDC41EA">
            <w:pPr>
              <w:pStyle w:val="31"/>
              <w:bidi w:val="0"/>
              <w:rPr>
                <w:lang w:eastAsia="zh-CN"/>
              </w:rPr>
            </w:pPr>
            <w:r>
              <w:rPr>
                <w:rFonts w:hint="eastAsia"/>
                <w:lang w:eastAsia="zh-CN"/>
              </w:rPr>
              <w:t>长</w:t>
            </w:r>
            <w:r>
              <w:rPr>
                <w:lang w:eastAsia="zh-CN"/>
              </w:rPr>
              <w:t>400m</w:t>
            </w:r>
            <w:r>
              <w:rPr>
                <w:rFonts w:hint="eastAsia"/>
                <w:lang w:eastAsia="zh-CN"/>
              </w:rPr>
              <w:t>，延深</w:t>
            </w:r>
            <w:r>
              <w:rPr>
                <w:lang w:eastAsia="zh-CN"/>
              </w:rPr>
              <w:t>185</w:t>
            </w:r>
            <w:r>
              <w:rPr>
                <w:rFonts w:hint="eastAsia"/>
                <w:lang w:eastAsia="zh-CN"/>
              </w:rPr>
              <w:t>～</w:t>
            </w:r>
            <w:r>
              <w:rPr>
                <w:lang w:eastAsia="zh-CN"/>
              </w:rPr>
              <w:t>324m</w:t>
            </w:r>
            <w:r>
              <w:rPr>
                <w:rFonts w:hint="eastAsia"/>
                <w:lang w:eastAsia="zh-CN"/>
              </w:rPr>
              <w:t>。总体走向为</w:t>
            </w:r>
            <w:r>
              <w:rPr>
                <w:lang w:eastAsia="zh-CN"/>
              </w:rPr>
              <w:t>296°</w:t>
            </w:r>
            <w:r>
              <w:rPr>
                <w:rFonts w:hint="eastAsia"/>
                <w:lang w:eastAsia="zh-CN"/>
              </w:rPr>
              <w:t>，倾向北东，倾角</w:t>
            </w:r>
            <w:r>
              <w:rPr>
                <w:lang w:eastAsia="zh-CN"/>
              </w:rPr>
              <w:t>59</w:t>
            </w:r>
            <w:r>
              <w:rPr>
                <w:rFonts w:hint="eastAsia"/>
                <w:lang w:eastAsia="zh-CN"/>
              </w:rPr>
              <w:t>°~</w:t>
            </w:r>
            <w:r>
              <w:rPr>
                <w:lang w:eastAsia="zh-CN"/>
              </w:rPr>
              <w:t>70</w:t>
            </w:r>
            <w:r>
              <w:rPr>
                <w:rFonts w:hint="eastAsia"/>
                <w:lang w:eastAsia="zh-CN"/>
              </w:rPr>
              <w:t>°</w:t>
            </w:r>
          </w:p>
        </w:tc>
        <w:tc>
          <w:tcPr>
            <w:tcW w:w="0" w:type="auto"/>
            <w:vMerge w:val="restart"/>
            <w:vAlign w:val="center"/>
          </w:tcPr>
          <w:p w14:paraId="000F47DA">
            <w:pPr>
              <w:pStyle w:val="31"/>
              <w:bidi w:val="0"/>
            </w:pPr>
            <w:r>
              <w:t>19.09</w:t>
            </w:r>
          </w:p>
        </w:tc>
        <w:tc>
          <w:tcPr>
            <w:tcW w:w="0" w:type="auto"/>
            <w:vMerge w:val="restart"/>
            <w:vAlign w:val="center"/>
          </w:tcPr>
          <w:p w14:paraId="03C0638C">
            <w:pPr>
              <w:pStyle w:val="31"/>
              <w:bidi w:val="0"/>
            </w:pPr>
            <w:r>
              <w:t>42.12%</w:t>
            </w:r>
          </w:p>
        </w:tc>
        <w:tc>
          <w:tcPr>
            <w:tcW w:w="0" w:type="auto"/>
            <w:vAlign w:val="center"/>
          </w:tcPr>
          <w:p w14:paraId="0974600C">
            <w:pPr>
              <w:pStyle w:val="31"/>
              <w:bidi w:val="0"/>
            </w:pPr>
            <w:r>
              <w:t>TFe</w:t>
            </w:r>
            <w:r>
              <w:rPr>
                <w:rFonts w:hint="eastAsia"/>
              </w:rPr>
              <w:t>：</w:t>
            </w:r>
            <w:r>
              <w:t>31.21%</w:t>
            </w:r>
          </w:p>
        </w:tc>
        <w:tc>
          <w:tcPr>
            <w:tcW w:w="0" w:type="auto"/>
            <w:vMerge w:val="restart"/>
            <w:vAlign w:val="center"/>
          </w:tcPr>
          <w:p w14:paraId="6586D0C4">
            <w:pPr>
              <w:pStyle w:val="31"/>
              <w:bidi w:val="0"/>
            </w:pPr>
            <w:r>
              <w:t>11.75</w:t>
            </w:r>
            <w:r>
              <w:rPr>
                <w:rFonts w:hint="eastAsia"/>
              </w:rPr>
              <w:t>～</w:t>
            </w:r>
            <w:r>
              <w:t>-332.66</w:t>
            </w:r>
          </w:p>
        </w:tc>
        <w:tc>
          <w:tcPr>
            <w:tcW w:w="0" w:type="auto"/>
            <w:vMerge w:val="restart"/>
            <w:vAlign w:val="center"/>
          </w:tcPr>
          <w:p w14:paraId="7BE702CC">
            <w:pPr>
              <w:pStyle w:val="31"/>
              <w:bidi w:val="0"/>
            </w:pPr>
            <w:r>
              <w:t>49.08</w:t>
            </w:r>
            <w:r>
              <w:rPr>
                <w:rFonts w:hint="eastAsia"/>
              </w:rPr>
              <w:t>～</w:t>
            </w:r>
            <w:r>
              <w:t>372.45</w:t>
            </w:r>
          </w:p>
        </w:tc>
      </w:tr>
      <w:tr w14:paraId="6FC84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85" w:hRule="atLeast"/>
          <w:jc w:val="center"/>
        </w:trPr>
        <w:tc>
          <w:tcPr>
            <w:tcW w:w="0" w:type="auto"/>
            <w:vMerge w:val="continue"/>
            <w:vAlign w:val="center"/>
          </w:tcPr>
          <w:p w14:paraId="780B1145">
            <w:pPr>
              <w:pStyle w:val="31"/>
              <w:bidi w:val="0"/>
            </w:pPr>
          </w:p>
        </w:tc>
        <w:tc>
          <w:tcPr>
            <w:tcW w:w="0" w:type="auto"/>
            <w:vMerge w:val="continue"/>
            <w:vAlign w:val="center"/>
          </w:tcPr>
          <w:p w14:paraId="7CE7B584">
            <w:pPr>
              <w:pStyle w:val="31"/>
              <w:bidi w:val="0"/>
            </w:pPr>
          </w:p>
        </w:tc>
        <w:tc>
          <w:tcPr>
            <w:tcW w:w="0" w:type="auto"/>
            <w:vMerge w:val="continue"/>
            <w:vAlign w:val="center"/>
          </w:tcPr>
          <w:p w14:paraId="0D8FB33C">
            <w:pPr>
              <w:pStyle w:val="31"/>
              <w:bidi w:val="0"/>
            </w:pPr>
          </w:p>
        </w:tc>
        <w:tc>
          <w:tcPr>
            <w:tcW w:w="0" w:type="auto"/>
            <w:vMerge w:val="continue"/>
            <w:vAlign w:val="center"/>
          </w:tcPr>
          <w:p w14:paraId="075CA1F0">
            <w:pPr>
              <w:pStyle w:val="31"/>
              <w:bidi w:val="0"/>
            </w:pPr>
          </w:p>
        </w:tc>
        <w:tc>
          <w:tcPr>
            <w:tcW w:w="0" w:type="auto"/>
            <w:vMerge w:val="continue"/>
            <w:vAlign w:val="center"/>
          </w:tcPr>
          <w:p w14:paraId="3A0FE745">
            <w:pPr>
              <w:pStyle w:val="31"/>
              <w:bidi w:val="0"/>
            </w:pPr>
          </w:p>
        </w:tc>
        <w:tc>
          <w:tcPr>
            <w:tcW w:w="0" w:type="auto"/>
            <w:vMerge w:val="continue"/>
            <w:vAlign w:val="center"/>
          </w:tcPr>
          <w:p w14:paraId="14AE2B3B">
            <w:pPr>
              <w:pStyle w:val="31"/>
              <w:bidi w:val="0"/>
            </w:pPr>
          </w:p>
        </w:tc>
        <w:tc>
          <w:tcPr>
            <w:tcW w:w="0" w:type="auto"/>
            <w:vMerge w:val="continue"/>
            <w:vAlign w:val="center"/>
          </w:tcPr>
          <w:p w14:paraId="06E886CF">
            <w:pPr>
              <w:pStyle w:val="31"/>
              <w:bidi w:val="0"/>
            </w:pPr>
          </w:p>
        </w:tc>
        <w:tc>
          <w:tcPr>
            <w:tcW w:w="0" w:type="auto"/>
            <w:vAlign w:val="center"/>
          </w:tcPr>
          <w:p w14:paraId="3014829B">
            <w:pPr>
              <w:pStyle w:val="31"/>
              <w:bidi w:val="0"/>
            </w:pPr>
            <w:r>
              <w:t>mFe</w:t>
            </w:r>
            <w:r>
              <w:rPr>
                <w:rFonts w:hint="eastAsia"/>
              </w:rPr>
              <w:t>：</w:t>
            </w:r>
            <w:r>
              <w:t>24.87%</w:t>
            </w:r>
          </w:p>
        </w:tc>
        <w:tc>
          <w:tcPr>
            <w:tcW w:w="0" w:type="auto"/>
            <w:vMerge w:val="continue"/>
            <w:vAlign w:val="center"/>
          </w:tcPr>
          <w:p w14:paraId="66211ED9">
            <w:pPr>
              <w:pStyle w:val="31"/>
              <w:bidi w:val="0"/>
            </w:pPr>
          </w:p>
        </w:tc>
        <w:tc>
          <w:tcPr>
            <w:tcW w:w="0" w:type="auto"/>
            <w:vMerge w:val="continue"/>
            <w:vAlign w:val="center"/>
          </w:tcPr>
          <w:p w14:paraId="03EBA539">
            <w:pPr>
              <w:pStyle w:val="31"/>
              <w:bidi w:val="0"/>
            </w:pPr>
          </w:p>
        </w:tc>
      </w:tr>
      <w:tr w14:paraId="69480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46" w:hRule="atLeast"/>
          <w:jc w:val="center"/>
        </w:trPr>
        <w:tc>
          <w:tcPr>
            <w:tcW w:w="0" w:type="auto"/>
            <w:vMerge w:val="restart"/>
            <w:vAlign w:val="center"/>
          </w:tcPr>
          <w:p w14:paraId="6877B591">
            <w:pPr>
              <w:pStyle w:val="31"/>
              <w:bidi w:val="0"/>
            </w:pPr>
            <w:r>
              <w:t>Fe2-1</w:t>
            </w:r>
          </w:p>
        </w:tc>
        <w:tc>
          <w:tcPr>
            <w:tcW w:w="0" w:type="auto"/>
            <w:vMerge w:val="restart"/>
            <w:vAlign w:val="center"/>
          </w:tcPr>
          <w:p w14:paraId="5B724FB7">
            <w:pPr>
              <w:pStyle w:val="31"/>
              <w:bidi w:val="0"/>
            </w:pPr>
            <w:r>
              <w:rPr>
                <w:rFonts w:hint="eastAsia"/>
              </w:rPr>
              <w:t>南矿段3、1、0、2线</w:t>
            </w:r>
          </w:p>
        </w:tc>
        <w:tc>
          <w:tcPr>
            <w:tcW w:w="0" w:type="auto"/>
            <w:vMerge w:val="restart"/>
            <w:vAlign w:val="center"/>
          </w:tcPr>
          <w:p w14:paraId="6D8AEA57">
            <w:pPr>
              <w:pStyle w:val="31"/>
              <w:bidi w:val="0"/>
            </w:pPr>
            <w:r>
              <w:rPr>
                <w:rFonts w:hint="eastAsia"/>
              </w:rPr>
              <w:t>层状</w:t>
            </w:r>
          </w:p>
        </w:tc>
        <w:tc>
          <w:tcPr>
            <w:tcW w:w="0" w:type="auto"/>
            <w:vMerge w:val="restart"/>
            <w:vAlign w:val="center"/>
          </w:tcPr>
          <w:p w14:paraId="236E349B">
            <w:pPr>
              <w:pStyle w:val="31"/>
              <w:bidi w:val="0"/>
            </w:pPr>
            <w:r>
              <w:rPr>
                <w:rFonts w:hint="eastAsia"/>
              </w:rPr>
              <w:t>隐伏矿体</w:t>
            </w:r>
          </w:p>
        </w:tc>
        <w:tc>
          <w:tcPr>
            <w:tcW w:w="0" w:type="auto"/>
            <w:vMerge w:val="restart"/>
            <w:vAlign w:val="center"/>
          </w:tcPr>
          <w:p w14:paraId="1E57A77E">
            <w:pPr>
              <w:pStyle w:val="31"/>
              <w:bidi w:val="0"/>
              <w:rPr>
                <w:lang w:eastAsia="zh-CN"/>
              </w:rPr>
            </w:pPr>
            <w:r>
              <w:rPr>
                <w:rFonts w:hint="eastAsia"/>
                <w:lang w:eastAsia="zh-CN"/>
              </w:rPr>
              <w:t>长</w:t>
            </w:r>
            <w:r>
              <w:rPr>
                <w:lang w:eastAsia="zh-CN"/>
              </w:rPr>
              <w:t>400m</w:t>
            </w:r>
            <w:r>
              <w:rPr>
                <w:rFonts w:hint="eastAsia"/>
                <w:lang w:eastAsia="zh-CN"/>
              </w:rPr>
              <w:t>，延深</w:t>
            </w:r>
            <w:r>
              <w:rPr>
                <w:lang w:eastAsia="zh-CN"/>
              </w:rPr>
              <w:t>185</w:t>
            </w:r>
            <w:r>
              <w:rPr>
                <w:rFonts w:hint="eastAsia"/>
                <w:lang w:eastAsia="zh-CN"/>
              </w:rPr>
              <w:t>～</w:t>
            </w:r>
            <w:r>
              <w:rPr>
                <w:lang w:eastAsia="zh-CN"/>
              </w:rPr>
              <w:t>305m</w:t>
            </w:r>
            <w:r>
              <w:rPr>
                <w:rFonts w:hint="eastAsia"/>
                <w:lang w:eastAsia="zh-CN"/>
              </w:rPr>
              <w:t>。总体走向为</w:t>
            </w:r>
            <w:r>
              <w:rPr>
                <w:lang w:eastAsia="zh-CN"/>
              </w:rPr>
              <w:t>296°</w:t>
            </w:r>
            <w:r>
              <w:rPr>
                <w:rFonts w:hint="eastAsia"/>
                <w:lang w:eastAsia="zh-CN"/>
              </w:rPr>
              <w:t>，倾向北东，倾角59°~72°</w:t>
            </w:r>
          </w:p>
        </w:tc>
        <w:tc>
          <w:tcPr>
            <w:tcW w:w="0" w:type="auto"/>
            <w:vMerge w:val="restart"/>
            <w:vAlign w:val="center"/>
          </w:tcPr>
          <w:p w14:paraId="64285FB6">
            <w:pPr>
              <w:pStyle w:val="31"/>
              <w:bidi w:val="0"/>
            </w:pPr>
            <w:r>
              <w:t>11.58</w:t>
            </w:r>
          </w:p>
        </w:tc>
        <w:tc>
          <w:tcPr>
            <w:tcW w:w="0" w:type="auto"/>
            <w:vMerge w:val="restart"/>
            <w:vAlign w:val="center"/>
          </w:tcPr>
          <w:p w14:paraId="207E0392">
            <w:pPr>
              <w:pStyle w:val="31"/>
              <w:bidi w:val="0"/>
            </w:pPr>
            <w:r>
              <w:t>56.04%</w:t>
            </w:r>
          </w:p>
        </w:tc>
        <w:tc>
          <w:tcPr>
            <w:tcW w:w="0" w:type="auto"/>
            <w:vAlign w:val="center"/>
          </w:tcPr>
          <w:p w14:paraId="4BFAC71A">
            <w:pPr>
              <w:pStyle w:val="31"/>
              <w:bidi w:val="0"/>
            </w:pPr>
            <w:r>
              <w:t>TFe</w:t>
            </w:r>
            <w:r>
              <w:rPr>
                <w:rFonts w:hint="eastAsia"/>
              </w:rPr>
              <w:t>：</w:t>
            </w:r>
            <w:r>
              <w:t>31.77%</w:t>
            </w:r>
          </w:p>
        </w:tc>
        <w:tc>
          <w:tcPr>
            <w:tcW w:w="0" w:type="auto"/>
            <w:vMerge w:val="restart"/>
            <w:vAlign w:val="center"/>
          </w:tcPr>
          <w:p w14:paraId="1CF1343A">
            <w:pPr>
              <w:pStyle w:val="31"/>
              <w:bidi w:val="0"/>
            </w:pPr>
            <w:r>
              <w:t>-16.78</w:t>
            </w:r>
            <w:r>
              <w:rPr>
                <w:rFonts w:hint="eastAsia"/>
              </w:rPr>
              <w:t>～</w:t>
            </w:r>
            <w:r>
              <w:t>-385.77</w:t>
            </w:r>
          </w:p>
        </w:tc>
        <w:tc>
          <w:tcPr>
            <w:tcW w:w="0" w:type="auto"/>
            <w:vMerge w:val="restart"/>
            <w:vAlign w:val="center"/>
          </w:tcPr>
          <w:p w14:paraId="47FE84B4">
            <w:pPr>
              <w:pStyle w:val="31"/>
              <w:bidi w:val="0"/>
            </w:pPr>
            <w:r>
              <w:t>90.81</w:t>
            </w:r>
            <w:r>
              <w:rPr>
                <w:rFonts w:hint="eastAsia"/>
              </w:rPr>
              <w:t>～</w:t>
            </w:r>
            <w:r>
              <w:t>446.28</w:t>
            </w:r>
          </w:p>
        </w:tc>
      </w:tr>
      <w:tr w14:paraId="528B18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3" w:hRule="atLeast"/>
          <w:jc w:val="center"/>
        </w:trPr>
        <w:tc>
          <w:tcPr>
            <w:tcW w:w="0" w:type="auto"/>
            <w:vMerge w:val="continue"/>
            <w:vAlign w:val="center"/>
          </w:tcPr>
          <w:p w14:paraId="1C3C2F70">
            <w:pPr>
              <w:pStyle w:val="31"/>
              <w:bidi w:val="0"/>
            </w:pPr>
          </w:p>
        </w:tc>
        <w:tc>
          <w:tcPr>
            <w:tcW w:w="0" w:type="auto"/>
            <w:vMerge w:val="continue"/>
            <w:vAlign w:val="center"/>
          </w:tcPr>
          <w:p w14:paraId="446CB9A8">
            <w:pPr>
              <w:pStyle w:val="31"/>
              <w:bidi w:val="0"/>
            </w:pPr>
          </w:p>
        </w:tc>
        <w:tc>
          <w:tcPr>
            <w:tcW w:w="0" w:type="auto"/>
            <w:vMerge w:val="continue"/>
            <w:vAlign w:val="center"/>
          </w:tcPr>
          <w:p w14:paraId="41376753">
            <w:pPr>
              <w:pStyle w:val="31"/>
              <w:bidi w:val="0"/>
            </w:pPr>
          </w:p>
        </w:tc>
        <w:tc>
          <w:tcPr>
            <w:tcW w:w="0" w:type="auto"/>
            <w:vMerge w:val="continue"/>
            <w:vAlign w:val="center"/>
          </w:tcPr>
          <w:p w14:paraId="3453E22A">
            <w:pPr>
              <w:pStyle w:val="31"/>
              <w:bidi w:val="0"/>
            </w:pPr>
          </w:p>
        </w:tc>
        <w:tc>
          <w:tcPr>
            <w:tcW w:w="0" w:type="auto"/>
            <w:vMerge w:val="continue"/>
            <w:vAlign w:val="center"/>
          </w:tcPr>
          <w:p w14:paraId="6CF9417C">
            <w:pPr>
              <w:pStyle w:val="31"/>
              <w:bidi w:val="0"/>
            </w:pPr>
          </w:p>
        </w:tc>
        <w:tc>
          <w:tcPr>
            <w:tcW w:w="0" w:type="auto"/>
            <w:vMerge w:val="continue"/>
            <w:vAlign w:val="center"/>
          </w:tcPr>
          <w:p w14:paraId="4108224E">
            <w:pPr>
              <w:pStyle w:val="31"/>
              <w:bidi w:val="0"/>
            </w:pPr>
          </w:p>
        </w:tc>
        <w:tc>
          <w:tcPr>
            <w:tcW w:w="0" w:type="auto"/>
            <w:vMerge w:val="continue"/>
            <w:vAlign w:val="center"/>
          </w:tcPr>
          <w:p w14:paraId="44A986F5">
            <w:pPr>
              <w:pStyle w:val="31"/>
              <w:bidi w:val="0"/>
            </w:pPr>
          </w:p>
        </w:tc>
        <w:tc>
          <w:tcPr>
            <w:tcW w:w="0" w:type="auto"/>
            <w:vAlign w:val="center"/>
          </w:tcPr>
          <w:p w14:paraId="0EF5C306">
            <w:pPr>
              <w:pStyle w:val="31"/>
              <w:bidi w:val="0"/>
            </w:pPr>
            <w:r>
              <w:t>mFe</w:t>
            </w:r>
            <w:r>
              <w:rPr>
                <w:rFonts w:hint="eastAsia"/>
              </w:rPr>
              <w:t>：</w:t>
            </w:r>
            <w:r>
              <w:t>23.74%</w:t>
            </w:r>
          </w:p>
        </w:tc>
        <w:tc>
          <w:tcPr>
            <w:tcW w:w="0" w:type="auto"/>
            <w:vMerge w:val="continue"/>
            <w:vAlign w:val="center"/>
          </w:tcPr>
          <w:p w14:paraId="1CA54CFE">
            <w:pPr>
              <w:pStyle w:val="31"/>
              <w:bidi w:val="0"/>
            </w:pPr>
          </w:p>
        </w:tc>
        <w:tc>
          <w:tcPr>
            <w:tcW w:w="0" w:type="auto"/>
            <w:vMerge w:val="continue"/>
            <w:vAlign w:val="center"/>
          </w:tcPr>
          <w:p w14:paraId="79861214">
            <w:pPr>
              <w:pStyle w:val="31"/>
              <w:bidi w:val="0"/>
            </w:pPr>
          </w:p>
        </w:tc>
      </w:tr>
      <w:tr w14:paraId="0C499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46" w:hRule="atLeast"/>
          <w:jc w:val="center"/>
        </w:trPr>
        <w:tc>
          <w:tcPr>
            <w:tcW w:w="0" w:type="auto"/>
            <w:vMerge w:val="restart"/>
            <w:vAlign w:val="center"/>
          </w:tcPr>
          <w:p w14:paraId="0B078753">
            <w:pPr>
              <w:pStyle w:val="31"/>
              <w:bidi w:val="0"/>
            </w:pPr>
            <w:r>
              <w:t>Fe2-2</w:t>
            </w:r>
          </w:p>
        </w:tc>
        <w:tc>
          <w:tcPr>
            <w:tcW w:w="0" w:type="auto"/>
            <w:vMerge w:val="restart"/>
            <w:vAlign w:val="center"/>
          </w:tcPr>
          <w:p w14:paraId="4D70B62B">
            <w:pPr>
              <w:pStyle w:val="31"/>
              <w:bidi w:val="0"/>
            </w:pPr>
            <w:r>
              <w:rPr>
                <w:rFonts w:hint="eastAsia"/>
              </w:rPr>
              <w:t>南矿段1、0、2、4线</w:t>
            </w:r>
          </w:p>
        </w:tc>
        <w:tc>
          <w:tcPr>
            <w:tcW w:w="0" w:type="auto"/>
            <w:vMerge w:val="restart"/>
            <w:vAlign w:val="center"/>
          </w:tcPr>
          <w:p w14:paraId="5A3EC3BA">
            <w:pPr>
              <w:pStyle w:val="31"/>
              <w:bidi w:val="0"/>
            </w:pPr>
            <w:r>
              <w:rPr>
                <w:rFonts w:hint="eastAsia"/>
              </w:rPr>
              <w:t>层状</w:t>
            </w:r>
          </w:p>
        </w:tc>
        <w:tc>
          <w:tcPr>
            <w:tcW w:w="0" w:type="auto"/>
            <w:vMerge w:val="restart"/>
            <w:vAlign w:val="center"/>
          </w:tcPr>
          <w:p w14:paraId="65B4778C">
            <w:pPr>
              <w:pStyle w:val="31"/>
              <w:bidi w:val="0"/>
            </w:pPr>
            <w:r>
              <w:rPr>
                <w:rFonts w:hint="eastAsia"/>
              </w:rPr>
              <w:t>隐伏矿体</w:t>
            </w:r>
          </w:p>
        </w:tc>
        <w:tc>
          <w:tcPr>
            <w:tcW w:w="0" w:type="auto"/>
            <w:vMerge w:val="restart"/>
            <w:vAlign w:val="center"/>
          </w:tcPr>
          <w:p w14:paraId="0613825E">
            <w:pPr>
              <w:pStyle w:val="31"/>
              <w:bidi w:val="0"/>
              <w:rPr>
                <w:lang w:eastAsia="zh-CN"/>
              </w:rPr>
            </w:pPr>
            <w:r>
              <w:rPr>
                <w:rFonts w:hint="eastAsia"/>
                <w:lang w:eastAsia="zh-CN"/>
              </w:rPr>
              <w:t>长</w:t>
            </w:r>
            <w:r>
              <w:rPr>
                <w:lang w:eastAsia="zh-CN"/>
              </w:rPr>
              <w:t>400m</w:t>
            </w:r>
            <w:r>
              <w:rPr>
                <w:rFonts w:hint="eastAsia"/>
                <w:lang w:eastAsia="zh-CN"/>
              </w:rPr>
              <w:t>，延深</w:t>
            </w:r>
            <w:r>
              <w:rPr>
                <w:lang w:eastAsia="zh-CN"/>
              </w:rPr>
              <w:t>100~266m</w:t>
            </w:r>
            <w:r>
              <w:rPr>
                <w:rFonts w:hint="eastAsia"/>
                <w:lang w:eastAsia="zh-CN"/>
              </w:rPr>
              <w:t>。总体走向为</w:t>
            </w:r>
            <w:r>
              <w:rPr>
                <w:lang w:eastAsia="zh-CN"/>
              </w:rPr>
              <w:t>296°</w:t>
            </w:r>
            <w:r>
              <w:rPr>
                <w:rFonts w:hint="eastAsia"/>
                <w:lang w:eastAsia="zh-CN"/>
              </w:rPr>
              <w:t>，倾向北东，倾角</w:t>
            </w:r>
            <w:r>
              <w:rPr>
                <w:lang w:eastAsia="zh-CN"/>
              </w:rPr>
              <w:t>60°~69°</w:t>
            </w:r>
          </w:p>
        </w:tc>
        <w:tc>
          <w:tcPr>
            <w:tcW w:w="0" w:type="auto"/>
            <w:vMerge w:val="restart"/>
            <w:vAlign w:val="center"/>
          </w:tcPr>
          <w:p w14:paraId="23F19874">
            <w:pPr>
              <w:pStyle w:val="31"/>
              <w:bidi w:val="0"/>
            </w:pPr>
            <w:r>
              <w:t>7.02</w:t>
            </w:r>
          </w:p>
        </w:tc>
        <w:tc>
          <w:tcPr>
            <w:tcW w:w="0" w:type="auto"/>
            <w:vMerge w:val="restart"/>
            <w:vAlign w:val="center"/>
          </w:tcPr>
          <w:p w14:paraId="6BDB6859">
            <w:pPr>
              <w:pStyle w:val="31"/>
              <w:bidi w:val="0"/>
            </w:pPr>
            <w:r>
              <w:t>52.22%</w:t>
            </w:r>
          </w:p>
        </w:tc>
        <w:tc>
          <w:tcPr>
            <w:tcW w:w="0" w:type="auto"/>
            <w:vAlign w:val="center"/>
          </w:tcPr>
          <w:p w14:paraId="425CE8BE">
            <w:pPr>
              <w:pStyle w:val="31"/>
              <w:bidi w:val="0"/>
            </w:pPr>
            <w:r>
              <w:t>TFe</w:t>
            </w:r>
            <w:r>
              <w:rPr>
                <w:rFonts w:hint="eastAsia"/>
              </w:rPr>
              <w:t>：</w:t>
            </w:r>
            <w:r>
              <w:t>32.73%</w:t>
            </w:r>
          </w:p>
        </w:tc>
        <w:tc>
          <w:tcPr>
            <w:tcW w:w="0" w:type="auto"/>
            <w:vMerge w:val="restart"/>
            <w:vAlign w:val="center"/>
          </w:tcPr>
          <w:p w14:paraId="392EB155">
            <w:pPr>
              <w:pStyle w:val="31"/>
              <w:bidi w:val="0"/>
            </w:pPr>
            <w:r>
              <w:t>-70.03</w:t>
            </w:r>
            <w:r>
              <w:rPr>
                <w:rFonts w:hint="eastAsia"/>
              </w:rPr>
              <w:t>～</w:t>
            </w:r>
            <w:r>
              <w:t>-394.67</w:t>
            </w:r>
          </w:p>
        </w:tc>
        <w:tc>
          <w:tcPr>
            <w:tcW w:w="0" w:type="auto"/>
            <w:vMerge w:val="restart"/>
            <w:vAlign w:val="center"/>
          </w:tcPr>
          <w:p w14:paraId="767F230D">
            <w:pPr>
              <w:pStyle w:val="31"/>
              <w:bidi w:val="0"/>
            </w:pPr>
            <w:r>
              <w:t>132.78</w:t>
            </w:r>
            <w:r>
              <w:rPr>
                <w:rFonts w:hint="eastAsia"/>
              </w:rPr>
              <w:t>～</w:t>
            </w:r>
            <w:r>
              <w:t>461.54</w:t>
            </w:r>
          </w:p>
        </w:tc>
      </w:tr>
      <w:tr w14:paraId="2448C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2" w:hRule="atLeast"/>
          <w:jc w:val="center"/>
        </w:trPr>
        <w:tc>
          <w:tcPr>
            <w:tcW w:w="0" w:type="auto"/>
            <w:vMerge w:val="continue"/>
            <w:vAlign w:val="center"/>
          </w:tcPr>
          <w:p w14:paraId="7DA59BF9">
            <w:pPr>
              <w:pStyle w:val="31"/>
              <w:bidi w:val="0"/>
            </w:pPr>
          </w:p>
        </w:tc>
        <w:tc>
          <w:tcPr>
            <w:tcW w:w="0" w:type="auto"/>
            <w:vMerge w:val="continue"/>
            <w:vAlign w:val="center"/>
          </w:tcPr>
          <w:p w14:paraId="0DCCEFB7">
            <w:pPr>
              <w:pStyle w:val="31"/>
              <w:bidi w:val="0"/>
            </w:pPr>
          </w:p>
        </w:tc>
        <w:tc>
          <w:tcPr>
            <w:tcW w:w="0" w:type="auto"/>
            <w:vMerge w:val="continue"/>
            <w:vAlign w:val="center"/>
          </w:tcPr>
          <w:p w14:paraId="1D79750D">
            <w:pPr>
              <w:pStyle w:val="31"/>
              <w:bidi w:val="0"/>
            </w:pPr>
          </w:p>
        </w:tc>
        <w:tc>
          <w:tcPr>
            <w:tcW w:w="0" w:type="auto"/>
            <w:vMerge w:val="continue"/>
            <w:vAlign w:val="center"/>
          </w:tcPr>
          <w:p w14:paraId="20C5B032">
            <w:pPr>
              <w:pStyle w:val="31"/>
              <w:bidi w:val="0"/>
            </w:pPr>
          </w:p>
        </w:tc>
        <w:tc>
          <w:tcPr>
            <w:tcW w:w="0" w:type="auto"/>
            <w:vMerge w:val="continue"/>
            <w:vAlign w:val="center"/>
          </w:tcPr>
          <w:p w14:paraId="4068CF6E">
            <w:pPr>
              <w:pStyle w:val="31"/>
              <w:bidi w:val="0"/>
            </w:pPr>
          </w:p>
        </w:tc>
        <w:tc>
          <w:tcPr>
            <w:tcW w:w="0" w:type="auto"/>
            <w:vMerge w:val="continue"/>
            <w:vAlign w:val="center"/>
          </w:tcPr>
          <w:p w14:paraId="1ACDEC42">
            <w:pPr>
              <w:pStyle w:val="31"/>
              <w:bidi w:val="0"/>
            </w:pPr>
          </w:p>
        </w:tc>
        <w:tc>
          <w:tcPr>
            <w:tcW w:w="0" w:type="auto"/>
            <w:vMerge w:val="continue"/>
            <w:vAlign w:val="center"/>
          </w:tcPr>
          <w:p w14:paraId="44F02CEE">
            <w:pPr>
              <w:pStyle w:val="31"/>
              <w:bidi w:val="0"/>
            </w:pPr>
          </w:p>
        </w:tc>
        <w:tc>
          <w:tcPr>
            <w:tcW w:w="0" w:type="auto"/>
            <w:vAlign w:val="center"/>
          </w:tcPr>
          <w:p w14:paraId="05581729">
            <w:pPr>
              <w:pStyle w:val="31"/>
              <w:bidi w:val="0"/>
            </w:pPr>
            <w:r>
              <w:t>mFe</w:t>
            </w:r>
            <w:r>
              <w:rPr>
                <w:rFonts w:hint="eastAsia"/>
              </w:rPr>
              <w:t>：</w:t>
            </w:r>
            <w:r>
              <w:t>19.94%</w:t>
            </w:r>
          </w:p>
        </w:tc>
        <w:tc>
          <w:tcPr>
            <w:tcW w:w="0" w:type="auto"/>
            <w:vMerge w:val="continue"/>
            <w:vAlign w:val="center"/>
          </w:tcPr>
          <w:p w14:paraId="76147A29">
            <w:pPr>
              <w:pStyle w:val="31"/>
              <w:bidi w:val="0"/>
            </w:pPr>
          </w:p>
        </w:tc>
        <w:tc>
          <w:tcPr>
            <w:tcW w:w="0" w:type="auto"/>
            <w:vMerge w:val="continue"/>
            <w:vAlign w:val="center"/>
          </w:tcPr>
          <w:p w14:paraId="5886C478">
            <w:pPr>
              <w:pStyle w:val="31"/>
              <w:bidi w:val="0"/>
            </w:pPr>
          </w:p>
        </w:tc>
      </w:tr>
      <w:tr w14:paraId="6D2BE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46" w:hRule="atLeast"/>
          <w:jc w:val="center"/>
        </w:trPr>
        <w:tc>
          <w:tcPr>
            <w:tcW w:w="0" w:type="auto"/>
            <w:vMerge w:val="restart"/>
            <w:vAlign w:val="center"/>
          </w:tcPr>
          <w:p w14:paraId="1D073450">
            <w:pPr>
              <w:pStyle w:val="31"/>
              <w:bidi w:val="0"/>
            </w:pPr>
            <w:r>
              <w:t>Fe3-1</w:t>
            </w:r>
          </w:p>
        </w:tc>
        <w:tc>
          <w:tcPr>
            <w:tcW w:w="0" w:type="auto"/>
            <w:vMerge w:val="restart"/>
            <w:vAlign w:val="center"/>
          </w:tcPr>
          <w:p w14:paraId="1077EDF9">
            <w:pPr>
              <w:pStyle w:val="31"/>
              <w:bidi w:val="0"/>
            </w:pPr>
            <w:r>
              <w:rPr>
                <w:rFonts w:hint="eastAsia"/>
              </w:rPr>
              <w:t>南矿段1、0线</w:t>
            </w:r>
          </w:p>
        </w:tc>
        <w:tc>
          <w:tcPr>
            <w:tcW w:w="0" w:type="auto"/>
            <w:vMerge w:val="restart"/>
            <w:vAlign w:val="center"/>
          </w:tcPr>
          <w:p w14:paraId="65D034E8">
            <w:pPr>
              <w:pStyle w:val="31"/>
              <w:bidi w:val="0"/>
            </w:pPr>
            <w:r>
              <w:rPr>
                <w:rFonts w:hint="eastAsia"/>
              </w:rPr>
              <w:t>层状</w:t>
            </w:r>
          </w:p>
        </w:tc>
        <w:tc>
          <w:tcPr>
            <w:tcW w:w="0" w:type="auto"/>
            <w:vMerge w:val="restart"/>
            <w:vAlign w:val="center"/>
          </w:tcPr>
          <w:p w14:paraId="701C3F45">
            <w:pPr>
              <w:pStyle w:val="31"/>
              <w:bidi w:val="0"/>
            </w:pPr>
            <w:r>
              <w:rPr>
                <w:rFonts w:hint="eastAsia"/>
              </w:rPr>
              <w:t>隐伏矿体</w:t>
            </w:r>
          </w:p>
        </w:tc>
        <w:tc>
          <w:tcPr>
            <w:tcW w:w="0" w:type="auto"/>
            <w:vMerge w:val="restart"/>
            <w:vAlign w:val="center"/>
          </w:tcPr>
          <w:p w14:paraId="641B24EF">
            <w:pPr>
              <w:pStyle w:val="31"/>
              <w:bidi w:val="0"/>
              <w:rPr>
                <w:lang w:eastAsia="zh-CN"/>
              </w:rPr>
            </w:pPr>
            <w:r>
              <w:rPr>
                <w:rFonts w:hint="eastAsia"/>
                <w:lang w:eastAsia="zh-CN"/>
              </w:rPr>
              <w:t>长</w:t>
            </w:r>
            <w:r>
              <w:rPr>
                <w:lang w:eastAsia="zh-CN"/>
              </w:rPr>
              <w:t>150m</w:t>
            </w:r>
            <w:r>
              <w:rPr>
                <w:rFonts w:hint="eastAsia"/>
                <w:lang w:eastAsia="zh-CN"/>
              </w:rPr>
              <w:t>，延深</w:t>
            </w:r>
            <w:r>
              <w:rPr>
                <w:lang w:eastAsia="zh-CN"/>
              </w:rPr>
              <w:t>232m</w:t>
            </w:r>
            <w:r>
              <w:rPr>
                <w:rFonts w:hint="eastAsia"/>
                <w:lang w:eastAsia="zh-CN"/>
              </w:rPr>
              <w:t>。总体走向为</w:t>
            </w:r>
            <w:r>
              <w:rPr>
                <w:lang w:eastAsia="zh-CN"/>
              </w:rPr>
              <w:t>296°</w:t>
            </w:r>
            <w:r>
              <w:rPr>
                <w:rFonts w:hint="eastAsia"/>
                <w:lang w:eastAsia="zh-CN"/>
              </w:rPr>
              <w:t>，倾向北东，倾角</w:t>
            </w:r>
            <w:r>
              <w:rPr>
                <w:lang w:eastAsia="zh-CN"/>
              </w:rPr>
              <w:t>56°~69°</w:t>
            </w:r>
          </w:p>
        </w:tc>
        <w:tc>
          <w:tcPr>
            <w:tcW w:w="0" w:type="auto"/>
            <w:vMerge w:val="restart"/>
            <w:vAlign w:val="center"/>
          </w:tcPr>
          <w:p w14:paraId="3538B5F2">
            <w:pPr>
              <w:pStyle w:val="31"/>
              <w:bidi w:val="0"/>
            </w:pPr>
            <w:r>
              <w:t>4.38</w:t>
            </w:r>
          </w:p>
        </w:tc>
        <w:tc>
          <w:tcPr>
            <w:tcW w:w="0" w:type="auto"/>
            <w:vMerge w:val="restart"/>
            <w:vAlign w:val="center"/>
          </w:tcPr>
          <w:p w14:paraId="25D510CB">
            <w:pPr>
              <w:pStyle w:val="31"/>
              <w:bidi w:val="0"/>
            </w:pPr>
            <w:r>
              <w:t>24.71%</w:t>
            </w:r>
          </w:p>
        </w:tc>
        <w:tc>
          <w:tcPr>
            <w:tcW w:w="0" w:type="auto"/>
            <w:vAlign w:val="center"/>
          </w:tcPr>
          <w:p w14:paraId="117A25B9">
            <w:pPr>
              <w:pStyle w:val="31"/>
              <w:bidi w:val="0"/>
            </w:pPr>
            <w:r>
              <w:t>TFe</w:t>
            </w:r>
            <w:r>
              <w:rPr>
                <w:rFonts w:hint="eastAsia"/>
              </w:rPr>
              <w:t>：</w:t>
            </w:r>
            <w:r>
              <w:t>33.75%</w:t>
            </w:r>
          </w:p>
        </w:tc>
        <w:tc>
          <w:tcPr>
            <w:tcW w:w="0" w:type="auto"/>
            <w:vMerge w:val="restart"/>
            <w:vAlign w:val="center"/>
          </w:tcPr>
          <w:p w14:paraId="7421C313">
            <w:pPr>
              <w:pStyle w:val="31"/>
              <w:bidi w:val="0"/>
            </w:pPr>
            <w:r>
              <w:t>-124.20</w:t>
            </w:r>
            <w:r>
              <w:rPr>
                <w:rFonts w:hint="eastAsia"/>
              </w:rPr>
              <w:t>～</w:t>
            </w:r>
            <w:r>
              <w:t>-488.18</w:t>
            </w:r>
          </w:p>
        </w:tc>
        <w:tc>
          <w:tcPr>
            <w:tcW w:w="0" w:type="auto"/>
            <w:vMerge w:val="restart"/>
            <w:vAlign w:val="center"/>
          </w:tcPr>
          <w:p w14:paraId="41B68B5D">
            <w:pPr>
              <w:pStyle w:val="31"/>
              <w:bidi w:val="0"/>
            </w:pPr>
            <w:r>
              <w:t>199.56</w:t>
            </w:r>
            <w:r>
              <w:rPr>
                <w:rFonts w:hint="eastAsia"/>
              </w:rPr>
              <w:t>～</w:t>
            </w:r>
            <w:r>
              <w:t>545.47</w:t>
            </w:r>
          </w:p>
        </w:tc>
      </w:tr>
      <w:tr w14:paraId="1563C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2" w:hRule="atLeast"/>
          <w:jc w:val="center"/>
        </w:trPr>
        <w:tc>
          <w:tcPr>
            <w:tcW w:w="0" w:type="auto"/>
            <w:vMerge w:val="continue"/>
            <w:vAlign w:val="center"/>
          </w:tcPr>
          <w:p w14:paraId="4924EDAA">
            <w:pPr>
              <w:pStyle w:val="31"/>
              <w:bidi w:val="0"/>
            </w:pPr>
          </w:p>
        </w:tc>
        <w:tc>
          <w:tcPr>
            <w:tcW w:w="0" w:type="auto"/>
            <w:vMerge w:val="continue"/>
            <w:vAlign w:val="center"/>
          </w:tcPr>
          <w:p w14:paraId="36065E53">
            <w:pPr>
              <w:pStyle w:val="31"/>
              <w:bidi w:val="0"/>
            </w:pPr>
          </w:p>
        </w:tc>
        <w:tc>
          <w:tcPr>
            <w:tcW w:w="0" w:type="auto"/>
            <w:vMerge w:val="continue"/>
            <w:vAlign w:val="center"/>
          </w:tcPr>
          <w:p w14:paraId="3D533645">
            <w:pPr>
              <w:pStyle w:val="31"/>
              <w:bidi w:val="0"/>
            </w:pPr>
          </w:p>
        </w:tc>
        <w:tc>
          <w:tcPr>
            <w:tcW w:w="0" w:type="auto"/>
            <w:vMerge w:val="continue"/>
            <w:vAlign w:val="center"/>
          </w:tcPr>
          <w:p w14:paraId="0F8A4C3A">
            <w:pPr>
              <w:pStyle w:val="31"/>
              <w:bidi w:val="0"/>
            </w:pPr>
          </w:p>
        </w:tc>
        <w:tc>
          <w:tcPr>
            <w:tcW w:w="0" w:type="auto"/>
            <w:vMerge w:val="continue"/>
            <w:vAlign w:val="center"/>
          </w:tcPr>
          <w:p w14:paraId="4C4662FD">
            <w:pPr>
              <w:pStyle w:val="31"/>
              <w:bidi w:val="0"/>
            </w:pPr>
          </w:p>
        </w:tc>
        <w:tc>
          <w:tcPr>
            <w:tcW w:w="0" w:type="auto"/>
            <w:vMerge w:val="continue"/>
            <w:vAlign w:val="center"/>
          </w:tcPr>
          <w:p w14:paraId="138FB594">
            <w:pPr>
              <w:pStyle w:val="31"/>
              <w:bidi w:val="0"/>
            </w:pPr>
          </w:p>
        </w:tc>
        <w:tc>
          <w:tcPr>
            <w:tcW w:w="0" w:type="auto"/>
            <w:vMerge w:val="continue"/>
            <w:vAlign w:val="center"/>
          </w:tcPr>
          <w:p w14:paraId="71C0D53A">
            <w:pPr>
              <w:pStyle w:val="31"/>
              <w:bidi w:val="0"/>
            </w:pPr>
          </w:p>
        </w:tc>
        <w:tc>
          <w:tcPr>
            <w:tcW w:w="0" w:type="auto"/>
            <w:vAlign w:val="center"/>
          </w:tcPr>
          <w:p w14:paraId="727D7AFB">
            <w:pPr>
              <w:pStyle w:val="31"/>
              <w:bidi w:val="0"/>
            </w:pPr>
            <w:r>
              <w:t>mFe</w:t>
            </w:r>
            <w:r>
              <w:rPr>
                <w:rFonts w:hint="eastAsia"/>
              </w:rPr>
              <w:t>：</w:t>
            </w:r>
            <w:r>
              <w:t>28.13%</w:t>
            </w:r>
          </w:p>
        </w:tc>
        <w:tc>
          <w:tcPr>
            <w:tcW w:w="0" w:type="auto"/>
            <w:vMerge w:val="continue"/>
            <w:vAlign w:val="center"/>
          </w:tcPr>
          <w:p w14:paraId="114E845D">
            <w:pPr>
              <w:pStyle w:val="31"/>
              <w:bidi w:val="0"/>
            </w:pPr>
          </w:p>
        </w:tc>
        <w:tc>
          <w:tcPr>
            <w:tcW w:w="0" w:type="auto"/>
            <w:vMerge w:val="continue"/>
            <w:vAlign w:val="center"/>
          </w:tcPr>
          <w:p w14:paraId="28EF0F60">
            <w:pPr>
              <w:pStyle w:val="31"/>
              <w:bidi w:val="0"/>
            </w:pPr>
          </w:p>
        </w:tc>
      </w:tr>
      <w:tr w14:paraId="2A6A2E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46" w:hRule="atLeast"/>
          <w:jc w:val="center"/>
        </w:trPr>
        <w:tc>
          <w:tcPr>
            <w:tcW w:w="0" w:type="auto"/>
            <w:vMerge w:val="restart"/>
            <w:vAlign w:val="center"/>
          </w:tcPr>
          <w:p w14:paraId="7C8E7941">
            <w:pPr>
              <w:pStyle w:val="31"/>
              <w:bidi w:val="0"/>
            </w:pPr>
            <w:r>
              <w:t>Fe3-2</w:t>
            </w:r>
          </w:p>
        </w:tc>
        <w:tc>
          <w:tcPr>
            <w:tcW w:w="0" w:type="auto"/>
            <w:vMerge w:val="restart"/>
            <w:vAlign w:val="center"/>
          </w:tcPr>
          <w:p w14:paraId="72D4597D">
            <w:pPr>
              <w:pStyle w:val="31"/>
              <w:bidi w:val="0"/>
            </w:pPr>
            <w:r>
              <w:rPr>
                <w:rFonts w:hint="eastAsia"/>
              </w:rPr>
              <w:t>南矿段4线</w:t>
            </w:r>
          </w:p>
        </w:tc>
        <w:tc>
          <w:tcPr>
            <w:tcW w:w="0" w:type="auto"/>
            <w:vMerge w:val="restart"/>
            <w:vAlign w:val="center"/>
          </w:tcPr>
          <w:p w14:paraId="3FB973DE">
            <w:pPr>
              <w:pStyle w:val="31"/>
              <w:bidi w:val="0"/>
            </w:pPr>
            <w:r>
              <w:rPr>
                <w:rFonts w:hint="eastAsia"/>
              </w:rPr>
              <w:t>层状</w:t>
            </w:r>
          </w:p>
        </w:tc>
        <w:tc>
          <w:tcPr>
            <w:tcW w:w="0" w:type="auto"/>
            <w:vMerge w:val="restart"/>
            <w:vAlign w:val="center"/>
          </w:tcPr>
          <w:p w14:paraId="0F7A3DF3">
            <w:pPr>
              <w:pStyle w:val="31"/>
              <w:bidi w:val="0"/>
            </w:pPr>
            <w:r>
              <w:rPr>
                <w:rFonts w:hint="eastAsia"/>
              </w:rPr>
              <w:t>隐伏矿体</w:t>
            </w:r>
          </w:p>
        </w:tc>
        <w:tc>
          <w:tcPr>
            <w:tcW w:w="0" w:type="auto"/>
            <w:vMerge w:val="restart"/>
            <w:vAlign w:val="center"/>
          </w:tcPr>
          <w:p w14:paraId="0E44E543">
            <w:pPr>
              <w:pStyle w:val="31"/>
              <w:bidi w:val="0"/>
              <w:rPr>
                <w:lang w:eastAsia="zh-CN"/>
              </w:rPr>
            </w:pPr>
            <w:r>
              <w:rPr>
                <w:rFonts w:hint="eastAsia"/>
                <w:lang w:eastAsia="zh-CN"/>
              </w:rPr>
              <w:t>长</w:t>
            </w:r>
            <w:r>
              <w:rPr>
                <w:lang w:eastAsia="zh-CN"/>
              </w:rPr>
              <w:t>100m</w:t>
            </w:r>
            <w:r>
              <w:rPr>
                <w:rFonts w:hint="eastAsia"/>
                <w:lang w:eastAsia="zh-CN"/>
              </w:rPr>
              <w:t>，延深</w:t>
            </w:r>
            <w:r>
              <w:rPr>
                <w:lang w:eastAsia="zh-CN"/>
              </w:rPr>
              <w:t>100m</w:t>
            </w:r>
            <w:r>
              <w:rPr>
                <w:rFonts w:hint="eastAsia"/>
                <w:lang w:eastAsia="zh-CN"/>
              </w:rPr>
              <w:t>。总体走向为</w:t>
            </w:r>
            <w:r>
              <w:rPr>
                <w:lang w:eastAsia="zh-CN"/>
              </w:rPr>
              <w:t>296°</w:t>
            </w:r>
            <w:r>
              <w:rPr>
                <w:rFonts w:hint="eastAsia"/>
                <w:lang w:eastAsia="zh-CN"/>
              </w:rPr>
              <w:t>，倾向北东，倾角</w:t>
            </w:r>
            <w:r>
              <w:rPr>
                <w:lang w:eastAsia="zh-CN"/>
              </w:rPr>
              <w:t>65°</w:t>
            </w:r>
            <w:r>
              <w:rPr>
                <w:rFonts w:hint="eastAsia"/>
                <w:lang w:eastAsia="zh-CN"/>
              </w:rPr>
              <w:t>左右</w:t>
            </w:r>
          </w:p>
        </w:tc>
        <w:tc>
          <w:tcPr>
            <w:tcW w:w="0" w:type="auto"/>
            <w:vMerge w:val="restart"/>
            <w:vAlign w:val="center"/>
          </w:tcPr>
          <w:p w14:paraId="40B39365">
            <w:pPr>
              <w:pStyle w:val="31"/>
              <w:bidi w:val="0"/>
            </w:pPr>
            <w:r>
              <w:t>3.29</w:t>
            </w:r>
          </w:p>
        </w:tc>
        <w:tc>
          <w:tcPr>
            <w:tcW w:w="0" w:type="auto"/>
            <w:vMerge w:val="restart"/>
            <w:vAlign w:val="center"/>
          </w:tcPr>
          <w:p w14:paraId="3B899AF9">
            <w:pPr>
              <w:pStyle w:val="31"/>
              <w:bidi w:val="0"/>
            </w:pPr>
            <w:r>
              <w:rPr>
                <w:rFonts w:hint="eastAsia"/>
              </w:rPr>
              <w:t>--</w:t>
            </w:r>
          </w:p>
        </w:tc>
        <w:tc>
          <w:tcPr>
            <w:tcW w:w="0" w:type="auto"/>
            <w:vAlign w:val="center"/>
          </w:tcPr>
          <w:p w14:paraId="521038BD">
            <w:pPr>
              <w:pStyle w:val="31"/>
              <w:bidi w:val="0"/>
            </w:pPr>
            <w:r>
              <w:t>TFe</w:t>
            </w:r>
            <w:r>
              <w:rPr>
                <w:rFonts w:hint="eastAsia"/>
              </w:rPr>
              <w:t>：</w:t>
            </w:r>
            <w:r>
              <w:t>30.07%</w:t>
            </w:r>
          </w:p>
        </w:tc>
        <w:tc>
          <w:tcPr>
            <w:tcW w:w="0" w:type="auto"/>
            <w:vMerge w:val="restart"/>
            <w:vAlign w:val="center"/>
          </w:tcPr>
          <w:p w14:paraId="22143C7B">
            <w:pPr>
              <w:pStyle w:val="31"/>
              <w:bidi w:val="0"/>
            </w:pPr>
            <w:r>
              <w:t>-189.94</w:t>
            </w:r>
            <w:r>
              <w:rPr>
                <w:rFonts w:hint="eastAsia"/>
              </w:rPr>
              <w:t>～</w:t>
            </w:r>
            <w:r>
              <w:t>-287.64</w:t>
            </w:r>
          </w:p>
        </w:tc>
        <w:tc>
          <w:tcPr>
            <w:tcW w:w="0" w:type="auto"/>
            <w:vMerge w:val="restart"/>
            <w:vAlign w:val="center"/>
          </w:tcPr>
          <w:p w14:paraId="26A924AB">
            <w:pPr>
              <w:pStyle w:val="31"/>
              <w:bidi w:val="0"/>
            </w:pPr>
            <w:r>
              <w:t>244.36</w:t>
            </w:r>
            <w:r>
              <w:rPr>
                <w:rFonts w:hint="eastAsia"/>
              </w:rPr>
              <w:t>～</w:t>
            </w:r>
            <w:r>
              <w:t>352.7</w:t>
            </w:r>
          </w:p>
        </w:tc>
      </w:tr>
      <w:tr w14:paraId="31E6A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32" w:hRule="atLeast"/>
          <w:jc w:val="center"/>
        </w:trPr>
        <w:tc>
          <w:tcPr>
            <w:tcW w:w="0" w:type="auto"/>
            <w:vMerge w:val="continue"/>
            <w:vAlign w:val="center"/>
          </w:tcPr>
          <w:p w14:paraId="6892A430">
            <w:pPr>
              <w:pStyle w:val="31"/>
              <w:bidi w:val="0"/>
            </w:pPr>
          </w:p>
        </w:tc>
        <w:tc>
          <w:tcPr>
            <w:tcW w:w="0" w:type="auto"/>
            <w:vMerge w:val="continue"/>
            <w:vAlign w:val="center"/>
          </w:tcPr>
          <w:p w14:paraId="19725ED3">
            <w:pPr>
              <w:pStyle w:val="31"/>
              <w:bidi w:val="0"/>
            </w:pPr>
          </w:p>
        </w:tc>
        <w:tc>
          <w:tcPr>
            <w:tcW w:w="0" w:type="auto"/>
            <w:vMerge w:val="continue"/>
            <w:vAlign w:val="center"/>
          </w:tcPr>
          <w:p w14:paraId="4CE84BDD">
            <w:pPr>
              <w:pStyle w:val="31"/>
              <w:bidi w:val="0"/>
            </w:pPr>
          </w:p>
        </w:tc>
        <w:tc>
          <w:tcPr>
            <w:tcW w:w="0" w:type="auto"/>
            <w:vMerge w:val="continue"/>
            <w:vAlign w:val="center"/>
          </w:tcPr>
          <w:p w14:paraId="4B64C9A2">
            <w:pPr>
              <w:pStyle w:val="31"/>
              <w:bidi w:val="0"/>
            </w:pPr>
          </w:p>
        </w:tc>
        <w:tc>
          <w:tcPr>
            <w:tcW w:w="0" w:type="auto"/>
            <w:vMerge w:val="continue"/>
            <w:vAlign w:val="center"/>
          </w:tcPr>
          <w:p w14:paraId="3BA82F1F">
            <w:pPr>
              <w:pStyle w:val="31"/>
              <w:bidi w:val="0"/>
            </w:pPr>
          </w:p>
        </w:tc>
        <w:tc>
          <w:tcPr>
            <w:tcW w:w="0" w:type="auto"/>
            <w:vMerge w:val="continue"/>
            <w:vAlign w:val="center"/>
          </w:tcPr>
          <w:p w14:paraId="11F0C353">
            <w:pPr>
              <w:pStyle w:val="31"/>
              <w:bidi w:val="0"/>
            </w:pPr>
          </w:p>
        </w:tc>
        <w:tc>
          <w:tcPr>
            <w:tcW w:w="0" w:type="auto"/>
            <w:vMerge w:val="continue"/>
          </w:tcPr>
          <w:p w14:paraId="4718BE4F">
            <w:pPr>
              <w:pStyle w:val="31"/>
              <w:bidi w:val="0"/>
            </w:pPr>
          </w:p>
        </w:tc>
        <w:tc>
          <w:tcPr>
            <w:tcW w:w="0" w:type="auto"/>
            <w:vAlign w:val="center"/>
          </w:tcPr>
          <w:p w14:paraId="4FC462D1">
            <w:pPr>
              <w:pStyle w:val="31"/>
              <w:bidi w:val="0"/>
            </w:pPr>
            <w:r>
              <w:t>mFe</w:t>
            </w:r>
            <w:r>
              <w:rPr>
                <w:rFonts w:hint="eastAsia"/>
              </w:rPr>
              <w:t>：</w:t>
            </w:r>
            <w:r>
              <w:t>17.02%</w:t>
            </w:r>
          </w:p>
        </w:tc>
        <w:tc>
          <w:tcPr>
            <w:tcW w:w="0" w:type="auto"/>
            <w:vMerge w:val="continue"/>
            <w:vAlign w:val="center"/>
          </w:tcPr>
          <w:p w14:paraId="76DB857A">
            <w:pPr>
              <w:pStyle w:val="31"/>
              <w:bidi w:val="0"/>
            </w:pPr>
          </w:p>
        </w:tc>
        <w:tc>
          <w:tcPr>
            <w:tcW w:w="0" w:type="auto"/>
            <w:vMerge w:val="continue"/>
            <w:vAlign w:val="center"/>
          </w:tcPr>
          <w:p w14:paraId="3049383A">
            <w:pPr>
              <w:pStyle w:val="31"/>
              <w:bidi w:val="0"/>
            </w:pPr>
          </w:p>
        </w:tc>
      </w:tr>
    </w:tbl>
    <w:p w14:paraId="26EE9794">
      <w:pPr>
        <w:pStyle w:val="21"/>
        <w:bidi w:val="0"/>
        <w:rPr>
          <w:rFonts w:hint="default"/>
          <w:lang w:val="en-US" w:eastAsia="zh-CN"/>
        </w:rPr>
      </w:pPr>
    </w:p>
    <w:p w14:paraId="4FEB4921">
      <w:pPr>
        <w:pStyle w:val="21"/>
        <w:numPr>
          <w:ilvl w:val="0"/>
          <w:numId w:val="10"/>
        </w:numPr>
        <w:bidi w:val="0"/>
        <w:rPr>
          <w:rFonts w:hint="default"/>
          <w:lang w:val="en-US" w:eastAsia="zh-CN"/>
        </w:rPr>
      </w:pPr>
      <w:r>
        <w:rPr>
          <w:rFonts w:hint="default"/>
          <w:lang w:val="en-US" w:eastAsia="zh-CN"/>
        </w:rPr>
        <w:t>矿石</w:t>
      </w:r>
      <w:r>
        <w:rPr>
          <w:rFonts w:hint="eastAsia"/>
          <w:lang w:val="en-US" w:eastAsia="zh-CN"/>
        </w:rPr>
        <w:t>质量</w:t>
      </w:r>
    </w:p>
    <w:p w14:paraId="01E38DC4">
      <w:pPr>
        <w:pStyle w:val="21"/>
        <w:bidi w:val="0"/>
        <w:rPr>
          <w:rFonts w:hint="eastAsia"/>
          <w:lang w:val="en-US" w:eastAsia="zh-CN"/>
        </w:rPr>
      </w:pPr>
      <w:r>
        <w:rPr>
          <w:rFonts w:hint="eastAsia"/>
          <w:lang w:val="en-US" w:eastAsia="zh-CN"/>
        </w:rPr>
        <w:t>1、矿石物质组成</w:t>
      </w:r>
    </w:p>
    <w:p w14:paraId="3C766876">
      <w:pPr>
        <w:pStyle w:val="21"/>
        <w:bidi w:val="0"/>
        <w:rPr>
          <w:rFonts w:hint="default"/>
          <w:lang w:eastAsia="zh-CN"/>
        </w:rPr>
      </w:pPr>
      <w:r>
        <w:rPr>
          <w:rFonts w:hint="default"/>
          <w:lang w:eastAsia="zh-CN"/>
        </w:rPr>
        <w:t>矿石矿物为磁铁矿，磁铁矿为铁黑色，呈半自形粒状，他形粒状或粒状集合体与石英彼此镶嵌，粒径多大于0.2mm，略具定向排列，含量17.02%～38.23%。</w:t>
      </w:r>
    </w:p>
    <w:p w14:paraId="7D9EF78F">
      <w:pPr>
        <w:pStyle w:val="21"/>
        <w:bidi w:val="0"/>
        <w:rPr>
          <w:rFonts w:hint="default"/>
          <w:lang w:eastAsia="zh-CN"/>
        </w:rPr>
      </w:pPr>
      <w:r>
        <w:rPr>
          <w:rFonts w:hint="default"/>
          <w:lang w:eastAsia="zh-CN"/>
        </w:rPr>
        <w:t>脉石矿物以石英为主，另外常见有角闪石、黑云母、绿泥石。石英一般为无色透明，呈他形粒状集合体或被定向拉长，粒径0.01～1mm，含量20%～70%。角闪石一般呈半自形-他形，柱状及粒状集合体，晶体无一定方向，一般分布在磁铁矿周围，部分已蚀变为绿泥石。黑云母不规则鳞片状，棕色，蚀变为绿泥石。绿泥石主要见于富铁矿石中，呈淡绿色集合体，是黑云母的次生矿物。石榴石晶形较好，呈棕色、紫红色，等轴晶系，玻璃光泽，断口油脂光泽，半透明，属铝系铁镁铝榴石。</w:t>
      </w:r>
    </w:p>
    <w:p w14:paraId="369BF445">
      <w:pPr>
        <w:pStyle w:val="21"/>
        <w:bidi w:val="0"/>
        <w:rPr>
          <w:rFonts w:hint="default"/>
          <w:lang w:eastAsia="zh-CN"/>
        </w:rPr>
      </w:pPr>
      <w:r>
        <w:rPr>
          <w:rFonts w:hint="default"/>
          <w:lang w:eastAsia="zh-CN"/>
        </w:rPr>
        <w:t>矿石中其他金属矿物有微量黄铁矿、褐铁矿，局部见有赤铁矿。</w:t>
      </w:r>
    </w:p>
    <w:p w14:paraId="03A07882">
      <w:pPr>
        <w:pStyle w:val="21"/>
        <w:bidi w:val="0"/>
        <w:rPr>
          <w:rFonts w:hint="default"/>
          <w:lang w:eastAsia="zh-CN"/>
        </w:rPr>
      </w:pPr>
      <w:r>
        <w:rPr>
          <w:rFonts w:hint="default"/>
          <w:lang w:eastAsia="zh-CN"/>
        </w:rPr>
        <w:t>黄铁矿：浅黄铜色，他形，粒状，粒度0.20～0.5mm，呈星点状分布于磁铁矿中，含量1-3%。</w:t>
      </w:r>
    </w:p>
    <w:p w14:paraId="249C1A55">
      <w:pPr>
        <w:pStyle w:val="21"/>
        <w:bidi w:val="0"/>
        <w:rPr>
          <w:rFonts w:hint="default"/>
          <w:lang w:eastAsia="zh-CN"/>
        </w:rPr>
      </w:pPr>
      <w:r>
        <w:rPr>
          <w:rFonts w:hint="default"/>
          <w:lang w:eastAsia="zh-CN"/>
        </w:rPr>
        <w:t>褐铁矿：褐色，镜下为浅暗灰色，高硬度，粒径0.1～0.2mm，零星分布在地表氧化矿石中，含量一般在1～3%，个别含量较高地段能达到含量4%。</w:t>
      </w:r>
    </w:p>
    <w:p w14:paraId="6C0D03F1">
      <w:pPr>
        <w:pStyle w:val="21"/>
        <w:bidi w:val="0"/>
        <w:rPr>
          <w:rFonts w:hint="default"/>
          <w:lang w:val="en-US" w:eastAsia="zh-CN"/>
        </w:rPr>
      </w:pPr>
      <w:r>
        <w:rPr>
          <w:rFonts w:hint="default"/>
          <w:lang w:eastAsia="zh-CN"/>
        </w:rPr>
        <w:t>赤铁矿：灰白略带浅棕色，自形-半自形晶不规则粒状，零星分布于矿石中，粒度＜0.1mm。</w:t>
      </w:r>
    </w:p>
    <w:p w14:paraId="54888EB2">
      <w:pPr>
        <w:pStyle w:val="21"/>
        <w:bidi w:val="0"/>
        <w:rPr>
          <w:rFonts w:hint="eastAsia"/>
          <w:lang w:val="en-US" w:eastAsia="zh-CN"/>
        </w:rPr>
      </w:pPr>
      <w:r>
        <w:rPr>
          <w:rFonts w:hint="eastAsia"/>
          <w:lang w:val="en-US" w:eastAsia="zh-CN"/>
        </w:rPr>
        <w:t>2、矿石化学成分</w:t>
      </w:r>
    </w:p>
    <w:p w14:paraId="2709D36F">
      <w:pPr>
        <w:pStyle w:val="21"/>
        <w:bidi w:val="0"/>
        <w:rPr>
          <w:rFonts w:hint="default"/>
          <w:lang w:eastAsia="zh-CN"/>
        </w:rPr>
      </w:pPr>
      <w:r>
        <w:rPr>
          <w:rFonts w:hint="default"/>
          <w:lang w:eastAsia="zh-CN"/>
        </w:rPr>
        <w:t>矿石中主要有益组分为TFe、mFe。</w:t>
      </w:r>
    </w:p>
    <w:p w14:paraId="044B2047">
      <w:pPr>
        <w:pStyle w:val="21"/>
        <w:bidi w:val="0"/>
        <w:rPr>
          <w:rFonts w:hint="default"/>
          <w:lang w:eastAsia="zh-CN"/>
        </w:rPr>
      </w:pPr>
      <w:r>
        <w:rPr>
          <w:rFonts w:hint="default"/>
          <w:lang w:eastAsia="zh-CN"/>
        </w:rPr>
        <w:t>全矿床TFe一般含量平均品位为31.64%，mFe一般含量平均品位为24.61%。</w:t>
      </w:r>
    </w:p>
    <w:p w14:paraId="6EED3ECD">
      <w:pPr>
        <w:pStyle w:val="21"/>
        <w:bidi w:val="0"/>
        <w:rPr>
          <w:rFonts w:hint="default"/>
          <w:lang w:eastAsia="zh-CN"/>
        </w:rPr>
      </w:pPr>
      <w:r>
        <w:rPr>
          <w:rFonts w:hint="default"/>
          <w:lang w:eastAsia="zh-CN"/>
        </w:rPr>
        <w:t>Fe1矿体：TFe平均品位30.46%，mFe平均品位24.87%，TFe变化系数9.74%，mFe变化系数15.56%，属简单变化。</w:t>
      </w:r>
    </w:p>
    <w:p w14:paraId="747FEAC7">
      <w:pPr>
        <w:pStyle w:val="21"/>
        <w:bidi w:val="0"/>
        <w:rPr>
          <w:rFonts w:hint="default"/>
          <w:lang w:eastAsia="zh-CN"/>
        </w:rPr>
      </w:pPr>
      <w:r>
        <w:rPr>
          <w:rFonts w:hint="default"/>
          <w:lang w:eastAsia="zh-CN"/>
        </w:rPr>
        <w:t>Fe2-1矿体：TFe平均品位31.77%，mFe平均品位23.84%，TFe变化系数10.81%，mFe变化系数18.02%，属简单变化。</w:t>
      </w:r>
    </w:p>
    <w:p w14:paraId="0F907158">
      <w:pPr>
        <w:pStyle w:val="21"/>
        <w:bidi w:val="0"/>
        <w:rPr>
          <w:rFonts w:hint="default"/>
          <w:lang w:eastAsia="zh-CN"/>
        </w:rPr>
      </w:pPr>
      <w:r>
        <w:rPr>
          <w:rFonts w:hint="default"/>
          <w:lang w:eastAsia="zh-CN"/>
        </w:rPr>
        <w:t>Fe2-2矿体：TFe平均品位32.73%，mFe平均品位19.94%，TFe变化系数9.14%，mFe变化系数18.64%，属简单变化。</w:t>
      </w:r>
    </w:p>
    <w:p w14:paraId="3D83BF0E">
      <w:pPr>
        <w:pStyle w:val="21"/>
        <w:bidi w:val="0"/>
        <w:rPr>
          <w:rFonts w:hint="default"/>
          <w:lang w:eastAsia="zh-CN"/>
        </w:rPr>
      </w:pPr>
      <w:r>
        <w:rPr>
          <w:rFonts w:hint="default"/>
          <w:lang w:eastAsia="zh-CN"/>
        </w:rPr>
        <w:t>Fe3-1矿体：TFe平均品位33.75%，mFe平均品位28.13%，TFe变化系数16.11%，mFe变化系数34.02%，属简单变化。</w:t>
      </w:r>
    </w:p>
    <w:p w14:paraId="7E0E9A85">
      <w:pPr>
        <w:pStyle w:val="21"/>
        <w:bidi w:val="0"/>
        <w:rPr>
          <w:rFonts w:hint="default"/>
          <w:lang w:eastAsia="zh-CN"/>
        </w:rPr>
      </w:pPr>
      <w:r>
        <w:rPr>
          <w:rFonts w:hint="default"/>
          <w:lang w:eastAsia="zh-CN"/>
        </w:rPr>
        <w:t>Fe3-2矿体：TFe平均品位30.07%，mFe平均品位17.02%；TFe变化系数2.28%，mFe变化系数0.47%，属简单变化。</w:t>
      </w:r>
    </w:p>
    <w:p w14:paraId="7910FEA0">
      <w:pPr>
        <w:pStyle w:val="21"/>
        <w:bidi w:val="0"/>
        <w:rPr>
          <w:rFonts w:hint="default"/>
          <w:lang w:val="en-US" w:eastAsia="zh-CN"/>
        </w:rPr>
      </w:pPr>
      <w:r>
        <w:rPr>
          <w:rFonts w:hint="default"/>
          <w:lang w:eastAsia="zh-CN"/>
        </w:rPr>
        <w:t>矿石中主要有害组分为S、P、SiO</w:t>
      </w:r>
      <w:r>
        <w:rPr>
          <w:rFonts w:hint="default"/>
          <w:vertAlign w:val="subscript"/>
          <w:lang w:eastAsia="zh-CN"/>
        </w:rPr>
        <w:t>2</w:t>
      </w:r>
      <w:r>
        <w:rPr>
          <w:rFonts w:hint="default"/>
          <w:lang w:eastAsia="zh-CN"/>
        </w:rPr>
        <w:t>。</w:t>
      </w:r>
    </w:p>
    <w:p w14:paraId="14D849C9">
      <w:pPr>
        <w:pStyle w:val="21"/>
        <w:numPr>
          <w:ilvl w:val="0"/>
          <w:numId w:val="10"/>
        </w:numPr>
        <w:bidi w:val="0"/>
        <w:rPr>
          <w:rFonts w:hint="default"/>
          <w:lang w:val="en-US" w:eastAsia="zh-CN"/>
        </w:rPr>
      </w:pPr>
      <w:r>
        <w:rPr>
          <w:rFonts w:hint="default"/>
          <w:lang w:val="en-US" w:eastAsia="zh-CN"/>
        </w:rPr>
        <w:t>矿石</w:t>
      </w:r>
      <w:r>
        <w:rPr>
          <w:rFonts w:hint="eastAsia"/>
          <w:lang w:val="en-US" w:eastAsia="zh-CN"/>
        </w:rPr>
        <w:t>类型和品级</w:t>
      </w:r>
    </w:p>
    <w:p w14:paraId="4A3896EC">
      <w:pPr>
        <w:pStyle w:val="21"/>
        <w:bidi w:val="0"/>
        <w:rPr>
          <w:rFonts w:hint="default"/>
          <w:lang w:val="en-US" w:eastAsia="zh-CN"/>
        </w:rPr>
      </w:pPr>
      <w:r>
        <w:rPr>
          <w:rFonts w:hint="eastAsia"/>
          <w:lang w:val="en-US" w:eastAsia="zh-CN"/>
        </w:rPr>
        <w:t>1、矿石自然类型</w:t>
      </w:r>
    </w:p>
    <w:p w14:paraId="3A783773">
      <w:pPr>
        <w:pStyle w:val="21"/>
        <w:bidi w:val="0"/>
        <w:rPr>
          <w:rFonts w:hint="default"/>
          <w:lang w:val="en-US" w:eastAsia="zh-CN"/>
        </w:rPr>
      </w:pPr>
      <w:r>
        <w:rPr>
          <w:rFonts w:hint="default"/>
          <w:lang w:val="en-US" w:eastAsia="zh-CN"/>
        </w:rPr>
        <w:t>矿石自然类型主要为磁铁石英岩、角闪磁铁石英岩。</w:t>
      </w:r>
    </w:p>
    <w:p w14:paraId="7BF1D7E4">
      <w:pPr>
        <w:pStyle w:val="21"/>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磁铁石英岩：脉石矿物以石英为主，矿石矿物主要为磁铁矿，磁铁矿与石英呈黑白相间的韵律层分布，形成磁铁石英岩型铁矿石，具强磁性。</w:t>
      </w:r>
    </w:p>
    <w:p w14:paraId="04DD9583">
      <w:pPr>
        <w:pStyle w:val="21"/>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角闪磁铁石英岩：矿石为灰黑色-黑色，条带状构造。主要矿物成分为磁铁矿，脉石矿物主要为石英、角闪石。</w:t>
      </w:r>
    </w:p>
    <w:p w14:paraId="3010A88E">
      <w:pPr>
        <w:pStyle w:val="21"/>
        <w:bidi w:val="0"/>
        <w:rPr>
          <w:rFonts w:hint="default"/>
          <w:lang w:val="en-US" w:eastAsia="zh-CN"/>
        </w:rPr>
      </w:pPr>
      <w:r>
        <w:rPr>
          <w:rFonts w:hint="eastAsia"/>
          <w:lang w:val="en-US" w:eastAsia="zh-CN"/>
        </w:rPr>
        <w:t>2、</w:t>
      </w:r>
      <w:r>
        <w:rPr>
          <w:rFonts w:hint="default"/>
          <w:lang w:val="en-US" w:eastAsia="zh-CN"/>
        </w:rPr>
        <w:t>矿石工业类型</w:t>
      </w:r>
    </w:p>
    <w:p w14:paraId="639E1B9A">
      <w:pPr>
        <w:pStyle w:val="21"/>
        <w:bidi w:val="0"/>
        <w:rPr>
          <w:rFonts w:hint="default"/>
          <w:lang w:val="en-US" w:eastAsia="zh-CN"/>
        </w:rPr>
      </w:pPr>
      <w:r>
        <w:rPr>
          <w:rFonts w:hint="default"/>
          <w:lang w:val="en-US" w:eastAsia="zh-CN"/>
        </w:rPr>
        <w:t>依据磁性率计算：物相结果显示，磁性铁（mFe）对全铁（TFe）的占有率ω(mFe)/ω(TFe--siFe-sfFe-cFe)=90.98%＞85%，认定该矿石工业类型为需选磁铁矿。</w:t>
      </w:r>
    </w:p>
    <w:p w14:paraId="155DA06E">
      <w:pPr>
        <w:pStyle w:val="21"/>
        <w:bidi w:val="0"/>
        <w:rPr>
          <w:rFonts w:hint="eastAsia"/>
          <w:lang w:val="en-US" w:eastAsia="zh-CN"/>
        </w:rPr>
      </w:pPr>
      <w:r>
        <w:rPr>
          <w:rFonts w:hint="eastAsia"/>
          <w:lang w:val="en-US" w:eastAsia="zh-CN"/>
        </w:rPr>
        <w:t>3、矿石品级</w:t>
      </w:r>
    </w:p>
    <w:p w14:paraId="5237C3BE">
      <w:pPr>
        <w:pStyle w:val="21"/>
        <w:bidi w:val="0"/>
        <w:rPr>
          <w:rFonts w:hint="default"/>
          <w:lang w:val="en-US" w:eastAsia="zh-CN"/>
        </w:rPr>
      </w:pPr>
      <w:r>
        <w:rPr>
          <w:rFonts w:hint="default"/>
          <w:lang w:val="en-US" w:eastAsia="zh-CN"/>
        </w:rPr>
        <w:t>根据需选铁矿石一般工业指标，矿石品级可分为两类，一类为mFe≥20％，称矿石；另一类为15％≤mFe＜20％，称低品位矿石。</w:t>
      </w:r>
    </w:p>
    <w:p w14:paraId="5B8D9466">
      <w:pPr>
        <w:pStyle w:val="21"/>
        <w:numPr>
          <w:ilvl w:val="0"/>
          <w:numId w:val="10"/>
        </w:numPr>
        <w:bidi w:val="0"/>
        <w:rPr>
          <w:rFonts w:hint="default"/>
          <w:lang w:val="en-US" w:eastAsia="zh-CN"/>
        </w:rPr>
      </w:pPr>
      <w:r>
        <w:rPr>
          <w:rFonts w:hint="eastAsia"/>
          <w:lang w:val="en-US" w:eastAsia="zh-CN"/>
        </w:rPr>
        <w:t>矿体围岩和夹石</w:t>
      </w:r>
    </w:p>
    <w:p w14:paraId="39269A1C">
      <w:pPr>
        <w:pStyle w:val="21"/>
        <w:bidi w:val="0"/>
        <w:rPr>
          <w:rFonts w:hint="eastAsia"/>
          <w:lang w:val="en-US" w:eastAsia="zh-CN"/>
        </w:rPr>
      </w:pPr>
      <w:r>
        <w:rPr>
          <w:rFonts w:hint="eastAsia"/>
          <w:lang w:val="en-US" w:eastAsia="zh-CN"/>
        </w:rPr>
        <w:t>矿体顶底界面围岩均为鞍山群大峪沟组，岩性有石榴石英黑云片岩、透闪片岩、二云石英岩、硅化中细粒二长花岗岩、二云斜长变粒岩、矽线石英白云母片岩等。石榴石英黑云片岩、透闪片岩、二云石英岩、是近矿围岩。Fe1号矿体顶板岩石为二云石英岩，底板为透闪片岩；Fe2-1号矿体顶板岩石为石榴石英黑云片岩，底板为磁铁石英岩（夹石）；Fe2-2号矿体顶板岩石为石榴石英黑云片岩或磁铁石英岩（夹石），底板为透闪片岩；Fe3-1、Fe3-2号矿体顶板岩石为透闪片岩，底板为二云石英岩。矿体与围岩界线清楚，均为整合接触。</w:t>
      </w:r>
    </w:p>
    <w:p w14:paraId="24D1AE38">
      <w:pPr>
        <w:pStyle w:val="21"/>
        <w:bidi w:val="0"/>
        <w:rPr>
          <w:rFonts w:hint="eastAsia"/>
          <w:lang w:val="en-US" w:eastAsia="zh-CN"/>
        </w:rPr>
      </w:pPr>
      <w:r>
        <w:rPr>
          <w:rFonts w:hint="eastAsia"/>
          <w:lang w:val="en-US" w:eastAsia="zh-CN"/>
        </w:rPr>
        <w:t>矿体内部夹石较少，厚度大于1m的夹石单独圈出。Fe1中夹石最小厚度为1.97m，最大厚度为7.50m，平均厚度为4.30m，TFe平均含量为20.63％，mFe平均含量为7.80%。Fe2-1中夹石最小厚度为1.89m，最大厚度为3.47m，平均厚度为2.14m，TFe平均含量为21.21％，mFe平均含量为6.70%。Fe2-2中夹石最小厚度为1.04m，最大厚度为4.08m，平均厚度为2.13m，TFe平均含量为29.62％，mFe平均含量为10.22%。Fe3-1及Fe3-2未见夹石。</w:t>
      </w:r>
    </w:p>
    <w:p w14:paraId="2FF6053E">
      <w:pPr>
        <w:pStyle w:val="21"/>
        <w:bidi w:val="0"/>
        <w:rPr>
          <w:rFonts w:hint="default"/>
          <w:lang w:val="en-US" w:eastAsia="zh-CN"/>
        </w:rPr>
      </w:pPr>
      <w:r>
        <w:rPr>
          <w:rFonts w:hint="eastAsia"/>
          <w:lang w:val="en-US" w:eastAsia="zh-CN"/>
        </w:rPr>
        <w:t>综合考虑，矿区内夹石均为矿层夹石，夹石岩性与矿层相同，mFe含量小于15%，对矿体完整性影响较小</w:t>
      </w:r>
      <w:r>
        <w:rPr>
          <w:rFonts w:hint="default"/>
          <w:lang w:val="en-US" w:eastAsia="zh-CN"/>
        </w:rPr>
        <w:t>。</w:t>
      </w:r>
    </w:p>
    <w:p w14:paraId="07CEA08B">
      <w:pPr>
        <w:pStyle w:val="21"/>
        <w:numPr>
          <w:ilvl w:val="0"/>
          <w:numId w:val="10"/>
        </w:numPr>
        <w:bidi w:val="0"/>
        <w:rPr>
          <w:rFonts w:hint="default"/>
          <w:lang w:val="en-US" w:eastAsia="zh-CN"/>
        </w:rPr>
      </w:pPr>
      <w:r>
        <w:rPr>
          <w:rFonts w:hint="eastAsia"/>
          <w:lang w:val="en-US" w:eastAsia="zh-CN"/>
        </w:rPr>
        <w:t>矿床共（伴）生矿产</w:t>
      </w:r>
    </w:p>
    <w:p w14:paraId="5491AC86">
      <w:pPr>
        <w:pStyle w:val="21"/>
        <w:bidi w:val="0"/>
        <w:rPr>
          <w:rFonts w:hint="default"/>
          <w:lang w:val="en-US" w:eastAsia="zh-CN"/>
        </w:rPr>
      </w:pPr>
      <w:r>
        <w:rPr>
          <w:rFonts w:hint="eastAsia"/>
          <w:lang w:val="en-US" w:eastAsia="zh-CN"/>
        </w:rPr>
        <w:t>组合分析结果显示，矿区内铁矿石伴生组分平均含量分别为Cu平均含量0.0012%、Pb平均含量0.0012%、Zn平均含量0.0043%，含量较低，未达到铁矿石伴生组分评价指标，无工业价值。矿区内铁矿体目前未发现有经济价值的共、伴生矿产</w:t>
      </w:r>
      <w:r>
        <w:rPr>
          <w:rFonts w:hint="default"/>
          <w:lang w:val="en-US" w:eastAsia="zh-CN"/>
        </w:rPr>
        <w:t>。</w:t>
      </w:r>
    </w:p>
    <w:p w14:paraId="500C7482">
      <w:pPr>
        <w:pStyle w:val="21"/>
        <w:numPr>
          <w:ilvl w:val="0"/>
          <w:numId w:val="10"/>
        </w:numPr>
        <w:bidi w:val="0"/>
        <w:rPr>
          <w:rFonts w:hint="default"/>
          <w:lang w:val="en-US" w:eastAsia="zh-CN"/>
        </w:rPr>
      </w:pPr>
      <w:r>
        <w:rPr>
          <w:rFonts w:hint="default"/>
          <w:lang w:val="en-US" w:eastAsia="zh-CN"/>
        </w:rPr>
        <w:t>共伴生矿产</w:t>
      </w:r>
    </w:p>
    <w:p w14:paraId="663FC60E">
      <w:pPr>
        <w:pStyle w:val="21"/>
        <w:bidi w:val="0"/>
        <w:rPr>
          <w:rFonts w:hint="default"/>
          <w:lang w:val="en-US" w:eastAsia="zh-CN"/>
        </w:rPr>
      </w:pPr>
      <w:r>
        <w:rPr>
          <w:rFonts w:hint="default"/>
          <w:lang w:val="en-US" w:eastAsia="zh-CN"/>
        </w:rPr>
        <w:t>矿区内多金属矿床是以钼、铅、锌为主，未见有其他矿产。只有Ⅲ号矿体钼与铅锌矿共生，其他矽卡岩矿体中的钼和铅锌矿是分体，互不共生。斑岩钼矿内只有钼，未见有其了矿产。</w:t>
      </w:r>
    </w:p>
    <w:p w14:paraId="607AD2A5">
      <w:pPr>
        <w:pStyle w:val="28"/>
        <w:bidi w:val="0"/>
        <w:rPr>
          <w:rFonts w:hint="default"/>
          <w:lang w:val="en-US" w:eastAsia="zh-CN"/>
        </w:rPr>
      </w:pPr>
      <w:bookmarkStart w:id="18" w:name="_Toc138"/>
      <w:r>
        <w:rPr>
          <w:rFonts w:hint="eastAsia"/>
          <w:lang w:val="en-US" w:eastAsia="zh-CN"/>
        </w:rPr>
        <w:t>工程建设方案概况</w:t>
      </w:r>
      <w:bookmarkEnd w:id="18"/>
    </w:p>
    <w:p w14:paraId="48A6B354">
      <w:pPr>
        <w:pStyle w:val="29"/>
        <w:rPr>
          <w:rFonts w:hint="default"/>
          <w:lang w:val="en-US" w:eastAsia="zh-CN"/>
        </w:rPr>
      </w:pPr>
      <w:r>
        <w:rPr>
          <w:rFonts w:hint="eastAsia"/>
          <w:lang w:val="en-US" w:eastAsia="zh-CN"/>
        </w:rPr>
        <w:t>矿山开采现状</w:t>
      </w:r>
    </w:p>
    <w:p w14:paraId="63893ADF">
      <w:pPr>
        <w:pStyle w:val="21"/>
        <w:numPr>
          <w:ilvl w:val="0"/>
          <w:numId w:val="11"/>
        </w:numPr>
        <w:bidi w:val="0"/>
        <w:rPr>
          <w:rFonts w:hint="eastAsia"/>
          <w:lang w:val="en-US" w:eastAsia="zh-CN"/>
        </w:rPr>
      </w:pPr>
      <w:r>
        <w:rPr>
          <w:rFonts w:hint="eastAsia"/>
          <w:lang w:val="en-US" w:eastAsia="zh-CN"/>
        </w:rPr>
        <w:t>原有井巷</w:t>
      </w:r>
    </w:p>
    <w:p w14:paraId="704AA8FD">
      <w:pPr>
        <w:pStyle w:val="21"/>
        <w:bidi w:val="0"/>
        <w:rPr>
          <w:rFonts w:hint="default"/>
          <w:lang w:val="en-US" w:eastAsia="zh-CN"/>
        </w:rPr>
      </w:pPr>
      <w:r>
        <w:rPr>
          <w:rFonts w:hint="eastAsia"/>
          <w:lang w:val="en-US" w:eastAsia="zh-CN"/>
        </w:rPr>
        <w:t>根据2025年6月，兰州有色冶金设计研究院有限公司编制的《沈阳浑南矿业有限责任公司沈阳浑南矿业有限责任公司（铁矿）隐蔽致灾因素普查报告》</w:t>
      </w:r>
      <w:r>
        <w:rPr>
          <w:rFonts w:hint="default"/>
          <w:lang w:val="en-US" w:eastAsia="zh-CN"/>
        </w:rPr>
        <w:t>，</w:t>
      </w:r>
      <w:r>
        <w:rPr>
          <w:rFonts w:hint="eastAsia"/>
          <w:lang w:val="en-US" w:eastAsia="zh-CN"/>
        </w:rPr>
        <w:t>矿山</w:t>
      </w:r>
      <w:r>
        <w:rPr>
          <w:rFonts w:hint="default"/>
          <w:lang w:val="en-US" w:eastAsia="zh-CN"/>
        </w:rPr>
        <w:t>地下开采</w:t>
      </w:r>
      <w:r>
        <w:rPr>
          <w:rFonts w:hint="eastAsia"/>
          <w:lang w:val="en-US" w:eastAsia="zh-CN"/>
        </w:rPr>
        <w:t>期间，采用斜坡道</w:t>
      </w:r>
      <w:r>
        <w:rPr>
          <w:rFonts w:hint="default"/>
          <w:lang w:val="en-US" w:eastAsia="zh-CN"/>
        </w:rPr>
        <w:t>开拓</w:t>
      </w:r>
      <w:r>
        <w:rPr>
          <w:rFonts w:hint="eastAsia"/>
          <w:lang w:val="en-US" w:eastAsia="zh-CN"/>
        </w:rPr>
        <w:t>系统</w:t>
      </w:r>
      <w:r>
        <w:rPr>
          <w:rFonts w:hint="default"/>
          <w:lang w:val="en-US" w:eastAsia="zh-CN"/>
        </w:rPr>
        <w:t>，</w:t>
      </w:r>
      <w:r>
        <w:rPr>
          <w:rFonts w:hint="eastAsia"/>
          <w:lang w:val="en-US" w:eastAsia="zh-CN"/>
        </w:rPr>
        <w:t>采用斜坡道入风，</w:t>
      </w:r>
      <w:r>
        <w:rPr>
          <w:rFonts w:hint="default"/>
          <w:lang w:val="en-US" w:eastAsia="zh-CN"/>
        </w:rPr>
        <w:t>回风井回风的对角抽出式通风系统</w:t>
      </w:r>
      <w:r>
        <w:rPr>
          <w:rFonts w:hint="eastAsia"/>
          <w:lang w:val="en-US" w:eastAsia="zh-CN"/>
        </w:rPr>
        <w:t>，采矿方法采用无底柱分段崩落采矿方法。现有工程及开采情况如下：</w:t>
      </w:r>
    </w:p>
    <w:p w14:paraId="3627B71C">
      <w:pPr>
        <w:pStyle w:val="21"/>
        <w:bidi w:val="0"/>
        <w:rPr>
          <w:rFonts w:hint="default"/>
          <w:lang w:val="en-US" w:eastAsia="zh-CN"/>
        </w:rPr>
      </w:pPr>
      <w:r>
        <w:rPr>
          <w:rFonts w:hint="eastAsia"/>
          <w:lang w:val="en-US" w:eastAsia="zh-CN"/>
        </w:rPr>
        <w:t>1、</w:t>
      </w:r>
      <w:r>
        <w:rPr>
          <w:rFonts w:hint="default"/>
          <w:lang w:val="en-US" w:eastAsia="zh-CN"/>
        </w:rPr>
        <w:t>斜坡道</w:t>
      </w:r>
      <w:r>
        <w:rPr>
          <w:rFonts w:hint="eastAsia"/>
          <w:lang w:val="en-US" w:eastAsia="zh-CN"/>
        </w:rPr>
        <w:t>硐口位于</w:t>
      </w:r>
      <w:r>
        <w:rPr>
          <w:rFonts w:hint="default"/>
          <w:lang w:val="en-US" w:eastAsia="zh-CN"/>
        </w:rPr>
        <w:t>矿体下盘</w:t>
      </w:r>
      <w:r>
        <w:rPr>
          <w:rFonts w:hint="eastAsia"/>
          <w:lang w:val="zh-CN" w:eastAsia="zh-CN"/>
        </w:rPr>
        <w:t>N6+32</w:t>
      </w:r>
      <w:r>
        <w:rPr>
          <w:rFonts w:hint="default"/>
          <w:lang w:val="en-US" w:eastAsia="zh-CN"/>
        </w:rPr>
        <w:t>线</w:t>
      </w:r>
      <w:r>
        <w:rPr>
          <w:rFonts w:hint="eastAsia"/>
          <w:lang w:eastAsia="zh-CN"/>
        </w:rPr>
        <w:t>与</w:t>
      </w:r>
      <w:r>
        <w:rPr>
          <w:rFonts w:hint="eastAsia"/>
          <w:lang w:val="zh-CN" w:eastAsia="zh-CN"/>
        </w:rPr>
        <w:t>N</w:t>
      </w:r>
      <w:r>
        <w:rPr>
          <w:rFonts w:hint="eastAsia"/>
          <w:lang w:val="en-US" w:eastAsia="zh-CN"/>
        </w:rPr>
        <w:t>8</w:t>
      </w:r>
      <w:r>
        <w:rPr>
          <w:rFonts w:hint="default"/>
          <w:lang w:eastAsia="zh-CN"/>
        </w:rPr>
        <w:t>线</w:t>
      </w:r>
      <w:r>
        <w:rPr>
          <w:rFonts w:hint="eastAsia"/>
          <w:lang w:eastAsia="zh-CN"/>
        </w:rPr>
        <w:t>之间</w:t>
      </w:r>
      <w:r>
        <w:rPr>
          <w:rFonts w:hint="default"/>
          <w:lang w:val="en-US" w:eastAsia="zh-CN"/>
        </w:rPr>
        <w:t>，位于岩石</w:t>
      </w:r>
      <w:r>
        <w:rPr>
          <w:rFonts w:hint="eastAsia"/>
          <w:lang w:val="en-US" w:eastAsia="zh-CN"/>
        </w:rPr>
        <w:t>移</w:t>
      </w:r>
      <w:r>
        <w:rPr>
          <w:rFonts w:hint="default"/>
          <w:lang w:val="en-US" w:eastAsia="zh-CN"/>
        </w:rPr>
        <w:t>动界线20m以外，硐口</w:t>
      </w:r>
      <w:r>
        <w:rPr>
          <w:rFonts w:hint="eastAsia"/>
          <w:lang w:val="en-US" w:eastAsia="zh-CN"/>
        </w:rPr>
        <w:t>标高64</w:t>
      </w:r>
      <w:r>
        <w:rPr>
          <w:rFonts w:hint="default"/>
          <w:lang w:val="en-US" w:eastAsia="zh-CN"/>
        </w:rPr>
        <w:t>m，</w:t>
      </w:r>
      <w:r>
        <w:rPr>
          <w:rFonts w:hint="eastAsia"/>
          <w:lang w:val="en-US" w:eastAsia="zh-CN"/>
        </w:rPr>
        <w:t>底标高-96m，</w:t>
      </w:r>
      <w:r>
        <w:rPr>
          <w:rFonts w:hint="default"/>
          <w:lang w:val="en-US" w:eastAsia="zh-CN"/>
        </w:rPr>
        <w:t>限制坡度1</w:t>
      </w:r>
      <w:r>
        <w:rPr>
          <w:rFonts w:hint="eastAsia"/>
          <w:lang w:val="en-US" w:eastAsia="zh-CN"/>
        </w:rPr>
        <w:t>2</w:t>
      </w:r>
      <w:r>
        <w:rPr>
          <w:rFonts w:hint="default"/>
          <w:lang w:val="en-US" w:eastAsia="zh-CN"/>
        </w:rPr>
        <w:t>％，斜坡道</w:t>
      </w:r>
      <w:r>
        <w:rPr>
          <w:rFonts w:hint="eastAsia"/>
          <w:lang w:val="en-US" w:eastAsia="zh-CN"/>
        </w:rPr>
        <w:t>全长2002</w:t>
      </w:r>
      <w:r>
        <w:rPr>
          <w:rFonts w:hint="default"/>
          <w:lang w:val="en-US" w:eastAsia="zh-CN"/>
        </w:rPr>
        <w:t>m，净宽</w:t>
      </w:r>
      <w:r>
        <w:rPr>
          <w:rFonts w:hint="eastAsia"/>
          <w:lang w:val="en-US" w:eastAsia="zh-CN"/>
        </w:rPr>
        <w:t>5.0</w:t>
      </w:r>
      <w:r>
        <w:rPr>
          <w:rFonts w:hint="default"/>
          <w:lang w:val="en-US" w:eastAsia="zh-CN"/>
        </w:rPr>
        <w:t>m，净高</w:t>
      </w:r>
      <w:r>
        <w:rPr>
          <w:rFonts w:hint="eastAsia"/>
          <w:lang w:val="en-US" w:eastAsia="zh-CN"/>
        </w:rPr>
        <w:t>4.7</w:t>
      </w:r>
      <w:r>
        <w:rPr>
          <w:rFonts w:hint="default"/>
          <w:lang w:val="en-US" w:eastAsia="zh-CN"/>
        </w:rPr>
        <w:t>m，净断面</w:t>
      </w:r>
      <w:r>
        <w:rPr>
          <w:rFonts w:hint="eastAsia"/>
          <w:lang w:val="en-US" w:eastAsia="zh-CN"/>
        </w:rPr>
        <w:t>21.78</w:t>
      </w:r>
      <w:r>
        <w:rPr>
          <w:rFonts w:hint="default"/>
          <w:lang w:val="en-US" w:eastAsia="zh-CN"/>
        </w:rPr>
        <w:t>m</w:t>
      </w:r>
      <w:r>
        <w:rPr>
          <w:rFonts w:hint="default"/>
          <w:vertAlign w:val="superscript"/>
          <w:lang w:val="en-US" w:eastAsia="zh-CN"/>
        </w:rPr>
        <w:t>2</w:t>
      </w:r>
      <w:r>
        <w:rPr>
          <w:rFonts w:hint="default"/>
          <w:lang w:val="en-US" w:eastAsia="zh-CN"/>
        </w:rPr>
        <w:t>，斜坡道内设有人行道。斜坡道</w:t>
      </w:r>
      <w:r>
        <w:rPr>
          <w:rFonts w:hint="eastAsia"/>
          <w:lang w:val="en-US" w:eastAsia="zh-CN"/>
        </w:rPr>
        <w:t>工程现状条件下稳定，支护情况良好。</w:t>
      </w:r>
    </w:p>
    <w:p w14:paraId="1516C247">
      <w:pPr>
        <w:pStyle w:val="21"/>
        <w:bidi w:val="0"/>
        <w:rPr>
          <w:rFonts w:hint="default"/>
          <w:lang w:val="en-US" w:eastAsia="zh-CN"/>
        </w:rPr>
      </w:pPr>
      <w:r>
        <w:rPr>
          <w:rFonts w:hint="eastAsia"/>
          <w:lang w:val="en-US" w:eastAsia="zh-CN"/>
        </w:rPr>
        <w:t>2、回风井</w:t>
      </w:r>
      <w:r>
        <w:rPr>
          <w:rFonts w:hint="default"/>
          <w:lang w:eastAsia="zh-CN"/>
        </w:rPr>
        <w:t>位于</w:t>
      </w:r>
      <w:r>
        <w:rPr>
          <w:rFonts w:hint="eastAsia"/>
          <w:lang w:val="zh-CN" w:eastAsia="zh-CN"/>
        </w:rPr>
        <w:t>N</w:t>
      </w:r>
      <w:r>
        <w:rPr>
          <w:rFonts w:hint="eastAsia"/>
          <w:lang w:val="en-US" w:eastAsia="zh-CN"/>
        </w:rPr>
        <w:t>0</w:t>
      </w:r>
      <w:r>
        <w:rPr>
          <w:rFonts w:hint="eastAsia"/>
          <w:lang w:eastAsia="zh-CN"/>
        </w:rPr>
        <w:t>线与</w:t>
      </w:r>
      <w:r>
        <w:rPr>
          <w:rFonts w:hint="eastAsia"/>
          <w:lang w:val="zh-CN" w:eastAsia="zh-CN"/>
        </w:rPr>
        <w:t>N</w:t>
      </w:r>
      <w:r>
        <w:rPr>
          <w:rFonts w:hint="eastAsia"/>
          <w:lang w:val="en-US" w:eastAsia="zh-CN"/>
        </w:rPr>
        <w:t>2</w:t>
      </w:r>
      <w:r>
        <w:rPr>
          <w:rFonts w:hint="default"/>
          <w:lang w:eastAsia="zh-CN"/>
        </w:rPr>
        <w:t>线</w:t>
      </w:r>
      <w:r>
        <w:rPr>
          <w:rFonts w:hint="eastAsia"/>
          <w:lang w:eastAsia="zh-CN"/>
        </w:rPr>
        <w:t>之间</w:t>
      </w:r>
      <w:r>
        <w:rPr>
          <w:rFonts w:hint="default"/>
          <w:lang w:eastAsia="zh-CN"/>
        </w:rPr>
        <w:t>，岩石</w:t>
      </w:r>
      <w:r>
        <w:rPr>
          <w:rFonts w:hint="eastAsia"/>
          <w:lang w:eastAsia="zh-CN"/>
        </w:rPr>
        <w:t>移动</w:t>
      </w:r>
      <w:r>
        <w:rPr>
          <w:rFonts w:hint="default"/>
          <w:lang w:eastAsia="zh-CN"/>
        </w:rPr>
        <w:t>界线20m以外，井口</w:t>
      </w:r>
      <w:r>
        <w:rPr>
          <w:rFonts w:hint="eastAsia"/>
          <w:lang w:val="en-US" w:eastAsia="zh-CN"/>
        </w:rPr>
        <w:t>标高99</w:t>
      </w:r>
      <w:r>
        <w:rPr>
          <w:rFonts w:hint="default"/>
          <w:lang w:eastAsia="zh-CN"/>
        </w:rPr>
        <w:t>m，井底标高-</w:t>
      </w:r>
      <w:r>
        <w:rPr>
          <w:rFonts w:hint="eastAsia"/>
          <w:lang w:val="en-US" w:eastAsia="zh-CN"/>
        </w:rPr>
        <w:t>96</w:t>
      </w:r>
      <w:r>
        <w:rPr>
          <w:rFonts w:hint="default"/>
          <w:lang w:eastAsia="zh-CN"/>
        </w:rPr>
        <w:t>m</w:t>
      </w:r>
      <w:r>
        <w:rPr>
          <w:rFonts w:hint="eastAsia"/>
          <w:lang w:val="en-US" w:eastAsia="zh-CN"/>
        </w:rPr>
        <w:t>，</w:t>
      </w:r>
      <w:r>
        <w:rPr>
          <w:rFonts w:hint="default"/>
          <w:lang w:eastAsia="zh-CN"/>
        </w:rPr>
        <w:t>井筒深</w:t>
      </w:r>
      <w:r>
        <w:rPr>
          <w:rFonts w:hint="eastAsia"/>
          <w:lang w:val="en-US" w:eastAsia="zh-CN"/>
        </w:rPr>
        <w:t>195</w:t>
      </w:r>
      <w:r>
        <w:rPr>
          <w:rFonts w:hint="default"/>
          <w:lang w:eastAsia="zh-CN"/>
        </w:rPr>
        <w:t>m，断面为圆形Φ</w:t>
      </w:r>
      <w:r>
        <w:rPr>
          <w:rFonts w:hint="eastAsia"/>
          <w:lang w:val="en-US" w:eastAsia="zh-CN"/>
        </w:rPr>
        <w:t>3</w:t>
      </w:r>
      <w:r>
        <w:rPr>
          <w:rFonts w:hint="default"/>
          <w:lang w:eastAsia="zh-CN"/>
        </w:rPr>
        <w:t>m，井筒内设有梯子间，</w:t>
      </w:r>
      <w:r>
        <w:rPr>
          <w:rFonts w:hint="eastAsia"/>
          <w:lang w:val="en-US" w:eastAsia="zh-CN"/>
        </w:rPr>
        <w:t>回风井工程现状条件下稳定，支护情况良好。</w:t>
      </w:r>
    </w:p>
    <w:p w14:paraId="097BDC4E">
      <w:pPr>
        <w:pStyle w:val="21"/>
        <w:bidi w:val="0"/>
        <w:rPr>
          <w:rFonts w:hint="eastAsia"/>
          <w:lang w:val="en-US" w:eastAsia="zh-CN"/>
        </w:rPr>
      </w:pPr>
      <w:r>
        <w:rPr>
          <w:rFonts w:hint="eastAsia"/>
          <w:lang w:val="en-US" w:eastAsia="zh-CN"/>
        </w:rPr>
        <w:t>3、井下现已形成-24m中段、-36m分段、-48m中段、-60m分段、-72m分段-84m分段和-96m中段巷道工程。</w:t>
      </w:r>
    </w:p>
    <w:p w14:paraId="647DF829">
      <w:pPr>
        <w:pStyle w:val="30"/>
        <w:bidi w:val="0"/>
        <w:rPr>
          <w:rFonts w:hint="eastAsia"/>
          <w:lang w:val="en-US" w:eastAsia="zh-CN"/>
        </w:rPr>
      </w:pPr>
      <w:r>
        <w:rPr>
          <w:rFonts w:hint="default"/>
          <w:lang w:val="en-US" w:eastAsia="zh-CN"/>
        </w:rPr>
        <w:t>表</w:t>
      </w:r>
      <w:r>
        <w:rPr>
          <w:rFonts w:hint="eastAsia"/>
          <w:lang w:val="en-US" w:eastAsia="zh-CN"/>
        </w:rPr>
        <w:t>2.4-1  现有工程相关参数及利用情况表</w:t>
      </w:r>
    </w:p>
    <w:tbl>
      <w:tblPr>
        <w:tblStyle w:val="25"/>
        <w:tblW w:w="510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50"/>
        <w:gridCol w:w="951"/>
        <w:gridCol w:w="916"/>
        <w:gridCol w:w="912"/>
        <w:gridCol w:w="1005"/>
        <w:gridCol w:w="1165"/>
        <w:gridCol w:w="1014"/>
        <w:gridCol w:w="1165"/>
        <w:gridCol w:w="1229"/>
      </w:tblGrid>
      <w:tr w14:paraId="6B1B97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0" w:type="pct"/>
            <w:vAlign w:val="center"/>
          </w:tcPr>
          <w:p w14:paraId="1A6DAD93">
            <w:pPr>
              <w:pStyle w:val="31"/>
              <w:widowControl w:val="0"/>
              <w:bidi w:val="0"/>
              <w:rPr>
                <w:rFonts w:hint="default"/>
                <w:lang w:val="en-US" w:eastAsia="zh-CN"/>
              </w:rPr>
            </w:pPr>
            <w:r>
              <w:rPr>
                <w:rFonts w:hint="eastAsia"/>
                <w:lang w:val="en-US" w:eastAsia="zh-CN"/>
              </w:rPr>
              <w:t>工程名称</w:t>
            </w:r>
          </w:p>
        </w:tc>
        <w:tc>
          <w:tcPr>
            <w:tcW w:w="494" w:type="pct"/>
            <w:vAlign w:val="center"/>
          </w:tcPr>
          <w:p w14:paraId="255B2E39">
            <w:pPr>
              <w:pStyle w:val="31"/>
              <w:widowControl w:val="0"/>
              <w:bidi w:val="0"/>
              <w:rPr>
                <w:rFonts w:hint="default"/>
                <w:lang w:val="en-US" w:eastAsia="zh-CN"/>
              </w:rPr>
            </w:pPr>
            <w:r>
              <w:rPr>
                <w:rFonts w:hint="eastAsia"/>
                <w:lang w:val="en-US" w:eastAsia="zh-CN"/>
              </w:rPr>
              <w:t>井口标高（</w:t>
            </w:r>
            <w:r>
              <w:rPr>
                <w:rFonts w:hint="default"/>
                <w:lang w:val="en-US" w:eastAsia="zh-CN"/>
              </w:rPr>
              <w:t>m</w:t>
            </w:r>
            <w:r>
              <w:rPr>
                <w:rFonts w:hint="eastAsia"/>
                <w:lang w:val="en-US" w:eastAsia="zh-CN"/>
              </w:rPr>
              <w:t>）</w:t>
            </w:r>
          </w:p>
        </w:tc>
        <w:tc>
          <w:tcPr>
            <w:tcW w:w="476" w:type="pct"/>
            <w:vAlign w:val="center"/>
          </w:tcPr>
          <w:p w14:paraId="18B9EE20">
            <w:pPr>
              <w:pStyle w:val="31"/>
              <w:widowControl w:val="0"/>
              <w:bidi w:val="0"/>
              <w:rPr>
                <w:rFonts w:hint="default"/>
                <w:lang w:val="en-US" w:eastAsia="zh-CN"/>
              </w:rPr>
            </w:pPr>
            <w:r>
              <w:rPr>
                <w:rFonts w:hint="eastAsia"/>
                <w:lang w:val="en-US" w:eastAsia="zh-CN"/>
              </w:rPr>
              <w:t>井底标高（</w:t>
            </w:r>
            <w:r>
              <w:rPr>
                <w:rFonts w:hint="default"/>
                <w:lang w:val="en-US" w:eastAsia="zh-CN"/>
              </w:rPr>
              <w:t>m</w:t>
            </w:r>
            <w:r>
              <w:rPr>
                <w:rFonts w:hint="eastAsia"/>
                <w:lang w:val="en-US" w:eastAsia="zh-CN"/>
              </w:rPr>
              <w:t>）</w:t>
            </w:r>
          </w:p>
        </w:tc>
        <w:tc>
          <w:tcPr>
            <w:tcW w:w="474" w:type="pct"/>
            <w:vAlign w:val="center"/>
          </w:tcPr>
          <w:p w14:paraId="3298C3A4">
            <w:pPr>
              <w:pStyle w:val="31"/>
              <w:widowControl w:val="0"/>
              <w:bidi w:val="0"/>
              <w:rPr>
                <w:rFonts w:hint="default"/>
                <w:lang w:val="en-US" w:eastAsia="zh-CN"/>
              </w:rPr>
            </w:pPr>
            <w:r>
              <w:rPr>
                <w:rFonts w:hint="eastAsia"/>
                <w:lang w:val="en-US" w:eastAsia="zh-CN"/>
              </w:rPr>
              <w:t>断面（</w:t>
            </w:r>
            <w:r>
              <w:rPr>
                <w:rFonts w:hint="default"/>
                <w:lang w:val="en-US" w:eastAsia="zh-CN"/>
              </w:rPr>
              <w:t>m²</w:t>
            </w:r>
            <w:r>
              <w:rPr>
                <w:rFonts w:hint="eastAsia"/>
                <w:lang w:val="en-US" w:eastAsia="zh-CN"/>
              </w:rPr>
              <w:t>）</w:t>
            </w:r>
          </w:p>
        </w:tc>
        <w:tc>
          <w:tcPr>
            <w:tcW w:w="523" w:type="pct"/>
            <w:shd w:val="clear" w:color="auto" w:fill="auto"/>
            <w:vAlign w:val="center"/>
          </w:tcPr>
          <w:p w14:paraId="12716B29">
            <w:pPr>
              <w:pStyle w:val="31"/>
              <w:widowControl w:val="0"/>
              <w:bidi w:val="0"/>
              <w:rPr>
                <w:rFonts w:hint="eastAsia"/>
                <w:lang w:val="en-US" w:eastAsia="zh-CN"/>
              </w:rPr>
            </w:pPr>
            <w:r>
              <w:rPr>
                <w:rFonts w:hint="eastAsia"/>
                <w:lang w:val="en-US" w:eastAsia="zh-CN"/>
              </w:rPr>
              <w:t>设计利用长度（</w:t>
            </w:r>
            <w:r>
              <w:rPr>
                <w:rFonts w:hint="default"/>
                <w:lang w:val="en-US" w:eastAsia="zh-CN"/>
              </w:rPr>
              <w:t>m</w:t>
            </w:r>
            <w:r>
              <w:rPr>
                <w:rFonts w:hint="eastAsia"/>
                <w:lang w:val="en-US" w:eastAsia="zh-CN"/>
              </w:rPr>
              <w:t>）</w:t>
            </w:r>
          </w:p>
        </w:tc>
        <w:tc>
          <w:tcPr>
            <w:tcW w:w="606" w:type="pct"/>
            <w:shd w:val="clear" w:color="auto" w:fill="auto"/>
            <w:vAlign w:val="center"/>
          </w:tcPr>
          <w:p w14:paraId="5BDAF78E">
            <w:pPr>
              <w:pStyle w:val="31"/>
              <w:widowControl w:val="0"/>
              <w:bidi w:val="0"/>
              <w:rPr>
                <w:rFonts w:hint="eastAsia"/>
                <w:lang w:val="en-US" w:eastAsia="zh-CN"/>
              </w:rPr>
            </w:pPr>
            <w:r>
              <w:rPr>
                <w:rFonts w:hint="eastAsia"/>
                <w:lang w:val="en-US" w:eastAsia="zh-CN"/>
              </w:rPr>
              <w:t>设计利用工程量（</w:t>
            </w:r>
            <w:r>
              <w:rPr>
                <w:rFonts w:hint="default"/>
                <w:lang w:val="en-US" w:eastAsia="zh-CN"/>
              </w:rPr>
              <w:t>m</w:t>
            </w:r>
            <w:r>
              <w:rPr>
                <w:rFonts w:hint="eastAsia"/>
                <w:lang w:val="en-US" w:eastAsia="zh-CN"/>
              </w:rPr>
              <w:t>³）</w:t>
            </w:r>
          </w:p>
        </w:tc>
        <w:tc>
          <w:tcPr>
            <w:tcW w:w="527" w:type="pct"/>
            <w:shd w:val="clear" w:color="auto" w:fill="auto"/>
            <w:vAlign w:val="center"/>
          </w:tcPr>
          <w:p w14:paraId="5FF1127C">
            <w:pPr>
              <w:pStyle w:val="31"/>
              <w:widowControl w:val="0"/>
              <w:bidi w:val="0"/>
              <w:rPr>
                <w:rFonts w:hint="eastAsia"/>
                <w:lang w:val="en-US" w:eastAsia="zh-CN"/>
              </w:rPr>
            </w:pPr>
            <w:r>
              <w:rPr>
                <w:rFonts w:hint="eastAsia"/>
                <w:lang w:val="en-US" w:eastAsia="zh-CN"/>
              </w:rPr>
              <w:t>废弃长度（</w:t>
            </w:r>
            <w:r>
              <w:rPr>
                <w:rFonts w:hint="default"/>
                <w:lang w:val="en-US" w:eastAsia="zh-CN"/>
              </w:rPr>
              <w:t>m</w:t>
            </w:r>
            <w:r>
              <w:rPr>
                <w:rFonts w:hint="eastAsia"/>
                <w:lang w:val="en-US" w:eastAsia="zh-CN"/>
              </w:rPr>
              <w:t>³）</w:t>
            </w:r>
          </w:p>
        </w:tc>
        <w:tc>
          <w:tcPr>
            <w:tcW w:w="606" w:type="pct"/>
            <w:shd w:val="clear" w:color="auto" w:fill="auto"/>
            <w:vAlign w:val="center"/>
          </w:tcPr>
          <w:p w14:paraId="326A56F1">
            <w:pPr>
              <w:pStyle w:val="31"/>
              <w:widowControl w:val="0"/>
              <w:bidi w:val="0"/>
              <w:rPr>
                <w:rFonts w:hint="eastAsia"/>
                <w:lang w:val="en-US" w:eastAsia="zh-CN"/>
              </w:rPr>
            </w:pPr>
            <w:r>
              <w:rPr>
                <w:rFonts w:hint="eastAsia"/>
                <w:lang w:val="en-US" w:eastAsia="zh-CN"/>
              </w:rPr>
              <w:t>废弃工程量（</w:t>
            </w:r>
            <w:r>
              <w:rPr>
                <w:rFonts w:hint="default"/>
                <w:lang w:val="en-US" w:eastAsia="zh-CN"/>
              </w:rPr>
              <w:t>m</w:t>
            </w:r>
            <w:r>
              <w:rPr>
                <w:rFonts w:hint="eastAsia"/>
                <w:lang w:val="en-US" w:eastAsia="zh-CN"/>
              </w:rPr>
              <w:t>³）</w:t>
            </w:r>
          </w:p>
        </w:tc>
        <w:tc>
          <w:tcPr>
            <w:tcW w:w="639" w:type="pct"/>
            <w:shd w:val="clear" w:color="auto" w:fill="auto"/>
            <w:vAlign w:val="center"/>
          </w:tcPr>
          <w:p w14:paraId="3635062C">
            <w:pPr>
              <w:pStyle w:val="31"/>
              <w:widowControl w:val="0"/>
              <w:bidi w:val="0"/>
              <w:rPr>
                <w:rFonts w:hint="eastAsia"/>
                <w:lang w:val="en-US" w:eastAsia="zh-CN"/>
              </w:rPr>
            </w:pPr>
            <w:r>
              <w:rPr>
                <w:rFonts w:hint="eastAsia"/>
                <w:lang w:val="en-US" w:eastAsia="zh-CN"/>
              </w:rPr>
              <w:t>设计利用情况</w:t>
            </w:r>
          </w:p>
        </w:tc>
      </w:tr>
      <w:tr w14:paraId="0BD40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0" w:type="pct"/>
            <w:vAlign w:val="center"/>
          </w:tcPr>
          <w:p w14:paraId="0A3D3CC0">
            <w:pPr>
              <w:pStyle w:val="31"/>
              <w:widowControl w:val="0"/>
              <w:bidi w:val="0"/>
              <w:rPr>
                <w:rFonts w:hint="default"/>
                <w:lang w:val="en-US" w:eastAsia="zh-CN"/>
              </w:rPr>
            </w:pPr>
            <w:r>
              <w:rPr>
                <w:rFonts w:hint="eastAsia"/>
                <w:lang w:val="en-US" w:eastAsia="zh-CN"/>
              </w:rPr>
              <w:t>斜坡道</w:t>
            </w:r>
          </w:p>
        </w:tc>
        <w:tc>
          <w:tcPr>
            <w:tcW w:w="494" w:type="pct"/>
            <w:vAlign w:val="center"/>
          </w:tcPr>
          <w:p w14:paraId="08499874">
            <w:pPr>
              <w:pStyle w:val="31"/>
              <w:widowControl w:val="0"/>
              <w:bidi w:val="0"/>
              <w:rPr>
                <w:rFonts w:hint="default"/>
                <w:lang w:val="en-US" w:eastAsia="zh-CN"/>
              </w:rPr>
            </w:pPr>
            <w:r>
              <w:rPr>
                <w:rFonts w:hint="eastAsia"/>
                <w:lang w:val="en-US" w:eastAsia="zh-CN"/>
              </w:rPr>
              <w:t>64</w:t>
            </w:r>
          </w:p>
        </w:tc>
        <w:tc>
          <w:tcPr>
            <w:tcW w:w="476" w:type="pct"/>
            <w:vAlign w:val="center"/>
          </w:tcPr>
          <w:p w14:paraId="51032A03">
            <w:pPr>
              <w:pStyle w:val="31"/>
              <w:widowControl w:val="0"/>
              <w:bidi w:val="0"/>
              <w:rPr>
                <w:rFonts w:hint="default"/>
                <w:lang w:val="en-US" w:eastAsia="zh-CN"/>
              </w:rPr>
            </w:pPr>
            <w:r>
              <w:rPr>
                <w:rFonts w:hint="eastAsia"/>
                <w:lang w:val="en-US" w:eastAsia="zh-CN"/>
              </w:rPr>
              <w:t>-96</w:t>
            </w:r>
          </w:p>
        </w:tc>
        <w:tc>
          <w:tcPr>
            <w:tcW w:w="474" w:type="pct"/>
            <w:vAlign w:val="center"/>
          </w:tcPr>
          <w:p w14:paraId="0FE26194">
            <w:pPr>
              <w:pStyle w:val="31"/>
              <w:widowControl w:val="0"/>
              <w:bidi w:val="0"/>
              <w:rPr>
                <w:rFonts w:hint="default"/>
                <w:lang w:val="en-US" w:eastAsia="zh-CN"/>
              </w:rPr>
            </w:pPr>
            <w:r>
              <w:rPr>
                <w:rFonts w:hint="eastAsia"/>
                <w:lang w:val="en-US" w:eastAsia="zh-CN"/>
              </w:rPr>
              <w:t>21.78</w:t>
            </w:r>
          </w:p>
        </w:tc>
        <w:tc>
          <w:tcPr>
            <w:tcW w:w="911" w:type="dxa"/>
            <w:shd w:val="clear" w:color="auto" w:fill="auto"/>
            <w:vAlign w:val="center"/>
          </w:tcPr>
          <w:p w14:paraId="324B83EE">
            <w:pPr>
              <w:pStyle w:val="31"/>
              <w:widowControl w:val="0"/>
              <w:bidi w:val="0"/>
              <w:rPr>
                <w:rFonts w:hint="default"/>
                <w:lang w:val="en-US" w:eastAsia="zh-CN"/>
              </w:rPr>
            </w:pPr>
            <w:r>
              <w:rPr>
                <w:rFonts w:hint="eastAsia"/>
                <w:lang w:val="en-US" w:eastAsia="zh-CN"/>
              </w:rPr>
              <w:t>900</w:t>
            </w:r>
          </w:p>
        </w:tc>
        <w:tc>
          <w:tcPr>
            <w:tcW w:w="1056" w:type="dxa"/>
            <w:shd w:val="clear" w:color="auto" w:fill="auto"/>
            <w:vAlign w:val="center"/>
          </w:tcPr>
          <w:p w14:paraId="7F55D20E">
            <w:pPr>
              <w:pStyle w:val="31"/>
              <w:widowControl w:val="0"/>
              <w:bidi w:val="0"/>
              <w:rPr>
                <w:rFonts w:hint="default"/>
                <w:lang w:val="en-US" w:eastAsia="zh-CN"/>
              </w:rPr>
            </w:pPr>
            <w:r>
              <w:rPr>
                <w:rFonts w:hint="eastAsia"/>
                <w:lang w:val="en-US" w:eastAsia="zh-CN"/>
              </w:rPr>
              <w:t>19602</w:t>
            </w:r>
          </w:p>
        </w:tc>
        <w:tc>
          <w:tcPr>
            <w:tcW w:w="919" w:type="dxa"/>
            <w:shd w:val="clear" w:color="auto" w:fill="auto"/>
            <w:vAlign w:val="center"/>
          </w:tcPr>
          <w:p w14:paraId="3ED2C3DF">
            <w:pPr>
              <w:pStyle w:val="31"/>
              <w:widowControl w:val="0"/>
              <w:bidi w:val="0"/>
              <w:rPr>
                <w:rFonts w:hint="eastAsia"/>
                <w:lang w:val="en-US" w:eastAsia="zh-CN"/>
              </w:rPr>
            </w:pPr>
            <w:r>
              <w:rPr>
                <w:rFonts w:hint="eastAsia"/>
                <w:lang w:val="en-US" w:eastAsia="zh-CN"/>
              </w:rPr>
              <w:t>1102</w:t>
            </w:r>
          </w:p>
        </w:tc>
        <w:tc>
          <w:tcPr>
            <w:tcW w:w="1056" w:type="dxa"/>
            <w:shd w:val="clear" w:color="auto" w:fill="auto"/>
            <w:vAlign w:val="center"/>
          </w:tcPr>
          <w:p w14:paraId="76E8FB15">
            <w:pPr>
              <w:pStyle w:val="31"/>
              <w:widowControl w:val="0"/>
              <w:bidi w:val="0"/>
              <w:rPr>
                <w:rFonts w:hint="eastAsia"/>
                <w:lang w:val="en-US" w:eastAsia="zh-CN"/>
              </w:rPr>
            </w:pPr>
            <w:r>
              <w:rPr>
                <w:rFonts w:hint="eastAsia"/>
                <w:lang w:val="en-US" w:eastAsia="zh-CN"/>
              </w:rPr>
              <w:t>24001.56</w:t>
            </w:r>
          </w:p>
        </w:tc>
        <w:tc>
          <w:tcPr>
            <w:tcW w:w="639" w:type="pct"/>
            <w:shd w:val="clear" w:color="auto" w:fill="auto"/>
            <w:vAlign w:val="center"/>
          </w:tcPr>
          <w:p w14:paraId="741ADEE5">
            <w:pPr>
              <w:pStyle w:val="31"/>
              <w:widowControl w:val="0"/>
              <w:bidi w:val="0"/>
              <w:rPr>
                <w:rFonts w:hint="eastAsia"/>
                <w:lang w:val="en-US" w:eastAsia="zh-CN"/>
              </w:rPr>
            </w:pPr>
            <w:r>
              <w:rPr>
                <w:rFonts w:hint="eastAsia"/>
                <w:lang w:val="en-US" w:eastAsia="zh-CN"/>
              </w:rPr>
              <w:t>部分利用</w:t>
            </w:r>
          </w:p>
        </w:tc>
      </w:tr>
      <w:tr w14:paraId="520CA2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0" w:type="pct"/>
            <w:vAlign w:val="center"/>
          </w:tcPr>
          <w:p w14:paraId="0D2AE261">
            <w:pPr>
              <w:pStyle w:val="31"/>
              <w:widowControl w:val="0"/>
              <w:bidi w:val="0"/>
              <w:rPr>
                <w:rFonts w:hint="default"/>
                <w:lang w:val="en-US" w:eastAsia="zh-CN"/>
              </w:rPr>
            </w:pPr>
            <w:r>
              <w:rPr>
                <w:rFonts w:hint="eastAsia"/>
                <w:lang w:val="en-US" w:eastAsia="zh-CN"/>
              </w:rPr>
              <w:t>回风井</w:t>
            </w:r>
          </w:p>
        </w:tc>
        <w:tc>
          <w:tcPr>
            <w:tcW w:w="494" w:type="pct"/>
            <w:vAlign w:val="center"/>
          </w:tcPr>
          <w:p w14:paraId="342E91CF">
            <w:pPr>
              <w:pStyle w:val="31"/>
              <w:widowControl w:val="0"/>
              <w:bidi w:val="0"/>
              <w:rPr>
                <w:rFonts w:hint="default"/>
                <w:lang w:val="en-US" w:eastAsia="zh-CN"/>
              </w:rPr>
            </w:pPr>
            <w:r>
              <w:rPr>
                <w:rFonts w:hint="eastAsia"/>
                <w:lang w:val="en-US" w:eastAsia="zh-CN"/>
              </w:rPr>
              <w:t>99</w:t>
            </w:r>
          </w:p>
        </w:tc>
        <w:tc>
          <w:tcPr>
            <w:tcW w:w="476" w:type="pct"/>
            <w:vAlign w:val="center"/>
          </w:tcPr>
          <w:p w14:paraId="7C8EB58D">
            <w:pPr>
              <w:pStyle w:val="31"/>
              <w:widowControl w:val="0"/>
              <w:bidi w:val="0"/>
              <w:rPr>
                <w:rFonts w:hint="default"/>
                <w:lang w:val="en-US" w:eastAsia="zh-CN"/>
              </w:rPr>
            </w:pPr>
            <w:r>
              <w:rPr>
                <w:rFonts w:hint="eastAsia"/>
                <w:lang w:val="en-US" w:eastAsia="zh-CN"/>
              </w:rPr>
              <w:t>-96</w:t>
            </w:r>
          </w:p>
        </w:tc>
        <w:tc>
          <w:tcPr>
            <w:tcW w:w="474" w:type="pct"/>
            <w:vAlign w:val="center"/>
          </w:tcPr>
          <w:p w14:paraId="60ADE806">
            <w:pPr>
              <w:pStyle w:val="31"/>
              <w:widowControl w:val="0"/>
              <w:bidi w:val="0"/>
              <w:rPr>
                <w:rFonts w:hint="default"/>
                <w:lang w:val="en-US" w:eastAsia="zh-CN"/>
              </w:rPr>
            </w:pPr>
            <w:r>
              <w:rPr>
                <w:rFonts w:hint="eastAsia"/>
                <w:lang w:val="en-US" w:eastAsia="zh-CN"/>
              </w:rPr>
              <w:t>7.1</w:t>
            </w:r>
          </w:p>
        </w:tc>
        <w:tc>
          <w:tcPr>
            <w:tcW w:w="911" w:type="dxa"/>
            <w:shd w:val="clear" w:color="auto" w:fill="auto"/>
            <w:vAlign w:val="center"/>
          </w:tcPr>
          <w:p w14:paraId="647B544B">
            <w:pPr>
              <w:pStyle w:val="31"/>
              <w:widowControl w:val="0"/>
              <w:bidi w:val="0"/>
              <w:rPr>
                <w:rFonts w:hint="default"/>
                <w:lang w:val="en-US" w:eastAsia="zh-CN"/>
              </w:rPr>
            </w:pPr>
            <w:r>
              <w:rPr>
                <w:rFonts w:hint="eastAsia"/>
                <w:lang w:val="en-US" w:eastAsia="zh-CN"/>
              </w:rPr>
              <w:t>195</w:t>
            </w:r>
          </w:p>
        </w:tc>
        <w:tc>
          <w:tcPr>
            <w:tcW w:w="1056" w:type="dxa"/>
            <w:shd w:val="clear" w:color="auto" w:fill="auto"/>
            <w:vAlign w:val="center"/>
          </w:tcPr>
          <w:p w14:paraId="36C62F5E">
            <w:pPr>
              <w:pStyle w:val="31"/>
              <w:widowControl w:val="0"/>
              <w:bidi w:val="0"/>
              <w:rPr>
                <w:rFonts w:hint="default"/>
                <w:lang w:val="en-US" w:eastAsia="zh-CN"/>
              </w:rPr>
            </w:pPr>
            <w:r>
              <w:rPr>
                <w:rFonts w:hint="eastAsia"/>
                <w:lang w:val="en-US" w:eastAsia="zh-CN"/>
              </w:rPr>
              <w:t>1384.5</w:t>
            </w:r>
          </w:p>
        </w:tc>
        <w:tc>
          <w:tcPr>
            <w:tcW w:w="919" w:type="dxa"/>
            <w:shd w:val="clear" w:color="auto" w:fill="auto"/>
            <w:vAlign w:val="center"/>
          </w:tcPr>
          <w:p w14:paraId="59405ED5">
            <w:pPr>
              <w:pStyle w:val="31"/>
              <w:widowControl w:val="0"/>
              <w:bidi w:val="0"/>
              <w:rPr>
                <w:rFonts w:hint="eastAsia"/>
                <w:lang w:val="en-US" w:eastAsia="zh-CN"/>
              </w:rPr>
            </w:pPr>
            <w:r>
              <w:rPr>
                <w:rFonts w:hint="eastAsia"/>
                <w:lang w:val="en-US" w:eastAsia="zh-CN"/>
              </w:rPr>
              <w:t>0</w:t>
            </w:r>
          </w:p>
        </w:tc>
        <w:tc>
          <w:tcPr>
            <w:tcW w:w="1056" w:type="dxa"/>
            <w:shd w:val="clear" w:color="auto" w:fill="auto"/>
            <w:vAlign w:val="center"/>
          </w:tcPr>
          <w:p w14:paraId="4ADA87B6">
            <w:pPr>
              <w:pStyle w:val="31"/>
              <w:widowControl w:val="0"/>
              <w:bidi w:val="0"/>
              <w:rPr>
                <w:rFonts w:hint="eastAsia"/>
                <w:lang w:val="en-US" w:eastAsia="zh-CN"/>
              </w:rPr>
            </w:pPr>
            <w:r>
              <w:rPr>
                <w:rFonts w:hint="eastAsia"/>
                <w:lang w:val="en-US" w:eastAsia="zh-CN"/>
              </w:rPr>
              <w:t>0</w:t>
            </w:r>
          </w:p>
        </w:tc>
        <w:tc>
          <w:tcPr>
            <w:tcW w:w="639" w:type="pct"/>
            <w:shd w:val="clear" w:color="auto" w:fill="auto"/>
            <w:vAlign w:val="center"/>
          </w:tcPr>
          <w:p w14:paraId="4BF1E6CA">
            <w:pPr>
              <w:pStyle w:val="31"/>
              <w:widowControl w:val="0"/>
              <w:bidi w:val="0"/>
              <w:rPr>
                <w:rFonts w:hint="eastAsia"/>
                <w:lang w:val="en-US" w:eastAsia="zh-CN"/>
              </w:rPr>
            </w:pPr>
            <w:r>
              <w:rPr>
                <w:rFonts w:hint="eastAsia"/>
                <w:lang w:val="en-US" w:eastAsia="zh-CN"/>
              </w:rPr>
              <w:t>全部利用</w:t>
            </w:r>
          </w:p>
        </w:tc>
      </w:tr>
      <w:tr w14:paraId="2016D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0" w:type="pct"/>
            <w:vAlign w:val="center"/>
          </w:tcPr>
          <w:p w14:paraId="1D40ECED">
            <w:pPr>
              <w:pStyle w:val="31"/>
              <w:widowControl w:val="0"/>
              <w:bidi w:val="0"/>
              <w:rPr>
                <w:rFonts w:hint="default"/>
                <w:lang w:val="en-US" w:eastAsia="zh-CN"/>
              </w:rPr>
            </w:pPr>
            <w:r>
              <w:rPr>
                <w:rFonts w:hint="eastAsia"/>
                <w:lang w:val="en-US" w:eastAsia="zh-CN"/>
              </w:rPr>
              <w:t>-24m中段</w:t>
            </w:r>
          </w:p>
        </w:tc>
        <w:tc>
          <w:tcPr>
            <w:tcW w:w="494" w:type="pct"/>
            <w:vAlign w:val="center"/>
          </w:tcPr>
          <w:p w14:paraId="3A61C694">
            <w:pPr>
              <w:pStyle w:val="31"/>
              <w:widowControl w:val="0"/>
              <w:bidi w:val="0"/>
              <w:rPr>
                <w:rFonts w:hint="default"/>
                <w:lang w:val="en-US" w:eastAsia="zh-CN"/>
              </w:rPr>
            </w:pPr>
          </w:p>
        </w:tc>
        <w:tc>
          <w:tcPr>
            <w:tcW w:w="476" w:type="pct"/>
            <w:vAlign w:val="center"/>
          </w:tcPr>
          <w:p w14:paraId="73C76465">
            <w:pPr>
              <w:pStyle w:val="31"/>
              <w:widowControl w:val="0"/>
              <w:bidi w:val="0"/>
              <w:rPr>
                <w:rFonts w:hint="default"/>
                <w:lang w:val="en-US" w:eastAsia="zh-CN"/>
              </w:rPr>
            </w:pPr>
          </w:p>
        </w:tc>
        <w:tc>
          <w:tcPr>
            <w:tcW w:w="474" w:type="pct"/>
            <w:vAlign w:val="center"/>
          </w:tcPr>
          <w:p w14:paraId="0319A081">
            <w:pPr>
              <w:pStyle w:val="31"/>
              <w:widowControl w:val="0"/>
              <w:bidi w:val="0"/>
              <w:rPr>
                <w:rFonts w:hint="default"/>
                <w:lang w:val="en-US" w:eastAsia="zh-CN"/>
              </w:rPr>
            </w:pPr>
            <w:r>
              <w:rPr>
                <w:rFonts w:hint="eastAsia"/>
                <w:lang w:val="en-US" w:eastAsia="zh-CN"/>
              </w:rPr>
              <w:t>20.2</w:t>
            </w:r>
          </w:p>
        </w:tc>
        <w:tc>
          <w:tcPr>
            <w:tcW w:w="911" w:type="dxa"/>
            <w:shd w:val="clear" w:color="auto" w:fill="auto"/>
            <w:vAlign w:val="center"/>
          </w:tcPr>
          <w:p w14:paraId="123C35AF">
            <w:pPr>
              <w:pStyle w:val="31"/>
              <w:widowControl w:val="0"/>
              <w:bidi w:val="0"/>
              <w:rPr>
                <w:rFonts w:hint="eastAsia"/>
                <w:lang w:val="en-US" w:eastAsia="zh-CN"/>
              </w:rPr>
            </w:pPr>
            <w:r>
              <w:rPr>
                <w:rFonts w:hint="eastAsia"/>
                <w:lang w:val="en-US" w:eastAsia="zh-CN"/>
              </w:rPr>
              <w:t>0</w:t>
            </w:r>
          </w:p>
        </w:tc>
        <w:tc>
          <w:tcPr>
            <w:tcW w:w="1056" w:type="dxa"/>
            <w:shd w:val="clear" w:color="auto" w:fill="auto"/>
            <w:vAlign w:val="center"/>
          </w:tcPr>
          <w:p w14:paraId="0E682640">
            <w:pPr>
              <w:pStyle w:val="31"/>
              <w:widowControl w:val="0"/>
              <w:bidi w:val="0"/>
              <w:rPr>
                <w:rFonts w:hint="eastAsia"/>
                <w:lang w:val="en-US" w:eastAsia="zh-CN"/>
              </w:rPr>
            </w:pPr>
            <w:r>
              <w:rPr>
                <w:rFonts w:hint="eastAsia"/>
                <w:lang w:val="en-US" w:eastAsia="zh-CN"/>
              </w:rPr>
              <w:t>0</w:t>
            </w:r>
          </w:p>
        </w:tc>
        <w:tc>
          <w:tcPr>
            <w:tcW w:w="919" w:type="dxa"/>
            <w:shd w:val="clear" w:color="auto" w:fill="auto"/>
            <w:vAlign w:val="center"/>
          </w:tcPr>
          <w:p w14:paraId="1DCC3E9D">
            <w:pPr>
              <w:pStyle w:val="31"/>
              <w:widowControl w:val="0"/>
              <w:bidi w:val="0"/>
              <w:rPr>
                <w:rFonts w:hint="default"/>
                <w:lang w:val="en-US" w:eastAsia="zh-CN"/>
              </w:rPr>
            </w:pPr>
            <w:r>
              <w:rPr>
                <w:rFonts w:hint="eastAsia"/>
                <w:lang w:val="en-US" w:eastAsia="zh-CN"/>
              </w:rPr>
              <w:t>372</w:t>
            </w:r>
          </w:p>
        </w:tc>
        <w:tc>
          <w:tcPr>
            <w:tcW w:w="1056" w:type="dxa"/>
            <w:shd w:val="clear" w:color="auto" w:fill="auto"/>
            <w:vAlign w:val="center"/>
          </w:tcPr>
          <w:p w14:paraId="2952EC75">
            <w:pPr>
              <w:pStyle w:val="31"/>
              <w:widowControl w:val="0"/>
              <w:bidi w:val="0"/>
              <w:rPr>
                <w:rFonts w:hint="eastAsia"/>
                <w:lang w:val="en-US" w:eastAsia="zh-CN"/>
              </w:rPr>
            </w:pPr>
            <w:r>
              <w:rPr>
                <w:rFonts w:hint="eastAsia"/>
                <w:lang w:val="en-US" w:eastAsia="zh-CN"/>
              </w:rPr>
              <w:t>7514.4</w:t>
            </w:r>
          </w:p>
        </w:tc>
        <w:tc>
          <w:tcPr>
            <w:tcW w:w="639" w:type="pct"/>
            <w:shd w:val="clear" w:color="auto" w:fill="auto"/>
            <w:vAlign w:val="center"/>
          </w:tcPr>
          <w:p w14:paraId="3EE43FAF">
            <w:pPr>
              <w:pStyle w:val="31"/>
              <w:widowControl w:val="0"/>
              <w:bidi w:val="0"/>
              <w:rPr>
                <w:rFonts w:hint="eastAsia"/>
                <w:lang w:val="en-US" w:eastAsia="zh-CN"/>
              </w:rPr>
            </w:pPr>
            <w:r>
              <w:rPr>
                <w:rFonts w:hint="eastAsia"/>
                <w:lang w:val="en-US" w:eastAsia="zh-CN"/>
              </w:rPr>
              <w:t>废弃封堵</w:t>
            </w:r>
          </w:p>
        </w:tc>
      </w:tr>
      <w:tr w14:paraId="310B6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0" w:type="pct"/>
            <w:vAlign w:val="center"/>
          </w:tcPr>
          <w:p w14:paraId="28965F96">
            <w:pPr>
              <w:pStyle w:val="31"/>
              <w:widowControl w:val="0"/>
              <w:bidi w:val="0"/>
              <w:rPr>
                <w:rFonts w:hint="eastAsia"/>
                <w:lang w:val="en-US" w:eastAsia="zh-CN"/>
              </w:rPr>
            </w:pPr>
            <w:r>
              <w:rPr>
                <w:rFonts w:hint="eastAsia"/>
                <w:lang w:val="en-US" w:eastAsia="zh-CN"/>
              </w:rPr>
              <w:t>-48m中段</w:t>
            </w:r>
          </w:p>
        </w:tc>
        <w:tc>
          <w:tcPr>
            <w:tcW w:w="494" w:type="pct"/>
            <w:vAlign w:val="center"/>
          </w:tcPr>
          <w:p w14:paraId="04EC1A16">
            <w:pPr>
              <w:pStyle w:val="31"/>
              <w:widowControl w:val="0"/>
              <w:bidi w:val="0"/>
              <w:rPr>
                <w:rFonts w:hint="default"/>
                <w:lang w:val="en-US" w:eastAsia="zh-CN"/>
              </w:rPr>
            </w:pPr>
          </w:p>
        </w:tc>
        <w:tc>
          <w:tcPr>
            <w:tcW w:w="476" w:type="pct"/>
            <w:vAlign w:val="center"/>
          </w:tcPr>
          <w:p w14:paraId="78434945">
            <w:pPr>
              <w:pStyle w:val="31"/>
              <w:widowControl w:val="0"/>
              <w:bidi w:val="0"/>
              <w:rPr>
                <w:rFonts w:hint="default"/>
                <w:lang w:val="en-US" w:eastAsia="zh-CN"/>
              </w:rPr>
            </w:pPr>
          </w:p>
        </w:tc>
        <w:tc>
          <w:tcPr>
            <w:tcW w:w="474" w:type="pct"/>
            <w:vAlign w:val="center"/>
          </w:tcPr>
          <w:p w14:paraId="49A6EEA1">
            <w:pPr>
              <w:pStyle w:val="31"/>
              <w:widowControl w:val="0"/>
              <w:bidi w:val="0"/>
              <w:rPr>
                <w:rFonts w:hint="default"/>
                <w:lang w:val="en-US" w:eastAsia="zh-CN"/>
              </w:rPr>
            </w:pPr>
            <w:r>
              <w:rPr>
                <w:rFonts w:hint="eastAsia"/>
                <w:lang w:val="en-US" w:eastAsia="zh-CN"/>
              </w:rPr>
              <w:t>20.2</w:t>
            </w:r>
          </w:p>
        </w:tc>
        <w:tc>
          <w:tcPr>
            <w:tcW w:w="911" w:type="dxa"/>
            <w:shd w:val="clear" w:color="auto" w:fill="auto"/>
            <w:vAlign w:val="center"/>
          </w:tcPr>
          <w:p w14:paraId="5A6A3906">
            <w:pPr>
              <w:pStyle w:val="31"/>
              <w:widowControl w:val="0"/>
              <w:bidi w:val="0"/>
              <w:rPr>
                <w:rFonts w:hint="default"/>
                <w:lang w:val="en-US" w:eastAsia="zh-CN"/>
              </w:rPr>
            </w:pPr>
            <w:r>
              <w:rPr>
                <w:rFonts w:hint="eastAsia"/>
                <w:lang w:val="en-US" w:eastAsia="zh-CN"/>
              </w:rPr>
              <w:t>0</w:t>
            </w:r>
          </w:p>
        </w:tc>
        <w:tc>
          <w:tcPr>
            <w:tcW w:w="1056" w:type="dxa"/>
            <w:shd w:val="clear" w:color="auto" w:fill="auto"/>
            <w:vAlign w:val="center"/>
          </w:tcPr>
          <w:p w14:paraId="698CDEF5">
            <w:pPr>
              <w:pStyle w:val="31"/>
              <w:widowControl w:val="0"/>
              <w:bidi w:val="0"/>
              <w:rPr>
                <w:rFonts w:hint="default"/>
                <w:lang w:val="en-US" w:eastAsia="zh-CN"/>
              </w:rPr>
            </w:pPr>
            <w:r>
              <w:rPr>
                <w:rFonts w:hint="eastAsia"/>
                <w:lang w:val="en-US" w:eastAsia="zh-CN"/>
              </w:rPr>
              <w:t>0</w:t>
            </w:r>
          </w:p>
        </w:tc>
        <w:tc>
          <w:tcPr>
            <w:tcW w:w="919" w:type="dxa"/>
            <w:shd w:val="clear" w:color="auto" w:fill="auto"/>
            <w:vAlign w:val="center"/>
          </w:tcPr>
          <w:p w14:paraId="55E848C0">
            <w:pPr>
              <w:pStyle w:val="31"/>
              <w:widowControl w:val="0"/>
              <w:bidi w:val="0"/>
              <w:rPr>
                <w:rFonts w:hint="eastAsia"/>
                <w:lang w:val="en-US" w:eastAsia="zh-CN"/>
              </w:rPr>
            </w:pPr>
            <w:r>
              <w:rPr>
                <w:rFonts w:hint="eastAsia"/>
                <w:lang w:val="en-US" w:eastAsia="zh-CN"/>
              </w:rPr>
              <w:t>203</w:t>
            </w:r>
          </w:p>
        </w:tc>
        <w:tc>
          <w:tcPr>
            <w:tcW w:w="1056" w:type="dxa"/>
            <w:shd w:val="clear" w:color="auto" w:fill="auto"/>
            <w:vAlign w:val="center"/>
          </w:tcPr>
          <w:p w14:paraId="54E56B81">
            <w:pPr>
              <w:pStyle w:val="31"/>
              <w:widowControl w:val="0"/>
              <w:bidi w:val="0"/>
              <w:rPr>
                <w:rFonts w:hint="eastAsia"/>
                <w:lang w:val="en-US" w:eastAsia="zh-CN"/>
              </w:rPr>
            </w:pPr>
            <w:r>
              <w:rPr>
                <w:rFonts w:hint="eastAsia"/>
                <w:lang w:val="en-US" w:eastAsia="zh-CN"/>
              </w:rPr>
              <w:t>4100.6</w:t>
            </w:r>
          </w:p>
        </w:tc>
        <w:tc>
          <w:tcPr>
            <w:tcW w:w="639" w:type="pct"/>
            <w:shd w:val="clear" w:color="auto" w:fill="auto"/>
            <w:vAlign w:val="center"/>
          </w:tcPr>
          <w:p w14:paraId="3E27AE94">
            <w:pPr>
              <w:pStyle w:val="31"/>
              <w:widowControl w:val="0"/>
              <w:bidi w:val="0"/>
              <w:rPr>
                <w:rFonts w:hint="eastAsia"/>
                <w:lang w:val="en-US" w:eastAsia="zh-CN"/>
              </w:rPr>
            </w:pPr>
            <w:r>
              <w:rPr>
                <w:rFonts w:hint="eastAsia"/>
                <w:lang w:val="en-US" w:eastAsia="zh-CN"/>
              </w:rPr>
              <w:t>废弃封堵</w:t>
            </w:r>
          </w:p>
        </w:tc>
      </w:tr>
      <w:tr w14:paraId="5ED3C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0" w:type="pct"/>
            <w:vAlign w:val="center"/>
          </w:tcPr>
          <w:p w14:paraId="30606F4B">
            <w:pPr>
              <w:pStyle w:val="31"/>
              <w:widowControl w:val="0"/>
              <w:bidi w:val="0"/>
              <w:rPr>
                <w:rFonts w:hint="eastAsia"/>
                <w:lang w:val="en-US" w:eastAsia="zh-CN"/>
              </w:rPr>
            </w:pPr>
            <w:r>
              <w:rPr>
                <w:rFonts w:hint="eastAsia"/>
                <w:lang w:val="en-US" w:eastAsia="zh-CN"/>
              </w:rPr>
              <w:t>-60m分段</w:t>
            </w:r>
          </w:p>
        </w:tc>
        <w:tc>
          <w:tcPr>
            <w:tcW w:w="494" w:type="pct"/>
            <w:vAlign w:val="center"/>
          </w:tcPr>
          <w:p w14:paraId="67C93479">
            <w:pPr>
              <w:pStyle w:val="31"/>
              <w:widowControl w:val="0"/>
              <w:bidi w:val="0"/>
              <w:rPr>
                <w:rFonts w:hint="default"/>
                <w:lang w:val="en-US" w:eastAsia="zh-CN"/>
              </w:rPr>
            </w:pPr>
          </w:p>
        </w:tc>
        <w:tc>
          <w:tcPr>
            <w:tcW w:w="476" w:type="pct"/>
            <w:vAlign w:val="center"/>
          </w:tcPr>
          <w:p w14:paraId="6E157839">
            <w:pPr>
              <w:pStyle w:val="31"/>
              <w:widowControl w:val="0"/>
              <w:bidi w:val="0"/>
              <w:rPr>
                <w:rFonts w:hint="default"/>
                <w:lang w:val="en-US" w:eastAsia="zh-CN"/>
              </w:rPr>
            </w:pPr>
          </w:p>
        </w:tc>
        <w:tc>
          <w:tcPr>
            <w:tcW w:w="474" w:type="pct"/>
            <w:vAlign w:val="center"/>
          </w:tcPr>
          <w:p w14:paraId="3C9823B5">
            <w:pPr>
              <w:pStyle w:val="31"/>
              <w:widowControl w:val="0"/>
              <w:bidi w:val="0"/>
              <w:rPr>
                <w:rFonts w:hint="eastAsia"/>
                <w:lang w:val="en-US" w:eastAsia="zh-CN"/>
              </w:rPr>
            </w:pPr>
            <w:r>
              <w:rPr>
                <w:rFonts w:hint="eastAsia"/>
                <w:lang w:val="en-US" w:eastAsia="zh-CN"/>
              </w:rPr>
              <w:t>20.2</w:t>
            </w:r>
          </w:p>
        </w:tc>
        <w:tc>
          <w:tcPr>
            <w:tcW w:w="911" w:type="dxa"/>
            <w:shd w:val="clear" w:color="auto" w:fill="auto"/>
            <w:vAlign w:val="center"/>
          </w:tcPr>
          <w:p w14:paraId="106105BF">
            <w:pPr>
              <w:pStyle w:val="31"/>
              <w:widowControl w:val="0"/>
              <w:bidi w:val="0"/>
              <w:rPr>
                <w:rFonts w:hint="eastAsia"/>
                <w:lang w:val="en-US" w:eastAsia="zh-CN"/>
              </w:rPr>
            </w:pPr>
          </w:p>
        </w:tc>
        <w:tc>
          <w:tcPr>
            <w:tcW w:w="1056" w:type="dxa"/>
            <w:shd w:val="clear" w:color="auto" w:fill="auto"/>
            <w:vAlign w:val="center"/>
          </w:tcPr>
          <w:p w14:paraId="629DEED1">
            <w:pPr>
              <w:pStyle w:val="31"/>
              <w:widowControl w:val="0"/>
              <w:bidi w:val="0"/>
              <w:rPr>
                <w:rFonts w:hint="eastAsia"/>
                <w:lang w:val="en-US" w:eastAsia="zh-CN"/>
              </w:rPr>
            </w:pPr>
            <w:r>
              <w:rPr>
                <w:rFonts w:hint="eastAsia"/>
                <w:lang w:val="en-US" w:eastAsia="zh-CN"/>
              </w:rPr>
              <w:t>0</w:t>
            </w:r>
          </w:p>
        </w:tc>
        <w:tc>
          <w:tcPr>
            <w:tcW w:w="919" w:type="dxa"/>
            <w:shd w:val="clear" w:color="auto" w:fill="auto"/>
            <w:vAlign w:val="center"/>
          </w:tcPr>
          <w:p w14:paraId="615A1884">
            <w:pPr>
              <w:pStyle w:val="31"/>
              <w:widowControl w:val="0"/>
              <w:bidi w:val="0"/>
              <w:rPr>
                <w:rFonts w:hint="default"/>
                <w:lang w:val="en-US" w:eastAsia="zh-CN"/>
              </w:rPr>
            </w:pPr>
            <w:r>
              <w:rPr>
                <w:rFonts w:hint="eastAsia"/>
                <w:lang w:val="en-US" w:eastAsia="zh-CN"/>
              </w:rPr>
              <w:t>372</w:t>
            </w:r>
          </w:p>
        </w:tc>
        <w:tc>
          <w:tcPr>
            <w:tcW w:w="1056" w:type="dxa"/>
            <w:shd w:val="clear" w:color="auto" w:fill="auto"/>
            <w:vAlign w:val="center"/>
          </w:tcPr>
          <w:p w14:paraId="6DA59532">
            <w:pPr>
              <w:pStyle w:val="31"/>
              <w:widowControl w:val="0"/>
              <w:bidi w:val="0"/>
              <w:rPr>
                <w:rFonts w:hint="eastAsia"/>
                <w:lang w:val="en-US" w:eastAsia="zh-CN"/>
              </w:rPr>
            </w:pPr>
            <w:r>
              <w:rPr>
                <w:rFonts w:hint="eastAsia"/>
                <w:lang w:val="en-US" w:eastAsia="zh-CN"/>
              </w:rPr>
              <w:t>7514.4</w:t>
            </w:r>
          </w:p>
        </w:tc>
        <w:tc>
          <w:tcPr>
            <w:tcW w:w="639" w:type="pct"/>
            <w:shd w:val="clear" w:color="auto" w:fill="auto"/>
            <w:vAlign w:val="center"/>
          </w:tcPr>
          <w:p w14:paraId="09530474">
            <w:pPr>
              <w:pStyle w:val="31"/>
              <w:widowControl w:val="0"/>
              <w:bidi w:val="0"/>
              <w:rPr>
                <w:rFonts w:hint="eastAsia"/>
                <w:lang w:val="en-US" w:eastAsia="zh-CN"/>
              </w:rPr>
            </w:pPr>
            <w:r>
              <w:rPr>
                <w:rFonts w:hint="eastAsia"/>
                <w:lang w:val="en-US" w:eastAsia="zh-CN"/>
              </w:rPr>
              <w:t>废弃封堵</w:t>
            </w:r>
          </w:p>
        </w:tc>
      </w:tr>
      <w:tr w14:paraId="6C7E6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0" w:type="pct"/>
            <w:vAlign w:val="center"/>
          </w:tcPr>
          <w:p w14:paraId="1FDCCF8B">
            <w:pPr>
              <w:pStyle w:val="31"/>
              <w:widowControl w:val="0"/>
              <w:bidi w:val="0"/>
              <w:rPr>
                <w:rFonts w:hint="eastAsia"/>
                <w:lang w:val="en-US" w:eastAsia="zh-CN"/>
              </w:rPr>
            </w:pPr>
            <w:r>
              <w:rPr>
                <w:rFonts w:hint="eastAsia"/>
                <w:lang w:val="en-US" w:eastAsia="zh-CN"/>
              </w:rPr>
              <w:t>-72m分段</w:t>
            </w:r>
          </w:p>
        </w:tc>
        <w:tc>
          <w:tcPr>
            <w:tcW w:w="494" w:type="pct"/>
            <w:vAlign w:val="center"/>
          </w:tcPr>
          <w:p w14:paraId="6022E4E2">
            <w:pPr>
              <w:pStyle w:val="31"/>
              <w:widowControl w:val="0"/>
              <w:bidi w:val="0"/>
              <w:rPr>
                <w:rFonts w:hint="default"/>
                <w:lang w:val="en-US" w:eastAsia="zh-CN"/>
              </w:rPr>
            </w:pPr>
          </w:p>
        </w:tc>
        <w:tc>
          <w:tcPr>
            <w:tcW w:w="476" w:type="pct"/>
            <w:vAlign w:val="center"/>
          </w:tcPr>
          <w:p w14:paraId="263C23E5">
            <w:pPr>
              <w:pStyle w:val="31"/>
              <w:widowControl w:val="0"/>
              <w:bidi w:val="0"/>
              <w:rPr>
                <w:rFonts w:hint="default"/>
                <w:lang w:val="en-US" w:eastAsia="zh-CN"/>
              </w:rPr>
            </w:pPr>
          </w:p>
        </w:tc>
        <w:tc>
          <w:tcPr>
            <w:tcW w:w="474" w:type="pct"/>
            <w:vAlign w:val="center"/>
          </w:tcPr>
          <w:p w14:paraId="0D69FD51">
            <w:pPr>
              <w:pStyle w:val="31"/>
              <w:widowControl w:val="0"/>
              <w:bidi w:val="0"/>
              <w:rPr>
                <w:rFonts w:hint="eastAsia"/>
                <w:lang w:val="en-US" w:eastAsia="zh-CN"/>
              </w:rPr>
            </w:pPr>
            <w:r>
              <w:rPr>
                <w:rFonts w:hint="eastAsia"/>
                <w:lang w:val="en-US" w:eastAsia="zh-CN"/>
              </w:rPr>
              <w:t>20.2</w:t>
            </w:r>
          </w:p>
        </w:tc>
        <w:tc>
          <w:tcPr>
            <w:tcW w:w="911" w:type="dxa"/>
            <w:shd w:val="clear" w:color="auto" w:fill="auto"/>
            <w:vAlign w:val="center"/>
          </w:tcPr>
          <w:p w14:paraId="229DB23D">
            <w:pPr>
              <w:pStyle w:val="31"/>
              <w:widowControl w:val="0"/>
              <w:bidi w:val="0"/>
              <w:rPr>
                <w:rFonts w:hint="eastAsia"/>
                <w:lang w:val="en-US" w:eastAsia="zh-CN"/>
              </w:rPr>
            </w:pPr>
          </w:p>
        </w:tc>
        <w:tc>
          <w:tcPr>
            <w:tcW w:w="1056" w:type="dxa"/>
            <w:shd w:val="clear" w:color="auto" w:fill="auto"/>
            <w:vAlign w:val="center"/>
          </w:tcPr>
          <w:p w14:paraId="20D79D60">
            <w:pPr>
              <w:pStyle w:val="31"/>
              <w:widowControl w:val="0"/>
              <w:bidi w:val="0"/>
              <w:rPr>
                <w:rFonts w:hint="eastAsia"/>
                <w:lang w:val="en-US" w:eastAsia="zh-CN"/>
              </w:rPr>
            </w:pPr>
            <w:r>
              <w:rPr>
                <w:rFonts w:hint="eastAsia"/>
                <w:lang w:val="en-US" w:eastAsia="zh-CN"/>
              </w:rPr>
              <w:t>0</w:t>
            </w:r>
          </w:p>
        </w:tc>
        <w:tc>
          <w:tcPr>
            <w:tcW w:w="919" w:type="dxa"/>
            <w:shd w:val="clear" w:color="auto" w:fill="auto"/>
            <w:vAlign w:val="center"/>
          </w:tcPr>
          <w:p w14:paraId="02F2037B">
            <w:pPr>
              <w:pStyle w:val="31"/>
              <w:widowControl w:val="0"/>
              <w:bidi w:val="0"/>
              <w:rPr>
                <w:rFonts w:hint="default"/>
                <w:lang w:val="en-US" w:eastAsia="zh-CN"/>
              </w:rPr>
            </w:pPr>
            <w:r>
              <w:rPr>
                <w:rFonts w:hint="eastAsia"/>
                <w:lang w:val="en-US" w:eastAsia="zh-CN"/>
              </w:rPr>
              <w:t>370</w:t>
            </w:r>
          </w:p>
        </w:tc>
        <w:tc>
          <w:tcPr>
            <w:tcW w:w="1056" w:type="dxa"/>
            <w:shd w:val="clear" w:color="auto" w:fill="auto"/>
            <w:vAlign w:val="center"/>
          </w:tcPr>
          <w:p w14:paraId="300CC467">
            <w:pPr>
              <w:pStyle w:val="31"/>
              <w:widowControl w:val="0"/>
              <w:bidi w:val="0"/>
              <w:rPr>
                <w:rFonts w:hint="eastAsia"/>
                <w:lang w:val="en-US" w:eastAsia="zh-CN"/>
              </w:rPr>
            </w:pPr>
            <w:r>
              <w:rPr>
                <w:rFonts w:hint="eastAsia"/>
                <w:lang w:val="en-US" w:eastAsia="zh-CN"/>
              </w:rPr>
              <w:t>7474</w:t>
            </w:r>
          </w:p>
        </w:tc>
        <w:tc>
          <w:tcPr>
            <w:tcW w:w="639" w:type="pct"/>
            <w:shd w:val="clear" w:color="auto" w:fill="auto"/>
            <w:vAlign w:val="center"/>
          </w:tcPr>
          <w:p w14:paraId="20507F88">
            <w:pPr>
              <w:pStyle w:val="31"/>
              <w:widowControl w:val="0"/>
              <w:bidi w:val="0"/>
              <w:rPr>
                <w:rFonts w:hint="eastAsia"/>
                <w:lang w:val="en-US" w:eastAsia="zh-CN"/>
              </w:rPr>
            </w:pPr>
            <w:r>
              <w:rPr>
                <w:rFonts w:hint="eastAsia"/>
                <w:lang w:val="en-US" w:eastAsia="zh-CN"/>
              </w:rPr>
              <w:t>废弃封堵</w:t>
            </w:r>
          </w:p>
        </w:tc>
      </w:tr>
      <w:tr w14:paraId="2503F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0" w:type="pct"/>
            <w:vAlign w:val="center"/>
          </w:tcPr>
          <w:p w14:paraId="2F032DA8">
            <w:pPr>
              <w:pStyle w:val="31"/>
              <w:widowControl w:val="0"/>
              <w:bidi w:val="0"/>
              <w:rPr>
                <w:rFonts w:hint="eastAsia"/>
                <w:lang w:val="en-US" w:eastAsia="zh-CN"/>
              </w:rPr>
            </w:pPr>
            <w:r>
              <w:rPr>
                <w:rFonts w:hint="eastAsia"/>
                <w:lang w:val="en-US" w:eastAsia="zh-CN"/>
              </w:rPr>
              <w:t>-84m分段</w:t>
            </w:r>
          </w:p>
        </w:tc>
        <w:tc>
          <w:tcPr>
            <w:tcW w:w="494" w:type="pct"/>
            <w:vAlign w:val="center"/>
          </w:tcPr>
          <w:p w14:paraId="13024027">
            <w:pPr>
              <w:pStyle w:val="31"/>
              <w:widowControl w:val="0"/>
              <w:bidi w:val="0"/>
              <w:rPr>
                <w:rFonts w:hint="default"/>
                <w:lang w:val="en-US" w:eastAsia="zh-CN"/>
              </w:rPr>
            </w:pPr>
          </w:p>
        </w:tc>
        <w:tc>
          <w:tcPr>
            <w:tcW w:w="476" w:type="pct"/>
            <w:vAlign w:val="center"/>
          </w:tcPr>
          <w:p w14:paraId="69D07F27">
            <w:pPr>
              <w:pStyle w:val="31"/>
              <w:widowControl w:val="0"/>
              <w:bidi w:val="0"/>
              <w:rPr>
                <w:rFonts w:hint="default"/>
                <w:lang w:val="en-US" w:eastAsia="zh-CN"/>
              </w:rPr>
            </w:pPr>
          </w:p>
        </w:tc>
        <w:tc>
          <w:tcPr>
            <w:tcW w:w="474" w:type="pct"/>
            <w:vAlign w:val="center"/>
          </w:tcPr>
          <w:p w14:paraId="3A78ADAA">
            <w:pPr>
              <w:pStyle w:val="31"/>
              <w:widowControl w:val="0"/>
              <w:bidi w:val="0"/>
              <w:rPr>
                <w:rFonts w:hint="eastAsia"/>
                <w:lang w:val="en-US" w:eastAsia="zh-CN"/>
              </w:rPr>
            </w:pPr>
            <w:r>
              <w:rPr>
                <w:rFonts w:hint="eastAsia"/>
                <w:lang w:val="en-US" w:eastAsia="zh-CN"/>
              </w:rPr>
              <w:t>20.2</w:t>
            </w:r>
          </w:p>
        </w:tc>
        <w:tc>
          <w:tcPr>
            <w:tcW w:w="911" w:type="dxa"/>
            <w:shd w:val="clear" w:color="auto" w:fill="auto"/>
            <w:vAlign w:val="center"/>
          </w:tcPr>
          <w:p w14:paraId="5EAA4FF8">
            <w:pPr>
              <w:pStyle w:val="31"/>
              <w:widowControl w:val="0"/>
              <w:bidi w:val="0"/>
              <w:rPr>
                <w:rFonts w:hint="eastAsia"/>
                <w:lang w:val="en-US" w:eastAsia="zh-CN"/>
              </w:rPr>
            </w:pPr>
          </w:p>
        </w:tc>
        <w:tc>
          <w:tcPr>
            <w:tcW w:w="1056" w:type="dxa"/>
            <w:shd w:val="clear" w:color="auto" w:fill="auto"/>
            <w:vAlign w:val="center"/>
          </w:tcPr>
          <w:p w14:paraId="0B2C06A5">
            <w:pPr>
              <w:pStyle w:val="31"/>
              <w:widowControl w:val="0"/>
              <w:bidi w:val="0"/>
              <w:rPr>
                <w:rFonts w:hint="eastAsia"/>
                <w:lang w:val="en-US" w:eastAsia="zh-CN"/>
              </w:rPr>
            </w:pPr>
            <w:r>
              <w:rPr>
                <w:rFonts w:hint="eastAsia"/>
                <w:lang w:val="en-US" w:eastAsia="zh-CN"/>
              </w:rPr>
              <w:t>0</w:t>
            </w:r>
          </w:p>
        </w:tc>
        <w:tc>
          <w:tcPr>
            <w:tcW w:w="919" w:type="dxa"/>
            <w:shd w:val="clear" w:color="auto" w:fill="auto"/>
            <w:vAlign w:val="center"/>
          </w:tcPr>
          <w:p w14:paraId="32FB8506">
            <w:pPr>
              <w:pStyle w:val="31"/>
              <w:widowControl w:val="0"/>
              <w:bidi w:val="0"/>
              <w:rPr>
                <w:rFonts w:hint="default"/>
                <w:lang w:val="en-US" w:eastAsia="zh-CN"/>
              </w:rPr>
            </w:pPr>
            <w:r>
              <w:rPr>
                <w:rFonts w:hint="eastAsia"/>
                <w:lang w:val="en-US" w:eastAsia="zh-CN"/>
              </w:rPr>
              <w:t>375</w:t>
            </w:r>
          </w:p>
        </w:tc>
        <w:tc>
          <w:tcPr>
            <w:tcW w:w="1056" w:type="dxa"/>
            <w:shd w:val="clear" w:color="auto" w:fill="auto"/>
            <w:vAlign w:val="center"/>
          </w:tcPr>
          <w:p w14:paraId="395D559D">
            <w:pPr>
              <w:pStyle w:val="31"/>
              <w:widowControl w:val="0"/>
              <w:bidi w:val="0"/>
              <w:rPr>
                <w:rFonts w:hint="eastAsia"/>
                <w:lang w:val="en-US" w:eastAsia="zh-CN"/>
              </w:rPr>
            </w:pPr>
            <w:r>
              <w:rPr>
                <w:rFonts w:hint="eastAsia"/>
                <w:lang w:val="en-US" w:eastAsia="zh-CN"/>
              </w:rPr>
              <w:t>7575</w:t>
            </w:r>
          </w:p>
        </w:tc>
        <w:tc>
          <w:tcPr>
            <w:tcW w:w="639" w:type="pct"/>
            <w:shd w:val="clear" w:color="auto" w:fill="auto"/>
            <w:vAlign w:val="center"/>
          </w:tcPr>
          <w:p w14:paraId="67C5719F">
            <w:pPr>
              <w:pStyle w:val="31"/>
              <w:widowControl w:val="0"/>
              <w:bidi w:val="0"/>
              <w:rPr>
                <w:rFonts w:hint="eastAsia"/>
                <w:lang w:val="en-US" w:eastAsia="zh-CN"/>
              </w:rPr>
            </w:pPr>
            <w:r>
              <w:rPr>
                <w:rFonts w:hint="eastAsia"/>
                <w:lang w:val="en-US" w:eastAsia="zh-CN"/>
              </w:rPr>
              <w:t>废弃封堵</w:t>
            </w:r>
          </w:p>
        </w:tc>
      </w:tr>
      <w:tr w14:paraId="62F3D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0" w:type="pct"/>
            <w:shd w:val="clear" w:color="auto" w:fill="auto"/>
            <w:vAlign w:val="center"/>
          </w:tcPr>
          <w:p w14:paraId="14F75BCD">
            <w:pPr>
              <w:pStyle w:val="31"/>
              <w:widowControl w:val="0"/>
              <w:bidi w:val="0"/>
              <w:rPr>
                <w:rFonts w:hint="eastAsia"/>
                <w:lang w:val="en-US" w:eastAsia="zh-CN"/>
              </w:rPr>
            </w:pPr>
            <w:r>
              <w:rPr>
                <w:rFonts w:hint="eastAsia"/>
                <w:lang w:val="en-US" w:eastAsia="zh-CN"/>
              </w:rPr>
              <w:t>-96m中段</w:t>
            </w:r>
          </w:p>
        </w:tc>
        <w:tc>
          <w:tcPr>
            <w:tcW w:w="494" w:type="pct"/>
            <w:shd w:val="clear" w:color="auto" w:fill="auto"/>
            <w:vAlign w:val="center"/>
          </w:tcPr>
          <w:p w14:paraId="1A3A52E3">
            <w:pPr>
              <w:pStyle w:val="31"/>
              <w:widowControl w:val="0"/>
              <w:bidi w:val="0"/>
              <w:rPr>
                <w:rFonts w:hint="default"/>
                <w:lang w:val="en-US" w:eastAsia="zh-CN"/>
              </w:rPr>
            </w:pPr>
          </w:p>
        </w:tc>
        <w:tc>
          <w:tcPr>
            <w:tcW w:w="476" w:type="pct"/>
            <w:shd w:val="clear" w:color="auto" w:fill="auto"/>
            <w:vAlign w:val="center"/>
          </w:tcPr>
          <w:p w14:paraId="7CFB2ED9">
            <w:pPr>
              <w:pStyle w:val="31"/>
              <w:widowControl w:val="0"/>
              <w:bidi w:val="0"/>
              <w:rPr>
                <w:rFonts w:hint="default"/>
                <w:lang w:val="en-US" w:eastAsia="zh-CN"/>
              </w:rPr>
            </w:pPr>
          </w:p>
        </w:tc>
        <w:tc>
          <w:tcPr>
            <w:tcW w:w="474" w:type="pct"/>
            <w:shd w:val="clear" w:color="auto" w:fill="auto"/>
            <w:vAlign w:val="center"/>
          </w:tcPr>
          <w:p w14:paraId="63FD4149">
            <w:pPr>
              <w:pStyle w:val="31"/>
              <w:widowControl w:val="0"/>
              <w:bidi w:val="0"/>
              <w:rPr>
                <w:rFonts w:hint="eastAsia"/>
                <w:lang w:val="en-US" w:eastAsia="zh-CN"/>
              </w:rPr>
            </w:pPr>
            <w:r>
              <w:rPr>
                <w:rFonts w:hint="eastAsia"/>
                <w:lang w:val="en-US" w:eastAsia="zh-CN"/>
              </w:rPr>
              <w:t>20.2</w:t>
            </w:r>
          </w:p>
        </w:tc>
        <w:tc>
          <w:tcPr>
            <w:tcW w:w="911" w:type="dxa"/>
            <w:shd w:val="clear" w:color="auto" w:fill="auto"/>
            <w:vAlign w:val="center"/>
          </w:tcPr>
          <w:p w14:paraId="74DF1B52">
            <w:pPr>
              <w:pStyle w:val="31"/>
              <w:widowControl w:val="0"/>
              <w:bidi w:val="0"/>
              <w:rPr>
                <w:rFonts w:hint="default"/>
                <w:lang w:val="en-US" w:eastAsia="zh-CN"/>
              </w:rPr>
            </w:pPr>
          </w:p>
        </w:tc>
        <w:tc>
          <w:tcPr>
            <w:tcW w:w="1056" w:type="dxa"/>
            <w:shd w:val="clear" w:color="auto" w:fill="auto"/>
            <w:vAlign w:val="center"/>
          </w:tcPr>
          <w:p w14:paraId="3A9F79A5">
            <w:pPr>
              <w:pStyle w:val="31"/>
              <w:widowControl w:val="0"/>
              <w:bidi w:val="0"/>
              <w:rPr>
                <w:rFonts w:hint="eastAsia"/>
                <w:lang w:val="en-US" w:eastAsia="zh-CN"/>
              </w:rPr>
            </w:pPr>
          </w:p>
        </w:tc>
        <w:tc>
          <w:tcPr>
            <w:tcW w:w="919" w:type="dxa"/>
            <w:shd w:val="clear" w:color="auto" w:fill="auto"/>
            <w:vAlign w:val="center"/>
          </w:tcPr>
          <w:p w14:paraId="1DF1EF42">
            <w:pPr>
              <w:pStyle w:val="31"/>
              <w:widowControl w:val="0"/>
              <w:bidi w:val="0"/>
              <w:rPr>
                <w:rFonts w:hint="default"/>
                <w:lang w:val="en-US" w:eastAsia="zh-CN"/>
              </w:rPr>
            </w:pPr>
            <w:r>
              <w:rPr>
                <w:rFonts w:hint="eastAsia"/>
                <w:lang w:val="en-US" w:eastAsia="zh-CN"/>
              </w:rPr>
              <w:t>206</w:t>
            </w:r>
          </w:p>
        </w:tc>
        <w:tc>
          <w:tcPr>
            <w:tcW w:w="1056" w:type="dxa"/>
            <w:shd w:val="clear" w:color="auto" w:fill="auto"/>
            <w:vAlign w:val="center"/>
          </w:tcPr>
          <w:p w14:paraId="738538CE">
            <w:pPr>
              <w:pStyle w:val="31"/>
              <w:widowControl w:val="0"/>
              <w:bidi w:val="0"/>
              <w:rPr>
                <w:rFonts w:hint="eastAsia"/>
                <w:lang w:val="en-US" w:eastAsia="zh-CN"/>
              </w:rPr>
            </w:pPr>
            <w:r>
              <w:rPr>
                <w:rFonts w:hint="eastAsia"/>
                <w:lang w:val="en-US" w:eastAsia="zh-CN"/>
              </w:rPr>
              <w:t>4161.2</w:t>
            </w:r>
          </w:p>
        </w:tc>
        <w:tc>
          <w:tcPr>
            <w:tcW w:w="639" w:type="pct"/>
            <w:shd w:val="clear" w:color="auto" w:fill="auto"/>
            <w:vAlign w:val="center"/>
          </w:tcPr>
          <w:p w14:paraId="1F677DC6">
            <w:pPr>
              <w:pStyle w:val="31"/>
              <w:widowControl w:val="0"/>
              <w:bidi w:val="0"/>
              <w:rPr>
                <w:rFonts w:hint="eastAsia"/>
                <w:lang w:val="en-US" w:eastAsia="zh-CN"/>
              </w:rPr>
            </w:pPr>
            <w:r>
              <w:rPr>
                <w:rFonts w:hint="eastAsia"/>
                <w:lang w:val="en-US" w:eastAsia="zh-CN"/>
              </w:rPr>
              <w:t>废弃封堵</w:t>
            </w:r>
          </w:p>
        </w:tc>
      </w:tr>
      <w:tr w14:paraId="420EFE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0" w:type="pct"/>
            <w:vAlign w:val="center"/>
          </w:tcPr>
          <w:p w14:paraId="30CEF6CF">
            <w:pPr>
              <w:pStyle w:val="31"/>
              <w:widowControl w:val="0"/>
              <w:bidi w:val="0"/>
              <w:rPr>
                <w:rFonts w:hint="default"/>
                <w:lang w:val="en-US" w:eastAsia="zh-CN"/>
              </w:rPr>
            </w:pPr>
            <w:r>
              <w:rPr>
                <w:rFonts w:hint="eastAsia"/>
                <w:lang w:val="en-US" w:eastAsia="zh-CN"/>
              </w:rPr>
              <w:t>合计</w:t>
            </w:r>
          </w:p>
        </w:tc>
        <w:tc>
          <w:tcPr>
            <w:tcW w:w="494" w:type="pct"/>
            <w:vAlign w:val="center"/>
          </w:tcPr>
          <w:p w14:paraId="26B0075A">
            <w:pPr>
              <w:pStyle w:val="31"/>
              <w:widowControl w:val="0"/>
              <w:bidi w:val="0"/>
              <w:rPr>
                <w:rFonts w:hint="default"/>
                <w:lang w:val="en-US" w:eastAsia="zh-CN"/>
              </w:rPr>
            </w:pPr>
          </w:p>
        </w:tc>
        <w:tc>
          <w:tcPr>
            <w:tcW w:w="476" w:type="pct"/>
            <w:vAlign w:val="center"/>
          </w:tcPr>
          <w:p w14:paraId="4BDE0617">
            <w:pPr>
              <w:pStyle w:val="31"/>
              <w:widowControl w:val="0"/>
              <w:bidi w:val="0"/>
              <w:rPr>
                <w:rFonts w:hint="default"/>
                <w:lang w:val="en-US" w:eastAsia="zh-CN"/>
              </w:rPr>
            </w:pPr>
          </w:p>
        </w:tc>
        <w:tc>
          <w:tcPr>
            <w:tcW w:w="474" w:type="pct"/>
            <w:vAlign w:val="center"/>
          </w:tcPr>
          <w:p w14:paraId="0445D6B1">
            <w:pPr>
              <w:pStyle w:val="31"/>
              <w:widowControl w:val="0"/>
              <w:bidi w:val="0"/>
              <w:rPr>
                <w:rFonts w:hint="eastAsia"/>
                <w:lang w:val="en-US" w:eastAsia="zh-CN"/>
              </w:rPr>
            </w:pPr>
          </w:p>
        </w:tc>
        <w:tc>
          <w:tcPr>
            <w:tcW w:w="911" w:type="dxa"/>
            <w:shd w:val="clear" w:color="auto" w:fill="auto"/>
            <w:vAlign w:val="center"/>
          </w:tcPr>
          <w:p w14:paraId="5CA13D78">
            <w:pPr>
              <w:pStyle w:val="31"/>
              <w:widowControl w:val="0"/>
              <w:bidi w:val="0"/>
              <w:rPr>
                <w:rFonts w:hint="eastAsia"/>
                <w:lang w:val="en-US" w:eastAsia="zh-CN"/>
              </w:rPr>
            </w:pPr>
            <w:r>
              <w:rPr>
                <w:rFonts w:hint="eastAsia"/>
                <w:lang w:val="en-US" w:eastAsia="zh-CN"/>
              </w:rPr>
              <w:t>1095</w:t>
            </w:r>
          </w:p>
        </w:tc>
        <w:tc>
          <w:tcPr>
            <w:tcW w:w="1056" w:type="dxa"/>
            <w:shd w:val="clear" w:color="auto" w:fill="auto"/>
            <w:vAlign w:val="center"/>
          </w:tcPr>
          <w:p w14:paraId="3530C81D">
            <w:pPr>
              <w:pStyle w:val="31"/>
              <w:widowControl w:val="0"/>
              <w:bidi w:val="0"/>
              <w:rPr>
                <w:rFonts w:hint="eastAsia"/>
                <w:lang w:val="en-US" w:eastAsia="zh-CN"/>
              </w:rPr>
            </w:pPr>
            <w:r>
              <w:rPr>
                <w:rFonts w:hint="eastAsia"/>
                <w:lang w:val="en-US" w:eastAsia="zh-CN"/>
              </w:rPr>
              <w:t>20986.5</w:t>
            </w:r>
          </w:p>
        </w:tc>
        <w:tc>
          <w:tcPr>
            <w:tcW w:w="919" w:type="dxa"/>
            <w:shd w:val="clear" w:color="auto" w:fill="auto"/>
            <w:vAlign w:val="center"/>
          </w:tcPr>
          <w:p w14:paraId="5D7A878D">
            <w:pPr>
              <w:pStyle w:val="31"/>
              <w:widowControl w:val="0"/>
              <w:bidi w:val="0"/>
              <w:rPr>
                <w:rFonts w:hint="eastAsia"/>
                <w:lang w:val="en-US" w:eastAsia="zh-CN"/>
              </w:rPr>
            </w:pPr>
            <w:r>
              <w:rPr>
                <w:rFonts w:hint="eastAsia"/>
                <w:lang w:val="en-US" w:eastAsia="zh-CN"/>
              </w:rPr>
              <w:t>3000</w:t>
            </w:r>
          </w:p>
        </w:tc>
        <w:tc>
          <w:tcPr>
            <w:tcW w:w="1056" w:type="dxa"/>
            <w:shd w:val="clear" w:color="auto" w:fill="auto"/>
            <w:vAlign w:val="center"/>
          </w:tcPr>
          <w:p w14:paraId="1D519D5C">
            <w:pPr>
              <w:pStyle w:val="31"/>
              <w:widowControl w:val="0"/>
              <w:bidi w:val="0"/>
              <w:rPr>
                <w:rFonts w:hint="eastAsia"/>
                <w:lang w:val="en-US" w:eastAsia="zh-CN"/>
              </w:rPr>
            </w:pPr>
            <w:r>
              <w:rPr>
                <w:rFonts w:hint="eastAsia"/>
                <w:lang w:val="en-US" w:eastAsia="zh-CN"/>
              </w:rPr>
              <w:t>62341.16</w:t>
            </w:r>
          </w:p>
        </w:tc>
        <w:tc>
          <w:tcPr>
            <w:tcW w:w="639" w:type="pct"/>
            <w:shd w:val="clear" w:color="auto" w:fill="auto"/>
            <w:vAlign w:val="center"/>
          </w:tcPr>
          <w:p w14:paraId="526E1D95">
            <w:pPr>
              <w:pStyle w:val="31"/>
              <w:widowControl w:val="0"/>
              <w:bidi w:val="0"/>
              <w:rPr>
                <w:rFonts w:hint="eastAsia"/>
                <w:lang w:val="en-US" w:eastAsia="zh-CN"/>
              </w:rPr>
            </w:pPr>
          </w:p>
        </w:tc>
      </w:tr>
    </w:tbl>
    <w:p w14:paraId="78B9DD1F">
      <w:pPr>
        <w:pStyle w:val="21"/>
        <w:numPr>
          <w:ilvl w:val="0"/>
          <w:numId w:val="11"/>
        </w:numPr>
        <w:bidi w:val="0"/>
        <w:rPr>
          <w:rFonts w:hint="default"/>
          <w:lang w:val="en-US" w:eastAsia="zh-CN"/>
        </w:rPr>
      </w:pPr>
      <w:r>
        <w:rPr>
          <w:rFonts w:hint="eastAsia"/>
          <w:lang w:val="en-US" w:eastAsia="zh-CN"/>
        </w:rPr>
        <w:t>采空区现状</w:t>
      </w:r>
    </w:p>
    <w:p w14:paraId="740B5129">
      <w:pPr>
        <w:pStyle w:val="21"/>
        <w:bidi w:val="0"/>
        <w:rPr>
          <w:rFonts w:hint="default"/>
          <w:lang w:val="en-US" w:eastAsia="zh-CN"/>
        </w:rPr>
      </w:pPr>
      <w:r>
        <w:rPr>
          <w:rFonts w:hint="eastAsia"/>
          <w:lang w:val="en-US" w:eastAsia="zh-CN"/>
        </w:rPr>
        <w:t>根据2025年6月，兰州有色冶金设计研究院有限公司编制的《沈阳浑南矿业有限责任公司沈阳浑南矿业有限责任公司（铁矿）隐蔽致灾因素普查报告》</w:t>
      </w:r>
      <w:r>
        <w:rPr>
          <w:rFonts w:hint="default"/>
          <w:lang w:val="en-US" w:eastAsia="zh-CN"/>
        </w:rPr>
        <w:t>，根据矿山实测图及物探探查结果，目前井下没有采空区，矿山历史开采采用的是无底柱分段崩落采矿法。</w:t>
      </w:r>
    </w:p>
    <w:p w14:paraId="434F66F9">
      <w:pPr>
        <w:pStyle w:val="21"/>
        <w:keepNext w:val="0"/>
        <w:keepLines w:val="0"/>
        <w:pageBreakBefore w:val="0"/>
        <w:widowControl/>
        <w:numPr>
          <w:ilvl w:val="0"/>
          <w:numId w:val="11"/>
        </w:numPr>
        <w:kinsoku/>
        <w:wordWrap/>
        <w:overflowPunct/>
        <w:topLinePunct w:val="0"/>
        <w:autoSpaceDE/>
        <w:autoSpaceDN/>
        <w:bidi w:val="0"/>
        <w:adjustRightInd w:val="0"/>
        <w:snapToGrid w:val="0"/>
        <w:spacing w:before="157" w:beforeLines="50"/>
        <w:textAlignment w:val="auto"/>
        <w:rPr>
          <w:rFonts w:hint="default"/>
          <w:lang w:val="en-US" w:eastAsia="zh-CN"/>
        </w:rPr>
      </w:pPr>
      <w:r>
        <w:rPr>
          <w:rFonts w:hint="eastAsia"/>
          <w:lang w:val="en-US" w:eastAsia="zh-CN"/>
        </w:rPr>
        <w:t>设备利用情况</w:t>
      </w:r>
    </w:p>
    <w:p w14:paraId="4F4D4CC3">
      <w:pPr>
        <w:pStyle w:val="30"/>
        <w:bidi w:val="0"/>
        <w:rPr>
          <w:rFonts w:hint="default"/>
          <w:lang w:val="en-US" w:eastAsia="zh-CN"/>
        </w:rPr>
      </w:pPr>
      <w:r>
        <w:rPr>
          <w:rFonts w:hint="default"/>
          <w:lang w:val="en-US" w:eastAsia="zh-CN"/>
        </w:rPr>
        <w:t>表2.4-2</w:t>
      </w:r>
      <w:r>
        <w:rPr>
          <w:rFonts w:hint="eastAsia"/>
          <w:lang w:val="en-US" w:eastAsia="zh-CN"/>
        </w:rPr>
        <w:t xml:space="preserve">  </w:t>
      </w:r>
      <w:r>
        <w:rPr>
          <w:rFonts w:hint="default"/>
          <w:lang w:val="en-US" w:eastAsia="zh-CN"/>
        </w:rPr>
        <w:t>主要设备利用情况</w:t>
      </w:r>
    </w:p>
    <w:tbl>
      <w:tblPr>
        <w:tblStyle w:val="24"/>
        <w:tblW w:w="5000" w:type="pct"/>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autofit"/>
        <w:tblCellMar>
          <w:top w:w="0" w:type="dxa"/>
          <w:left w:w="108" w:type="dxa"/>
          <w:bottom w:w="0" w:type="dxa"/>
          <w:right w:w="108" w:type="dxa"/>
        </w:tblCellMar>
      </w:tblPr>
      <w:tblGrid>
        <w:gridCol w:w="677"/>
        <w:gridCol w:w="1686"/>
        <w:gridCol w:w="2186"/>
        <w:gridCol w:w="841"/>
        <w:gridCol w:w="758"/>
        <w:gridCol w:w="1842"/>
        <w:gridCol w:w="1411"/>
      </w:tblGrid>
      <w:tr w14:paraId="6AD9190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10" w:hRule="exact"/>
          <w:jc w:val="center"/>
        </w:trPr>
        <w:tc>
          <w:tcPr>
            <w:tcW w:w="360" w:type="pct"/>
            <w:noWrap w:val="0"/>
            <w:vAlign w:val="center"/>
          </w:tcPr>
          <w:p w14:paraId="024758A0">
            <w:pPr>
              <w:snapToGrid w:val="0"/>
              <w:spacing w:line="240" w:lineRule="auto"/>
              <w:jc w:val="center"/>
              <w:rPr>
                <w:rFonts w:ascii="Times New Roman" w:hAnsi="Times New Roman"/>
                <w:caps w:val="0"/>
                <w:smallCaps w:val="0"/>
                <w:sz w:val="21"/>
                <w:szCs w:val="21"/>
              </w:rPr>
            </w:pPr>
            <w:r>
              <w:rPr>
                <w:rFonts w:ascii="Times New Roman" w:hAnsi="Times New Roman"/>
                <w:caps w:val="0"/>
                <w:smallCaps w:val="0"/>
                <w:sz w:val="21"/>
                <w:szCs w:val="21"/>
              </w:rPr>
              <w:t>序号</w:t>
            </w:r>
          </w:p>
        </w:tc>
        <w:tc>
          <w:tcPr>
            <w:tcW w:w="896" w:type="pct"/>
            <w:noWrap w:val="0"/>
            <w:vAlign w:val="center"/>
          </w:tcPr>
          <w:p w14:paraId="6E606582">
            <w:pPr>
              <w:snapToGrid w:val="0"/>
              <w:spacing w:line="240" w:lineRule="auto"/>
              <w:jc w:val="center"/>
              <w:rPr>
                <w:rFonts w:ascii="Times New Roman" w:hAnsi="Times New Roman"/>
                <w:caps w:val="0"/>
                <w:smallCaps w:val="0"/>
                <w:sz w:val="21"/>
                <w:szCs w:val="21"/>
              </w:rPr>
            </w:pPr>
            <w:r>
              <w:rPr>
                <w:rFonts w:ascii="Times New Roman" w:hAnsi="Times New Roman"/>
                <w:caps w:val="0"/>
                <w:smallCaps w:val="0"/>
                <w:sz w:val="21"/>
                <w:szCs w:val="21"/>
              </w:rPr>
              <w:t>设备名称</w:t>
            </w:r>
          </w:p>
        </w:tc>
        <w:tc>
          <w:tcPr>
            <w:tcW w:w="1162" w:type="pct"/>
            <w:noWrap w:val="0"/>
            <w:vAlign w:val="center"/>
          </w:tcPr>
          <w:p w14:paraId="735889D2">
            <w:pPr>
              <w:snapToGrid w:val="0"/>
              <w:spacing w:line="240" w:lineRule="auto"/>
              <w:jc w:val="center"/>
              <w:rPr>
                <w:rFonts w:ascii="Times New Roman" w:hAnsi="Times New Roman"/>
                <w:caps w:val="0"/>
                <w:smallCaps w:val="0"/>
                <w:sz w:val="21"/>
                <w:szCs w:val="21"/>
              </w:rPr>
            </w:pPr>
            <w:r>
              <w:rPr>
                <w:rFonts w:ascii="Times New Roman" w:hAnsi="Times New Roman"/>
                <w:caps w:val="0"/>
                <w:smallCaps w:val="0"/>
                <w:sz w:val="21"/>
                <w:szCs w:val="21"/>
              </w:rPr>
              <w:t>规格型号</w:t>
            </w:r>
          </w:p>
        </w:tc>
        <w:tc>
          <w:tcPr>
            <w:tcW w:w="447" w:type="pct"/>
            <w:noWrap w:val="0"/>
            <w:vAlign w:val="center"/>
          </w:tcPr>
          <w:p w14:paraId="1FB5CB01">
            <w:pPr>
              <w:snapToGrid w:val="0"/>
              <w:spacing w:line="240" w:lineRule="auto"/>
              <w:jc w:val="center"/>
              <w:rPr>
                <w:rFonts w:ascii="Times New Roman" w:hAnsi="Times New Roman"/>
                <w:caps w:val="0"/>
                <w:smallCaps w:val="0"/>
                <w:sz w:val="21"/>
                <w:szCs w:val="21"/>
              </w:rPr>
            </w:pPr>
            <w:r>
              <w:rPr>
                <w:rFonts w:ascii="Times New Roman" w:hAnsi="Times New Roman"/>
                <w:caps w:val="0"/>
                <w:smallCaps w:val="0"/>
                <w:sz w:val="21"/>
                <w:szCs w:val="21"/>
              </w:rPr>
              <w:t>单位</w:t>
            </w:r>
          </w:p>
        </w:tc>
        <w:tc>
          <w:tcPr>
            <w:tcW w:w="403" w:type="pct"/>
            <w:noWrap w:val="0"/>
            <w:vAlign w:val="center"/>
          </w:tcPr>
          <w:p w14:paraId="36E99DC0">
            <w:pPr>
              <w:snapToGrid w:val="0"/>
              <w:spacing w:line="240" w:lineRule="auto"/>
              <w:jc w:val="center"/>
              <w:rPr>
                <w:rFonts w:ascii="Times New Roman" w:hAnsi="Times New Roman"/>
                <w:caps w:val="0"/>
                <w:smallCaps w:val="0"/>
                <w:sz w:val="21"/>
                <w:szCs w:val="21"/>
              </w:rPr>
            </w:pPr>
            <w:r>
              <w:rPr>
                <w:rFonts w:ascii="Times New Roman" w:hAnsi="Times New Roman"/>
                <w:caps w:val="0"/>
                <w:smallCaps w:val="0"/>
                <w:sz w:val="21"/>
                <w:szCs w:val="21"/>
              </w:rPr>
              <w:t>数量</w:t>
            </w:r>
          </w:p>
        </w:tc>
        <w:tc>
          <w:tcPr>
            <w:tcW w:w="979" w:type="pct"/>
            <w:noWrap w:val="0"/>
            <w:vAlign w:val="center"/>
          </w:tcPr>
          <w:p w14:paraId="31D1631F">
            <w:pPr>
              <w:snapToGrid w:val="0"/>
              <w:spacing w:line="240" w:lineRule="auto"/>
              <w:jc w:val="center"/>
              <w:rPr>
                <w:rFonts w:ascii="Times New Roman" w:hAnsi="Times New Roman"/>
                <w:caps w:val="0"/>
                <w:smallCaps w:val="0"/>
                <w:sz w:val="21"/>
                <w:szCs w:val="21"/>
              </w:rPr>
            </w:pPr>
            <w:r>
              <w:rPr>
                <w:rFonts w:ascii="Times New Roman" w:hAnsi="Times New Roman"/>
                <w:caps w:val="0"/>
                <w:smallCaps w:val="0"/>
                <w:sz w:val="21"/>
                <w:szCs w:val="21"/>
              </w:rPr>
              <w:t>是否利用</w:t>
            </w:r>
          </w:p>
        </w:tc>
        <w:tc>
          <w:tcPr>
            <w:tcW w:w="750" w:type="pct"/>
            <w:noWrap w:val="0"/>
            <w:vAlign w:val="center"/>
          </w:tcPr>
          <w:p w14:paraId="7657D821">
            <w:pPr>
              <w:snapToGrid w:val="0"/>
              <w:spacing w:line="240" w:lineRule="auto"/>
              <w:jc w:val="center"/>
              <w:rPr>
                <w:rFonts w:ascii="Times New Roman" w:hAnsi="Times New Roman"/>
                <w:caps w:val="0"/>
                <w:smallCaps w:val="0"/>
                <w:sz w:val="21"/>
                <w:szCs w:val="21"/>
              </w:rPr>
            </w:pPr>
            <w:r>
              <w:rPr>
                <w:rFonts w:ascii="Times New Roman" w:hAnsi="Times New Roman"/>
                <w:caps w:val="0"/>
                <w:smallCaps w:val="0"/>
                <w:sz w:val="21"/>
                <w:szCs w:val="21"/>
              </w:rPr>
              <w:t>备注</w:t>
            </w:r>
          </w:p>
        </w:tc>
      </w:tr>
      <w:tr w14:paraId="630E450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70" w:hRule="exact"/>
          <w:jc w:val="center"/>
        </w:trPr>
        <w:tc>
          <w:tcPr>
            <w:tcW w:w="360" w:type="pct"/>
            <w:vMerge w:val="restart"/>
            <w:noWrap w:val="0"/>
            <w:vAlign w:val="center"/>
          </w:tcPr>
          <w:p w14:paraId="711DA0A6">
            <w:pPr>
              <w:snapToGrid w:val="0"/>
              <w:spacing w:line="240" w:lineRule="auto"/>
              <w:jc w:val="center"/>
              <w:rPr>
                <w:rFonts w:hint="eastAsia" w:ascii="Times New Roman" w:hAnsi="Times New Roman" w:eastAsiaTheme="minorEastAsia"/>
                <w:caps w:val="0"/>
                <w:smallCaps w:val="0"/>
                <w:sz w:val="21"/>
                <w:szCs w:val="21"/>
                <w:lang w:eastAsia="zh-CN"/>
              </w:rPr>
            </w:pPr>
            <w:r>
              <w:rPr>
                <w:rFonts w:hint="eastAsia" w:ascii="Times New Roman" w:hAnsi="Times New Roman"/>
                <w:caps w:val="0"/>
                <w:smallCaps w:val="0"/>
                <w:sz w:val="21"/>
                <w:szCs w:val="21"/>
                <w:lang w:val="en-US" w:eastAsia="zh-CN"/>
              </w:rPr>
              <w:t>1</w:t>
            </w:r>
          </w:p>
        </w:tc>
        <w:tc>
          <w:tcPr>
            <w:tcW w:w="896" w:type="pct"/>
            <w:vMerge w:val="restart"/>
            <w:noWrap w:val="0"/>
            <w:vAlign w:val="center"/>
          </w:tcPr>
          <w:p w14:paraId="2F286BD0">
            <w:pPr>
              <w:snapToGrid w:val="0"/>
              <w:spacing w:line="240" w:lineRule="auto"/>
              <w:jc w:val="center"/>
              <w:rPr>
                <w:rFonts w:ascii="Times New Roman" w:hAnsi="Times New Roman"/>
                <w:caps w:val="0"/>
                <w:smallCaps w:val="0"/>
                <w:sz w:val="21"/>
                <w:szCs w:val="21"/>
              </w:rPr>
            </w:pPr>
            <w:r>
              <w:rPr>
                <w:rFonts w:hint="eastAsia" w:ascii="Times New Roman" w:hAnsi="Times New Roman"/>
                <w:caps w:val="0"/>
                <w:smallCaps w:val="0"/>
                <w:sz w:val="21"/>
                <w:szCs w:val="21"/>
              </w:rPr>
              <w:t>变压器</w:t>
            </w:r>
          </w:p>
        </w:tc>
        <w:tc>
          <w:tcPr>
            <w:tcW w:w="1162" w:type="pct"/>
            <w:noWrap w:val="0"/>
            <w:vAlign w:val="center"/>
          </w:tcPr>
          <w:p w14:paraId="1777F0AE">
            <w:pPr>
              <w:snapToGrid w:val="0"/>
              <w:spacing w:line="240" w:lineRule="auto"/>
              <w:jc w:val="center"/>
              <w:rPr>
                <w:rFonts w:hint="eastAsia" w:ascii="Times New Roman" w:hAnsi="Times New Roman"/>
                <w:caps w:val="0"/>
                <w:smallCaps w:val="0"/>
                <w:sz w:val="21"/>
                <w:szCs w:val="21"/>
              </w:rPr>
            </w:pPr>
            <w:r>
              <w:rPr>
                <w:rFonts w:hint="eastAsia" w:ascii="Times New Roman" w:hAnsi="Times New Roman"/>
                <w:caps w:val="0"/>
                <w:smallCaps w:val="0"/>
                <w:sz w:val="21"/>
                <w:szCs w:val="21"/>
              </w:rPr>
              <w:t>SCB13-630/10 10/0.4kV 630kVA</w:t>
            </w:r>
          </w:p>
        </w:tc>
        <w:tc>
          <w:tcPr>
            <w:tcW w:w="447" w:type="pct"/>
            <w:noWrap w:val="0"/>
            <w:vAlign w:val="center"/>
          </w:tcPr>
          <w:p w14:paraId="37662269">
            <w:pPr>
              <w:snapToGrid w:val="0"/>
              <w:spacing w:line="240" w:lineRule="auto"/>
              <w:jc w:val="center"/>
              <w:rPr>
                <w:rFonts w:hint="eastAsia" w:ascii="Times New Roman" w:hAnsi="Times New Roman" w:eastAsiaTheme="minorEastAsia"/>
                <w:caps w:val="0"/>
                <w:smallCaps w:val="0"/>
                <w:sz w:val="21"/>
                <w:szCs w:val="21"/>
                <w:lang w:val="en-US" w:eastAsia="zh-CN"/>
              </w:rPr>
            </w:pPr>
            <w:r>
              <w:rPr>
                <w:rFonts w:ascii="Times New Roman" w:hAnsi="Times New Roman"/>
                <w:caps w:val="0"/>
                <w:smallCaps w:val="0"/>
                <w:sz w:val="21"/>
                <w:szCs w:val="21"/>
              </w:rPr>
              <w:t>台</w:t>
            </w:r>
          </w:p>
        </w:tc>
        <w:tc>
          <w:tcPr>
            <w:tcW w:w="403" w:type="pct"/>
            <w:noWrap w:val="0"/>
            <w:vAlign w:val="center"/>
          </w:tcPr>
          <w:p w14:paraId="5E46F9B9">
            <w:pPr>
              <w:snapToGrid w:val="0"/>
              <w:spacing w:line="240" w:lineRule="auto"/>
              <w:jc w:val="center"/>
              <w:rPr>
                <w:rFonts w:hint="eastAsia" w:ascii="Times New Roman" w:hAnsi="Times New Roman" w:eastAsiaTheme="minorEastAsia"/>
                <w:caps w:val="0"/>
                <w:smallCaps w:val="0"/>
                <w:sz w:val="21"/>
                <w:szCs w:val="21"/>
                <w:lang w:val="en-US" w:eastAsia="zh-CN"/>
              </w:rPr>
            </w:pPr>
            <w:r>
              <w:rPr>
                <w:rFonts w:hint="eastAsia" w:ascii="Times New Roman" w:hAnsi="Times New Roman"/>
                <w:caps w:val="0"/>
                <w:smallCaps w:val="0"/>
                <w:sz w:val="21"/>
                <w:szCs w:val="21"/>
                <w:lang w:val="en-US" w:eastAsia="zh-CN"/>
              </w:rPr>
              <w:t>2</w:t>
            </w:r>
          </w:p>
        </w:tc>
        <w:tc>
          <w:tcPr>
            <w:tcW w:w="979" w:type="pct"/>
            <w:noWrap w:val="0"/>
            <w:vAlign w:val="center"/>
          </w:tcPr>
          <w:p w14:paraId="4089120D">
            <w:pPr>
              <w:snapToGrid w:val="0"/>
              <w:spacing w:line="240" w:lineRule="auto"/>
              <w:jc w:val="center"/>
              <w:rPr>
                <w:rFonts w:ascii="Times New Roman" w:hAnsi="Times New Roman"/>
                <w:caps w:val="0"/>
                <w:smallCaps w:val="0"/>
                <w:sz w:val="21"/>
                <w:szCs w:val="21"/>
              </w:rPr>
            </w:pPr>
            <w:r>
              <w:rPr>
                <w:rFonts w:ascii="Times New Roman" w:hAnsi="Times New Roman"/>
                <w:caps w:val="0"/>
                <w:smallCaps w:val="0"/>
                <w:sz w:val="21"/>
                <w:szCs w:val="21"/>
              </w:rPr>
              <w:t>利用</w:t>
            </w:r>
          </w:p>
        </w:tc>
        <w:tc>
          <w:tcPr>
            <w:tcW w:w="750" w:type="pct"/>
            <w:noWrap w:val="0"/>
            <w:vAlign w:val="center"/>
          </w:tcPr>
          <w:p w14:paraId="6DBE2409">
            <w:pPr>
              <w:snapToGrid w:val="0"/>
              <w:spacing w:line="240" w:lineRule="auto"/>
              <w:jc w:val="center"/>
              <w:rPr>
                <w:rFonts w:ascii="Times New Roman" w:hAnsi="Times New Roman"/>
                <w:caps w:val="0"/>
                <w:smallCaps w:val="0"/>
                <w:sz w:val="21"/>
                <w:szCs w:val="21"/>
              </w:rPr>
            </w:pPr>
            <w:r>
              <w:rPr>
                <w:rFonts w:ascii="Times New Roman" w:hAnsi="Times New Roman"/>
                <w:caps w:val="0"/>
                <w:smallCaps w:val="0"/>
                <w:sz w:val="21"/>
                <w:szCs w:val="21"/>
              </w:rPr>
              <w:t>设备完好</w:t>
            </w:r>
          </w:p>
        </w:tc>
      </w:tr>
      <w:tr w14:paraId="2DD021B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10" w:hRule="exact"/>
          <w:jc w:val="center"/>
        </w:trPr>
        <w:tc>
          <w:tcPr>
            <w:tcW w:w="360" w:type="pct"/>
            <w:vMerge w:val="continue"/>
            <w:noWrap w:val="0"/>
            <w:vAlign w:val="center"/>
          </w:tcPr>
          <w:p w14:paraId="56EFE5E7">
            <w:pPr>
              <w:snapToGrid w:val="0"/>
              <w:spacing w:line="240" w:lineRule="auto"/>
              <w:jc w:val="center"/>
              <w:rPr>
                <w:rFonts w:hint="eastAsia" w:ascii="Times New Roman" w:hAnsi="Times New Roman" w:eastAsiaTheme="minorEastAsia"/>
                <w:caps w:val="0"/>
                <w:smallCaps w:val="0"/>
                <w:sz w:val="21"/>
                <w:szCs w:val="21"/>
                <w:lang w:eastAsia="zh-CN"/>
              </w:rPr>
            </w:pPr>
          </w:p>
        </w:tc>
        <w:tc>
          <w:tcPr>
            <w:tcW w:w="896" w:type="pct"/>
            <w:vMerge w:val="continue"/>
            <w:noWrap w:val="0"/>
            <w:vAlign w:val="center"/>
          </w:tcPr>
          <w:p w14:paraId="64F05BBF">
            <w:pPr>
              <w:snapToGrid w:val="0"/>
              <w:spacing w:line="240" w:lineRule="auto"/>
              <w:jc w:val="center"/>
              <w:rPr>
                <w:rFonts w:ascii="Times New Roman" w:hAnsi="Times New Roman"/>
                <w:caps w:val="0"/>
                <w:smallCaps w:val="0"/>
                <w:sz w:val="21"/>
                <w:szCs w:val="21"/>
              </w:rPr>
            </w:pPr>
          </w:p>
        </w:tc>
        <w:tc>
          <w:tcPr>
            <w:tcW w:w="1162" w:type="pct"/>
            <w:noWrap w:val="0"/>
            <w:vAlign w:val="center"/>
          </w:tcPr>
          <w:p w14:paraId="4ABA8F3D">
            <w:pPr>
              <w:snapToGrid w:val="0"/>
              <w:spacing w:line="240" w:lineRule="auto"/>
              <w:jc w:val="center"/>
              <w:rPr>
                <w:rFonts w:hint="eastAsia" w:ascii="Times New Roman" w:hAnsi="Times New Roman" w:eastAsiaTheme="minorEastAsia"/>
                <w:caps w:val="0"/>
                <w:smallCaps w:val="0"/>
                <w:sz w:val="21"/>
                <w:szCs w:val="21"/>
                <w:lang w:val="en-US" w:eastAsia="zh-CN"/>
              </w:rPr>
            </w:pPr>
            <w:r>
              <w:rPr>
                <w:rFonts w:hint="eastAsia" w:ascii="Times New Roman" w:hAnsi="Times New Roman"/>
                <w:caps w:val="0"/>
                <w:smallCaps w:val="0"/>
                <w:sz w:val="21"/>
                <w:szCs w:val="21"/>
              </w:rPr>
              <w:t>SCB13-500/10 10/0.4kV 500kVA</w:t>
            </w:r>
          </w:p>
        </w:tc>
        <w:tc>
          <w:tcPr>
            <w:tcW w:w="447" w:type="pct"/>
            <w:noWrap w:val="0"/>
            <w:vAlign w:val="center"/>
          </w:tcPr>
          <w:p w14:paraId="14694EA5">
            <w:pPr>
              <w:snapToGrid w:val="0"/>
              <w:spacing w:line="240" w:lineRule="auto"/>
              <w:jc w:val="center"/>
              <w:rPr>
                <w:rFonts w:ascii="Times New Roman" w:hAnsi="Times New Roman"/>
                <w:caps w:val="0"/>
                <w:smallCaps w:val="0"/>
                <w:sz w:val="21"/>
                <w:szCs w:val="21"/>
              </w:rPr>
            </w:pPr>
            <w:r>
              <w:rPr>
                <w:rFonts w:ascii="Times New Roman" w:hAnsi="Times New Roman"/>
                <w:caps w:val="0"/>
                <w:smallCaps w:val="0"/>
                <w:sz w:val="21"/>
                <w:szCs w:val="21"/>
              </w:rPr>
              <w:t>台</w:t>
            </w:r>
          </w:p>
        </w:tc>
        <w:tc>
          <w:tcPr>
            <w:tcW w:w="403" w:type="pct"/>
            <w:noWrap w:val="0"/>
            <w:vAlign w:val="center"/>
          </w:tcPr>
          <w:p w14:paraId="5DCBBEAF">
            <w:pPr>
              <w:snapToGrid w:val="0"/>
              <w:spacing w:line="240" w:lineRule="auto"/>
              <w:jc w:val="center"/>
              <w:rPr>
                <w:rFonts w:hint="eastAsia" w:ascii="Times New Roman" w:hAnsi="Times New Roman" w:eastAsiaTheme="minorEastAsia"/>
                <w:caps w:val="0"/>
                <w:smallCaps w:val="0"/>
                <w:sz w:val="21"/>
                <w:szCs w:val="21"/>
                <w:lang w:eastAsia="zh-CN"/>
              </w:rPr>
            </w:pPr>
            <w:r>
              <w:rPr>
                <w:rFonts w:hint="eastAsia" w:ascii="Times New Roman" w:hAnsi="Times New Roman"/>
                <w:caps w:val="0"/>
                <w:smallCaps w:val="0"/>
                <w:sz w:val="21"/>
                <w:szCs w:val="21"/>
                <w:lang w:val="en-US" w:eastAsia="zh-CN"/>
              </w:rPr>
              <w:t>1</w:t>
            </w:r>
          </w:p>
        </w:tc>
        <w:tc>
          <w:tcPr>
            <w:tcW w:w="979" w:type="pct"/>
            <w:noWrap w:val="0"/>
            <w:vAlign w:val="center"/>
          </w:tcPr>
          <w:p w14:paraId="135038E1">
            <w:pPr>
              <w:snapToGrid w:val="0"/>
              <w:spacing w:line="240" w:lineRule="auto"/>
              <w:jc w:val="center"/>
              <w:rPr>
                <w:rFonts w:ascii="Times New Roman" w:hAnsi="Times New Roman"/>
                <w:caps w:val="0"/>
                <w:smallCaps w:val="0"/>
                <w:sz w:val="21"/>
                <w:szCs w:val="21"/>
              </w:rPr>
            </w:pPr>
            <w:r>
              <w:rPr>
                <w:rFonts w:ascii="Times New Roman" w:hAnsi="Times New Roman"/>
                <w:caps w:val="0"/>
                <w:smallCaps w:val="0"/>
                <w:sz w:val="21"/>
                <w:szCs w:val="21"/>
              </w:rPr>
              <w:t>利用</w:t>
            </w:r>
          </w:p>
        </w:tc>
        <w:tc>
          <w:tcPr>
            <w:tcW w:w="750" w:type="pct"/>
            <w:noWrap w:val="0"/>
            <w:vAlign w:val="center"/>
          </w:tcPr>
          <w:p w14:paraId="6FFA3072">
            <w:pPr>
              <w:snapToGrid w:val="0"/>
              <w:spacing w:line="240" w:lineRule="auto"/>
              <w:jc w:val="center"/>
              <w:rPr>
                <w:rFonts w:ascii="Times New Roman" w:hAnsi="Times New Roman"/>
                <w:caps w:val="0"/>
                <w:smallCaps w:val="0"/>
                <w:sz w:val="21"/>
                <w:szCs w:val="21"/>
              </w:rPr>
            </w:pPr>
            <w:r>
              <w:rPr>
                <w:rFonts w:ascii="Times New Roman" w:hAnsi="Times New Roman"/>
                <w:caps w:val="0"/>
                <w:smallCaps w:val="0"/>
                <w:sz w:val="21"/>
                <w:szCs w:val="21"/>
              </w:rPr>
              <w:t>设备完好</w:t>
            </w:r>
          </w:p>
        </w:tc>
      </w:tr>
    </w:tbl>
    <w:p w14:paraId="5DF944E5">
      <w:pPr>
        <w:pStyle w:val="29"/>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default"/>
          <w:lang w:val="en-US" w:eastAsia="zh-CN"/>
        </w:rPr>
      </w:pPr>
      <w:r>
        <w:rPr>
          <w:rFonts w:hint="eastAsia"/>
          <w:lang w:val="en-US" w:eastAsia="zh-CN"/>
        </w:rPr>
        <w:t>建设规模及工作制度</w:t>
      </w:r>
    </w:p>
    <w:p w14:paraId="790704A8">
      <w:pPr>
        <w:pStyle w:val="21"/>
        <w:numPr>
          <w:ilvl w:val="0"/>
          <w:numId w:val="12"/>
        </w:numPr>
        <w:bidi w:val="0"/>
        <w:rPr>
          <w:rFonts w:hint="default"/>
          <w:lang w:val="en-US" w:eastAsia="zh-CN"/>
        </w:rPr>
      </w:pPr>
      <w:r>
        <w:rPr>
          <w:rFonts w:hint="eastAsia"/>
          <w:lang w:val="en-US" w:eastAsia="zh-CN"/>
        </w:rPr>
        <w:t>设计利用储量</w:t>
      </w:r>
    </w:p>
    <w:p w14:paraId="363445D9">
      <w:pPr>
        <w:pStyle w:val="21"/>
        <w:bidi w:val="0"/>
        <w:rPr>
          <w:rFonts w:hint="default"/>
          <w:lang w:val="en-US" w:eastAsia="zh-CN"/>
        </w:rPr>
      </w:pPr>
      <w:r>
        <w:rPr>
          <w:rFonts w:hint="eastAsia"/>
          <w:color w:val="auto"/>
          <w:highlight w:val="none"/>
          <w:lang w:val="en-US" w:eastAsia="zh-CN"/>
        </w:rPr>
        <w:t>根据储量核实报告，矿区范围内保有资源储量1499.46万t。0m中段以上及-450m中段以下的矿量较少，作为设计损失，损失矿量5.07万t。-300m至-315m之间留设15m隔离矿柱，损失矿量27.29万t。-100m至-300m之间留设108m公路保护矿柱，损失矿量12.96万t。其余矿量全部利用，设计利用资源量1454.14万t，设计损失矿量45.32万t。</w:t>
      </w:r>
    </w:p>
    <w:p w14:paraId="19B35D28">
      <w:pPr>
        <w:pStyle w:val="21"/>
        <w:numPr>
          <w:ilvl w:val="0"/>
          <w:numId w:val="12"/>
        </w:numPr>
        <w:bidi w:val="0"/>
        <w:rPr>
          <w:rFonts w:hint="default"/>
          <w:lang w:val="en-US" w:eastAsia="zh-CN"/>
        </w:rPr>
      </w:pPr>
      <w:r>
        <w:rPr>
          <w:rFonts w:hint="default"/>
          <w:lang w:val="en-US" w:eastAsia="zh-CN"/>
        </w:rPr>
        <w:t>生产规模及服务年限</w:t>
      </w:r>
    </w:p>
    <w:p w14:paraId="1DDC021B">
      <w:pPr>
        <w:pStyle w:val="21"/>
        <w:bidi w:val="0"/>
        <w:rPr>
          <w:rFonts w:hint="default"/>
          <w:lang w:val="en-US" w:eastAsia="zh-CN"/>
        </w:rPr>
      </w:pPr>
      <w:r>
        <w:rPr>
          <w:rFonts w:hint="eastAsia"/>
          <w:lang w:val="en-US" w:eastAsia="zh-CN"/>
        </w:rPr>
        <w:t>《可研报告》明确，《采矿许可证》证号：XXXXXXXXXXXXXXXXX，设计矿山生产规模为60万t/a</w:t>
      </w:r>
      <w:r>
        <w:rPr>
          <w:rFonts w:hint="default"/>
          <w:lang w:val="en-US" w:eastAsia="zh-CN"/>
        </w:rPr>
        <w:t>，</w:t>
      </w:r>
      <w:r>
        <w:rPr>
          <w:rFonts w:hint="eastAsia"/>
          <w:lang w:val="en-US" w:eastAsia="zh-CN"/>
        </w:rPr>
        <w:t>以此计算</w:t>
      </w:r>
      <w:r>
        <w:rPr>
          <w:rFonts w:hint="default"/>
          <w:lang w:val="en-US" w:eastAsia="zh-CN"/>
        </w:rPr>
        <w:t>服务年限</w:t>
      </w:r>
      <w:r>
        <w:rPr>
          <w:rFonts w:hint="eastAsia"/>
          <w:lang w:val="en-US" w:eastAsia="zh-CN"/>
        </w:rPr>
        <w:t>为27年3个月（不含基建期），其中投产后1年达产，稳产22年，减产4年。一期服务年限23年3个月，二期服务年限4年。</w:t>
      </w:r>
    </w:p>
    <w:p w14:paraId="0D5105F4">
      <w:pPr>
        <w:pStyle w:val="21"/>
        <w:numPr>
          <w:ilvl w:val="0"/>
          <w:numId w:val="12"/>
        </w:numPr>
        <w:bidi w:val="0"/>
        <w:rPr>
          <w:rFonts w:hint="default"/>
          <w:lang w:val="en-US" w:eastAsia="zh-CN"/>
        </w:rPr>
      </w:pPr>
      <w:r>
        <w:rPr>
          <w:rFonts w:hint="default"/>
          <w:lang w:val="en-US" w:eastAsia="zh-CN"/>
        </w:rPr>
        <w:t>工作制度</w:t>
      </w:r>
    </w:p>
    <w:p w14:paraId="7636331F">
      <w:pPr>
        <w:pStyle w:val="21"/>
        <w:bidi w:val="0"/>
        <w:rPr>
          <w:rFonts w:hint="default"/>
          <w:lang w:val="en-US" w:eastAsia="zh-CN"/>
        </w:rPr>
      </w:pPr>
      <w:r>
        <w:rPr>
          <w:rFonts w:hint="default"/>
          <w:lang w:val="en-US" w:eastAsia="zh-CN"/>
        </w:rPr>
        <w:t>矿山采用连续工作制，年工作300天，每天工作3班，每班工作8小时。</w:t>
      </w:r>
    </w:p>
    <w:p w14:paraId="3B2DFFA7">
      <w:pPr>
        <w:pStyle w:val="29"/>
        <w:bidi w:val="0"/>
        <w:rPr>
          <w:rFonts w:hint="default"/>
          <w:lang w:val="en-US" w:eastAsia="zh-CN"/>
        </w:rPr>
      </w:pPr>
      <w:r>
        <w:rPr>
          <w:rFonts w:hint="eastAsia"/>
          <w:lang w:val="en-US" w:eastAsia="zh-CN"/>
        </w:rPr>
        <w:t>总图运输</w:t>
      </w:r>
    </w:p>
    <w:p w14:paraId="618E9E67">
      <w:pPr>
        <w:pStyle w:val="21"/>
        <w:numPr>
          <w:ilvl w:val="0"/>
          <w:numId w:val="13"/>
        </w:numPr>
        <w:bidi w:val="0"/>
        <w:rPr>
          <w:rFonts w:hint="default"/>
          <w:lang w:val="en-US" w:eastAsia="zh-CN"/>
        </w:rPr>
      </w:pPr>
      <w:r>
        <w:rPr>
          <w:rFonts w:hint="eastAsia"/>
          <w:lang w:val="en-US" w:eastAsia="zh-CN"/>
        </w:rPr>
        <w:t>总体布置</w:t>
      </w:r>
    </w:p>
    <w:p w14:paraId="70A97576">
      <w:pPr>
        <w:pStyle w:val="21"/>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工业场地位于管缆井井口和斜坡道硐口附近，工业场地最低标高为64m，高于历史最高洪水位1m以上。矿区历史最高洪水位为61.3m，满足安全生产要求。</w:t>
      </w:r>
    </w:p>
    <w:p w14:paraId="014208DD">
      <w:pPr>
        <w:pStyle w:val="21"/>
        <w:numPr>
          <w:ilvl w:val="0"/>
          <w:numId w:val="13"/>
        </w:numPr>
        <w:bidi w:val="0"/>
        <w:rPr>
          <w:rFonts w:hint="default"/>
          <w:lang w:val="en-US" w:eastAsia="zh-CN"/>
        </w:rPr>
      </w:pPr>
      <w:r>
        <w:rPr>
          <w:rFonts w:hint="default"/>
          <w:lang w:val="en-US" w:eastAsia="zh-CN"/>
        </w:rPr>
        <w:t>总平面布置</w:t>
      </w:r>
    </w:p>
    <w:p w14:paraId="56AB109F">
      <w:pPr>
        <w:pStyle w:val="21"/>
        <w:bidi w:val="0"/>
        <w:rPr>
          <w:rFonts w:hint="eastAsia"/>
          <w:lang w:val="en-US" w:eastAsia="zh-CN"/>
        </w:rPr>
      </w:pPr>
      <w:r>
        <w:rPr>
          <w:rFonts w:hint="default"/>
          <w:lang w:val="en-US" w:eastAsia="zh-CN"/>
        </w:rPr>
        <w:t>《可研报告》</w:t>
      </w:r>
      <w:r>
        <w:rPr>
          <w:rFonts w:hint="eastAsia"/>
          <w:lang w:val="en-US" w:eastAsia="zh-CN"/>
        </w:rPr>
        <w:t>明确，矿山</w:t>
      </w:r>
      <w:r>
        <w:rPr>
          <w:rFonts w:hint="eastAsia"/>
        </w:rPr>
        <w:t>采用</w:t>
      </w:r>
      <w:r>
        <w:rPr>
          <w:rFonts w:hint="eastAsia"/>
          <w:lang w:val="en-US" w:eastAsia="zh-CN"/>
        </w:rPr>
        <w:t>斜坡道-竖井开拓方案</w:t>
      </w:r>
      <w:r>
        <w:rPr>
          <w:rFonts w:hint="eastAsia"/>
          <w:lang w:eastAsia="zh-CN"/>
        </w:rPr>
        <w:t>。</w:t>
      </w:r>
    </w:p>
    <w:p w14:paraId="0F64B243">
      <w:pPr>
        <w:pStyle w:val="21"/>
        <w:bidi w:val="0"/>
        <w:rPr>
          <w:rFonts w:hint="eastAsia"/>
          <w:lang w:val="en-US" w:eastAsia="zh-CN"/>
        </w:rPr>
      </w:pPr>
      <w:r>
        <w:rPr>
          <w:rFonts w:hint="eastAsia"/>
          <w:lang w:val="en-US" w:eastAsia="zh-CN"/>
        </w:rPr>
        <w:t>工业场地位于管缆井井口和斜坡道硐口附近。</w:t>
      </w:r>
    </w:p>
    <w:p w14:paraId="1AA7CA3B">
      <w:pPr>
        <w:pStyle w:val="21"/>
        <w:bidi w:val="0"/>
        <w:rPr>
          <w:rFonts w:hint="eastAsia"/>
          <w:lang w:val="en-US" w:eastAsia="zh-CN"/>
        </w:rPr>
      </w:pPr>
      <w:r>
        <w:rPr>
          <w:rFonts w:hint="eastAsia"/>
          <w:lang w:val="en-US" w:eastAsia="zh-CN"/>
        </w:rPr>
        <w:t>斜坡道：为已有工程，现有斜坡道开口位于矿体下盘N8线南侧，位于岩石移动监测范围界线20m以外，硐口中心坐标为：X=XXXXXXXX，Y=XXXXXXXX，Z＝64m。</w:t>
      </w:r>
    </w:p>
    <w:p w14:paraId="3AADF0E7">
      <w:pPr>
        <w:pStyle w:val="21"/>
        <w:bidi w:val="0"/>
        <w:rPr>
          <w:rFonts w:hint="eastAsia"/>
          <w:lang w:val="en-US" w:eastAsia="zh-CN"/>
        </w:rPr>
      </w:pPr>
      <w:r>
        <w:rPr>
          <w:rFonts w:hint="eastAsia"/>
          <w:lang w:val="en-US" w:eastAsia="zh-CN"/>
        </w:rPr>
        <w:t>管缆井：利用原回风井，位于N0线北侧，岩石移动监测范围界线20m以外，井口中心坐标为：X=XXXXXXXX，Y=XXXXXXXX，Z=99m。</w:t>
      </w:r>
    </w:p>
    <w:p w14:paraId="51926AA4">
      <w:pPr>
        <w:pStyle w:val="21"/>
        <w:bidi w:val="0"/>
        <w:rPr>
          <w:rFonts w:hint="default"/>
          <w:lang w:val="en-US" w:eastAsia="zh-CN"/>
        </w:rPr>
      </w:pPr>
      <w:r>
        <w:rPr>
          <w:rFonts w:hint="eastAsia"/>
          <w:lang w:val="en-US" w:eastAsia="zh-CN"/>
        </w:rPr>
        <w:t>回风井：新设计工程，位于4号勘探线附近，岩石移动监测范围界线20m以外，井口中心坐标为：X=XXXXXXXX，Y=XXXXXXXX，Z=63m。</w:t>
      </w:r>
    </w:p>
    <w:p w14:paraId="67DF80A4">
      <w:pPr>
        <w:pStyle w:val="21"/>
        <w:bidi w:val="0"/>
        <w:rPr>
          <w:rFonts w:hint="default"/>
          <w:lang w:val="en-US" w:eastAsia="zh-CN"/>
        </w:rPr>
      </w:pPr>
      <w:r>
        <w:rPr>
          <w:rFonts w:hint="eastAsia"/>
          <w:lang w:val="en-US" w:eastAsia="zh-CN"/>
        </w:rPr>
        <w:t>4、废石场</w:t>
      </w:r>
    </w:p>
    <w:p w14:paraId="52363879">
      <w:pPr>
        <w:pStyle w:val="21"/>
        <w:bidi w:val="0"/>
        <w:rPr>
          <w:rFonts w:hint="default"/>
          <w:lang w:val="en-US" w:eastAsia="zh-CN"/>
        </w:rPr>
      </w:pPr>
      <w:r>
        <w:rPr>
          <w:rFonts w:hint="eastAsia"/>
          <w:lang w:val="en-US" w:eastAsia="zh-CN"/>
        </w:rPr>
        <w:t>井下废石通过装载机装入自卸汽车，通过斜坡道运至地表回填地表露天坑</w:t>
      </w:r>
      <w:r>
        <w:rPr>
          <w:rFonts w:hint="default"/>
          <w:lang w:val="en-US" w:eastAsia="zh-CN"/>
        </w:rPr>
        <w:t>。</w:t>
      </w:r>
    </w:p>
    <w:p w14:paraId="0A18EE30">
      <w:pPr>
        <w:pStyle w:val="21"/>
        <w:bidi w:val="0"/>
        <w:rPr>
          <w:rFonts w:hint="default"/>
          <w:lang w:val="en-US" w:eastAsia="zh-CN"/>
        </w:rPr>
      </w:pPr>
      <w:r>
        <w:rPr>
          <w:rFonts w:hint="eastAsia"/>
          <w:lang w:val="en-US" w:eastAsia="zh-CN"/>
        </w:rPr>
        <w:t>5、工业场地</w:t>
      </w:r>
    </w:p>
    <w:p w14:paraId="4DB4BF88">
      <w:pPr>
        <w:pStyle w:val="21"/>
        <w:bidi w:val="0"/>
        <w:rPr>
          <w:rFonts w:hint="default"/>
          <w:lang w:val="en-US" w:eastAsia="zh-CN"/>
        </w:rPr>
      </w:pPr>
      <w:r>
        <w:rPr>
          <w:rFonts w:hint="default"/>
          <w:lang w:val="en-US" w:eastAsia="zh-CN"/>
        </w:rPr>
        <w:t>工业场地附近设有空压站、变电站、办公室、充填站等设施。高位水池布置在斜坡道工业场地附近，设计标高为60m。</w:t>
      </w:r>
    </w:p>
    <w:p w14:paraId="412CA1A1">
      <w:pPr>
        <w:pStyle w:val="21"/>
        <w:numPr>
          <w:ilvl w:val="0"/>
          <w:numId w:val="13"/>
        </w:numPr>
        <w:bidi w:val="0"/>
        <w:rPr>
          <w:rFonts w:hint="eastAsia"/>
          <w:lang w:val="en-US" w:eastAsia="zh-CN"/>
        </w:rPr>
      </w:pPr>
      <w:r>
        <w:rPr>
          <w:rFonts w:hint="eastAsia"/>
          <w:lang w:val="en-US" w:eastAsia="zh-CN"/>
        </w:rPr>
        <w:t>内外部运输</w:t>
      </w:r>
    </w:p>
    <w:p w14:paraId="7C147A19">
      <w:pPr>
        <w:pStyle w:val="21"/>
        <w:bidi w:val="0"/>
        <w:rPr>
          <w:rFonts w:hint="eastAsia"/>
          <w:lang w:val="en-US" w:eastAsia="zh-CN"/>
        </w:rPr>
      </w:pPr>
      <w:r>
        <w:rPr>
          <w:rFonts w:hint="eastAsia"/>
          <w:lang w:val="en-US" w:eastAsia="zh-CN"/>
        </w:rPr>
        <w:t>1、矿区道路及运输</w:t>
      </w:r>
    </w:p>
    <w:p w14:paraId="61588727">
      <w:pPr>
        <w:pStyle w:val="21"/>
        <w:bidi w:val="0"/>
        <w:rPr>
          <w:rFonts w:hint="default"/>
          <w:lang w:val="en-US" w:eastAsia="zh-CN"/>
        </w:rPr>
      </w:pPr>
      <w:r>
        <w:rPr>
          <w:rFonts w:hint="default"/>
          <w:lang w:val="en-US" w:eastAsia="zh-CN"/>
        </w:rPr>
        <w:t>矿区采用公路运输，混凝土路面，路面宽为8m，最大纵坡8％，最小曲线半径20m。</w:t>
      </w:r>
    </w:p>
    <w:p w14:paraId="64CB071E">
      <w:pPr>
        <w:pStyle w:val="21"/>
        <w:bidi w:val="0"/>
        <w:rPr>
          <w:rFonts w:hint="default"/>
          <w:lang w:val="en-US" w:eastAsia="zh-CN"/>
        </w:rPr>
      </w:pPr>
      <w:r>
        <w:rPr>
          <w:rFonts w:hint="default"/>
          <w:lang w:val="en-US" w:eastAsia="zh-CN"/>
        </w:rPr>
        <w:t>采矿生产所需原材料主要是炸药，工业数码电子雷管、水泥、砂石料、钢材等。</w:t>
      </w:r>
    </w:p>
    <w:p w14:paraId="0FAEBC5F">
      <w:pPr>
        <w:pStyle w:val="21"/>
        <w:bidi w:val="0"/>
        <w:rPr>
          <w:rFonts w:hint="default"/>
          <w:lang w:val="en-US" w:eastAsia="zh-CN"/>
        </w:rPr>
      </w:pPr>
      <w:r>
        <w:rPr>
          <w:rFonts w:hint="eastAsia"/>
          <w:lang w:val="en-US" w:eastAsia="zh-CN"/>
        </w:rPr>
        <w:t>①</w:t>
      </w:r>
      <w:r>
        <w:rPr>
          <w:rFonts w:hint="default"/>
          <w:lang w:val="en-US" w:eastAsia="zh-CN"/>
        </w:rPr>
        <w:t>炸药及电子雷管运输</w:t>
      </w:r>
    </w:p>
    <w:p w14:paraId="3D79F6DF">
      <w:pPr>
        <w:pStyle w:val="21"/>
        <w:bidi w:val="0"/>
        <w:rPr>
          <w:rFonts w:hint="default"/>
          <w:lang w:val="en-US" w:eastAsia="zh-CN"/>
        </w:rPr>
      </w:pPr>
      <w:r>
        <w:rPr>
          <w:rFonts w:hint="default"/>
          <w:lang w:val="en-US" w:eastAsia="zh-CN"/>
        </w:rPr>
        <w:t>炸药和工业数码电子雷管是危险原材料，是国家重点管制的对象，爆破器材由当地民爆公司一体化负责配送。</w:t>
      </w:r>
    </w:p>
    <w:p w14:paraId="0A39EDE6">
      <w:pPr>
        <w:pStyle w:val="21"/>
        <w:bidi w:val="0"/>
        <w:rPr>
          <w:rFonts w:hint="default"/>
          <w:lang w:val="en-US" w:eastAsia="zh-CN"/>
        </w:rPr>
      </w:pPr>
      <w:r>
        <w:rPr>
          <w:rFonts w:hint="eastAsia"/>
          <w:lang w:val="en-US" w:eastAsia="zh-CN"/>
        </w:rPr>
        <w:t>②</w:t>
      </w:r>
      <w:r>
        <w:rPr>
          <w:rFonts w:hint="default"/>
          <w:lang w:val="en-US" w:eastAsia="zh-CN"/>
        </w:rPr>
        <w:t>其余生产原材料运输</w:t>
      </w:r>
    </w:p>
    <w:p w14:paraId="3589140E">
      <w:pPr>
        <w:pStyle w:val="21"/>
        <w:bidi w:val="0"/>
        <w:rPr>
          <w:rFonts w:hint="default"/>
          <w:lang w:val="en-US" w:eastAsia="zh-CN"/>
        </w:rPr>
      </w:pPr>
      <w:r>
        <w:rPr>
          <w:rFonts w:hint="default"/>
          <w:lang w:val="en-US" w:eastAsia="zh-CN"/>
        </w:rPr>
        <w:t>生产所需其它主要原材料，如水泥、砂石料、钢材可由生产厂家直接送货或由社会力量承担运输。</w:t>
      </w:r>
    </w:p>
    <w:p w14:paraId="1DBDD6B7">
      <w:pPr>
        <w:pStyle w:val="21"/>
        <w:bidi w:val="0"/>
        <w:rPr>
          <w:rFonts w:hint="default"/>
          <w:lang w:val="en-US" w:eastAsia="zh-CN"/>
        </w:rPr>
      </w:pPr>
      <w:r>
        <w:rPr>
          <w:rFonts w:hint="eastAsia"/>
          <w:lang w:val="en-US" w:eastAsia="zh-CN"/>
        </w:rPr>
        <w:t>③</w:t>
      </w:r>
      <w:r>
        <w:rPr>
          <w:rFonts w:hint="default"/>
          <w:lang w:val="en-US" w:eastAsia="zh-CN"/>
        </w:rPr>
        <w:t>主要辅助材料来源及运输</w:t>
      </w:r>
    </w:p>
    <w:p w14:paraId="7AD480D9">
      <w:pPr>
        <w:pStyle w:val="21"/>
        <w:bidi w:val="0"/>
        <w:rPr>
          <w:rFonts w:hint="default"/>
          <w:lang w:val="en-US" w:eastAsia="zh-CN"/>
        </w:rPr>
      </w:pPr>
      <w:r>
        <w:rPr>
          <w:rFonts w:hint="default"/>
          <w:lang w:val="en-US" w:eastAsia="zh-CN"/>
        </w:rPr>
        <w:t>所需主要辅助材料如润滑油、备品备件等，在国内都有厂家生产，且不属于紧缺物资，可由矿方自己采购或由厂家直接送货上门，运输车辆由社会力量承担或由生产厂家解决。</w:t>
      </w:r>
    </w:p>
    <w:p w14:paraId="4FD159D0">
      <w:pPr>
        <w:pStyle w:val="21"/>
        <w:bidi w:val="0"/>
        <w:rPr>
          <w:rFonts w:hint="eastAsia"/>
          <w:lang w:val="en-US" w:eastAsia="zh-CN"/>
        </w:rPr>
      </w:pPr>
      <w:r>
        <w:rPr>
          <w:rFonts w:hint="eastAsia"/>
          <w:lang w:val="en-US" w:eastAsia="zh-CN"/>
        </w:rPr>
        <w:t>2、井下运输</w:t>
      </w:r>
    </w:p>
    <w:p w14:paraId="074F4D23">
      <w:pPr>
        <w:pStyle w:val="21"/>
        <w:bidi w:val="0"/>
        <w:rPr>
          <w:rFonts w:hint="default"/>
          <w:lang w:val="en-US" w:eastAsia="zh-CN"/>
        </w:rPr>
      </w:pPr>
      <w:r>
        <w:rPr>
          <w:rFonts w:hint="default"/>
          <w:lang w:val="en-US" w:eastAsia="zh-CN"/>
        </w:rPr>
        <w:t>井下各生产中段均为无轨运输方式，巷道规格5.0×4.7m，净断面21.78m²。穿脉巷道规格4.5×4.0m，净断面16.58m²。</w:t>
      </w:r>
    </w:p>
    <w:p w14:paraId="08DF4EA9">
      <w:pPr>
        <w:pStyle w:val="21"/>
        <w:bidi w:val="0"/>
        <w:rPr>
          <w:rFonts w:hint="default"/>
          <w:lang w:val="en-US" w:eastAsia="zh-CN"/>
        </w:rPr>
      </w:pPr>
      <w:r>
        <w:rPr>
          <w:rFonts w:hint="default"/>
          <w:lang w:val="en-US" w:eastAsia="zh-CN"/>
        </w:rPr>
        <w:t>各中段矿石通过装载机装入自卸汽车，经中段运输巷道、斜坡道运至地表矿石堆场。</w:t>
      </w:r>
    </w:p>
    <w:p w14:paraId="29D5AF90">
      <w:pPr>
        <w:pStyle w:val="21"/>
        <w:bidi w:val="0"/>
        <w:rPr>
          <w:rFonts w:hint="default"/>
          <w:lang w:val="en-US" w:eastAsia="zh-CN"/>
        </w:rPr>
      </w:pPr>
      <w:r>
        <w:rPr>
          <w:rFonts w:hint="default"/>
          <w:lang w:val="en-US" w:eastAsia="zh-CN"/>
        </w:rPr>
        <w:t>井下废石通过装载机装入自卸汽车，通过斜坡道运至地表回填地表露天坑。</w:t>
      </w:r>
    </w:p>
    <w:p w14:paraId="4CC3DC2B">
      <w:pPr>
        <w:pStyle w:val="21"/>
        <w:bidi w:val="0"/>
        <w:rPr>
          <w:rFonts w:hint="default"/>
          <w:lang w:val="en-US" w:eastAsia="zh-CN"/>
        </w:rPr>
      </w:pPr>
      <w:r>
        <w:rPr>
          <w:rFonts w:hint="default"/>
          <w:lang w:val="en-US" w:eastAsia="zh-CN"/>
        </w:rPr>
        <w:t>人员可通过斜坡道出入井，井下作业人员乘坐无轨人车经斜坡道上、下井，人员运输设备选用UR-10型无轨人车，数量4台，其中备用1台。</w:t>
      </w:r>
    </w:p>
    <w:p w14:paraId="5FEF9E40">
      <w:pPr>
        <w:pStyle w:val="29"/>
        <w:bidi w:val="0"/>
        <w:rPr>
          <w:rFonts w:hint="default"/>
          <w:lang w:val="en-US" w:eastAsia="zh-CN"/>
        </w:rPr>
      </w:pPr>
      <w:r>
        <w:rPr>
          <w:rFonts w:hint="eastAsia"/>
          <w:lang w:val="en-US" w:eastAsia="zh-CN"/>
        </w:rPr>
        <w:t>开采范围</w:t>
      </w:r>
    </w:p>
    <w:p w14:paraId="12AE0AD7">
      <w:pPr>
        <w:pStyle w:val="21"/>
        <w:numPr>
          <w:ilvl w:val="0"/>
          <w:numId w:val="14"/>
        </w:numPr>
        <w:bidi w:val="0"/>
        <w:rPr>
          <w:rFonts w:hint="default"/>
          <w:lang w:val="en-US" w:eastAsia="zh-CN"/>
        </w:rPr>
      </w:pPr>
      <w:r>
        <w:rPr>
          <w:rFonts w:hint="default"/>
          <w:lang w:val="en-US" w:eastAsia="zh-CN"/>
        </w:rPr>
        <w:t>设计开采对象</w:t>
      </w:r>
    </w:p>
    <w:p w14:paraId="7DF938F6">
      <w:pPr>
        <w:pStyle w:val="21"/>
        <w:bidi w:val="0"/>
        <w:rPr>
          <w:rFonts w:hint="default"/>
          <w:lang w:val="en-US" w:eastAsia="zh-CN"/>
        </w:rPr>
      </w:pPr>
      <w:r>
        <w:rPr>
          <w:rFonts w:hint="default"/>
          <w:lang w:val="en-US" w:eastAsia="zh-CN"/>
        </w:rPr>
        <w:t>资源/储量核实圈定3条主矿体，8条小矿体，共计11条矿体，矿体呈似层状和扁豆体产出，主要为急倾斜矿体，以中厚～厚矿脉为主。各矿体的基本特征详见下表。</w:t>
      </w:r>
    </w:p>
    <w:p w14:paraId="62DE6781">
      <w:pPr>
        <w:pStyle w:val="30"/>
        <w:bidi w:val="0"/>
        <w:rPr>
          <w:rFonts w:hint="eastAsia"/>
          <w:lang w:val="en-US" w:eastAsia="zh-CN"/>
        </w:rPr>
      </w:pPr>
      <w:r>
        <w:t>表</w:t>
      </w:r>
      <w:r>
        <w:rPr>
          <w:rFonts w:hint="eastAsia"/>
          <w:lang w:val="en-US" w:eastAsia="zh-CN"/>
        </w:rPr>
        <w:t>2.4</w:t>
      </w:r>
      <w:r>
        <w:rPr>
          <w:rFonts w:hint="eastAsia"/>
          <w:lang w:eastAsia="zh-CN"/>
        </w:rPr>
        <w:t>-</w:t>
      </w:r>
      <w:r>
        <w:rPr>
          <w:rFonts w:hint="eastAsia"/>
          <w:lang w:val="en-US" w:eastAsia="zh-CN"/>
        </w:rPr>
        <w:t>3  矿体特征表</w:t>
      </w:r>
    </w:p>
    <w:tbl>
      <w:tblPr>
        <w:tblStyle w:val="24"/>
        <w:tblW w:w="83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810"/>
        <w:gridCol w:w="1186"/>
        <w:gridCol w:w="3809"/>
        <w:gridCol w:w="1125"/>
        <w:gridCol w:w="1392"/>
      </w:tblGrid>
      <w:tr w14:paraId="2274F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810" w:type="dxa"/>
            <w:vMerge w:val="restart"/>
            <w:vAlign w:val="center"/>
          </w:tcPr>
          <w:p w14:paraId="23228AE0">
            <w:pPr>
              <w:pStyle w:val="31"/>
              <w:bidi w:val="0"/>
              <w:rPr>
                <w:sz w:val="21"/>
                <w:szCs w:val="21"/>
              </w:rPr>
            </w:pPr>
            <w:r>
              <w:rPr>
                <w:rFonts w:hint="eastAsia"/>
                <w:sz w:val="21"/>
                <w:szCs w:val="21"/>
              </w:rPr>
              <w:t>矿体号</w:t>
            </w:r>
          </w:p>
        </w:tc>
        <w:tc>
          <w:tcPr>
            <w:tcW w:w="1186" w:type="dxa"/>
            <w:vMerge w:val="restart"/>
            <w:vAlign w:val="center"/>
          </w:tcPr>
          <w:p w14:paraId="64102F23">
            <w:pPr>
              <w:pStyle w:val="31"/>
              <w:bidi w:val="0"/>
              <w:rPr>
                <w:sz w:val="21"/>
                <w:szCs w:val="21"/>
              </w:rPr>
            </w:pPr>
            <w:r>
              <w:rPr>
                <w:rFonts w:hint="eastAsia"/>
                <w:sz w:val="21"/>
                <w:szCs w:val="21"/>
              </w:rPr>
              <w:t>产出状态</w:t>
            </w:r>
          </w:p>
        </w:tc>
        <w:tc>
          <w:tcPr>
            <w:tcW w:w="3809" w:type="dxa"/>
            <w:vMerge w:val="restart"/>
            <w:vAlign w:val="center"/>
          </w:tcPr>
          <w:p w14:paraId="7C40253A">
            <w:pPr>
              <w:pStyle w:val="31"/>
              <w:bidi w:val="0"/>
              <w:rPr>
                <w:sz w:val="21"/>
                <w:szCs w:val="21"/>
              </w:rPr>
            </w:pPr>
            <w:r>
              <w:rPr>
                <w:rFonts w:hint="eastAsia"/>
                <w:sz w:val="21"/>
                <w:szCs w:val="21"/>
              </w:rPr>
              <w:t>规模及产状</w:t>
            </w:r>
          </w:p>
        </w:tc>
        <w:tc>
          <w:tcPr>
            <w:tcW w:w="1125" w:type="dxa"/>
            <w:vMerge w:val="restart"/>
            <w:vAlign w:val="center"/>
          </w:tcPr>
          <w:p w14:paraId="4B62FB3A">
            <w:pPr>
              <w:pStyle w:val="31"/>
              <w:bidi w:val="0"/>
              <w:rPr>
                <w:sz w:val="21"/>
                <w:szCs w:val="21"/>
              </w:rPr>
            </w:pPr>
            <w:r>
              <w:rPr>
                <w:rFonts w:hint="eastAsia"/>
                <w:sz w:val="21"/>
                <w:szCs w:val="21"/>
              </w:rPr>
              <w:t>平均真厚度</w:t>
            </w:r>
          </w:p>
        </w:tc>
        <w:tc>
          <w:tcPr>
            <w:tcW w:w="1392" w:type="dxa"/>
            <w:vMerge w:val="restart"/>
          </w:tcPr>
          <w:p w14:paraId="340C0587">
            <w:pPr>
              <w:pStyle w:val="31"/>
              <w:bidi w:val="0"/>
              <w:rPr>
                <w:sz w:val="21"/>
                <w:szCs w:val="21"/>
              </w:rPr>
            </w:pPr>
            <w:r>
              <w:rPr>
                <w:rFonts w:hint="eastAsia"/>
                <w:sz w:val="21"/>
                <w:szCs w:val="21"/>
              </w:rPr>
              <w:t>厚度</w:t>
            </w:r>
            <w:r>
              <w:rPr>
                <w:sz w:val="21"/>
                <w:szCs w:val="21"/>
              </w:rPr>
              <w:t>变化系数</w:t>
            </w:r>
          </w:p>
        </w:tc>
      </w:tr>
      <w:tr w14:paraId="6C643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810" w:type="dxa"/>
            <w:vMerge w:val="continue"/>
            <w:vAlign w:val="center"/>
          </w:tcPr>
          <w:p w14:paraId="337AF29D">
            <w:pPr>
              <w:pStyle w:val="31"/>
              <w:bidi w:val="0"/>
              <w:rPr>
                <w:sz w:val="21"/>
                <w:szCs w:val="21"/>
              </w:rPr>
            </w:pPr>
          </w:p>
        </w:tc>
        <w:tc>
          <w:tcPr>
            <w:tcW w:w="1186" w:type="dxa"/>
            <w:vMerge w:val="continue"/>
            <w:vAlign w:val="center"/>
          </w:tcPr>
          <w:p w14:paraId="390C2106">
            <w:pPr>
              <w:pStyle w:val="31"/>
              <w:bidi w:val="0"/>
              <w:rPr>
                <w:sz w:val="21"/>
                <w:szCs w:val="21"/>
              </w:rPr>
            </w:pPr>
          </w:p>
        </w:tc>
        <w:tc>
          <w:tcPr>
            <w:tcW w:w="3809" w:type="dxa"/>
            <w:vMerge w:val="continue"/>
            <w:vAlign w:val="center"/>
          </w:tcPr>
          <w:p w14:paraId="4F6732CA">
            <w:pPr>
              <w:pStyle w:val="31"/>
              <w:bidi w:val="0"/>
              <w:rPr>
                <w:sz w:val="21"/>
                <w:szCs w:val="21"/>
              </w:rPr>
            </w:pPr>
          </w:p>
        </w:tc>
        <w:tc>
          <w:tcPr>
            <w:tcW w:w="1125" w:type="dxa"/>
            <w:vMerge w:val="continue"/>
            <w:vAlign w:val="center"/>
          </w:tcPr>
          <w:p w14:paraId="4771837A">
            <w:pPr>
              <w:pStyle w:val="31"/>
              <w:bidi w:val="0"/>
              <w:rPr>
                <w:sz w:val="21"/>
                <w:szCs w:val="21"/>
              </w:rPr>
            </w:pPr>
          </w:p>
        </w:tc>
        <w:tc>
          <w:tcPr>
            <w:tcW w:w="1392" w:type="dxa"/>
            <w:vMerge w:val="continue"/>
          </w:tcPr>
          <w:p w14:paraId="59207CC9">
            <w:pPr>
              <w:pStyle w:val="31"/>
              <w:bidi w:val="0"/>
              <w:rPr>
                <w:sz w:val="21"/>
                <w:szCs w:val="21"/>
              </w:rPr>
            </w:pPr>
          </w:p>
        </w:tc>
      </w:tr>
      <w:tr w14:paraId="4DF0D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810" w:type="dxa"/>
            <w:vMerge w:val="restart"/>
            <w:vAlign w:val="center"/>
          </w:tcPr>
          <w:p w14:paraId="25DA5655">
            <w:pPr>
              <w:pStyle w:val="31"/>
              <w:bidi w:val="0"/>
              <w:rPr>
                <w:sz w:val="21"/>
                <w:szCs w:val="21"/>
              </w:rPr>
            </w:pPr>
            <w:r>
              <w:rPr>
                <w:sz w:val="21"/>
                <w:szCs w:val="21"/>
              </w:rPr>
              <w:t>Fe1</w:t>
            </w:r>
          </w:p>
        </w:tc>
        <w:tc>
          <w:tcPr>
            <w:tcW w:w="1186" w:type="dxa"/>
            <w:vMerge w:val="restart"/>
            <w:vAlign w:val="center"/>
          </w:tcPr>
          <w:p w14:paraId="0BF7883C">
            <w:pPr>
              <w:pStyle w:val="31"/>
              <w:bidi w:val="0"/>
              <w:rPr>
                <w:sz w:val="21"/>
                <w:szCs w:val="21"/>
              </w:rPr>
            </w:pPr>
            <w:r>
              <w:rPr>
                <w:rFonts w:hint="eastAsia"/>
                <w:sz w:val="21"/>
                <w:szCs w:val="21"/>
              </w:rPr>
              <w:t>层状</w:t>
            </w:r>
          </w:p>
        </w:tc>
        <w:tc>
          <w:tcPr>
            <w:tcW w:w="3809" w:type="dxa"/>
            <w:vMerge w:val="restart"/>
            <w:vAlign w:val="center"/>
          </w:tcPr>
          <w:p w14:paraId="0313FC41">
            <w:pPr>
              <w:pStyle w:val="31"/>
              <w:bidi w:val="0"/>
              <w:rPr>
                <w:sz w:val="21"/>
                <w:szCs w:val="21"/>
                <w:lang w:eastAsia="zh-CN"/>
              </w:rPr>
            </w:pPr>
            <w:r>
              <w:rPr>
                <w:rFonts w:hint="eastAsia"/>
                <w:sz w:val="21"/>
                <w:szCs w:val="21"/>
                <w:lang w:eastAsia="zh-CN"/>
              </w:rPr>
              <w:t>长</w:t>
            </w:r>
            <w:r>
              <w:rPr>
                <w:sz w:val="21"/>
                <w:szCs w:val="21"/>
                <w:lang w:eastAsia="zh-CN"/>
              </w:rPr>
              <w:t>400m</w:t>
            </w:r>
            <w:r>
              <w:rPr>
                <w:rFonts w:hint="eastAsia"/>
                <w:sz w:val="21"/>
                <w:szCs w:val="21"/>
                <w:lang w:eastAsia="zh-CN"/>
              </w:rPr>
              <w:t>，延深</w:t>
            </w:r>
            <w:r>
              <w:rPr>
                <w:sz w:val="21"/>
                <w:szCs w:val="21"/>
                <w:lang w:eastAsia="zh-CN"/>
              </w:rPr>
              <w:t>185</w:t>
            </w:r>
            <w:r>
              <w:rPr>
                <w:rFonts w:hint="eastAsia"/>
                <w:sz w:val="21"/>
                <w:szCs w:val="21"/>
                <w:lang w:eastAsia="zh-CN"/>
              </w:rPr>
              <w:t>～</w:t>
            </w:r>
            <w:r>
              <w:rPr>
                <w:sz w:val="21"/>
                <w:szCs w:val="21"/>
                <w:lang w:eastAsia="zh-CN"/>
              </w:rPr>
              <w:t>324m</w:t>
            </w:r>
            <w:r>
              <w:rPr>
                <w:rFonts w:hint="eastAsia"/>
                <w:sz w:val="21"/>
                <w:szCs w:val="21"/>
                <w:lang w:eastAsia="zh-CN"/>
              </w:rPr>
              <w:t>。总体走向为</w:t>
            </w:r>
            <w:r>
              <w:rPr>
                <w:sz w:val="21"/>
                <w:szCs w:val="21"/>
                <w:lang w:eastAsia="zh-CN"/>
              </w:rPr>
              <w:t>296°</w:t>
            </w:r>
            <w:r>
              <w:rPr>
                <w:rFonts w:hint="eastAsia"/>
                <w:sz w:val="21"/>
                <w:szCs w:val="21"/>
                <w:lang w:eastAsia="zh-CN"/>
              </w:rPr>
              <w:t>，倾向北东，倾角</w:t>
            </w:r>
            <w:r>
              <w:rPr>
                <w:sz w:val="21"/>
                <w:szCs w:val="21"/>
                <w:lang w:eastAsia="zh-CN"/>
              </w:rPr>
              <w:t>59</w:t>
            </w:r>
            <w:r>
              <w:rPr>
                <w:rFonts w:hint="eastAsia"/>
                <w:sz w:val="21"/>
                <w:szCs w:val="21"/>
                <w:lang w:eastAsia="zh-CN"/>
              </w:rPr>
              <w:t>°~</w:t>
            </w:r>
            <w:r>
              <w:rPr>
                <w:sz w:val="21"/>
                <w:szCs w:val="21"/>
                <w:lang w:eastAsia="zh-CN"/>
              </w:rPr>
              <w:t>70</w:t>
            </w:r>
            <w:r>
              <w:rPr>
                <w:rFonts w:hint="eastAsia"/>
                <w:sz w:val="21"/>
                <w:szCs w:val="21"/>
                <w:lang w:eastAsia="zh-CN"/>
              </w:rPr>
              <w:t>°</w:t>
            </w:r>
          </w:p>
        </w:tc>
        <w:tc>
          <w:tcPr>
            <w:tcW w:w="1125" w:type="dxa"/>
            <w:vMerge w:val="restart"/>
            <w:vAlign w:val="center"/>
          </w:tcPr>
          <w:p w14:paraId="264F2D55">
            <w:pPr>
              <w:pStyle w:val="31"/>
              <w:bidi w:val="0"/>
              <w:rPr>
                <w:sz w:val="21"/>
                <w:szCs w:val="21"/>
              </w:rPr>
            </w:pPr>
            <w:r>
              <w:rPr>
                <w:sz w:val="21"/>
                <w:szCs w:val="21"/>
              </w:rPr>
              <w:t>19.09</w:t>
            </w:r>
          </w:p>
        </w:tc>
        <w:tc>
          <w:tcPr>
            <w:tcW w:w="1392" w:type="dxa"/>
            <w:vMerge w:val="restart"/>
            <w:vAlign w:val="center"/>
          </w:tcPr>
          <w:p w14:paraId="5499D5AE">
            <w:pPr>
              <w:pStyle w:val="31"/>
              <w:bidi w:val="0"/>
              <w:rPr>
                <w:sz w:val="21"/>
                <w:szCs w:val="21"/>
              </w:rPr>
            </w:pPr>
            <w:r>
              <w:rPr>
                <w:sz w:val="21"/>
                <w:szCs w:val="21"/>
              </w:rPr>
              <w:t>42.12%</w:t>
            </w:r>
          </w:p>
        </w:tc>
      </w:tr>
      <w:tr w14:paraId="1F46E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810" w:type="dxa"/>
            <w:vMerge w:val="continue"/>
            <w:vAlign w:val="center"/>
          </w:tcPr>
          <w:p w14:paraId="0C0AA94F">
            <w:pPr>
              <w:pStyle w:val="31"/>
              <w:bidi w:val="0"/>
              <w:rPr>
                <w:sz w:val="21"/>
                <w:szCs w:val="21"/>
              </w:rPr>
            </w:pPr>
          </w:p>
        </w:tc>
        <w:tc>
          <w:tcPr>
            <w:tcW w:w="1186" w:type="dxa"/>
            <w:vMerge w:val="continue"/>
            <w:vAlign w:val="center"/>
          </w:tcPr>
          <w:p w14:paraId="5E60CC8F">
            <w:pPr>
              <w:pStyle w:val="31"/>
              <w:bidi w:val="0"/>
              <w:rPr>
                <w:sz w:val="21"/>
                <w:szCs w:val="21"/>
              </w:rPr>
            </w:pPr>
          </w:p>
        </w:tc>
        <w:tc>
          <w:tcPr>
            <w:tcW w:w="3809" w:type="dxa"/>
            <w:vMerge w:val="continue"/>
            <w:vAlign w:val="center"/>
          </w:tcPr>
          <w:p w14:paraId="2A53D68F">
            <w:pPr>
              <w:pStyle w:val="31"/>
              <w:bidi w:val="0"/>
              <w:rPr>
                <w:sz w:val="21"/>
                <w:szCs w:val="21"/>
              </w:rPr>
            </w:pPr>
          </w:p>
        </w:tc>
        <w:tc>
          <w:tcPr>
            <w:tcW w:w="1125" w:type="dxa"/>
            <w:vMerge w:val="continue"/>
            <w:vAlign w:val="center"/>
          </w:tcPr>
          <w:p w14:paraId="6B7A05A8">
            <w:pPr>
              <w:pStyle w:val="31"/>
              <w:bidi w:val="0"/>
              <w:rPr>
                <w:sz w:val="21"/>
                <w:szCs w:val="21"/>
              </w:rPr>
            </w:pPr>
          </w:p>
        </w:tc>
        <w:tc>
          <w:tcPr>
            <w:tcW w:w="1392" w:type="dxa"/>
            <w:vMerge w:val="continue"/>
            <w:vAlign w:val="center"/>
          </w:tcPr>
          <w:p w14:paraId="18D17883">
            <w:pPr>
              <w:pStyle w:val="31"/>
              <w:bidi w:val="0"/>
              <w:rPr>
                <w:sz w:val="21"/>
                <w:szCs w:val="21"/>
              </w:rPr>
            </w:pPr>
          </w:p>
        </w:tc>
      </w:tr>
      <w:tr w14:paraId="5D3FC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810" w:type="dxa"/>
            <w:vMerge w:val="restart"/>
            <w:vAlign w:val="center"/>
          </w:tcPr>
          <w:p w14:paraId="679046EC">
            <w:pPr>
              <w:pStyle w:val="31"/>
              <w:bidi w:val="0"/>
              <w:rPr>
                <w:sz w:val="21"/>
                <w:szCs w:val="21"/>
              </w:rPr>
            </w:pPr>
            <w:r>
              <w:rPr>
                <w:sz w:val="21"/>
                <w:szCs w:val="21"/>
              </w:rPr>
              <w:t>Fe2-1</w:t>
            </w:r>
          </w:p>
        </w:tc>
        <w:tc>
          <w:tcPr>
            <w:tcW w:w="1186" w:type="dxa"/>
            <w:vMerge w:val="restart"/>
            <w:vAlign w:val="center"/>
          </w:tcPr>
          <w:p w14:paraId="6C45BA08">
            <w:pPr>
              <w:pStyle w:val="31"/>
              <w:bidi w:val="0"/>
              <w:rPr>
                <w:sz w:val="21"/>
                <w:szCs w:val="21"/>
              </w:rPr>
            </w:pPr>
            <w:r>
              <w:rPr>
                <w:rFonts w:hint="eastAsia"/>
                <w:sz w:val="21"/>
                <w:szCs w:val="21"/>
              </w:rPr>
              <w:t>层状</w:t>
            </w:r>
          </w:p>
        </w:tc>
        <w:tc>
          <w:tcPr>
            <w:tcW w:w="3809" w:type="dxa"/>
            <w:vMerge w:val="restart"/>
            <w:vAlign w:val="center"/>
          </w:tcPr>
          <w:p w14:paraId="1E87A8FD">
            <w:pPr>
              <w:pStyle w:val="31"/>
              <w:bidi w:val="0"/>
              <w:rPr>
                <w:sz w:val="21"/>
                <w:szCs w:val="21"/>
                <w:lang w:eastAsia="zh-CN"/>
              </w:rPr>
            </w:pPr>
            <w:r>
              <w:rPr>
                <w:rFonts w:hint="eastAsia"/>
                <w:sz w:val="21"/>
                <w:szCs w:val="21"/>
                <w:lang w:eastAsia="zh-CN"/>
              </w:rPr>
              <w:t>长</w:t>
            </w:r>
            <w:r>
              <w:rPr>
                <w:sz w:val="21"/>
                <w:szCs w:val="21"/>
                <w:lang w:eastAsia="zh-CN"/>
              </w:rPr>
              <w:t>400m</w:t>
            </w:r>
            <w:r>
              <w:rPr>
                <w:rFonts w:hint="eastAsia"/>
                <w:sz w:val="21"/>
                <w:szCs w:val="21"/>
                <w:lang w:eastAsia="zh-CN"/>
              </w:rPr>
              <w:t>，延深</w:t>
            </w:r>
            <w:r>
              <w:rPr>
                <w:sz w:val="21"/>
                <w:szCs w:val="21"/>
                <w:lang w:eastAsia="zh-CN"/>
              </w:rPr>
              <w:t>185</w:t>
            </w:r>
            <w:r>
              <w:rPr>
                <w:rFonts w:hint="eastAsia"/>
                <w:sz w:val="21"/>
                <w:szCs w:val="21"/>
                <w:lang w:eastAsia="zh-CN"/>
              </w:rPr>
              <w:t>～</w:t>
            </w:r>
            <w:r>
              <w:rPr>
                <w:sz w:val="21"/>
                <w:szCs w:val="21"/>
                <w:lang w:eastAsia="zh-CN"/>
              </w:rPr>
              <w:t>305m</w:t>
            </w:r>
            <w:r>
              <w:rPr>
                <w:rFonts w:hint="eastAsia"/>
                <w:sz w:val="21"/>
                <w:szCs w:val="21"/>
                <w:lang w:eastAsia="zh-CN"/>
              </w:rPr>
              <w:t>。总体走向为</w:t>
            </w:r>
            <w:r>
              <w:rPr>
                <w:sz w:val="21"/>
                <w:szCs w:val="21"/>
                <w:lang w:eastAsia="zh-CN"/>
              </w:rPr>
              <w:t>296°</w:t>
            </w:r>
            <w:r>
              <w:rPr>
                <w:rFonts w:hint="eastAsia"/>
                <w:sz w:val="21"/>
                <w:szCs w:val="21"/>
                <w:lang w:eastAsia="zh-CN"/>
              </w:rPr>
              <w:t>，倾向北东，倾角59°~72°</w:t>
            </w:r>
          </w:p>
        </w:tc>
        <w:tc>
          <w:tcPr>
            <w:tcW w:w="1125" w:type="dxa"/>
            <w:vMerge w:val="restart"/>
            <w:vAlign w:val="center"/>
          </w:tcPr>
          <w:p w14:paraId="6223C00B">
            <w:pPr>
              <w:pStyle w:val="31"/>
              <w:bidi w:val="0"/>
              <w:rPr>
                <w:sz w:val="21"/>
                <w:szCs w:val="21"/>
              </w:rPr>
            </w:pPr>
            <w:r>
              <w:rPr>
                <w:sz w:val="21"/>
                <w:szCs w:val="21"/>
              </w:rPr>
              <w:t>11.58</w:t>
            </w:r>
          </w:p>
        </w:tc>
        <w:tc>
          <w:tcPr>
            <w:tcW w:w="1392" w:type="dxa"/>
            <w:vMerge w:val="restart"/>
            <w:vAlign w:val="center"/>
          </w:tcPr>
          <w:p w14:paraId="404964A6">
            <w:pPr>
              <w:pStyle w:val="31"/>
              <w:bidi w:val="0"/>
              <w:rPr>
                <w:sz w:val="21"/>
                <w:szCs w:val="21"/>
              </w:rPr>
            </w:pPr>
            <w:r>
              <w:rPr>
                <w:sz w:val="21"/>
                <w:szCs w:val="21"/>
              </w:rPr>
              <w:t>56.04%</w:t>
            </w:r>
          </w:p>
        </w:tc>
      </w:tr>
      <w:tr w14:paraId="5EA13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810" w:type="dxa"/>
            <w:vMerge w:val="continue"/>
            <w:vAlign w:val="center"/>
          </w:tcPr>
          <w:p w14:paraId="408E2F09">
            <w:pPr>
              <w:pStyle w:val="31"/>
              <w:bidi w:val="0"/>
              <w:rPr>
                <w:sz w:val="21"/>
                <w:szCs w:val="21"/>
              </w:rPr>
            </w:pPr>
          </w:p>
        </w:tc>
        <w:tc>
          <w:tcPr>
            <w:tcW w:w="1186" w:type="dxa"/>
            <w:vMerge w:val="continue"/>
            <w:vAlign w:val="center"/>
          </w:tcPr>
          <w:p w14:paraId="2A01A021">
            <w:pPr>
              <w:pStyle w:val="31"/>
              <w:bidi w:val="0"/>
              <w:rPr>
                <w:sz w:val="21"/>
                <w:szCs w:val="21"/>
              </w:rPr>
            </w:pPr>
          </w:p>
        </w:tc>
        <w:tc>
          <w:tcPr>
            <w:tcW w:w="3809" w:type="dxa"/>
            <w:vMerge w:val="continue"/>
            <w:vAlign w:val="center"/>
          </w:tcPr>
          <w:p w14:paraId="6F86B39C">
            <w:pPr>
              <w:pStyle w:val="31"/>
              <w:bidi w:val="0"/>
              <w:rPr>
                <w:sz w:val="21"/>
                <w:szCs w:val="21"/>
              </w:rPr>
            </w:pPr>
          </w:p>
        </w:tc>
        <w:tc>
          <w:tcPr>
            <w:tcW w:w="1125" w:type="dxa"/>
            <w:vMerge w:val="continue"/>
            <w:vAlign w:val="center"/>
          </w:tcPr>
          <w:p w14:paraId="461B1070">
            <w:pPr>
              <w:pStyle w:val="31"/>
              <w:bidi w:val="0"/>
              <w:rPr>
                <w:sz w:val="21"/>
                <w:szCs w:val="21"/>
              </w:rPr>
            </w:pPr>
          </w:p>
        </w:tc>
        <w:tc>
          <w:tcPr>
            <w:tcW w:w="1392" w:type="dxa"/>
            <w:vMerge w:val="continue"/>
            <w:vAlign w:val="center"/>
          </w:tcPr>
          <w:p w14:paraId="0599FA95">
            <w:pPr>
              <w:pStyle w:val="31"/>
              <w:bidi w:val="0"/>
              <w:rPr>
                <w:sz w:val="21"/>
                <w:szCs w:val="21"/>
              </w:rPr>
            </w:pPr>
          </w:p>
        </w:tc>
      </w:tr>
      <w:tr w14:paraId="4E6AA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810" w:type="dxa"/>
            <w:vMerge w:val="restart"/>
            <w:vAlign w:val="center"/>
          </w:tcPr>
          <w:p w14:paraId="3252653A">
            <w:pPr>
              <w:pStyle w:val="31"/>
              <w:bidi w:val="0"/>
              <w:rPr>
                <w:sz w:val="21"/>
                <w:szCs w:val="21"/>
              </w:rPr>
            </w:pPr>
            <w:r>
              <w:rPr>
                <w:sz w:val="21"/>
                <w:szCs w:val="21"/>
              </w:rPr>
              <w:t>Fe2-2</w:t>
            </w:r>
          </w:p>
        </w:tc>
        <w:tc>
          <w:tcPr>
            <w:tcW w:w="1186" w:type="dxa"/>
            <w:vMerge w:val="restart"/>
            <w:vAlign w:val="center"/>
          </w:tcPr>
          <w:p w14:paraId="0C36398C">
            <w:pPr>
              <w:pStyle w:val="31"/>
              <w:bidi w:val="0"/>
              <w:rPr>
                <w:sz w:val="21"/>
                <w:szCs w:val="21"/>
              </w:rPr>
            </w:pPr>
            <w:r>
              <w:rPr>
                <w:rFonts w:hint="eastAsia"/>
                <w:sz w:val="21"/>
                <w:szCs w:val="21"/>
              </w:rPr>
              <w:t>层状</w:t>
            </w:r>
          </w:p>
        </w:tc>
        <w:tc>
          <w:tcPr>
            <w:tcW w:w="3809" w:type="dxa"/>
            <w:vMerge w:val="restart"/>
            <w:vAlign w:val="center"/>
          </w:tcPr>
          <w:p w14:paraId="6D4F211C">
            <w:pPr>
              <w:pStyle w:val="31"/>
              <w:bidi w:val="0"/>
              <w:rPr>
                <w:sz w:val="21"/>
                <w:szCs w:val="21"/>
                <w:lang w:eastAsia="zh-CN"/>
              </w:rPr>
            </w:pPr>
            <w:r>
              <w:rPr>
                <w:rFonts w:hint="eastAsia"/>
                <w:sz w:val="21"/>
                <w:szCs w:val="21"/>
                <w:lang w:eastAsia="zh-CN"/>
              </w:rPr>
              <w:t>长</w:t>
            </w:r>
            <w:r>
              <w:rPr>
                <w:sz w:val="21"/>
                <w:szCs w:val="21"/>
                <w:lang w:eastAsia="zh-CN"/>
              </w:rPr>
              <w:t>400m</w:t>
            </w:r>
            <w:r>
              <w:rPr>
                <w:rFonts w:hint="eastAsia"/>
                <w:sz w:val="21"/>
                <w:szCs w:val="21"/>
                <w:lang w:eastAsia="zh-CN"/>
              </w:rPr>
              <w:t>，延深</w:t>
            </w:r>
            <w:r>
              <w:rPr>
                <w:sz w:val="21"/>
                <w:szCs w:val="21"/>
                <w:lang w:eastAsia="zh-CN"/>
              </w:rPr>
              <w:t>100~266m</w:t>
            </w:r>
            <w:r>
              <w:rPr>
                <w:rFonts w:hint="eastAsia"/>
                <w:sz w:val="21"/>
                <w:szCs w:val="21"/>
                <w:lang w:eastAsia="zh-CN"/>
              </w:rPr>
              <w:t>。总体走向为</w:t>
            </w:r>
            <w:r>
              <w:rPr>
                <w:sz w:val="21"/>
                <w:szCs w:val="21"/>
                <w:lang w:eastAsia="zh-CN"/>
              </w:rPr>
              <w:t>296°</w:t>
            </w:r>
            <w:r>
              <w:rPr>
                <w:rFonts w:hint="eastAsia"/>
                <w:sz w:val="21"/>
                <w:szCs w:val="21"/>
                <w:lang w:eastAsia="zh-CN"/>
              </w:rPr>
              <w:t>，倾向北东，倾角</w:t>
            </w:r>
            <w:r>
              <w:rPr>
                <w:sz w:val="21"/>
                <w:szCs w:val="21"/>
                <w:lang w:eastAsia="zh-CN"/>
              </w:rPr>
              <w:t>60°~69°</w:t>
            </w:r>
          </w:p>
        </w:tc>
        <w:tc>
          <w:tcPr>
            <w:tcW w:w="1125" w:type="dxa"/>
            <w:vMerge w:val="restart"/>
            <w:vAlign w:val="center"/>
          </w:tcPr>
          <w:p w14:paraId="5192C3EB">
            <w:pPr>
              <w:pStyle w:val="31"/>
              <w:bidi w:val="0"/>
              <w:rPr>
                <w:sz w:val="21"/>
                <w:szCs w:val="21"/>
              </w:rPr>
            </w:pPr>
            <w:r>
              <w:rPr>
                <w:sz w:val="21"/>
                <w:szCs w:val="21"/>
              </w:rPr>
              <w:t>7.02</w:t>
            </w:r>
          </w:p>
        </w:tc>
        <w:tc>
          <w:tcPr>
            <w:tcW w:w="1392" w:type="dxa"/>
            <w:vMerge w:val="restart"/>
            <w:vAlign w:val="center"/>
          </w:tcPr>
          <w:p w14:paraId="491A5CF8">
            <w:pPr>
              <w:pStyle w:val="31"/>
              <w:bidi w:val="0"/>
              <w:rPr>
                <w:sz w:val="21"/>
                <w:szCs w:val="21"/>
              </w:rPr>
            </w:pPr>
            <w:r>
              <w:rPr>
                <w:sz w:val="21"/>
                <w:szCs w:val="21"/>
              </w:rPr>
              <w:t>52.22%</w:t>
            </w:r>
          </w:p>
        </w:tc>
      </w:tr>
      <w:tr w14:paraId="7BF35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810" w:type="dxa"/>
            <w:vMerge w:val="continue"/>
            <w:vAlign w:val="center"/>
          </w:tcPr>
          <w:p w14:paraId="10562532">
            <w:pPr>
              <w:pStyle w:val="31"/>
              <w:bidi w:val="0"/>
              <w:rPr>
                <w:sz w:val="21"/>
                <w:szCs w:val="21"/>
              </w:rPr>
            </w:pPr>
          </w:p>
        </w:tc>
        <w:tc>
          <w:tcPr>
            <w:tcW w:w="1186" w:type="dxa"/>
            <w:vMerge w:val="continue"/>
            <w:vAlign w:val="center"/>
          </w:tcPr>
          <w:p w14:paraId="7F6455C8">
            <w:pPr>
              <w:pStyle w:val="31"/>
              <w:bidi w:val="0"/>
              <w:rPr>
                <w:sz w:val="21"/>
                <w:szCs w:val="21"/>
              </w:rPr>
            </w:pPr>
          </w:p>
        </w:tc>
        <w:tc>
          <w:tcPr>
            <w:tcW w:w="3809" w:type="dxa"/>
            <w:vMerge w:val="continue"/>
            <w:vAlign w:val="center"/>
          </w:tcPr>
          <w:p w14:paraId="04D055FD">
            <w:pPr>
              <w:pStyle w:val="31"/>
              <w:bidi w:val="0"/>
              <w:rPr>
                <w:sz w:val="21"/>
                <w:szCs w:val="21"/>
              </w:rPr>
            </w:pPr>
          </w:p>
        </w:tc>
        <w:tc>
          <w:tcPr>
            <w:tcW w:w="1125" w:type="dxa"/>
            <w:vMerge w:val="continue"/>
            <w:vAlign w:val="center"/>
          </w:tcPr>
          <w:p w14:paraId="0062186B">
            <w:pPr>
              <w:pStyle w:val="31"/>
              <w:bidi w:val="0"/>
              <w:rPr>
                <w:sz w:val="21"/>
                <w:szCs w:val="21"/>
              </w:rPr>
            </w:pPr>
          </w:p>
        </w:tc>
        <w:tc>
          <w:tcPr>
            <w:tcW w:w="1392" w:type="dxa"/>
            <w:vMerge w:val="continue"/>
            <w:vAlign w:val="center"/>
          </w:tcPr>
          <w:p w14:paraId="69309F7E">
            <w:pPr>
              <w:pStyle w:val="31"/>
              <w:bidi w:val="0"/>
              <w:rPr>
                <w:sz w:val="21"/>
                <w:szCs w:val="21"/>
              </w:rPr>
            </w:pPr>
          </w:p>
        </w:tc>
      </w:tr>
      <w:tr w14:paraId="0FE29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810" w:type="dxa"/>
            <w:vMerge w:val="restart"/>
            <w:vAlign w:val="center"/>
          </w:tcPr>
          <w:p w14:paraId="42684A25">
            <w:pPr>
              <w:pStyle w:val="31"/>
              <w:bidi w:val="0"/>
              <w:rPr>
                <w:sz w:val="21"/>
                <w:szCs w:val="21"/>
              </w:rPr>
            </w:pPr>
            <w:r>
              <w:rPr>
                <w:sz w:val="21"/>
                <w:szCs w:val="21"/>
              </w:rPr>
              <w:t>Fe3-1</w:t>
            </w:r>
          </w:p>
        </w:tc>
        <w:tc>
          <w:tcPr>
            <w:tcW w:w="1186" w:type="dxa"/>
            <w:vMerge w:val="restart"/>
            <w:vAlign w:val="center"/>
          </w:tcPr>
          <w:p w14:paraId="5E264E69">
            <w:pPr>
              <w:pStyle w:val="31"/>
              <w:bidi w:val="0"/>
              <w:rPr>
                <w:sz w:val="21"/>
                <w:szCs w:val="21"/>
              </w:rPr>
            </w:pPr>
            <w:r>
              <w:rPr>
                <w:rFonts w:hint="eastAsia"/>
                <w:sz w:val="21"/>
                <w:szCs w:val="21"/>
              </w:rPr>
              <w:t>层状</w:t>
            </w:r>
          </w:p>
        </w:tc>
        <w:tc>
          <w:tcPr>
            <w:tcW w:w="3809" w:type="dxa"/>
            <w:vMerge w:val="restart"/>
            <w:vAlign w:val="center"/>
          </w:tcPr>
          <w:p w14:paraId="04E935AA">
            <w:pPr>
              <w:pStyle w:val="31"/>
              <w:bidi w:val="0"/>
              <w:rPr>
                <w:sz w:val="21"/>
                <w:szCs w:val="21"/>
                <w:lang w:eastAsia="zh-CN"/>
              </w:rPr>
            </w:pPr>
            <w:r>
              <w:rPr>
                <w:rFonts w:hint="eastAsia"/>
                <w:sz w:val="21"/>
                <w:szCs w:val="21"/>
                <w:lang w:eastAsia="zh-CN"/>
              </w:rPr>
              <w:t>长</w:t>
            </w:r>
            <w:r>
              <w:rPr>
                <w:sz w:val="21"/>
                <w:szCs w:val="21"/>
                <w:lang w:eastAsia="zh-CN"/>
              </w:rPr>
              <w:t>150m</w:t>
            </w:r>
            <w:r>
              <w:rPr>
                <w:rFonts w:hint="eastAsia"/>
                <w:sz w:val="21"/>
                <w:szCs w:val="21"/>
                <w:lang w:eastAsia="zh-CN"/>
              </w:rPr>
              <w:t>，延深</w:t>
            </w:r>
            <w:r>
              <w:rPr>
                <w:sz w:val="21"/>
                <w:szCs w:val="21"/>
                <w:lang w:eastAsia="zh-CN"/>
              </w:rPr>
              <w:t>232m</w:t>
            </w:r>
            <w:r>
              <w:rPr>
                <w:rFonts w:hint="eastAsia"/>
                <w:sz w:val="21"/>
                <w:szCs w:val="21"/>
                <w:lang w:eastAsia="zh-CN"/>
              </w:rPr>
              <w:t>。总体走向为</w:t>
            </w:r>
            <w:r>
              <w:rPr>
                <w:sz w:val="21"/>
                <w:szCs w:val="21"/>
                <w:lang w:eastAsia="zh-CN"/>
              </w:rPr>
              <w:t>296°</w:t>
            </w:r>
            <w:r>
              <w:rPr>
                <w:rFonts w:hint="eastAsia"/>
                <w:sz w:val="21"/>
                <w:szCs w:val="21"/>
                <w:lang w:eastAsia="zh-CN"/>
              </w:rPr>
              <w:t>，倾向北东，倾角</w:t>
            </w:r>
            <w:r>
              <w:rPr>
                <w:sz w:val="21"/>
                <w:szCs w:val="21"/>
                <w:lang w:eastAsia="zh-CN"/>
              </w:rPr>
              <w:t>56°~69°</w:t>
            </w:r>
          </w:p>
        </w:tc>
        <w:tc>
          <w:tcPr>
            <w:tcW w:w="1125" w:type="dxa"/>
            <w:vMerge w:val="restart"/>
            <w:vAlign w:val="center"/>
          </w:tcPr>
          <w:p w14:paraId="10BAB586">
            <w:pPr>
              <w:pStyle w:val="31"/>
              <w:bidi w:val="0"/>
              <w:rPr>
                <w:sz w:val="21"/>
                <w:szCs w:val="21"/>
              </w:rPr>
            </w:pPr>
            <w:r>
              <w:rPr>
                <w:sz w:val="21"/>
                <w:szCs w:val="21"/>
              </w:rPr>
              <w:t>4.38</w:t>
            </w:r>
          </w:p>
        </w:tc>
        <w:tc>
          <w:tcPr>
            <w:tcW w:w="1392" w:type="dxa"/>
            <w:vMerge w:val="restart"/>
            <w:vAlign w:val="center"/>
          </w:tcPr>
          <w:p w14:paraId="382439EF">
            <w:pPr>
              <w:pStyle w:val="31"/>
              <w:bidi w:val="0"/>
              <w:rPr>
                <w:sz w:val="21"/>
                <w:szCs w:val="21"/>
              </w:rPr>
            </w:pPr>
            <w:r>
              <w:rPr>
                <w:sz w:val="21"/>
                <w:szCs w:val="21"/>
              </w:rPr>
              <w:t>24.71%</w:t>
            </w:r>
          </w:p>
        </w:tc>
      </w:tr>
      <w:tr w14:paraId="57B03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810" w:type="dxa"/>
            <w:vMerge w:val="continue"/>
            <w:vAlign w:val="center"/>
          </w:tcPr>
          <w:p w14:paraId="0F7498B6">
            <w:pPr>
              <w:pStyle w:val="31"/>
              <w:bidi w:val="0"/>
              <w:rPr>
                <w:sz w:val="21"/>
                <w:szCs w:val="21"/>
              </w:rPr>
            </w:pPr>
          </w:p>
        </w:tc>
        <w:tc>
          <w:tcPr>
            <w:tcW w:w="1186" w:type="dxa"/>
            <w:vMerge w:val="continue"/>
            <w:vAlign w:val="center"/>
          </w:tcPr>
          <w:p w14:paraId="0430797A">
            <w:pPr>
              <w:pStyle w:val="31"/>
              <w:bidi w:val="0"/>
              <w:rPr>
                <w:sz w:val="21"/>
                <w:szCs w:val="21"/>
              </w:rPr>
            </w:pPr>
          </w:p>
        </w:tc>
        <w:tc>
          <w:tcPr>
            <w:tcW w:w="3809" w:type="dxa"/>
            <w:vMerge w:val="continue"/>
            <w:vAlign w:val="center"/>
          </w:tcPr>
          <w:p w14:paraId="51456001">
            <w:pPr>
              <w:pStyle w:val="31"/>
              <w:bidi w:val="0"/>
              <w:rPr>
                <w:sz w:val="21"/>
                <w:szCs w:val="21"/>
              </w:rPr>
            </w:pPr>
          </w:p>
        </w:tc>
        <w:tc>
          <w:tcPr>
            <w:tcW w:w="1125" w:type="dxa"/>
            <w:vMerge w:val="continue"/>
            <w:vAlign w:val="center"/>
          </w:tcPr>
          <w:p w14:paraId="5F390DBC">
            <w:pPr>
              <w:pStyle w:val="31"/>
              <w:bidi w:val="0"/>
              <w:rPr>
                <w:sz w:val="21"/>
                <w:szCs w:val="21"/>
              </w:rPr>
            </w:pPr>
          </w:p>
        </w:tc>
        <w:tc>
          <w:tcPr>
            <w:tcW w:w="1392" w:type="dxa"/>
            <w:vMerge w:val="continue"/>
            <w:vAlign w:val="center"/>
          </w:tcPr>
          <w:p w14:paraId="475E59C0">
            <w:pPr>
              <w:pStyle w:val="31"/>
              <w:bidi w:val="0"/>
              <w:rPr>
                <w:sz w:val="21"/>
                <w:szCs w:val="21"/>
              </w:rPr>
            </w:pPr>
          </w:p>
        </w:tc>
      </w:tr>
      <w:tr w14:paraId="5B5B34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810" w:type="dxa"/>
            <w:vMerge w:val="restart"/>
            <w:vAlign w:val="center"/>
          </w:tcPr>
          <w:p w14:paraId="5BF250BD">
            <w:pPr>
              <w:pStyle w:val="31"/>
              <w:bidi w:val="0"/>
              <w:rPr>
                <w:sz w:val="21"/>
                <w:szCs w:val="21"/>
              </w:rPr>
            </w:pPr>
            <w:r>
              <w:rPr>
                <w:sz w:val="21"/>
                <w:szCs w:val="21"/>
              </w:rPr>
              <w:t>Fe3-2</w:t>
            </w:r>
          </w:p>
        </w:tc>
        <w:tc>
          <w:tcPr>
            <w:tcW w:w="1186" w:type="dxa"/>
            <w:vMerge w:val="restart"/>
            <w:vAlign w:val="center"/>
          </w:tcPr>
          <w:p w14:paraId="748D306F">
            <w:pPr>
              <w:pStyle w:val="31"/>
              <w:bidi w:val="0"/>
              <w:rPr>
                <w:sz w:val="21"/>
                <w:szCs w:val="21"/>
              </w:rPr>
            </w:pPr>
            <w:r>
              <w:rPr>
                <w:rFonts w:hint="eastAsia"/>
                <w:sz w:val="21"/>
                <w:szCs w:val="21"/>
              </w:rPr>
              <w:t>层状</w:t>
            </w:r>
          </w:p>
        </w:tc>
        <w:tc>
          <w:tcPr>
            <w:tcW w:w="3809" w:type="dxa"/>
            <w:vMerge w:val="restart"/>
            <w:vAlign w:val="center"/>
          </w:tcPr>
          <w:p w14:paraId="01923CDF">
            <w:pPr>
              <w:pStyle w:val="31"/>
              <w:bidi w:val="0"/>
              <w:rPr>
                <w:sz w:val="21"/>
                <w:szCs w:val="21"/>
                <w:lang w:eastAsia="zh-CN"/>
              </w:rPr>
            </w:pPr>
            <w:r>
              <w:rPr>
                <w:rFonts w:hint="eastAsia"/>
                <w:sz w:val="21"/>
                <w:szCs w:val="21"/>
                <w:lang w:eastAsia="zh-CN"/>
              </w:rPr>
              <w:t>长</w:t>
            </w:r>
            <w:r>
              <w:rPr>
                <w:sz w:val="21"/>
                <w:szCs w:val="21"/>
                <w:lang w:eastAsia="zh-CN"/>
              </w:rPr>
              <w:t>100m</w:t>
            </w:r>
            <w:r>
              <w:rPr>
                <w:rFonts w:hint="eastAsia"/>
                <w:sz w:val="21"/>
                <w:szCs w:val="21"/>
                <w:lang w:eastAsia="zh-CN"/>
              </w:rPr>
              <w:t>，延深</w:t>
            </w:r>
            <w:r>
              <w:rPr>
                <w:sz w:val="21"/>
                <w:szCs w:val="21"/>
                <w:lang w:eastAsia="zh-CN"/>
              </w:rPr>
              <w:t>100m</w:t>
            </w:r>
            <w:r>
              <w:rPr>
                <w:rFonts w:hint="eastAsia"/>
                <w:sz w:val="21"/>
                <w:szCs w:val="21"/>
                <w:lang w:eastAsia="zh-CN"/>
              </w:rPr>
              <w:t>。总体走向为</w:t>
            </w:r>
            <w:r>
              <w:rPr>
                <w:sz w:val="21"/>
                <w:szCs w:val="21"/>
                <w:lang w:eastAsia="zh-CN"/>
              </w:rPr>
              <w:t>296°</w:t>
            </w:r>
            <w:r>
              <w:rPr>
                <w:rFonts w:hint="eastAsia"/>
                <w:sz w:val="21"/>
                <w:szCs w:val="21"/>
                <w:lang w:eastAsia="zh-CN"/>
              </w:rPr>
              <w:t>，倾向北东，倾角</w:t>
            </w:r>
            <w:r>
              <w:rPr>
                <w:sz w:val="21"/>
                <w:szCs w:val="21"/>
                <w:lang w:eastAsia="zh-CN"/>
              </w:rPr>
              <w:t>65°</w:t>
            </w:r>
            <w:r>
              <w:rPr>
                <w:rFonts w:hint="eastAsia"/>
                <w:sz w:val="21"/>
                <w:szCs w:val="21"/>
                <w:lang w:eastAsia="zh-CN"/>
              </w:rPr>
              <w:t>左右</w:t>
            </w:r>
          </w:p>
        </w:tc>
        <w:tc>
          <w:tcPr>
            <w:tcW w:w="1125" w:type="dxa"/>
            <w:vMerge w:val="restart"/>
            <w:vAlign w:val="center"/>
          </w:tcPr>
          <w:p w14:paraId="28BFFD41">
            <w:pPr>
              <w:pStyle w:val="31"/>
              <w:bidi w:val="0"/>
              <w:rPr>
                <w:sz w:val="21"/>
                <w:szCs w:val="21"/>
              </w:rPr>
            </w:pPr>
            <w:r>
              <w:rPr>
                <w:sz w:val="21"/>
                <w:szCs w:val="21"/>
              </w:rPr>
              <w:t>3.29</w:t>
            </w:r>
          </w:p>
        </w:tc>
        <w:tc>
          <w:tcPr>
            <w:tcW w:w="1392" w:type="dxa"/>
            <w:vMerge w:val="restart"/>
            <w:vAlign w:val="center"/>
          </w:tcPr>
          <w:p w14:paraId="343BDA27">
            <w:pPr>
              <w:pStyle w:val="31"/>
              <w:bidi w:val="0"/>
              <w:rPr>
                <w:sz w:val="21"/>
                <w:szCs w:val="21"/>
              </w:rPr>
            </w:pPr>
            <w:r>
              <w:rPr>
                <w:rFonts w:hint="eastAsia"/>
                <w:sz w:val="21"/>
                <w:szCs w:val="21"/>
              </w:rPr>
              <w:t>--</w:t>
            </w:r>
          </w:p>
        </w:tc>
      </w:tr>
      <w:tr w14:paraId="1089E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810" w:type="dxa"/>
            <w:vMerge w:val="continue"/>
            <w:vAlign w:val="center"/>
          </w:tcPr>
          <w:p w14:paraId="006E0F06">
            <w:pPr>
              <w:pStyle w:val="31"/>
              <w:bidi w:val="0"/>
              <w:rPr>
                <w:sz w:val="21"/>
                <w:szCs w:val="21"/>
              </w:rPr>
            </w:pPr>
          </w:p>
        </w:tc>
        <w:tc>
          <w:tcPr>
            <w:tcW w:w="1186" w:type="dxa"/>
            <w:vMerge w:val="continue"/>
            <w:vAlign w:val="center"/>
          </w:tcPr>
          <w:p w14:paraId="1573D0F6">
            <w:pPr>
              <w:pStyle w:val="31"/>
              <w:bidi w:val="0"/>
              <w:rPr>
                <w:sz w:val="21"/>
                <w:szCs w:val="21"/>
              </w:rPr>
            </w:pPr>
          </w:p>
        </w:tc>
        <w:tc>
          <w:tcPr>
            <w:tcW w:w="3809" w:type="dxa"/>
            <w:vMerge w:val="continue"/>
            <w:vAlign w:val="center"/>
          </w:tcPr>
          <w:p w14:paraId="2F754695">
            <w:pPr>
              <w:pStyle w:val="31"/>
              <w:bidi w:val="0"/>
              <w:rPr>
                <w:sz w:val="21"/>
                <w:szCs w:val="21"/>
              </w:rPr>
            </w:pPr>
          </w:p>
        </w:tc>
        <w:tc>
          <w:tcPr>
            <w:tcW w:w="1125" w:type="dxa"/>
            <w:vMerge w:val="continue"/>
            <w:vAlign w:val="center"/>
          </w:tcPr>
          <w:p w14:paraId="6D145763">
            <w:pPr>
              <w:pStyle w:val="31"/>
              <w:bidi w:val="0"/>
              <w:rPr>
                <w:sz w:val="21"/>
                <w:szCs w:val="21"/>
              </w:rPr>
            </w:pPr>
          </w:p>
        </w:tc>
        <w:tc>
          <w:tcPr>
            <w:tcW w:w="1392" w:type="dxa"/>
            <w:vMerge w:val="continue"/>
          </w:tcPr>
          <w:p w14:paraId="7200C035">
            <w:pPr>
              <w:pStyle w:val="31"/>
              <w:bidi w:val="0"/>
              <w:rPr>
                <w:sz w:val="21"/>
                <w:szCs w:val="21"/>
              </w:rPr>
            </w:pPr>
          </w:p>
        </w:tc>
      </w:tr>
    </w:tbl>
    <w:p w14:paraId="00288042">
      <w:pPr>
        <w:pStyle w:val="21"/>
        <w:bidi w:val="0"/>
        <w:rPr>
          <w:rFonts w:hint="default"/>
          <w:lang w:val="en-US" w:eastAsia="zh-CN"/>
        </w:rPr>
      </w:pPr>
    </w:p>
    <w:p w14:paraId="37B8543F">
      <w:pPr>
        <w:pStyle w:val="21"/>
        <w:numPr>
          <w:ilvl w:val="0"/>
          <w:numId w:val="14"/>
        </w:numPr>
        <w:bidi w:val="0"/>
        <w:rPr>
          <w:rFonts w:hint="default"/>
          <w:lang w:val="en-US" w:eastAsia="zh-CN"/>
        </w:rPr>
      </w:pPr>
      <w:r>
        <w:rPr>
          <w:rFonts w:hint="eastAsia"/>
          <w:lang w:val="en-US" w:eastAsia="zh-CN"/>
        </w:rPr>
        <w:t>设计开采范围</w:t>
      </w:r>
    </w:p>
    <w:p w14:paraId="086A6F2B">
      <w:pPr>
        <w:pStyle w:val="21"/>
        <w:bidi w:val="0"/>
        <w:rPr>
          <w:rFonts w:hint="default"/>
          <w:lang w:val="en-US" w:eastAsia="zh-CN"/>
        </w:rPr>
      </w:pPr>
      <w:r>
        <w:rPr>
          <w:rFonts w:hint="default"/>
          <w:lang w:val="en-US" w:eastAsia="zh-CN"/>
        </w:rPr>
        <w:t>设计开采范围由</w:t>
      </w:r>
      <w:r>
        <w:rPr>
          <w:rFonts w:hint="eastAsia"/>
          <w:lang w:val="en-US" w:eastAsia="zh-CN"/>
        </w:rPr>
        <w:t>14</w:t>
      </w:r>
      <w:r>
        <w:rPr>
          <w:rFonts w:hint="default"/>
          <w:lang w:val="en-US" w:eastAsia="zh-CN"/>
        </w:rPr>
        <w:t>个拐点圈定，开采范围面积：0.</w:t>
      </w:r>
      <w:r>
        <w:rPr>
          <w:rFonts w:hint="eastAsia"/>
          <w:lang w:val="en-US" w:eastAsia="zh-CN"/>
        </w:rPr>
        <w:t>8135</w:t>
      </w:r>
      <w:r>
        <w:rPr>
          <w:rFonts w:hint="default"/>
          <w:lang w:val="en-US" w:eastAsia="zh-CN"/>
        </w:rPr>
        <w:t>km</w:t>
      </w:r>
      <w:r>
        <w:rPr>
          <w:rFonts w:hint="default"/>
          <w:vertAlign w:val="superscript"/>
          <w:lang w:val="en-US" w:eastAsia="zh-CN"/>
        </w:rPr>
        <w:t>2</w:t>
      </w:r>
      <w:r>
        <w:rPr>
          <w:rFonts w:hint="default"/>
          <w:lang w:val="en-US" w:eastAsia="zh-CN"/>
        </w:rPr>
        <w:t>；开采深度根据最高井口标高以及设计水仓底标高，确定开采深度从</w:t>
      </w:r>
      <w:r>
        <w:rPr>
          <w:rFonts w:hint="eastAsia"/>
          <w:lang w:val="en-US" w:eastAsia="zh-CN"/>
        </w:rPr>
        <w:t>103</w:t>
      </w:r>
      <w:r>
        <w:rPr>
          <w:rFonts w:hint="default"/>
          <w:lang w:val="en-US" w:eastAsia="zh-CN"/>
        </w:rPr>
        <w:t>m至</w:t>
      </w:r>
      <w:r>
        <w:rPr>
          <w:rFonts w:hint="eastAsia"/>
          <w:lang w:val="en-US" w:eastAsia="zh-CN"/>
        </w:rPr>
        <w:t>-455</w:t>
      </w:r>
      <w:r>
        <w:rPr>
          <w:rFonts w:hint="default"/>
          <w:lang w:val="en-US" w:eastAsia="zh-CN"/>
        </w:rPr>
        <w:t>m标高</w:t>
      </w:r>
      <w:r>
        <w:rPr>
          <w:rFonts w:hint="eastAsia"/>
          <w:lang w:val="en-US" w:eastAsia="zh-CN"/>
        </w:rPr>
        <w:t>。</w:t>
      </w:r>
    </w:p>
    <w:p w14:paraId="2A9A8952">
      <w:pPr>
        <w:pStyle w:val="21"/>
        <w:numPr>
          <w:ilvl w:val="0"/>
          <w:numId w:val="14"/>
        </w:numPr>
        <w:bidi w:val="0"/>
        <w:rPr>
          <w:rFonts w:hint="default"/>
          <w:lang w:val="en-US" w:eastAsia="zh-CN"/>
        </w:rPr>
      </w:pPr>
      <w:r>
        <w:rPr>
          <w:rFonts w:hint="eastAsia"/>
          <w:lang w:val="en-US" w:eastAsia="zh-CN"/>
        </w:rPr>
        <w:t>开采顺序</w:t>
      </w:r>
    </w:p>
    <w:p w14:paraId="384938A3">
      <w:pPr>
        <w:pStyle w:val="21"/>
        <w:bidi w:val="0"/>
        <w:rPr>
          <w:rFonts w:hint="default"/>
          <w:lang w:val="en-US" w:eastAsia="zh-CN"/>
        </w:rPr>
      </w:pPr>
      <w:r>
        <w:rPr>
          <w:rFonts w:hint="default"/>
          <w:lang w:val="en-US" w:eastAsia="zh-CN"/>
        </w:rPr>
        <w:t>整个矿床分中段由下而上按中段依次开采；中段采用后退式回采；平行矿体先采上盘矿体，后采下盘矿体。</w:t>
      </w:r>
    </w:p>
    <w:p w14:paraId="249D7B37">
      <w:pPr>
        <w:pStyle w:val="21"/>
        <w:bidi w:val="0"/>
        <w:rPr>
          <w:rFonts w:hint="default"/>
          <w:lang w:val="en-US" w:eastAsia="zh-CN"/>
        </w:rPr>
      </w:pPr>
      <w:r>
        <w:rPr>
          <w:rFonts w:hint="default"/>
          <w:lang w:val="en-US" w:eastAsia="zh-CN"/>
        </w:rPr>
        <w:t>设计采用上行式开采顺序，分期开采。一期首采中段为-300m中段，二期首采中段为-450m中段。</w:t>
      </w:r>
    </w:p>
    <w:p w14:paraId="07246319">
      <w:pPr>
        <w:pStyle w:val="29"/>
        <w:bidi w:val="0"/>
        <w:rPr>
          <w:rFonts w:hint="default"/>
          <w:lang w:val="en-US" w:eastAsia="zh-CN"/>
        </w:rPr>
      </w:pPr>
      <w:r>
        <w:rPr>
          <w:rFonts w:hint="eastAsia"/>
          <w:lang w:val="en-US" w:eastAsia="zh-CN"/>
        </w:rPr>
        <w:t>开拓运输</w:t>
      </w:r>
    </w:p>
    <w:p w14:paraId="06A8167F">
      <w:pPr>
        <w:pStyle w:val="21"/>
        <w:numPr>
          <w:ilvl w:val="0"/>
          <w:numId w:val="15"/>
        </w:numPr>
        <w:bidi w:val="0"/>
        <w:rPr>
          <w:rFonts w:hint="eastAsia" w:ascii="Times New Roman" w:hAnsi="Times New Roman"/>
          <w:caps w:val="0"/>
          <w:smallCaps w:val="0"/>
          <w:sz w:val="28"/>
          <w:szCs w:val="28"/>
        </w:rPr>
      </w:pPr>
      <w:r>
        <w:rPr>
          <w:rFonts w:hint="eastAsia" w:ascii="Times New Roman" w:hAnsi="Times New Roman"/>
          <w:caps w:val="0"/>
          <w:smallCaps w:val="0"/>
          <w:sz w:val="28"/>
          <w:szCs w:val="28"/>
        </w:rPr>
        <w:t>岩体移动范围</w:t>
      </w:r>
    </w:p>
    <w:p w14:paraId="24B5B7FA">
      <w:pPr>
        <w:pStyle w:val="21"/>
        <w:rPr>
          <w:rFonts w:hint="default"/>
          <w:lang w:val="en-US" w:eastAsia="zh-CN"/>
        </w:rPr>
      </w:pPr>
      <w:r>
        <w:rPr>
          <w:rFonts w:hint="default"/>
          <w:lang w:val="en-US" w:eastAsia="zh-CN"/>
        </w:rPr>
        <w:t>《可研报告》明确设计采用胶结充填采矿法，圈定岩石监测角为：下盘：α＝75°，上盘：β＝75°，端部：γ＝75°。地表第四系覆盖岩的监测角为α＝β＝γ＝45°。</w:t>
      </w:r>
    </w:p>
    <w:p w14:paraId="6C706C5E">
      <w:pPr>
        <w:pStyle w:val="21"/>
        <w:numPr>
          <w:ilvl w:val="0"/>
          <w:numId w:val="15"/>
        </w:numPr>
        <w:bidi w:val="0"/>
        <w:rPr>
          <w:rFonts w:hint="default"/>
          <w:lang w:val="en-US" w:eastAsia="zh-CN"/>
        </w:rPr>
      </w:pPr>
      <w:r>
        <w:rPr>
          <w:rFonts w:hint="default"/>
          <w:lang w:val="en-US" w:eastAsia="zh-CN"/>
        </w:rPr>
        <w:t>开拓运输方式</w:t>
      </w:r>
    </w:p>
    <w:p w14:paraId="627A73F7">
      <w:pPr>
        <w:pStyle w:val="21"/>
        <w:bidi w:val="0"/>
        <w:rPr>
          <w:rFonts w:hint="default"/>
          <w:lang w:val="en-US" w:eastAsia="zh-CN"/>
        </w:rPr>
      </w:pPr>
      <w:r>
        <w:rPr>
          <w:rFonts w:hint="default"/>
          <w:lang w:val="en-US" w:eastAsia="zh-CN"/>
        </w:rPr>
        <w:t>《可研报告》设计地下开采方式，</w:t>
      </w:r>
      <w:r>
        <w:rPr>
          <w:rFonts w:hint="eastAsia"/>
          <w:lang w:val="en-US" w:eastAsia="zh-CN"/>
        </w:rPr>
        <w:t>斜坡道-竖井开拓</w:t>
      </w:r>
      <w:r>
        <w:rPr>
          <w:rFonts w:hint="default"/>
          <w:lang w:val="en-US" w:eastAsia="zh-CN"/>
        </w:rPr>
        <w:t>方案，对角抽出式通风方式。</w:t>
      </w:r>
    </w:p>
    <w:p w14:paraId="43EAF430">
      <w:pPr>
        <w:pStyle w:val="21"/>
        <w:numPr>
          <w:ilvl w:val="0"/>
          <w:numId w:val="15"/>
        </w:numPr>
        <w:bidi w:val="0"/>
        <w:rPr>
          <w:rFonts w:hint="default"/>
          <w:lang w:val="en-US" w:eastAsia="zh-CN"/>
        </w:rPr>
      </w:pPr>
      <w:r>
        <w:rPr>
          <w:rFonts w:hint="default"/>
          <w:lang w:val="en-US" w:eastAsia="zh-CN"/>
        </w:rPr>
        <w:t>开拓工程</w:t>
      </w:r>
    </w:p>
    <w:p w14:paraId="06982214">
      <w:pPr>
        <w:pStyle w:val="21"/>
        <w:bidi w:val="0"/>
        <w:rPr>
          <w:rFonts w:hint="eastAsia"/>
          <w:lang w:val="en-US" w:eastAsia="zh-CN"/>
        </w:rPr>
      </w:pPr>
      <w:r>
        <w:rPr>
          <w:rFonts w:hint="default"/>
          <w:lang w:val="en-US" w:eastAsia="zh-CN"/>
        </w:rPr>
        <w:t>《可研报告》</w:t>
      </w:r>
      <w:r>
        <w:rPr>
          <w:rFonts w:hint="eastAsia"/>
          <w:lang w:val="en-US" w:eastAsia="zh-CN"/>
        </w:rPr>
        <w:t>明确总体设计采用分期设计，以-300m中段为界，划分为两期，其中0m至-300m中段为一期，-300m至-450m中段为二期。</w:t>
      </w:r>
    </w:p>
    <w:p w14:paraId="63816A58">
      <w:pPr>
        <w:pStyle w:val="21"/>
        <w:bidi w:val="0"/>
        <w:rPr>
          <w:rFonts w:hint="default"/>
          <w:lang w:val="en-US" w:eastAsia="zh-CN"/>
        </w:rPr>
      </w:pPr>
      <w:r>
        <w:rPr>
          <w:rFonts w:hint="eastAsia"/>
          <w:lang w:val="en-US" w:eastAsia="zh-CN"/>
        </w:rPr>
        <w:t>1、一期开拓系统</w:t>
      </w:r>
    </w:p>
    <w:p w14:paraId="0635ADA3">
      <w:pPr>
        <w:pStyle w:val="21"/>
        <w:bidi w:val="0"/>
        <w:rPr>
          <w:rFonts w:hint="default"/>
          <w:lang w:val="en-US" w:eastAsia="zh-CN"/>
        </w:rPr>
      </w:pPr>
      <w:r>
        <w:rPr>
          <w:rFonts w:hint="eastAsia"/>
          <w:lang w:val="en-US" w:eastAsia="zh-CN"/>
        </w:rPr>
        <w:t>①</w:t>
      </w:r>
      <w:r>
        <w:rPr>
          <w:rFonts w:hint="default"/>
          <w:lang w:val="en-US" w:eastAsia="zh-CN"/>
        </w:rPr>
        <w:t>斜坡道：现有斜坡道开口位于矿体下盘</w:t>
      </w:r>
      <w:r>
        <w:rPr>
          <w:rFonts w:hint="eastAsia"/>
          <w:lang w:val="en-US" w:eastAsia="zh-CN"/>
        </w:rPr>
        <w:t>N8</w:t>
      </w:r>
      <w:r>
        <w:rPr>
          <w:rFonts w:hint="default"/>
          <w:lang w:val="en-US" w:eastAsia="zh-CN"/>
        </w:rPr>
        <w:t>线</w:t>
      </w:r>
      <w:r>
        <w:rPr>
          <w:rFonts w:hint="eastAsia"/>
          <w:lang w:val="en-US" w:eastAsia="zh-CN"/>
        </w:rPr>
        <w:t>南</w:t>
      </w:r>
      <w:r>
        <w:rPr>
          <w:rFonts w:hint="default"/>
          <w:lang w:val="en-US" w:eastAsia="zh-CN"/>
        </w:rPr>
        <w:t>侧，位于岩石移动</w:t>
      </w:r>
      <w:r>
        <w:rPr>
          <w:rFonts w:hint="eastAsia"/>
          <w:lang w:val="en-US" w:eastAsia="zh-CN"/>
        </w:rPr>
        <w:t>监测范围</w:t>
      </w:r>
      <w:r>
        <w:rPr>
          <w:rFonts w:hint="default"/>
          <w:lang w:val="en-US" w:eastAsia="zh-CN"/>
        </w:rPr>
        <w:t>界线20m以外，硐口中心坐标为：X=</w:t>
      </w:r>
      <w:r>
        <w:rPr>
          <w:rFonts w:hint="eastAsia"/>
          <w:lang w:val="en-US" w:eastAsia="zh-CN"/>
        </w:rPr>
        <w:t>XXXXXXXX，</w:t>
      </w:r>
      <w:r>
        <w:rPr>
          <w:rFonts w:hint="default"/>
          <w:lang w:val="en-US" w:eastAsia="zh-CN"/>
        </w:rPr>
        <w:t>Y=</w:t>
      </w:r>
      <w:r>
        <w:rPr>
          <w:rFonts w:hint="eastAsia"/>
          <w:lang w:val="en-US" w:eastAsia="zh-CN"/>
        </w:rPr>
        <w:t>XXXXXXXX</w:t>
      </w:r>
      <w:r>
        <w:rPr>
          <w:rFonts w:hint="default"/>
          <w:lang w:val="en-US" w:eastAsia="zh-CN"/>
        </w:rPr>
        <w:t>，Z＝</w:t>
      </w:r>
      <w:r>
        <w:rPr>
          <w:rFonts w:hint="eastAsia"/>
          <w:lang w:val="en-US" w:eastAsia="zh-CN"/>
        </w:rPr>
        <w:t>64</w:t>
      </w:r>
      <w:r>
        <w:rPr>
          <w:rFonts w:hint="default"/>
          <w:lang w:val="en-US" w:eastAsia="zh-CN"/>
        </w:rPr>
        <w:t>m，斜坡道底标高-</w:t>
      </w:r>
      <w:r>
        <w:rPr>
          <w:rFonts w:hint="eastAsia"/>
          <w:lang w:val="en-US" w:eastAsia="zh-CN"/>
        </w:rPr>
        <w:t>96</w:t>
      </w:r>
      <w:r>
        <w:rPr>
          <w:rFonts w:hint="default"/>
          <w:lang w:val="en-US" w:eastAsia="zh-CN"/>
        </w:rPr>
        <w:t>m，斜坡道限制坡度12％，水平距离每100m</w:t>
      </w:r>
      <w:r>
        <w:rPr>
          <w:rFonts w:hint="eastAsia"/>
          <w:lang w:val="en-US" w:eastAsia="zh-CN"/>
        </w:rPr>
        <w:t>-200m</w:t>
      </w:r>
      <w:r>
        <w:rPr>
          <w:rFonts w:hint="default"/>
          <w:lang w:val="en-US" w:eastAsia="zh-CN"/>
        </w:rPr>
        <w:t>设有30m长错车道，同时作为缓坡段，缓坡段坡度3%。最小转弯半径15m。斜坡道长约2002m，净宽5.0m，净高4.7m，净断面21.78m</w:t>
      </w:r>
      <w:r>
        <w:rPr>
          <w:rFonts w:hint="default"/>
          <w:vertAlign w:val="superscript"/>
          <w:lang w:val="en-US" w:eastAsia="zh-CN"/>
        </w:rPr>
        <w:t>2</w:t>
      </w:r>
      <w:r>
        <w:rPr>
          <w:rFonts w:hint="default"/>
          <w:lang w:val="en-US" w:eastAsia="zh-CN"/>
        </w:rPr>
        <w:t>，斜坡道内设有人行道。斜坡道掘进中遇到断层和局部破碎地段，采用钢筋混凝土支护，混凝土强度不低于C30。</w:t>
      </w:r>
    </w:p>
    <w:p w14:paraId="46AA2279">
      <w:pPr>
        <w:pStyle w:val="21"/>
        <w:bidi w:val="0"/>
        <w:rPr>
          <w:rFonts w:hint="default"/>
          <w:lang w:val="en-US" w:eastAsia="zh-CN"/>
        </w:rPr>
      </w:pPr>
      <w:r>
        <w:rPr>
          <w:rFonts w:hint="default"/>
          <w:lang w:val="en-US" w:eastAsia="zh-CN"/>
        </w:rPr>
        <w:t>设计利用现有斜坡道开拓工程，在N2线+50号勘探线</w:t>
      </w:r>
      <w:r>
        <w:rPr>
          <w:rFonts w:hint="eastAsia"/>
          <w:lang w:val="en-US" w:eastAsia="zh-CN"/>
        </w:rPr>
        <w:t>-15.6m标高处</w:t>
      </w:r>
      <w:r>
        <w:rPr>
          <w:rFonts w:hint="default"/>
          <w:lang w:val="en-US" w:eastAsia="zh-CN"/>
        </w:rPr>
        <w:t>下掘-</w:t>
      </w:r>
      <w:r>
        <w:rPr>
          <w:rFonts w:hint="eastAsia"/>
          <w:lang w:val="en-US" w:eastAsia="zh-CN"/>
        </w:rPr>
        <w:t>15.6</w:t>
      </w:r>
      <w:r>
        <w:rPr>
          <w:rFonts w:hint="default"/>
          <w:lang w:val="en-US" w:eastAsia="zh-CN"/>
        </w:rPr>
        <w:t>m～-</w:t>
      </w:r>
      <w:r>
        <w:rPr>
          <w:rFonts w:hint="eastAsia"/>
          <w:lang w:val="en-US" w:eastAsia="zh-CN"/>
        </w:rPr>
        <w:t>300</w:t>
      </w:r>
      <w:r>
        <w:rPr>
          <w:rFonts w:hint="default"/>
          <w:lang w:val="en-US" w:eastAsia="zh-CN"/>
        </w:rPr>
        <w:t>m斜坡道工程</w:t>
      </w:r>
      <w:r>
        <w:rPr>
          <w:rFonts w:hint="eastAsia"/>
          <w:lang w:val="en-US" w:eastAsia="zh-CN"/>
        </w:rPr>
        <w:t>，上掘</w:t>
      </w:r>
      <w:r>
        <w:rPr>
          <w:rFonts w:hint="default"/>
          <w:lang w:val="en-US" w:eastAsia="zh-CN"/>
        </w:rPr>
        <w:t>-</w:t>
      </w:r>
      <w:r>
        <w:rPr>
          <w:rFonts w:hint="eastAsia"/>
          <w:lang w:val="en-US" w:eastAsia="zh-CN"/>
        </w:rPr>
        <w:t>15.6</w:t>
      </w:r>
      <w:r>
        <w:rPr>
          <w:rFonts w:hint="default"/>
          <w:lang w:val="en-US" w:eastAsia="zh-CN"/>
        </w:rPr>
        <w:t>m～</w:t>
      </w:r>
      <w:r>
        <w:rPr>
          <w:rFonts w:hint="eastAsia"/>
          <w:lang w:val="en-US" w:eastAsia="zh-CN"/>
        </w:rPr>
        <w:t>0</w:t>
      </w:r>
      <w:r>
        <w:rPr>
          <w:rFonts w:hint="default"/>
          <w:lang w:val="en-US" w:eastAsia="zh-CN"/>
        </w:rPr>
        <w:t>m斜坡道工程，</w:t>
      </w:r>
      <w:r>
        <w:rPr>
          <w:rFonts w:hint="eastAsia"/>
          <w:lang w:val="en-US" w:eastAsia="zh-CN"/>
        </w:rPr>
        <w:t>现有斜坡道-15.6m标高以下进行封堵，不再进行利用。新掘</w:t>
      </w:r>
      <w:r>
        <w:rPr>
          <w:rFonts w:hint="default"/>
          <w:lang w:val="en-US" w:eastAsia="zh-CN"/>
        </w:rPr>
        <w:t>斜坡道限制坡度12％，水平距离每100m</w:t>
      </w:r>
      <w:r>
        <w:rPr>
          <w:rFonts w:hint="eastAsia"/>
          <w:lang w:val="en-US" w:eastAsia="zh-CN"/>
        </w:rPr>
        <w:t>-200m</w:t>
      </w:r>
      <w:r>
        <w:rPr>
          <w:rFonts w:hint="default"/>
          <w:lang w:val="en-US" w:eastAsia="zh-CN"/>
        </w:rPr>
        <w:t>设有30m长错车道，同时作为缓坡段，缓坡段坡度3%。最小转弯半径</w:t>
      </w:r>
      <w:r>
        <w:rPr>
          <w:rFonts w:hint="eastAsia"/>
          <w:lang w:val="en-US" w:eastAsia="zh-CN"/>
        </w:rPr>
        <w:t>20</w:t>
      </w:r>
      <w:r>
        <w:rPr>
          <w:rFonts w:hint="default"/>
          <w:lang w:val="en-US" w:eastAsia="zh-CN"/>
        </w:rPr>
        <w:t>m。</w:t>
      </w:r>
      <w:r>
        <w:rPr>
          <w:rFonts w:hint="eastAsia"/>
          <w:lang w:val="en-US" w:eastAsia="zh-CN"/>
        </w:rPr>
        <w:t>新掘</w:t>
      </w:r>
      <w:r>
        <w:rPr>
          <w:rFonts w:hint="default"/>
          <w:lang w:val="en-US" w:eastAsia="zh-CN"/>
        </w:rPr>
        <w:t>斜坡道长约</w:t>
      </w:r>
      <w:r>
        <w:rPr>
          <w:rFonts w:hint="eastAsia"/>
          <w:lang w:val="en-US" w:eastAsia="zh-CN"/>
        </w:rPr>
        <w:t>2957</w:t>
      </w:r>
      <w:r>
        <w:rPr>
          <w:rFonts w:hint="default"/>
          <w:lang w:val="en-US" w:eastAsia="zh-CN"/>
        </w:rPr>
        <w:t>m，净宽5.0m，净高4.70m，净断面21.78m</w:t>
      </w:r>
      <w:r>
        <w:rPr>
          <w:rFonts w:hint="default"/>
          <w:vertAlign w:val="superscript"/>
          <w:lang w:val="en-US" w:eastAsia="zh-CN"/>
        </w:rPr>
        <w:t>2</w:t>
      </w:r>
      <w:r>
        <w:rPr>
          <w:rFonts w:hint="eastAsia"/>
          <w:lang w:val="en-US" w:eastAsia="zh-CN"/>
        </w:rPr>
        <w:t>。利旧斜坡道长约900m，设计斜坡道总长3857m，</w:t>
      </w:r>
      <w:r>
        <w:rPr>
          <w:rFonts w:hint="default"/>
          <w:lang w:val="en-US" w:eastAsia="zh-CN"/>
        </w:rPr>
        <w:t>做为运输</w:t>
      </w:r>
      <w:r>
        <w:rPr>
          <w:rFonts w:hint="eastAsia"/>
          <w:lang w:val="en-US" w:eastAsia="zh-CN"/>
        </w:rPr>
        <w:t>矿石、</w:t>
      </w:r>
      <w:r>
        <w:rPr>
          <w:rFonts w:hint="default"/>
          <w:lang w:val="en-US" w:eastAsia="zh-CN"/>
        </w:rPr>
        <w:t>废石、升降人员、材料、设备等提升任务，斜坡道内设有人行道。</w:t>
      </w:r>
    </w:p>
    <w:p w14:paraId="176BF1DF">
      <w:pPr>
        <w:pStyle w:val="21"/>
        <w:bidi w:val="0"/>
        <w:rPr>
          <w:rFonts w:hint="default"/>
          <w:lang w:val="en-US" w:eastAsia="zh-CN"/>
        </w:rPr>
      </w:pPr>
      <w:r>
        <w:rPr>
          <w:rFonts w:hint="eastAsia"/>
          <w:lang w:val="en-US" w:eastAsia="zh-CN"/>
        </w:rPr>
        <w:t>②</w:t>
      </w:r>
      <w:r>
        <w:rPr>
          <w:rFonts w:hint="default"/>
          <w:lang w:val="en-US" w:eastAsia="zh-CN"/>
        </w:rPr>
        <w:t>管缆井：采用竖井形式，利用原回风井，位于N0线北侧，岩石移动监测范围界线20m以外，井口中心坐标为：X=</w:t>
      </w:r>
      <w:r>
        <w:rPr>
          <w:rFonts w:hint="eastAsia"/>
          <w:lang w:val="en-US" w:eastAsia="zh-CN"/>
        </w:rPr>
        <w:t>XXXXXXXX</w:t>
      </w:r>
      <w:r>
        <w:rPr>
          <w:rFonts w:hint="default"/>
          <w:lang w:val="en-US" w:eastAsia="zh-CN"/>
        </w:rPr>
        <w:t>，Y=</w:t>
      </w:r>
      <w:r>
        <w:rPr>
          <w:rFonts w:hint="eastAsia"/>
          <w:lang w:val="en-US" w:eastAsia="zh-CN"/>
        </w:rPr>
        <w:t>XXXXXXXX</w:t>
      </w:r>
      <w:r>
        <w:rPr>
          <w:rFonts w:hint="default"/>
          <w:lang w:val="en-US" w:eastAsia="zh-CN"/>
        </w:rPr>
        <w:t>，Z=99m，现状井底标高-96m，设计延深井底标高-300m，井筒深399m。现状井筒断面Φ3.0m，设计刷大井筒断面为圆形Φ5.0m，井筒内设有风水管路和梯子间，兼做入风井。</w:t>
      </w:r>
    </w:p>
    <w:p w14:paraId="35FEB634">
      <w:pPr>
        <w:pStyle w:val="21"/>
        <w:bidi w:val="0"/>
        <w:rPr>
          <w:rFonts w:hint="default"/>
          <w:lang w:val="en-US" w:eastAsia="zh-CN"/>
        </w:rPr>
      </w:pPr>
      <w:r>
        <w:rPr>
          <w:rFonts w:hint="eastAsia"/>
          <w:lang w:val="en-US" w:eastAsia="zh-CN"/>
        </w:rPr>
        <w:t>③</w:t>
      </w:r>
      <w:r>
        <w:rPr>
          <w:rFonts w:hint="default"/>
          <w:lang w:val="en-US" w:eastAsia="zh-CN"/>
        </w:rPr>
        <w:t>回风井：采用竖井形式，位于</w:t>
      </w:r>
      <w:r>
        <w:rPr>
          <w:rFonts w:hint="eastAsia"/>
          <w:lang w:val="en-US" w:eastAsia="zh-CN"/>
        </w:rPr>
        <w:t>4</w:t>
      </w:r>
      <w:r>
        <w:rPr>
          <w:rFonts w:hint="default"/>
          <w:lang w:val="en-US" w:eastAsia="zh-CN"/>
        </w:rPr>
        <w:t>号勘探线附近，岩石移动</w:t>
      </w:r>
      <w:r>
        <w:rPr>
          <w:rFonts w:hint="eastAsia"/>
          <w:lang w:val="en-US" w:eastAsia="zh-CN"/>
        </w:rPr>
        <w:t>监测范围</w:t>
      </w:r>
      <w:r>
        <w:rPr>
          <w:rFonts w:hint="default"/>
          <w:lang w:val="en-US" w:eastAsia="zh-CN"/>
        </w:rPr>
        <w:t>界线20m以外，井口中心坐标为：X=</w:t>
      </w:r>
      <w:r>
        <w:rPr>
          <w:rFonts w:hint="eastAsia"/>
          <w:lang w:val="en-US" w:eastAsia="zh-CN"/>
        </w:rPr>
        <w:t>XXXXXXXX，</w:t>
      </w:r>
      <w:r>
        <w:rPr>
          <w:rFonts w:hint="default"/>
          <w:lang w:val="en-US" w:eastAsia="zh-CN"/>
        </w:rPr>
        <w:t>Y=</w:t>
      </w:r>
      <w:r>
        <w:rPr>
          <w:rFonts w:hint="eastAsia"/>
          <w:lang w:val="en-US" w:eastAsia="zh-CN"/>
        </w:rPr>
        <w:t>XXXXXXXX，</w:t>
      </w:r>
      <w:r>
        <w:rPr>
          <w:rFonts w:hint="default"/>
          <w:lang w:val="en-US" w:eastAsia="zh-CN"/>
        </w:rPr>
        <w:t>Z=63m，井底标高-3</w:t>
      </w:r>
      <w:r>
        <w:rPr>
          <w:rFonts w:hint="eastAsia"/>
          <w:lang w:val="en-US" w:eastAsia="zh-CN"/>
        </w:rPr>
        <w:t>00</w:t>
      </w:r>
      <w:r>
        <w:rPr>
          <w:rFonts w:hint="default"/>
          <w:lang w:val="en-US" w:eastAsia="zh-CN"/>
        </w:rPr>
        <w:t>m，井筒深3</w:t>
      </w:r>
      <w:r>
        <w:rPr>
          <w:rFonts w:hint="eastAsia"/>
          <w:lang w:val="en-US" w:eastAsia="zh-CN"/>
        </w:rPr>
        <w:t>63</w:t>
      </w:r>
      <w:r>
        <w:rPr>
          <w:rFonts w:hint="default"/>
          <w:lang w:val="en-US" w:eastAsia="zh-CN"/>
        </w:rPr>
        <w:t>m。风井断面为圆形Φ</w:t>
      </w:r>
      <w:r>
        <w:rPr>
          <w:rFonts w:hint="eastAsia"/>
          <w:lang w:val="en-US" w:eastAsia="zh-CN"/>
        </w:rPr>
        <w:t>5</w:t>
      </w:r>
      <w:r>
        <w:rPr>
          <w:rFonts w:hint="default"/>
          <w:lang w:val="en-US" w:eastAsia="zh-CN"/>
        </w:rPr>
        <w:t>m，井筒内设有梯子间，做为应急安全出口。</w:t>
      </w:r>
    </w:p>
    <w:p w14:paraId="16658F0F">
      <w:pPr>
        <w:pStyle w:val="21"/>
        <w:bidi w:val="0"/>
        <w:rPr>
          <w:rFonts w:hint="default"/>
          <w:lang w:val="en-US" w:eastAsia="zh-CN"/>
        </w:rPr>
      </w:pPr>
      <w:r>
        <w:rPr>
          <w:rFonts w:hint="eastAsia"/>
          <w:lang w:val="en-US" w:eastAsia="zh-CN"/>
        </w:rPr>
        <w:t>2、二期开拓系统</w:t>
      </w:r>
    </w:p>
    <w:p w14:paraId="6189963B">
      <w:pPr>
        <w:pStyle w:val="21"/>
        <w:bidi w:val="0"/>
        <w:rPr>
          <w:rFonts w:hint="default"/>
          <w:lang w:val="en-US" w:eastAsia="zh-CN"/>
        </w:rPr>
      </w:pPr>
      <w:r>
        <w:rPr>
          <w:rFonts w:hint="eastAsia"/>
          <w:lang w:val="en-US" w:eastAsia="zh-CN"/>
        </w:rPr>
        <w:t>①</w:t>
      </w:r>
      <w:r>
        <w:rPr>
          <w:rFonts w:hint="default"/>
          <w:lang w:val="en-US" w:eastAsia="zh-CN"/>
        </w:rPr>
        <w:t>斜坡道：</w:t>
      </w:r>
      <w:r>
        <w:rPr>
          <w:rFonts w:hint="eastAsia"/>
          <w:lang w:val="en-US" w:eastAsia="zh-CN"/>
        </w:rPr>
        <w:t>利用一期斜坡道延深至-450m标高</w:t>
      </w:r>
      <w:r>
        <w:rPr>
          <w:rFonts w:hint="default"/>
          <w:lang w:val="en-US" w:eastAsia="zh-CN"/>
        </w:rPr>
        <w:t>，斜坡道限制坡度12％，水平距离每100m</w:t>
      </w:r>
      <w:r>
        <w:rPr>
          <w:rFonts w:hint="eastAsia"/>
          <w:lang w:val="en-US" w:eastAsia="zh-CN"/>
        </w:rPr>
        <w:t>-200m</w:t>
      </w:r>
      <w:r>
        <w:rPr>
          <w:rFonts w:hint="default"/>
          <w:lang w:val="en-US" w:eastAsia="zh-CN"/>
        </w:rPr>
        <w:t>设有30m长错车道，同时作为缓坡段，缓坡段坡度3%。最小转弯半径</w:t>
      </w:r>
      <w:r>
        <w:rPr>
          <w:rFonts w:hint="eastAsia"/>
          <w:lang w:val="en-US" w:eastAsia="zh-CN"/>
        </w:rPr>
        <w:t>20</w:t>
      </w:r>
      <w:r>
        <w:rPr>
          <w:rFonts w:hint="default"/>
          <w:lang w:val="en-US" w:eastAsia="zh-CN"/>
        </w:rPr>
        <w:t>m。</w:t>
      </w:r>
      <w:r>
        <w:rPr>
          <w:rFonts w:hint="eastAsia"/>
          <w:lang w:val="en-US" w:eastAsia="zh-CN"/>
        </w:rPr>
        <w:t>新掘</w:t>
      </w:r>
      <w:r>
        <w:rPr>
          <w:rFonts w:hint="default"/>
          <w:lang w:val="en-US" w:eastAsia="zh-CN"/>
        </w:rPr>
        <w:t>斜坡道长约</w:t>
      </w:r>
      <w:r>
        <w:rPr>
          <w:rFonts w:hint="eastAsia"/>
          <w:lang w:val="en-US" w:eastAsia="zh-CN"/>
        </w:rPr>
        <w:t>1654</w:t>
      </w:r>
      <w:r>
        <w:rPr>
          <w:rFonts w:hint="default"/>
          <w:lang w:val="en-US" w:eastAsia="zh-CN"/>
        </w:rPr>
        <w:t>m，净宽5.0m，净高4.70m，净断面21.78m</w:t>
      </w:r>
      <w:r>
        <w:rPr>
          <w:rFonts w:hint="default"/>
          <w:vertAlign w:val="superscript"/>
          <w:lang w:val="en-US" w:eastAsia="zh-CN"/>
        </w:rPr>
        <w:t>2</w:t>
      </w:r>
      <w:r>
        <w:rPr>
          <w:rFonts w:hint="eastAsia"/>
          <w:lang w:val="en-US" w:eastAsia="zh-CN"/>
        </w:rPr>
        <w:t>。斜坡道总长5511m，</w:t>
      </w:r>
      <w:r>
        <w:rPr>
          <w:rFonts w:hint="default"/>
          <w:lang w:val="en-US" w:eastAsia="zh-CN"/>
        </w:rPr>
        <w:t>做为运输</w:t>
      </w:r>
      <w:r>
        <w:rPr>
          <w:rFonts w:hint="eastAsia"/>
          <w:lang w:val="en-US" w:eastAsia="zh-CN"/>
        </w:rPr>
        <w:t>矿石、</w:t>
      </w:r>
      <w:r>
        <w:rPr>
          <w:rFonts w:hint="default"/>
          <w:lang w:val="en-US" w:eastAsia="zh-CN"/>
        </w:rPr>
        <w:t>废石、升降人员、材料、设备等提升任务，斜坡道内设有人行道。深部采用斜坡道入风和敷设管路，不再建设管缆井。</w:t>
      </w:r>
    </w:p>
    <w:p w14:paraId="61DDB5DD">
      <w:pPr>
        <w:pStyle w:val="21"/>
        <w:bidi w:val="0"/>
        <w:rPr>
          <w:rFonts w:hint="default"/>
          <w:lang w:val="en-US" w:eastAsia="zh-CN"/>
        </w:rPr>
      </w:pPr>
      <w:r>
        <w:rPr>
          <w:rFonts w:hint="eastAsia"/>
          <w:lang w:val="en-US" w:eastAsia="zh-CN"/>
        </w:rPr>
        <w:t>②</w:t>
      </w:r>
      <w:r>
        <w:rPr>
          <w:rFonts w:hint="default"/>
          <w:lang w:val="en-US" w:eastAsia="zh-CN"/>
        </w:rPr>
        <w:t>管缆井：</w:t>
      </w:r>
      <w:r>
        <w:rPr>
          <w:rFonts w:hint="eastAsia"/>
          <w:lang w:val="en-US" w:eastAsia="zh-CN"/>
        </w:rPr>
        <w:t>利用一期管缆井，深部采用斜坡道入风和敷设管路，不再建设管缆井。</w:t>
      </w:r>
    </w:p>
    <w:p w14:paraId="6FF80AFB">
      <w:pPr>
        <w:pStyle w:val="21"/>
        <w:bidi w:val="0"/>
        <w:rPr>
          <w:rFonts w:hint="default"/>
          <w:lang w:val="en-US" w:eastAsia="zh-CN"/>
        </w:rPr>
      </w:pPr>
      <w:r>
        <w:rPr>
          <w:rFonts w:hint="eastAsia"/>
          <w:lang w:val="en-US" w:eastAsia="zh-CN"/>
        </w:rPr>
        <w:t>③</w:t>
      </w:r>
      <w:r>
        <w:rPr>
          <w:rFonts w:hint="default"/>
          <w:lang w:val="en-US" w:eastAsia="zh-CN"/>
        </w:rPr>
        <w:t>回风井：</w:t>
      </w:r>
      <w:r>
        <w:rPr>
          <w:rFonts w:hint="eastAsia"/>
          <w:lang w:val="en-US" w:eastAsia="zh-CN"/>
        </w:rPr>
        <w:t>利用一期风井，深部采用倒段回风井回风，由于深部二期减产，风井断面减小至</w:t>
      </w:r>
      <w:r>
        <w:rPr>
          <w:rFonts w:hint="default"/>
          <w:lang w:val="en-US" w:eastAsia="zh-CN"/>
        </w:rPr>
        <w:t>Φ</w:t>
      </w:r>
      <w:r>
        <w:rPr>
          <w:rFonts w:hint="eastAsia"/>
          <w:lang w:val="en-US" w:eastAsia="zh-CN"/>
        </w:rPr>
        <w:t>3</w:t>
      </w:r>
      <w:r>
        <w:rPr>
          <w:rFonts w:hint="default"/>
          <w:lang w:val="en-US" w:eastAsia="zh-CN"/>
        </w:rPr>
        <w:t>.5m，井筒内设有梯子间，做为应急安全出口。</w:t>
      </w:r>
    </w:p>
    <w:p w14:paraId="01ABC481">
      <w:pPr>
        <w:pStyle w:val="21"/>
        <w:numPr>
          <w:ilvl w:val="0"/>
          <w:numId w:val="15"/>
        </w:numPr>
        <w:bidi w:val="0"/>
        <w:rPr>
          <w:rFonts w:hint="default"/>
          <w:lang w:val="en-US" w:eastAsia="zh-CN"/>
        </w:rPr>
      </w:pPr>
      <w:r>
        <w:rPr>
          <w:rFonts w:hint="eastAsia"/>
          <w:lang w:val="en-US" w:eastAsia="zh-CN"/>
        </w:rPr>
        <w:t>支护</w:t>
      </w:r>
    </w:p>
    <w:p w14:paraId="303D977F">
      <w:pPr>
        <w:pStyle w:val="21"/>
        <w:bidi w:val="0"/>
        <w:rPr>
          <w:rFonts w:hint="default"/>
          <w:lang w:val="en-US" w:eastAsia="zh-CN"/>
        </w:rPr>
      </w:pPr>
      <w:r>
        <w:rPr>
          <w:rFonts w:hint="default"/>
          <w:lang w:val="en-US" w:eastAsia="zh-CN"/>
        </w:rPr>
        <w:t>掘进过程中如果遇到断裂构造应尽量垂直通过断裂构造并及时进行支护，遇到不稳固的岩层应及时进行支护，在松软岩层中掘进，永久性支护至掘进工作面之间应架设临时支护或特殊支护</w:t>
      </w:r>
      <w:r>
        <w:rPr>
          <w:rFonts w:hint="eastAsia"/>
          <w:lang w:val="en-US" w:eastAsia="zh-CN"/>
        </w:rPr>
        <w:t>。</w:t>
      </w:r>
    </w:p>
    <w:p w14:paraId="3D1404D2">
      <w:pPr>
        <w:pStyle w:val="21"/>
        <w:numPr>
          <w:ilvl w:val="0"/>
          <w:numId w:val="15"/>
        </w:numPr>
        <w:bidi w:val="0"/>
        <w:rPr>
          <w:rFonts w:hint="default"/>
          <w:lang w:val="en-US" w:eastAsia="zh-CN"/>
        </w:rPr>
      </w:pPr>
      <w:r>
        <w:rPr>
          <w:rFonts w:hint="default"/>
          <w:lang w:val="en-US" w:eastAsia="zh-CN"/>
        </w:rPr>
        <w:t>中段布置</w:t>
      </w:r>
    </w:p>
    <w:p w14:paraId="65226B6B">
      <w:pPr>
        <w:pStyle w:val="21"/>
        <w:bidi w:val="0"/>
        <w:rPr>
          <w:rFonts w:hint="default"/>
          <w:lang w:val="en-US" w:eastAsia="zh-CN"/>
        </w:rPr>
      </w:pPr>
      <w:r>
        <w:rPr>
          <w:rFonts w:hint="default"/>
          <w:lang w:val="en-US" w:eastAsia="zh-CN"/>
        </w:rPr>
        <w:t>《可研报告》设计</w:t>
      </w:r>
      <w:r>
        <w:rPr>
          <w:rFonts w:hint="eastAsia"/>
          <w:lang w:val="en-US" w:eastAsia="zh-CN"/>
        </w:rPr>
        <w:t>生产中段分别为-450m中段、-400m中段、-350m中段、-300m中段、-250m中段、-200m中段、-150m中段、-100m中段、-50m中段，回风中段为0m中段。</w:t>
      </w:r>
    </w:p>
    <w:p w14:paraId="267BD145">
      <w:pPr>
        <w:pStyle w:val="21"/>
        <w:numPr>
          <w:ilvl w:val="0"/>
          <w:numId w:val="15"/>
        </w:numPr>
        <w:bidi w:val="0"/>
        <w:rPr>
          <w:rFonts w:hint="default"/>
          <w:lang w:val="en-US" w:eastAsia="zh-CN"/>
        </w:rPr>
      </w:pPr>
      <w:r>
        <w:rPr>
          <w:rFonts w:hint="default"/>
          <w:lang w:val="en-US" w:eastAsia="zh-CN"/>
        </w:rPr>
        <w:t>运输设备设施</w:t>
      </w:r>
    </w:p>
    <w:p w14:paraId="0822BC44">
      <w:pPr>
        <w:pStyle w:val="21"/>
        <w:bidi w:val="0"/>
        <w:rPr>
          <w:rFonts w:hint="default"/>
          <w:lang w:val="en-US" w:eastAsia="zh-CN"/>
        </w:rPr>
      </w:pPr>
      <w:r>
        <w:rPr>
          <w:rFonts w:hint="default"/>
          <w:lang w:val="en-US" w:eastAsia="zh-CN"/>
        </w:rPr>
        <w:t>《可研报告》设计井下各生产中段均为无轨运输方式，巷道规格5.0×4.7m，净断面21.78m²。穿脉巷道规格4.5×4.0m，净断面16.58m²。</w:t>
      </w:r>
    </w:p>
    <w:p w14:paraId="05AA62CE">
      <w:pPr>
        <w:pStyle w:val="21"/>
        <w:bidi w:val="0"/>
        <w:rPr>
          <w:rFonts w:hint="default"/>
          <w:lang w:val="en-US" w:eastAsia="zh-CN"/>
        </w:rPr>
      </w:pPr>
      <w:r>
        <w:rPr>
          <w:rFonts w:hint="eastAsia"/>
          <w:lang w:val="en-US" w:eastAsia="zh-CN"/>
        </w:rPr>
        <w:t>各中段矿石通过装载机装入自卸汽车，经中段运输巷道、斜坡道运至地表矿石堆场。无轨运输设备选用UQ-40型地下自卸车，装载设备选用ZL50E装载机。</w:t>
      </w:r>
      <w:r>
        <w:rPr>
          <w:rFonts w:hint="eastAsia" w:ascii="仿宋" w:hAnsi="仿宋" w:cs="仿宋"/>
          <w:color w:val="auto"/>
          <w:highlight w:val="none"/>
          <w:lang w:val="en-US" w:eastAsia="zh-CN"/>
        </w:rPr>
        <w:t>无轨铲运设备均为具备矿安标志的产品。</w:t>
      </w:r>
    </w:p>
    <w:p w14:paraId="2850CA33">
      <w:pPr>
        <w:pStyle w:val="21"/>
        <w:bidi w:val="0"/>
        <w:rPr>
          <w:rFonts w:hint="eastAsia"/>
          <w:lang w:val="en-US" w:eastAsia="zh-CN"/>
        </w:rPr>
      </w:pPr>
      <w:r>
        <w:rPr>
          <w:rFonts w:hint="eastAsia"/>
          <w:lang w:val="en-US" w:eastAsia="zh-CN"/>
        </w:rPr>
        <w:t>井下废石通过装载机装入自卸汽车，通过斜坡道运至地表回填地表露天坑。</w:t>
      </w:r>
    </w:p>
    <w:p w14:paraId="5453ABDB">
      <w:pPr>
        <w:pStyle w:val="21"/>
        <w:bidi w:val="0"/>
        <w:rPr>
          <w:rFonts w:hint="default"/>
          <w:lang w:val="en-US" w:eastAsia="zh-CN"/>
        </w:rPr>
      </w:pPr>
      <w:r>
        <w:rPr>
          <w:rFonts w:hint="eastAsia"/>
          <w:lang w:val="en-US" w:eastAsia="zh-CN"/>
        </w:rPr>
        <w:t>人员可通过斜坡道出入井，井下作业人员乘坐无轨人车经斜坡道上、下井，人员运输设备选用UR-10型无轨人车，数量4台，其中备用1台。</w:t>
      </w:r>
    </w:p>
    <w:p w14:paraId="7510A534">
      <w:pPr>
        <w:pStyle w:val="29"/>
        <w:bidi w:val="0"/>
        <w:rPr>
          <w:rFonts w:hint="default"/>
          <w:lang w:val="en-US" w:eastAsia="zh-CN"/>
        </w:rPr>
      </w:pPr>
      <w:r>
        <w:rPr>
          <w:rFonts w:hint="eastAsia"/>
          <w:lang w:val="en-US" w:eastAsia="zh-CN"/>
        </w:rPr>
        <w:t>采矿工艺</w:t>
      </w:r>
    </w:p>
    <w:p w14:paraId="026FDD44">
      <w:pPr>
        <w:pStyle w:val="21"/>
        <w:numPr>
          <w:ilvl w:val="0"/>
          <w:numId w:val="16"/>
        </w:numPr>
        <w:bidi w:val="0"/>
        <w:rPr>
          <w:rFonts w:hint="default"/>
          <w:lang w:val="en-US" w:eastAsia="zh-CN"/>
        </w:rPr>
      </w:pPr>
      <w:r>
        <w:rPr>
          <w:rFonts w:hint="eastAsia"/>
          <w:lang w:val="en-US" w:eastAsia="zh-CN"/>
        </w:rPr>
        <w:t>采矿方法</w:t>
      </w:r>
    </w:p>
    <w:p w14:paraId="39231EF9">
      <w:pPr>
        <w:pStyle w:val="21"/>
        <w:bidi w:val="0"/>
        <w:rPr>
          <w:rFonts w:hint="eastAsia"/>
          <w:lang w:val="en-US" w:eastAsia="zh-CN"/>
        </w:rPr>
      </w:pPr>
      <w:r>
        <w:rPr>
          <w:rFonts w:hint="default"/>
          <w:lang w:val="en-US" w:eastAsia="zh-CN"/>
        </w:rPr>
        <w:t>《可研报告》</w:t>
      </w:r>
      <w:r>
        <w:rPr>
          <w:rFonts w:hint="eastAsia"/>
          <w:lang w:val="en-US" w:eastAsia="zh-CN"/>
        </w:rPr>
        <w:t>设计开采资源/储量核实圈定3条主矿体，8条小矿体，共计11条矿体，矿体呈似层状和扁豆体产出，主要为急倾斜矿体，以中厚～厚矿脉为主。</w:t>
      </w:r>
    </w:p>
    <w:p w14:paraId="7C5E7A18">
      <w:pPr>
        <w:pStyle w:val="21"/>
        <w:keepNext w:val="0"/>
        <w:keepLines w:val="0"/>
        <w:pageBreakBefore w:val="0"/>
        <w:widowControl w:val="0"/>
        <w:kinsoku/>
        <w:wordWrap/>
        <w:overflowPunct/>
        <w:topLinePunct w:val="0"/>
        <w:autoSpaceDE/>
        <w:autoSpaceDN/>
        <w:bidi w:val="0"/>
        <w:adjustRightInd w:val="0"/>
        <w:snapToGrid w:val="0"/>
        <w:textAlignment w:val="auto"/>
        <w:rPr>
          <w:rFonts w:hint="eastAsia"/>
          <w:lang w:val="en-US" w:eastAsia="zh-CN"/>
        </w:rPr>
      </w:pPr>
      <w:r>
        <w:rPr>
          <w:rFonts w:hint="eastAsia"/>
          <w:highlight w:val="none"/>
          <w:lang w:val="en-US" w:eastAsia="zh-CN"/>
        </w:rPr>
        <w:t>设计开采的矿体和围岩不具有自燃性、氧化性和结块性。根</w:t>
      </w:r>
      <w:r>
        <w:rPr>
          <w:rFonts w:hint="default"/>
          <w:highlight w:val="none"/>
          <w:lang w:val="en-US" w:eastAsia="zh-CN"/>
        </w:rPr>
        <w:t>据开采矿体的赋存条件和开采技术条件</w:t>
      </w:r>
      <w:r>
        <w:rPr>
          <w:rFonts w:hint="eastAsia"/>
          <w:highlight w:val="none"/>
          <w:lang w:val="en-US" w:eastAsia="zh-CN"/>
        </w:rPr>
        <w:t>，</w:t>
      </w:r>
      <w:r>
        <w:rPr>
          <w:rFonts w:hint="eastAsia"/>
          <w:lang w:val="en-US" w:eastAsia="zh-CN"/>
        </w:rPr>
        <w:t>选择的采矿方法如下：</w:t>
      </w:r>
    </w:p>
    <w:p w14:paraId="15764705">
      <w:pPr>
        <w:pStyle w:val="21"/>
        <w:keepNext w:val="0"/>
        <w:keepLines w:val="0"/>
        <w:pageBreakBefore w:val="0"/>
        <w:widowControl w:val="0"/>
        <w:kinsoku/>
        <w:wordWrap/>
        <w:overflowPunct/>
        <w:topLinePunct w:val="0"/>
        <w:autoSpaceDE/>
        <w:autoSpaceDN/>
        <w:bidi w:val="0"/>
        <w:adjustRightInd w:val="0"/>
        <w:snapToGrid w:val="0"/>
        <w:textAlignment w:val="auto"/>
        <w:rPr>
          <w:rFonts w:hint="eastAsia"/>
          <w:lang w:val="en-US" w:eastAsia="zh-CN"/>
        </w:rPr>
      </w:pPr>
      <w:r>
        <w:rPr>
          <w:rFonts w:hint="eastAsia"/>
          <w:lang w:val="en-US" w:eastAsia="zh-CN"/>
        </w:rPr>
        <w:t>矿体厚度≤5m，选择浅孔留矿嗣后充填采矿法，占3%；</w:t>
      </w:r>
    </w:p>
    <w:p w14:paraId="5E4E269F">
      <w:pPr>
        <w:pStyle w:val="21"/>
        <w:keepNext w:val="0"/>
        <w:keepLines w:val="0"/>
        <w:pageBreakBefore w:val="0"/>
        <w:widowControl w:val="0"/>
        <w:kinsoku/>
        <w:wordWrap/>
        <w:overflowPunct/>
        <w:topLinePunct w:val="0"/>
        <w:autoSpaceDE/>
        <w:autoSpaceDN/>
        <w:bidi w:val="0"/>
        <w:adjustRightInd w:val="0"/>
        <w:snapToGrid w:val="0"/>
        <w:textAlignment w:val="auto"/>
        <w:rPr>
          <w:rFonts w:hint="eastAsia"/>
          <w:lang w:val="en-US" w:eastAsia="zh-CN"/>
        </w:rPr>
      </w:pPr>
      <w:r>
        <w:rPr>
          <w:rFonts w:hint="eastAsia"/>
          <w:lang w:val="en-US" w:eastAsia="zh-CN"/>
        </w:rPr>
        <w:t>矿体厚度＞5m，选择分段空场嗣后充填采矿法，占97%。</w:t>
      </w:r>
    </w:p>
    <w:p w14:paraId="1B5E09EC">
      <w:pPr>
        <w:pStyle w:val="21"/>
        <w:numPr>
          <w:ilvl w:val="0"/>
          <w:numId w:val="16"/>
        </w:numPr>
        <w:bidi w:val="0"/>
        <w:rPr>
          <w:rFonts w:hint="default"/>
          <w:lang w:val="en-US" w:eastAsia="zh-CN"/>
        </w:rPr>
      </w:pPr>
      <w:r>
        <w:rPr>
          <w:rFonts w:hint="default"/>
          <w:lang w:val="en-US" w:eastAsia="zh-CN"/>
        </w:rPr>
        <w:t>浅孔留矿嗣后充填采矿法回采工艺</w:t>
      </w:r>
    </w:p>
    <w:p w14:paraId="59D4DC84">
      <w:pPr>
        <w:pStyle w:val="21"/>
        <w:bidi w:val="0"/>
        <w:rPr>
          <w:rFonts w:hint="default"/>
          <w:lang w:val="en-US" w:eastAsia="zh-CN"/>
        </w:rPr>
      </w:pPr>
      <w:r>
        <w:rPr>
          <w:rFonts w:hint="eastAsia"/>
          <w:lang w:val="en-US" w:eastAsia="zh-CN"/>
        </w:rPr>
        <w:t>1、矿块布置及构成要素</w:t>
      </w:r>
    </w:p>
    <w:p w14:paraId="749C6A2A">
      <w:pPr>
        <w:pStyle w:val="21"/>
        <w:bidi w:val="0"/>
        <w:rPr>
          <w:rFonts w:hint="default"/>
          <w:lang w:val="en-US" w:eastAsia="zh-CN"/>
        </w:rPr>
      </w:pPr>
      <w:r>
        <w:rPr>
          <w:rFonts w:hint="eastAsia"/>
          <w:lang w:val="en-US" w:eastAsia="zh-CN"/>
        </w:rPr>
        <w:t>矿块沿走向布置，矿块高度50m，不留顶底柱</w:t>
      </w:r>
      <w:r>
        <w:rPr>
          <w:rFonts w:hint="default"/>
          <w:lang w:val="en-US" w:eastAsia="zh-CN"/>
        </w:rPr>
        <w:t>，一步采矿块长20m，二步采矿块长40m，装矿进路间距为9m。两矿块间下盘布置采准天井，天井供行人、通风。</w:t>
      </w:r>
    </w:p>
    <w:p w14:paraId="7B2AF99A">
      <w:pPr>
        <w:pStyle w:val="21"/>
        <w:bidi w:val="0"/>
        <w:rPr>
          <w:rFonts w:hint="default"/>
          <w:lang w:val="en-US" w:eastAsia="zh-CN"/>
        </w:rPr>
      </w:pPr>
      <w:r>
        <w:rPr>
          <w:rFonts w:hint="eastAsia"/>
          <w:lang w:val="en-US" w:eastAsia="zh-CN"/>
        </w:rPr>
        <w:t>2、采准、切割工作</w:t>
      </w:r>
    </w:p>
    <w:p w14:paraId="490CFFCB">
      <w:pPr>
        <w:pStyle w:val="21"/>
        <w:bidi w:val="0"/>
        <w:rPr>
          <w:rFonts w:hint="default"/>
          <w:lang w:val="en-US" w:eastAsia="zh-CN"/>
        </w:rPr>
      </w:pPr>
      <w:r>
        <w:rPr>
          <w:rFonts w:hint="eastAsia"/>
          <w:lang w:val="en-US" w:eastAsia="zh-CN"/>
        </w:rPr>
        <w:t>矿块沿走向布置，天井布置在两矿块间下盘围岩中，天井规格为2.0×2.0m。天井通过联络道与采矿工作面联系。联络道规格为2.0×2.0m。切割巷道高2.0m。切割巷道宽为矿体的水平厚度，长为矿房内矿体走向长度。天井掘进采用YSP-45型凿岩机</w:t>
      </w:r>
      <w:r>
        <w:rPr>
          <w:rFonts w:hint="default"/>
          <w:lang w:val="en-US" w:eastAsia="zh-CN"/>
        </w:rPr>
        <w:t>。</w:t>
      </w:r>
    </w:p>
    <w:p w14:paraId="6862D35C">
      <w:pPr>
        <w:pStyle w:val="21"/>
        <w:bidi w:val="0"/>
        <w:rPr>
          <w:rFonts w:hint="eastAsia"/>
          <w:lang w:val="en-US" w:eastAsia="zh-CN"/>
        </w:rPr>
      </w:pPr>
      <w:r>
        <w:rPr>
          <w:rFonts w:hint="eastAsia"/>
          <w:lang w:val="en-US" w:eastAsia="zh-CN"/>
        </w:rPr>
        <w:t>3、矿房回采</w:t>
      </w:r>
    </w:p>
    <w:p w14:paraId="4E7AC716">
      <w:pPr>
        <w:pStyle w:val="21"/>
        <w:bidi w:val="0"/>
        <w:rPr>
          <w:rFonts w:hint="eastAsia"/>
        </w:rPr>
      </w:pPr>
      <w:r>
        <w:rPr>
          <w:rFonts w:hint="eastAsia"/>
        </w:rPr>
        <w:t>回采分两步进行，第一步回采矿</w:t>
      </w:r>
      <w:r>
        <w:rPr>
          <w:rFonts w:hint="eastAsia"/>
          <w:lang w:val="en-US" w:eastAsia="zh-CN"/>
        </w:rPr>
        <w:t>柱</w:t>
      </w:r>
      <w:r>
        <w:rPr>
          <w:rFonts w:hint="eastAsia"/>
        </w:rPr>
        <w:t>，第二步回采矿</w:t>
      </w:r>
      <w:r>
        <w:rPr>
          <w:rFonts w:hint="eastAsia"/>
          <w:lang w:val="en-US" w:eastAsia="zh-CN"/>
        </w:rPr>
        <w:t>房</w:t>
      </w:r>
      <w:r>
        <w:rPr>
          <w:rFonts w:hint="eastAsia"/>
        </w:rPr>
        <w:t>。</w:t>
      </w:r>
    </w:p>
    <w:p w14:paraId="6EDD5413">
      <w:pPr>
        <w:pStyle w:val="21"/>
        <w:bidi w:val="0"/>
        <w:rPr>
          <w:rFonts w:hint="eastAsia"/>
          <w:lang w:val="en-US" w:eastAsia="zh-CN"/>
        </w:rPr>
      </w:pPr>
      <w:r>
        <w:rPr>
          <w:rFonts w:hint="eastAsia"/>
          <w:lang w:val="en-US" w:eastAsia="zh-CN"/>
        </w:rPr>
        <w:t>采用YT-28型凿岩机在采场内沿走向分三个梯段打水平炮孔，炮孔直径38～42mm，最小抵抗线1.0m，每米炮孔崩矿量为2.5t，一次采幅高度1.8～2.2m。采用乳化炸药、工业数码电子雷管</w:t>
      </w:r>
      <w:r>
        <w:rPr>
          <w:rFonts w:hint="default"/>
          <w:lang w:val="en-US" w:eastAsia="zh-CN"/>
        </w:rPr>
        <w:t>起爆</w:t>
      </w:r>
      <w:r>
        <w:rPr>
          <w:rFonts w:hint="eastAsia"/>
          <w:lang w:val="en-US" w:eastAsia="zh-CN"/>
        </w:rPr>
        <w:t>。爆破后一次放出崩落矿量的1/3左右，其余的矿石则留在采场内作为下次凿岩的工作台。每次放矿时要注意观察工作面的情况，防止采场产生空洞。爆破后要先进行通风，工人进入工作面要先撬净工作面的浮石，对于一次爆破产生的大块要进行二次破碎。经矿块放出的矿石，通过装载机装入自卸车内。放矿后，采场工作面与暂留矿石之间要形成1.8～2.0m高的空间，以便下一循环作业。待矿块全部采完后，在将采下矿石全部放出。</w:t>
      </w:r>
    </w:p>
    <w:p w14:paraId="65724192">
      <w:pPr>
        <w:pStyle w:val="21"/>
        <w:bidi w:val="0"/>
        <w:rPr>
          <w:rFonts w:hint="default"/>
          <w:lang w:val="en-US" w:eastAsia="zh-CN"/>
        </w:rPr>
      </w:pPr>
      <w:r>
        <w:rPr>
          <w:rFonts w:hint="eastAsia"/>
          <w:lang w:val="en-US" w:eastAsia="zh-CN"/>
        </w:rPr>
        <w:t>4、采场通风</w:t>
      </w:r>
    </w:p>
    <w:p w14:paraId="06D67F6C">
      <w:pPr>
        <w:pStyle w:val="21"/>
        <w:bidi w:val="0"/>
        <w:rPr>
          <w:rFonts w:hint="eastAsia"/>
          <w:lang w:val="en-US" w:eastAsia="zh-CN"/>
        </w:rPr>
      </w:pPr>
      <w:r>
        <w:rPr>
          <w:rFonts w:hint="eastAsia"/>
          <w:highlight w:val="none"/>
          <w:lang w:val="en-GB" w:eastAsia="zh-CN"/>
        </w:rPr>
        <w:t>爆破完成后需对采场进行机械通风，及时排出爆破产生的有毒有害气体和粉尘。待采场内有害物质的浓度达到允许值后，工作人员方可进入作业面。新鲜风流由人行通风天井经联络道进入采场，污风由联络道及人行天井汇入回风巷，经回风井排出地表。每个采场配备1～2台局扇辅助通风</w:t>
      </w:r>
      <w:r>
        <w:rPr>
          <w:rFonts w:hint="eastAsia"/>
          <w:lang w:val="en-US" w:eastAsia="zh-CN"/>
        </w:rPr>
        <w:t>。</w:t>
      </w:r>
    </w:p>
    <w:p w14:paraId="170C1078">
      <w:pPr>
        <w:pStyle w:val="21"/>
        <w:bidi w:val="0"/>
        <w:rPr>
          <w:rFonts w:hint="default"/>
          <w:lang w:val="en-US" w:eastAsia="zh-CN"/>
        </w:rPr>
      </w:pPr>
      <w:r>
        <w:rPr>
          <w:rFonts w:hint="eastAsia"/>
          <w:lang w:val="en-US" w:eastAsia="zh-CN"/>
        </w:rPr>
        <w:t>5、</w:t>
      </w:r>
      <w:r>
        <w:rPr>
          <w:rFonts w:hint="default"/>
          <w:lang w:val="en-US" w:eastAsia="zh-CN"/>
        </w:rPr>
        <w:t>充填</w:t>
      </w:r>
    </w:p>
    <w:p w14:paraId="18186FB4">
      <w:pPr>
        <w:pStyle w:val="21"/>
        <w:bidi w:val="0"/>
        <w:rPr>
          <w:rFonts w:hint="eastAsia"/>
        </w:rPr>
      </w:pPr>
      <w:r>
        <w:rPr>
          <w:rFonts w:hint="eastAsia"/>
        </w:rPr>
        <w:t>每个矿房待单次回采出矿完成后，立即进行胶结充填，灰砂比为1：</w:t>
      </w:r>
      <w:r>
        <w:rPr>
          <w:rFonts w:hint="eastAsia"/>
          <w:lang w:val="en-US" w:eastAsia="zh-CN"/>
        </w:rPr>
        <w:t>6</w:t>
      </w:r>
      <w:r>
        <w:rPr>
          <w:rFonts w:hint="eastAsia"/>
        </w:rPr>
        <w:t>。待两面矿房胶结充填</w:t>
      </w:r>
      <w:r>
        <w:rPr>
          <w:rFonts w:hint="eastAsia"/>
          <w:lang w:val="en-US" w:eastAsia="zh-CN"/>
        </w:rPr>
        <w:t>体达到强度后</w:t>
      </w:r>
      <w:r>
        <w:rPr>
          <w:rFonts w:hint="eastAsia"/>
        </w:rPr>
        <w:t>，矿柱用回采矿房的方式进行回采。矿柱底部</w:t>
      </w:r>
      <w:r>
        <w:rPr>
          <w:rFonts w:hint="eastAsia"/>
          <w:lang w:eastAsia="zh-CN"/>
        </w:rPr>
        <w:t>、</w:t>
      </w:r>
      <w:r>
        <w:rPr>
          <w:rFonts w:hint="eastAsia"/>
          <w:lang w:val="en-US" w:eastAsia="zh-CN"/>
        </w:rPr>
        <w:t>中部</w:t>
      </w:r>
      <w:r>
        <w:rPr>
          <w:rFonts w:hint="eastAsia"/>
        </w:rPr>
        <w:t>采用1：</w:t>
      </w:r>
      <w:r>
        <w:rPr>
          <w:rFonts w:hint="eastAsia"/>
          <w:lang w:val="en-US" w:eastAsia="zh-CN"/>
        </w:rPr>
        <w:t>15</w:t>
      </w:r>
      <w:r>
        <w:rPr>
          <w:rFonts w:hint="eastAsia"/>
        </w:rPr>
        <w:t>的充填料胶结充填</w:t>
      </w:r>
      <w:r>
        <w:rPr>
          <w:rFonts w:hint="eastAsia"/>
          <w:lang w:eastAsia="zh-CN"/>
        </w:rPr>
        <w:t>，</w:t>
      </w:r>
      <w:r>
        <w:rPr>
          <w:rFonts w:hint="eastAsia"/>
        </w:rPr>
        <w:t>矿柱顶部2m采用灰砂比</w:t>
      </w:r>
      <w:r>
        <w:rPr>
          <w:rFonts w:hint="eastAsia"/>
          <w:lang w:val="en-US" w:eastAsia="zh-CN"/>
        </w:rPr>
        <w:t>1：6</w:t>
      </w:r>
      <w:r>
        <w:rPr>
          <w:rFonts w:hint="eastAsia"/>
        </w:rPr>
        <w:t>的充填料充填，以利于上中段回采时无轨设备行走和铲装。充填料的灰砂比可根据生产实践进行调整。</w:t>
      </w:r>
    </w:p>
    <w:p w14:paraId="49CDF2B8">
      <w:pPr>
        <w:pStyle w:val="21"/>
        <w:numPr>
          <w:ilvl w:val="0"/>
          <w:numId w:val="16"/>
        </w:numPr>
        <w:bidi w:val="0"/>
        <w:rPr>
          <w:rFonts w:hint="default"/>
          <w:lang w:val="en-US" w:eastAsia="zh-CN"/>
        </w:rPr>
      </w:pPr>
      <w:r>
        <w:rPr>
          <w:rFonts w:hint="default"/>
          <w:lang w:val="en-US" w:eastAsia="zh-CN"/>
        </w:rPr>
        <w:t>分段空场嗣后充填采矿法回采工艺</w:t>
      </w:r>
    </w:p>
    <w:p w14:paraId="55C1428F">
      <w:pPr>
        <w:pStyle w:val="21"/>
        <w:bidi w:val="0"/>
        <w:rPr>
          <w:rFonts w:hint="eastAsia"/>
          <w:lang w:val="en-US" w:eastAsia="zh-CN"/>
        </w:rPr>
      </w:pPr>
      <w:r>
        <w:rPr>
          <w:rFonts w:hint="eastAsia"/>
          <w:lang w:val="en-US" w:eastAsia="zh-CN"/>
        </w:rPr>
        <w:t>1、采场布置</w:t>
      </w:r>
    </w:p>
    <w:p w14:paraId="1DBCA04E">
      <w:pPr>
        <w:pStyle w:val="21"/>
        <w:bidi w:val="0"/>
        <w:rPr>
          <w:rFonts w:hint="default"/>
          <w:lang w:val="en-US" w:eastAsia="zh-CN"/>
        </w:rPr>
      </w:pPr>
      <w:r>
        <w:rPr>
          <w:rFonts w:hint="eastAsia"/>
          <w:lang w:val="en-US" w:eastAsia="zh-CN"/>
        </w:rPr>
        <w:t>①</w:t>
      </w:r>
      <w:r>
        <w:rPr>
          <w:rFonts w:hint="default"/>
          <w:lang w:val="en-US" w:eastAsia="zh-CN"/>
        </w:rPr>
        <w:t>沿走向布置的分段凿岩阶段空场嗣后胶结充填法</w:t>
      </w:r>
    </w:p>
    <w:p w14:paraId="21F62374">
      <w:pPr>
        <w:pStyle w:val="21"/>
        <w:bidi w:val="0"/>
        <w:rPr>
          <w:rFonts w:hint="default"/>
          <w:lang w:val="en-US" w:eastAsia="zh-CN"/>
        </w:rPr>
      </w:pPr>
      <w:r>
        <w:rPr>
          <w:rFonts w:hint="default"/>
          <w:lang w:val="en-US" w:eastAsia="zh-CN"/>
        </w:rPr>
        <w:t>中厚矿体（水平厚度5～15m）矿块沿走向布置，矿块高50m，矿块宽为矿体厚度，一步采矿块长40m，二步采矿块长20m，每120m设一条矿石溜井和通风天井，凿岩分段高度25m。</w:t>
      </w:r>
    </w:p>
    <w:p w14:paraId="17D8FBE3">
      <w:pPr>
        <w:pStyle w:val="21"/>
        <w:bidi w:val="0"/>
        <w:rPr>
          <w:rFonts w:hint="default"/>
          <w:lang w:val="en-US" w:eastAsia="zh-CN"/>
        </w:rPr>
      </w:pPr>
      <w:r>
        <w:rPr>
          <w:rFonts w:hint="eastAsia"/>
          <w:lang w:val="en-US" w:eastAsia="zh-CN"/>
        </w:rPr>
        <w:t>②</w:t>
      </w:r>
      <w:r>
        <w:rPr>
          <w:rFonts w:hint="default"/>
          <w:lang w:val="en-US" w:eastAsia="zh-CN"/>
        </w:rPr>
        <w:t>垂直走向布置的分段凿岩阶段空场嗣后胶结充填法</w:t>
      </w:r>
    </w:p>
    <w:p w14:paraId="7F068A79">
      <w:pPr>
        <w:pStyle w:val="21"/>
        <w:bidi w:val="0"/>
        <w:rPr>
          <w:rFonts w:hint="default"/>
          <w:lang w:val="en-US" w:eastAsia="zh-CN"/>
        </w:rPr>
      </w:pPr>
      <w:r>
        <w:rPr>
          <w:rFonts w:hint="default"/>
          <w:lang w:val="en-US" w:eastAsia="zh-CN"/>
        </w:rPr>
        <w:t>厚矿体（水平厚度＞15m）矿块垂直走向布置，一步采和二步采的矿块尺寸相同，矿块高50m，矿块宽15m，矿块长为矿体厚度，每120m设一条矿石溜井和通风天井，凿岩分段高度25m。</w:t>
      </w:r>
    </w:p>
    <w:p w14:paraId="5481F2A5">
      <w:pPr>
        <w:pStyle w:val="21"/>
        <w:bidi w:val="0"/>
        <w:rPr>
          <w:rFonts w:hint="default"/>
          <w:lang w:val="en-US" w:eastAsia="zh-CN"/>
        </w:rPr>
      </w:pPr>
      <w:r>
        <w:rPr>
          <w:rFonts w:hint="eastAsia"/>
          <w:lang w:val="en-US" w:eastAsia="zh-CN"/>
        </w:rPr>
        <w:t>2、采准、切割工作</w:t>
      </w:r>
    </w:p>
    <w:p w14:paraId="61CB40D7">
      <w:pPr>
        <w:pStyle w:val="21"/>
        <w:bidi w:val="0"/>
        <w:rPr>
          <w:rFonts w:hint="default"/>
          <w:lang w:val="en-US" w:eastAsia="zh-CN"/>
        </w:rPr>
      </w:pPr>
      <w:r>
        <w:rPr>
          <w:rFonts w:hint="eastAsia"/>
          <w:lang w:val="en-US" w:eastAsia="zh-CN"/>
        </w:rPr>
        <w:t>采准工程有分段巷道、分段凿岩巷道、出矿穿脉、出矿进路、出矿水平回风穿脉等；切割工程有切割槽。分段巷道布置在下盘脉外，通过采准斜坡道使其与上下连通，从分段巷道向矿体上盘掘分段凿岩巷道。在穿脉出矿巷道中每隔12m以平面60°角向回采采场掘出矿进路。采场采用平底结构，不留顶、底柱。</w:t>
      </w:r>
    </w:p>
    <w:p w14:paraId="294B611F">
      <w:pPr>
        <w:pStyle w:val="21"/>
        <w:bidi w:val="0"/>
        <w:rPr>
          <w:rFonts w:hint="eastAsia"/>
          <w:lang w:val="en-US" w:eastAsia="zh-CN"/>
        </w:rPr>
      </w:pPr>
      <w:r>
        <w:rPr>
          <w:rFonts w:hint="eastAsia"/>
          <w:lang w:val="en-US" w:eastAsia="zh-CN"/>
        </w:rPr>
        <w:t>3、回采、出矿</w:t>
      </w:r>
    </w:p>
    <w:p w14:paraId="02AAAF72">
      <w:pPr>
        <w:pStyle w:val="21"/>
        <w:bidi w:val="0"/>
        <w:rPr>
          <w:rFonts w:hint="eastAsia"/>
        </w:rPr>
      </w:pPr>
      <w:r>
        <w:rPr>
          <w:rFonts w:hint="eastAsia"/>
        </w:rPr>
        <w:t>回采分两步进行，第一步回采矿房，第二步回采矿柱。</w:t>
      </w:r>
    </w:p>
    <w:p w14:paraId="2D0DE815">
      <w:pPr>
        <w:pStyle w:val="21"/>
        <w:bidi w:val="0"/>
        <w:rPr>
          <w:rFonts w:hint="eastAsia"/>
          <w:lang w:eastAsia="zh-CN"/>
        </w:rPr>
      </w:pPr>
      <w:r>
        <w:rPr>
          <w:rFonts w:hint="default"/>
          <w:lang w:val="en-GB" w:eastAsia="zh-CN"/>
        </w:rPr>
        <w:t>回采凿岩采用</w:t>
      </w:r>
      <w:r>
        <w:rPr>
          <w:rFonts w:hint="eastAsia"/>
          <w:lang w:val="en-US" w:eastAsia="zh-CN"/>
        </w:rPr>
        <w:t>采矿钻车</w:t>
      </w:r>
      <w:r>
        <w:rPr>
          <w:rFonts w:hint="default"/>
          <w:lang w:val="en-GB" w:eastAsia="zh-CN"/>
        </w:rPr>
        <w:t>钻凿中深孔，炮孔呈扇形布置，孔径65mm，孔深控制在</w:t>
      </w:r>
      <w:r>
        <w:rPr>
          <w:rFonts w:hint="eastAsia"/>
          <w:lang w:val="en-US" w:eastAsia="zh-CN"/>
        </w:rPr>
        <w:t>8～10</w:t>
      </w:r>
      <w:r>
        <w:rPr>
          <w:rFonts w:hint="default"/>
          <w:lang w:val="en-GB" w:eastAsia="zh-CN"/>
        </w:rPr>
        <w:t>m左右。最小抵抗线1.</w:t>
      </w:r>
      <w:r>
        <w:rPr>
          <w:rFonts w:hint="eastAsia"/>
          <w:lang w:val="en-US" w:eastAsia="zh-CN"/>
        </w:rPr>
        <w:t>5</w:t>
      </w:r>
      <w:r>
        <w:rPr>
          <w:rFonts w:hint="default"/>
          <w:lang w:val="en-GB" w:eastAsia="zh-CN"/>
        </w:rPr>
        <w:t>m，孔底距</w:t>
      </w:r>
      <w:r>
        <w:rPr>
          <w:rFonts w:hint="eastAsia"/>
          <w:lang w:val="en-US" w:eastAsia="zh-CN"/>
        </w:rPr>
        <w:t>1.8</w:t>
      </w:r>
      <w:r>
        <w:rPr>
          <w:rFonts w:hint="default"/>
          <w:lang w:val="en-GB" w:eastAsia="zh-CN"/>
        </w:rPr>
        <w:t>m。采用乳化炸药爆破，</w:t>
      </w:r>
      <w:r>
        <w:rPr>
          <w:rFonts w:hint="eastAsia"/>
          <w:lang w:val="en-US" w:eastAsia="zh-CN"/>
        </w:rPr>
        <w:t>工业数码电子雷管</w:t>
      </w:r>
      <w:r>
        <w:rPr>
          <w:rFonts w:hint="default"/>
          <w:lang w:val="en-US" w:eastAsia="zh-CN"/>
        </w:rPr>
        <w:t>起爆</w:t>
      </w:r>
      <w:r>
        <w:rPr>
          <w:rFonts w:hint="default"/>
          <w:lang w:val="en-GB" w:eastAsia="zh-CN"/>
        </w:rPr>
        <w:t>。</w:t>
      </w:r>
      <w:r>
        <w:rPr>
          <w:rFonts w:hint="eastAsia"/>
        </w:rPr>
        <w:t>每次爆2～3排孔，可以多分段同时侧向崩矿，爆破后形成梯段工作面。</w:t>
      </w:r>
    </w:p>
    <w:p w14:paraId="48BA3D09">
      <w:pPr>
        <w:pStyle w:val="21"/>
        <w:bidi w:val="0"/>
        <w:rPr>
          <w:rFonts w:hint="eastAsia"/>
        </w:rPr>
      </w:pPr>
      <w:r>
        <w:rPr>
          <w:rFonts w:hint="eastAsia"/>
        </w:rPr>
        <w:t>爆下的矿石用</w:t>
      </w:r>
      <w:r>
        <w:rPr>
          <w:rFonts w:hint="eastAsia"/>
          <w:lang w:eastAsia="zh-CN"/>
        </w:rPr>
        <w:t>采用</w:t>
      </w:r>
      <w:r>
        <w:rPr>
          <w:rFonts w:hint="eastAsia"/>
          <w:lang w:val="en-US" w:eastAsia="zh-CN"/>
        </w:rPr>
        <w:t>ZL50E装载机</w:t>
      </w:r>
      <w:r>
        <w:rPr>
          <w:rFonts w:hint="eastAsia"/>
        </w:rPr>
        <w:t>集中在采场底部出矿。</w:t>
      </w:r>
    </w:p>
    <w:p w14:paraId="229C30CC">
      <w:pPr>
        <w:pStyle w:val="21"/>
        <w:bidi w:val="0"/>
        <w:rPr>
          <w:rFonts w:hint="eastAsia"/>
          <w:lang w:val="en-US" w:eastAsia="zh-CN"/>
        </w:rPr>
      </w:pPr>
      <w:r>
        <w:rPr>
          <w:rFonts w:hint="eastAsia"/>
          <w:lang w:eastAsia="zh-CN"/>
        </w:rPr>
        <w:t>新鲜风流由中段巷道进入装矿巷道冲洗工作面，或经过采准斜坡道和通风天井进入分段凿岩工作面，污风由采场空区经充填水平回风穿脉到回风巷道，通过风井排出地表</w:t>
      </w:r>
      <w:r>
        <w:rPr>
          <w:rFonts w:hint="eastAsia"/>
        </w:rPr>
        <w:t>。</w:t>
      </w:r>
    </w:p>
    <w:p w14:paraId="750F73D6">
      <w:pPr>
        <w:pStyle w:val="21"/>
        <w:bidi w:val="0"/>
        <w:rPr>
          <w:rFonts w:hint="default"/>
          <w:lang w:val="en-US" w:eastAsia="zh-CN"/>
        </w:rPr>
      </w:pPr>
      <w:r>
        <w:rPr>
          <w:rFonts w:hint="eastAsia"/>
          <w:lang w:val="en-US" w:eastAsia="zh-CN"/>
        </w:rPr>
        <w:t>4、</w:t>
      </w:r>
      <w:r>
        <w:rPr>
          <w:rFonts w:hint="default"/>
          <w:lang w:val="en-US" w:eastAsia="zh-CN"/>
        </w:rPr>
        <w:t>充填</w:t>
      </w:r>
    </w:p>
    <w:p w14:paraId="344F0852">
      <w:pPr>
        <w:pStyle w:val="21"/>
        <w:bidi w:val="0"/>
        <w:rPr>
          <w:rFonts w:hint="default"/>
          <w:lang w:val="en-US" w:eastAsia="zh-CN"/>
        </w:rPr>
      </w:pPr>
      <w:r>
        <w:rPr>
          <w:rFonts w:hint="eastAsia"/>
        </w:rPr>
        <w:t>每个矿房待单次回采出矿完成后，立即进行胶结充填，灰砂比为1：</w:t>
      </w:r>
      <w:r>
        <w:rPr>
          <w:rFonts w:hint="eastAsia"/>
          <w:lang w:val="en-US" w:eastAsia="zh-CN"/>
        </w:rPr>
        <w:t>6</w:t>
      </w:r>
      <w:r>
        <w:rPr>
          <w:rFonts w:hint="eastAsia"/>
        </w:rPr>
        <w:t>。待两面矿房胶结充填</w:t>
      </w:r>
      <w:r>
        <w:rPr>
          <w:rFonts w:hint="eastAsia"/>
          <w:lang w:val="en-US" w:eastAsia="zh-CN"/>
        </w:rPr>
        <w:t>体达到强度后</w:t>
      </w:r>
      <w:r>
        <w:rPr>
          <w:rFonts w:hint="eastAsia"/>
        </w:rPr>
        <w:t>，矿柱用回采矿房的方式进行回采。矿柱底部</w:t>
      </w:r>
      <w:r>
        <w:rPr>
          <w:rFonts w:hint="eastAsia"/>
          <w:lang w:eastAsia="zh-CN"/>
        </w:rPr>
        <w:t>、</w:t>
      </w:r>
      <w:r>
        <w:rPr>
          <w:rFonts w:hint="eastAsia"/>
          <w:lang w:val="en-US" w:eastAsia="zh-CN"/>
        </w:rPr>
        <w:t>中部</w:t>
      </w:r>
      <w:r>
        <w:rPr>
          <w:rFonts w:hint="eastAsia"/>
        </w:rPr>
        <w:t>采用1：</w:t>
      </w:r>
      <w:r>
        <w:rPr>
          <w:rFonts w:hint="eastAsia"/>
          <w:lang w:val="en-US" w:eastAsia="zh-CN"/>
        </w:rPr>
        <w:t>15</w:t>
      </w:r>
      <w:r>
        <w:rPr>
          <w:rFonts w:hint="eastAsia"/>
        </w:rPr>
        <w:t>的充填料胶结充填</w:t>
      </w:r>
      <w:r>
        <w:rPr>
          <w:rFonts w:hint="eastAsia"/>
          <w:lang w:eastAsia="zh-CN"/>
        </w:rPr>
        <w:t>，</w:t>
      </w:r>
      <w:r>
        <w:rPr>
          <w:rFonts w:hint="eastAsia"/>
        </w:rPr>
        <w:t>矿柱顶部2m采用灰砂比</w:t>
      </w:r>
      <w:r>
        <w:rPr>
          <w:rFonts w:hint="eastAsia"/>
          <w:lang w:val="en-US" w:eastAsia="zh-CN"/>
        </w:rPr>
        <w:t>1：6</w:t>
      </w:r>
      <w:r>
        <w:rPr>
          <w:rFonts w:hint="eastAsia"/>
        </w:rPr>
        <w:t>的充填料充填，以利于上中段回采时无轨设备行走和铲装。充填料的灰砂比可根据生产实践进行调整。</w:t>
      </w:r>
    </w:p>
    <w:p w14:paraId="0F4476D9">
      <w:pPr>
        <w:pStyle w:val="29"/>
        <w:bidi w:val="0"/>
        <w:rPr>
          <w:rFonts w:hint="eastAsia"/>
          <w:lang w:val="en-US" w:eastAsia="zh-CN"/>
        </w:rPr>
      </w:pPr>
      <w:r>
        <w:rPr>
          <w:rFonts w:hint="eastAsia"/>
          <w:lang w:val="en-US" w:eastAsia="zh-CN"/>
        </w:rPr>
        <w:t>充填系统</w:t>
      </w:r>
    </w:p>
    <w:p w14:paraId="44A38695">
      <w:pPr>
        <w:pStyle w:val="21"/>
        <w:numPr>
          <w:ilvl w:val="0"/>
          <w:numId w:val="17"/>
        </w:numPr>
        <w:bidi w:val="0"/>
        <w:rPr>
          <w:rFonts w:hint="default"/>
          <w:lang w:val="en-US" w:eastAsia="zh-CN"/>
        </w:rPr>
      </w:pPr>
      <w:r>
        <w:rPr>
          <w:rFonts w:hint="default"/>
          <w:lang w:val="en-US" w:eastAsia="zh-CN"/>
        </w:rPr>
        <w:t>充填工作制度和充填生产能力</w:t>
      </w:r>
    </w:p>
    <w:p w14:paraId="03D34748">
      <w:pPr>
        <w:pStyle w:val="21"/>
        <w:bidi w:val="0"/>
        <w:rPr>
          <w:rFonts w:hint="default"/>
          <w:lang w:val="en-US" w:eastAsia="zh-CN"/>
        </w:rPr>
      </w:pPr>
      <w:r>
        <w:rPr>
          <w:rFonts w:hint="default"/>
          <w:lang w:val="en-US" w:eastAsia="zh-CN"/>
        </w:rPr>
        <w:t>设计矿山充填采用连续工作制度，即年工作330天、日工作3班、班工作8小时，每日3个班连续排料充填（有效连续充填时间14小时）。</w:t>
      </w:r>
    </w:p>
    <w:p w14:paraId="260FC0B5">
      <w:pPr>
        <w:pStyle w:val="21"/>
        <w:bidi w:val="0"/>
        <w:rPr>
          <w:rFonts w:hint="default"/>
          <w:lang w:val="en-US" w:eastAsia="zh-CN"/>
        </w:rPr>
      </w:pPr>
      <w:r>
        <w:rPr>
          <w:rFonts w:hint="default"/>
          <w:lang w:val="en-US" w:eastAsia="zh-CN"/>
        </w:rPr>
        <w:t>矿山正常生产能力：60万t/a</w:t>
      </w:r>
    </w:p>
    <w:p w14:paraId="53950ADB">
      <w:pPr>
        <w:pStyle w:val="21"/>
        <w:bidi w:val="0"/>
        <w:rPr>
          <w:rFonts w:hint="default"/>
          <w:lang w:val="en-US" w:eastAsia="zh-CN"/>
        </w:rPr>
      </w:pPr>
      <w:r>
        <w:rPr>
          <w:rFonts w:hint="default"/>
          <w:lang w:val="en-US" w:eastAsia="zh-CN"/>
        </w:rPr>
        <w:t>年生产天数：330天</w:t>
      </w:r>
    </w:p>
    <w:p w14:paraId="45DB180D">
      <w:pPr>
        <w:pStyle w:val="21"/>
        <w:bidi w:val="0"/>
        <w:rPr>
          <w:rFonts w:hint="default"/>
          <w:lang w:val="en-US" w:eastAsia="zh-CN"/>
        </w:rPr>
      </w:pPr>
      <w:r>
        <w:rPr>
          <w:rFonts w:hint="default"/>
          <w:lang w:val="en-US" w:eastAsia="zh-CN"/>
        </w:rPr>
        <w:t>矿石比重：3.36t/m³</w:t>
      </w:r>
    </w:p>
    <w:p w14:paraId="59038333">
      <w:pPr>
        <w:pStyle w:val="21"/>
        <w:bidi w:val="0"/>
        <w:rPr>
          <w:rFonts w:hint="default"/>
          <w:lang w:val="en-US" w:eastAsia="zh-CN"/>
        </w:rPr>
      </w:pPr>
      <w:r>
        <w:rPr>
          <w:rFonts w:hint="default"/>
          <w:lang w:val="en-US" w:eastAsia="zh-CN"/>
        </w:rPr>
        <w:t>根据上述已知条件，计算充填量：</w:t>
      </w:r>
    </w:p>
    <w:p w14:paraId="0EF451C5">
      <w:pPr>
        <w:pStyle w:val="21"/>
        <w:bidi w:val="0"/>
        <w:rPr>
          <w:rFonts w:hint="default"/>
          <w:lang w:val="en-US" w:eastAsia="zh-CN"/>
        </w:rPr>
      </w:pPr>
      <w:r>
        <w:rPr>
          <w:rFonts w:hint="default"/>
          <w:lang w:val="en-US" w:eastAsia="zh-CN"/>
        </w:rPr>
        <w:t>年产生空区：17.86万m³</w:t>
      </w:r>
    </w:p>
    <w:p w14:paraId="69005021">
      <w:pPr>
        <w:pStyle w:val="21"/>
        <w:bidi w:val="0"/>
        <w:rPr>
          <w:rFonts w:hint="default"/>
          <w:lang w:val="en-US" w:eastAsia="zh-CN"/>
        </w:rPr>
      </w:pPr>
      <w:r>
        <w:rPr>
          <w:rFonts w:hint="default"/>
          <w:lang w:val="en-US" w:eastAsia="zh-CN"/>
        </w:rPr>
        <w:t>年需充填的空区：17.86万m³/a，日需充填的空区：541.13m³/d。</w:t>
      </w:r>
    </w:p>
    <w:p w14:paraId="470FE12B">
      <w:pPr>
        <w:pStyle w:val="21"/>
        <w:bidi w:val="0"/>
        <w:rPr>
          <w:rFonts w:hint="default"/>
          <w:lang w:val="en-US" w:eastAsia="zh-CN"/>
        </w:rPr>
      </w:pPr>
      <w:r>
        <w:rPr>
          <w:rFonts w:hint="default"/>
          <w:lang w:val="en-US" w:eastAsia="zh-CN"/>
        </w:rPr>
        <w:t>考虑充填沉缩比系数1.1，流失系数1.03，充填作业不均衡系数1.3，最大充填料浆需用量797.02m³/d，充填采矿时，按照每天有效充填时间14h计算。设计全尾砂膏体充填系统生产能力为60m³/h。</w:t>
      </w:r>
    </w:p>
    <w:p w14:paraId="0228C51E">
      <w:pPr>
        <w:pStyle w:val="21"/>
        <w:bidi w:val="0"/>
        <w:rPr>
          <w:rFonts w:hint="default"/>
          <w:lang w:val="en-US" w:eastAsia="zh-CN"/>
        </w:rPr>
      </w:pPr>
      <w:r>
        <w:rPr>
          <w:rFonts w:hint="default"/>
          <w:lang w:val="en-US" w:eastAsia="zh-CN"/>
        </w:rPr>
        <w:t>全尾砂膏体充填系统的充填膏体制备与输送采用1个60m³/h系列设计。</w:t>
      </w:r>
    </w:p>
    <w:p w14:paraId="581A1F71">
      <w:pPr>
        <w:pStyle w:val="21"/>
        <w:numPr>
          <w:ilvl w:val="0"/>
          <w:numId w:val="17"/>
        </w:numPr>
        <w:bidi w:val="0"/>
        <w:rPr>
          <w:rFonts w:hint="default"/>
          <w:lang w:val="en-US" w:eastAsia="zh-CN"/>
        </w:rPr>
      </w:pPr>
      <w:r>
        <w:rPr>
          <w:rFonts w:hint="default"/>
          <w:lang w:val="en-US" w:eastAsia="zh-CN"/>
        </w:rPr>
        <w:t>充填材料</w:t>
      </w:r>
    </w:p>
    <w:p w14:paraId="15CBD21B">
      <w:pPr>
        <w:pStyle w:val="21"/>
        <w:bidi w:val="0"/>
        <w:rPr>
          <w:rFonts w:hint="default"/>
          <w:lang w:val="en-US" w:eastAsia="zh-CN"/>
        </w:rPr>
      </w:pPr>
      <w:r>
        <w:rPr>
          <w:rFonts w:hint="default"/>
          <w:lang w:val="en-US" w:eastAsia="zh-CN"/>
        </w:rPr>
        <w:t>根据国内类似矿山相关研究成果，设计采用全尾砂膏体充填，充填膏体组成材料为全尾砂、水泥和水。此外废石+尾砂充填料浆胶结充填作为回采充填的补充材料。</w:t>
      </w:r>
    </w:p>
    <w:p w14:paraId="6272ACB5">
      <w:pPr>
        <w:pStyle w:val="21"/>
        <w:bidi w:val="0"/>
        <w:rPr>
          <w:rFonts w:hint="eastAsia"/>
          <w:lang w:val="en-US" w:eastAsia="zh-CN"/>
        </w:rPr>
      </w:pPr>
      <w:r>
        <w:rPr>
          <w:rFonts w:hint="eastAsia"/>
          <w:lang w:val="en-US" w:eastAsia="zh-CN"/>
        </w:rPr>
        <w:t>设计采用全尾砂膏体充填，全尾砂为磁选回收铁矿后不经分级处理的尾矿，水泥为P.C325R复合普通硅酸盐水泥，水为尾矿浆浓缩的脱水。</w:t>
      </w:r>
    </w:p>
    <w:p w14:paraId="1BF38EC2">
      <w:pPr>
        <w:pStyle w:val="21"/>
        <w:bidi w:val="0"/>
        <w:rPr>
          <w:rFonts w:hint="eastAsia"/>
          <w:lang w:val="en-US" w:eastAsia="zh-CN"/>
        </w:rPr>
      </w:pPr>
      <w:r>
        <w:rPr>
          <w:rFonts w:hint="eastAsia"/>
          <w:lang w:val="en-US" w:eastAsia="zh-CN"/>
        </w:rPr>
        <w:t>一步骤回采结束后，采用灰砂比1:6、浓度70%的全尾砂膏体充填料浆充填，养护28天强度达到2.5Mpa以上；</w:t>
      </w:r>
    </w:p>
    <w:p w14:paraId="1F6229BE">
      <w:pPr>
        <w:pStyle w:val="21"/>
        <w:bidi w:val="0"/>
        <w:rPr>
          <w:rFonts w:hint="eastAsia"/>
          <w:lang w:val="en-US" w:eastAsia="zh-CN"/>
        </w:rPr>
      </w:pPr>
      <w:r>
        <w:rPr>
          <w:rFonts w:hint="eastAsia"/>
          <w:lang w:val="en-US" w:eastAsia="zh-CN"/>
        </w:rPr>
        <w:t>二步骤回采结束后，采用灰砂比1:15、浓度70%的全尾砂膏体充填料浆充填，养护28天强度达到1Mpa以上。为保证铲运机走行的强度，减少充填体混入矿石中，最后2m面层采用灰砂比1:6、浓度70%的全尾砂膏体充填料浆充填。</w:t>
      </w:r>
    </w:p>
    <w:p w14:paraId="7F99AA16">
      <w:pPr>
        <w:pStyle w:val="21"/>
        <w:numPr>
          <w:ilvl w:val="0"/>
          <w:numId w:val="17"/>
        </w:numPr>
        <w:bidi w:val="0"/>
        <w:rPr>
          <w:rFonts w:hint="eastAsia"/>
          <w:lang w:val="en-US" w:eastAsia="zh-CN"/>
        </w:rPr>
      </w:pPr>
      <w:r>
        <w:rPr>
          <w:rFonts w:hint="eastAsia"/>
          <w:lang w:val="en-US" w:eastAsia="zh-CN"/>
        </w:rPr>
        <w:t>充填平衡分析</w:t>
      </w:r>
    </w:p>
    <w:p w14:paraId="5E3C4552">
      <w:pPr>
        <w:pStyle w:val="21"/>
        <w:bidi w:val="0"/>
        <w:rPr>
          <w:rFonts w:hint="default"/>
          <w:lang w:val="en-US"/>
        </w:rPr>
      </w:pPr>
      <w:r>
        <w:rPr>
          <w:rFonts w:hint="eastAsia"/>
          <w:lang w:val="en-US" w:eastAsia="zh-CN"/>
        </w:rPr>
        <w:t>按原矿采选生产能力60万吨/年（1818.2</w:t>
      </w:r>
      <w:r>
        <w:rPr>
          <w:rFonts w:hint="default"/>
          <w:lang w:val="en-US" w:eastAsia="zh-CN"/>
        </w:rPr>
        <w:t>t/d</w:t>
      </w:r>
      <w:r>
        <w:rPr>
          <w:rFonts w:hint="eastAsia"/>
          <w:lang w:val="en-US" w:eastAsia="zh-CN"/>
        </w:rPr>
        <w:t>）计算全尾砂膏体充填可利用尾矿量，尾矿产率62</w:t>
      </w:r>
      <w:r>
        <w:rPr>
          <w:rFonts w:hint="default"/>
          <w:lang w:val="en-US" w:eastAsia="zh-CN"/>
        </w:rPr>
        <w:t>%</w:t>
      </w:r>
      <w:r>
        <w:rPr>
          <w:rFonts w:hint="eastAsia"/>
          <w:lang w:val="en-US" w:eastAsia="zh-CN"/>
        </w:rPr>
        <w:t>，尾矿量1127.3</w:t>
      </w:r>
      <w:r>
        <w:rPr>
          <w:rFonts w:hint="default"/>
          <w:lang w:val="en-US" w:eastAsia="zh-CN"/>
        </w:rPr>
        <w:t>t/d</w:t>
      </w:r>
      <w:r>
        <w:rPr>
          <w:rFonts w:hint="eastAsia"/>
          <w:lang w:val="en-US" w:eastAsia="zh-CN"/>
        </w:rPr>
        <w:t>。</w:t>
      </w:r>
    </w:p>
    <w:p w14:paraId="6C71C99B">
      <w:pPr>
        <w:pStyle w:val="21"/>
        <w:bidi w:val="0"/>
      </w:pPr>
      <w:r>
        <w:rPr>
          <w:rFonts w:hint="eastAsia"/>
          <w:lang w:val="en-US" w:eastAsia="zh-CN"/>
        </w:rPr>
        <w:t>根据全尾砂膏体配比设计，充填膏体平均消耗尾矿为1.179</w:t>
      </w:r>
      <w:r>
        <w:rPr>
          <w:rFonts w:hint="default"/>
          <w:lang w:val="en-US" w:eastAsia="zh-CN"/>
        </w:rPr>
        <w:t>t/m</w:t>
      </w:r>
      <w:r>
        <w:rPr>
          <w:rFonts w:hint="eastAsia"/>
          <w:vertAlign w:val="superscript"/>
          <w:lang w:val="en-US" w:eastAsia="zh-CN"/>
        </w:rPr>
        <w:t>3</w:t>
      </w:r>
      <w:r>
        <w:rPr>
          <w:rFonts w:hint="eastAsia"/>
          <w:lang w:val="en-US" w:eastAsia="zh-CN"/>
        </w:rPr>
        <w:t>（尾矿浆浓密试验的膏体质量浓度为</w:t>
      </w:r>
      <w:r>
        <w:rPr>
          <w:rFonts w:hint="default"/>
          <w:lang w:val="en-US" w:eastAsia="zh-CN"/>
        </w:rPr>
        <w:t>70%</w:t>
      </w:r>
      <w:r>
        <w:rPr>
          <w:rFonts w:hint="eastAsia"/>
          <w:lang w:val="en-US" w:eastAsia="zh-CN"/>
        </w:rPr>
        <w:t>，平均水泥含量</w:t>
      </w:r>
      <w:r>
        <w:rPr>
          <w:rFonts w:hint="default"/>
          <w:lang w:val="en-US" w:eastAsia="zh-CN"/>
        </w:rPr>
        <w:t>7.</w:t>
      </w:r>
      <w:r>
        <w:rPr>
          <w:rFonts w:hint="eastAsia"/>
          <w:lang w:val="en-US" w:eastAsia="zh-CN"/>
        </w:rPr>
        <w:t>34</w:t>
      </w:r>
      <w:r>
        <w:rPr>
          <w:rFonts w:hint="default"/>
          <w:lang w:val="en-US" w:eastAsia="zh-CN"/>
        </w:rPr>
        <w:t>%</w:t>
      </w:r>
      <w:r>
        <w:rPr>
          <w:rFonts w:hint="eastAsia"/>
          <w:lang w:val="en-US" w:eastAsia="zh-CN"/>
        </w:rPr>
        <w:t>，充填膏体平均体积密度1.88</w:t>
      </w:r>
      <w:r>
        <w:rPr>
          <w:rFonts w:hint="default"/>
          <w:lang w:val="en-US" w:eastAsia="zh-CN"/>
        </w:rPr>
        <w:t>t/m</w:t>
      </w:r>
      <w:r>
        <w:rPr>
          <w:rFonts w:hint="eastAsia"/>
          <w:vertAlign w:val="superscript"/>
          <w:lang w:val="en-US" w:eastAsia="zh-CN"/>
        </w:rPr>
        <w:t>3</w:t>
      </w:r>
      <w:r>
        <w:rPr>
          <w:rFonts w:hint="eastAsia"/>
          <w:lang w:val="en-US" w:eastAsia="zh-CN"/>
        </w:rPr>
        <w:t xml:space="preserve">），则可利用尾矿的充填系统生产能力为： </w:t>
      </w:r>
    </w:p>
    <w:p w14:paraId="7421F6D1">
      <w:pPr>
        <w:pStyle w:val="21"/>
        <w:bidi w:val="0"/>
        <w:rPr>
          <w:rFonts w:hint="default"/>
          <w:lang w:val="en-US" w:eastAsia="zh-CN"/>
        </w:rPr>
      </w:pPr>
      <w:r>
        <w:rPr>
          <w:rFonts w:hint="eastAsia" w:ascii="仿宋" w:hAnsi="仿宋" w:eastAsia="仿宋" w:cs="宋体"/>
          <w:color w:val="auto"/>
          <w:kern w:val="0"/>
          <w:position w:val="-28"/>
          <w:szCs w:val="24"/>
          <w:lang w:val="en-US" w:eastAsia="zh-CN" w:bidi="ar"/>
        </w:rPr>
        <w:object>
          <v:shape id="_x0000_i1025" o:spt="75" alt="" type="#_x0000_t75" style="height:33pt;width:143pt;" o:ole="t" filled="f" o:preferrelative="t" stroked="f" coordsize="21600,21600">
            <v:path/>
            <v:fill on="f" focussize="0,0"/>
            <v:stroke on="f"/>
            <v:imagedata r:id="rId11" o:title=""/>
            <o:lock v:ext="edit" aspectratio="t"/>
            <w10:wrap type="none"/>
            <w10:anchorlock/>
          </v:shape>
          <o:OLEObject Type="Embed" ProgID="Equation.KSEE3" ShapeID="_x0000_i1025" DrawAspect="Content" ObjectID="_1468075725" r:id="rId10">
            <o:LockedField>false</o:LockedField>
          </o:OLEObject>
        </w:object>
      </w:r>
      <w:r>
        <w:rPr>
          <w:rFonts w:hint="default"/>
          <w:lang w:val="en-US" w:eastAsia="zh-CN"/>
        </w:rPr>
        <w:t>m</w:t>
      </w:r>
      <w:r>
        <w:rPr>
          <w:rFonts w:hint="eastAsia"/>
          <w:vertAlign w:val="superscript"/>
          <w:lang w:val="en-US" w:eastAsia="zh-CN"/>
        </w:rPr>
        <w:t>3</w:t>
      </w:r>
      <w:r>
        <w:rPr>
          <w:rFonts w:hint="default"/>
          <w:lang w:val="en-US" w:eastAsia="zh-CN"/>
        </w:rPr>
        <w:t>/h</w:t>
      </w:r>
    </w:p>
    <w:p w14:paraId="310B1120">
      <w:pPr>
        <w:pStyle w:val="21"/>
        <w:bidi w:val="0"/>
        <w:rPr>
          <w:rFonts w:hint="eastAsia"/>
          <w:lang w:val="en-US" w:eastAsia="zh-CN"/>
        </w:rPr>
      </w:pPr>
      <w:r>
        <w:rPr>
          <w:rFonts w:hint="eastAsia"/>
          <w:lang w:val="en-US" w:eastAsia="zh-CN"/>
        </w:rPr>
        <w:t>式中：</w:t>
      </w:r>
    </w:p>
    <w:p w14:paraId="7D524797">
      <w:pPr>
        <w:pStyle w:val="21"/>
        <w:bidi w:val="0"/>
      </w:pPr>
      <w:r>
        <w:rPr>
          <w:rFonts w:hint="default"/>
          <w:lang w:val="en-US" w:eastAsia="zh-CN"/>
        </w:rPr>
        <w:t>A</w:t>
      </w:r>
      <w:r>
        <w:rPr>
          <w:rFonts w:hint="eastAsia"/>
          <w:lang w:val="en-US" w:eastAsia="zh-CN"/>
        </w:rPr>
        <w:t>－可利用尾矿的充填系统生产能力，</w:t>
      </w:r>
      <w:r>
        <w:rPr>
          <w:rFonts w:hint="default"/>
          <w:lang w:val="en-US" w:eastAsia="zh-CN"/>
        </w:rPr>
        <w:t>m</w:t>
      </w:r>
      <w:r>
        <w:rPr>
          <w:rFonts w:hint="eastAsia"/>
          <w:vertAlign w:val="superscript"/>
          <w:lang w:val="en-US" w:eastAsia="zh-CN"/>
        </w:rPr>
        <w:t>3</w:t>
      </w:r>
      <w:r>
        <w:rPr>
          <w:rFonts w:hint="default"/>
          <w:lang w:val="en-US" w:eastAsia="zh-CN"/>
        </w:rPr>
        <w:t>/h</w:t>
      </w:r>
      <w:r>
        <w:rPr>
          <w:rFonts w:hint="eastAsia"/>
          <w:lang w:val="en-US" w:eastAsia="zh-CN"/>
        </w:rPr>
        <w:t xml:space="preserve">； </w:t>
      </w:r>
    </w:p>
    <w:p w14:paraId="7D558F2D">
      <w:pPr>
        <w:pStyle w:val="21"/>
        <w:bidi w:val="0"/>
      </w:pPr>
      <w:r>
        <w:rPr>
          <w:rFonts w:hint="default"/>
          <w:lang w:val="en-US" w:eastAsia="zh-CN"/>
        </w:rPr>
        <w:t>Q</w:t>
      </w:r>
      <w:r>
        <w:rPr>
          <w:rFonts w:hint="eastAsia"/>
          <w:lang w:val="en-US" w:eastAsia="zh-CN"/>
        </w:rPr>
        <w:t>－充填可利用尾矿量，</w:t>
      </w:r>
      <w:r>
        <w:rPr>
          <w:rFonts w:hint="default"/>
          <w:lang w:val="en-US" w:eastAsia="zh-CN"/>
        </w:rPr>
        <w:t>t/d</w:t>
      </w:r>
      <w:r>
        <w:rPr>
          <w:rFonts w:hint="eastAsia"/>
          <w:lang w:val="en-US" w:eastAsia="zh-CN"/>
        </w:rPr>
        <w:t xml:space="preserve">； </w:t>
      </w:r>
    </w:p>
    <w:p w14:paraId="11F8D25D">
      <w:pPr>
        <w:pStyle w:val="21"/>
        <w:bidi w:val="0"/>
      </w:pPr>
      <w:r>
        <w:rPr>
          <w:rFonts w:hint="eastAsia"/>
          <w:lang w:val="en-US" w:eastAsia="zh-CN"/>
        </w:rPr>
        <w:t>β－充填膏体平均尾矿消耗，</w:t>
      </w:r>
      <w:r>
        <w:rPr>
          <w:rFonts w:hint="default"/>
          <w:lang w:val="en-US" w:eastAsia="zh-CN"/>
        </w:rPr>
        <w:t>t/m</w:t>
      </w:r>
      <w:r>
        <w:rPr>
          <w:rFonts w:hint="eastAsia"/>
          <w:vertAlign w:val="superscript"/>
          <w:lang w:val="en-US" w:eastAsia="zh-CN"/>
        </w:rPr>
        <w:t>3</w:t>
      </w:r>
      <w:r>
        <w:rPr>
          <w:rFonts w:hint="eastAsia"/>
          <w:lang w:val="en-US" w:eastAsia="zh-CN"/>
        </w:rPr>
        <w:t xml:space="preserve">； </w:t>
      </w:r>
    </w:p>
    <w:p w14:paraId="65EAB6F9">
      <w:pPr>
        <w:pStyle w:val="21"/>
        <w:bidi w:val="0"/>
      </w:pPr>
      <w:r>
        <w:rPr>
          <w:rFonts w:hint="eastAsia"/>
          <w:lang w:val="en-US" w:eastAsia="zh-CN"/>
        </w:rPr>
        <w:t>λ－充填系统有效连续充填时间，</w:t>
      </w:r>
      <w:r>
        <w:rPr>
          <w:rFonts w:hint="default"/>
          <w:lang w:val="en-US" w:eastAsia="zh-CN"/>
        </w:rPr>
        <w:t>h/d</w:t>
      </w:r>
      <w:r>
        <w:rPr>
          <w:rFonts w:hint="eastAsia"/>
          <w:lang w:val="en-US" w:eastAsia="zh-CN"/>
        </w:rPr>
        <w:t>。</w:t>
      </w:r>
    </w:p>
    <w:p w14:paraId="69013F9F">
      <w:pPr>
        <w:pStyle w:val="21"/>
        <w:bidi w:val="0"/>
        <w:rPr>
          <w:rFonts w:hint="eastAsia"/>
          <w:lang w:val="en-US" w:eastAsia="zh-CN"/>
        </w:rPr>
      </w:pPr>
      <w:r>
        <w:rPr>
          <w:rFonts w:hint="eastAsia"/>
          <w:lang w:val="en-US" w:eastAsia="zh-CN"/>
        </w:rPr>
        <w:t>设计全尾砂膏体充填系统生产能力为60m³/h，可利用尾矿量完全满足矿山充填总量的要求。</w:t>
      </w:r>
    </w:p>
    <w:p w14:paraId="778B9ACF">
      <w:pPr>
        <w:pStyle w:val="21"/>
        <w:bidi w:val="0"/>
        <w:rPr>
          <w:rFonts w:hint="eastAsia" w:ascii="Times New Roman" w:hAnsi="Times New Roman"/>
          <w:lang w:val="en-US" w:eastAsia="zh-CN"/>
        </w:rPr>
      </w:pPr>
      <w:r>
        <w:rPr>
          <w:rFonts w:hint="eastAsia" w:ascii="Times New Roman" w:hAnsi="Times New Roman"/>
          <w:lang w:val="en-US" w:eastAsia="zh-CN"/>
        </w:rPr>
        <w:t>正常达产年产尾矿量为37万t，全尾砂膏体充填年耗尾矿量22万t，剩余15万t的多余尾矿外卖给本溪市宏鹏矿业有限责任公司用于采空区充填，不进入露天坑。矿山选厂设计中已经设计了尾矿脱水压滤设施，多余尾矿经过压滤脱水后直接外卖。设计脱水压滤能力为每年处理20万t尾矿，满足多余尾矿的脱水压滤要求。经压滤脱水后的尾矿不在场地内堆存，直接装车外运，企业应做好生产调度工作，确保多余尾矿及时外运。压滤车间位于选厂西侧，距离岩石移动监测范围300m。</w:t>
      </w:r>
    </w:p>
    <w:p w14:paraId="269F778F">
      <w:pPr>
        <w:pStyle w:val="21"/>
        <w:bidi w:val="0"/>
        <w:rPr>
          <w:rFonts w:hint="eastAsia" w:ascii="Times New Roman" w:hAnsi="Times New Roman"/>
          <w:lang w:val="en-US" w:eastAsia="zh-CN"/>
        </w:rPr>
      </w:pPr>
      <w:r>
        <w:rPr>
          <w:rFonts w:hint="eastAsia" w:ascii="Times New Roman" w:hAnsi="Times New Roman"/>
          <w:lang w:val="en-US" w:eastAsia="zh-CN"/>
        </w:rPr>
        <w:t>根据《国家矿山安全监察局关于进一步加强非煤矿山安全生产行政许可工作的通知》（矿安〔2024〕70号），企业应禁止向露天坑充填尾砂。</w:t>
      </w:r>
    </w:p>
    <w:p w14:paraId="155BC2DB">
      <w:pPr>
        <w:pStyle w:val="21"/>
        <w:numPr>
          <w:ilvl w:val="0"/>
          <w:numId w:val="17"/>
        </w:numPr>
        <w:bidi w:val="0"/>
        <w:rPr>
          <w:rFonts w:hint="default"/>
          <w:lang w:val="en-US" w:eastAsia="zh-CN"/>
        </w:rPr>
      </w:pPr>
      <w:r>
        <w:rPr>
          <w:rFonts w:hint="default"/>
          <w:lang w:val="en-US" w:eastAsia="zh-CN"/>
        </w:rPr>
        <w:t>填系统站址方案</w:t>
      </w:r>
    </w:p>
    <w:p w14:paraId="1234F735">
      <w:pPr>
        <w:pStyle w:val="21"/>
        <w:bidi w:val="0"/>
        <w:rPr>
          <w:rFonts w:hint="eastAsia"/>
          <w:lang w:val="en-US" w:eastAsia="zh-CN"/>
        </w:rPr>
      </w:pPr>
      <w:r>
        <w:rPr>
          <w:rFonts w:hint="eastAsia"/>
          <w:lang w:val="en-US" w:eastAsia="zh-CN"/>
        </w:rPr>
        <w:t>根据现场踏勘，充填站设置在矿山管缆井东南侧的平地处。</w:t>
      </w:r>
    </w:p>
    <w:p w14:paraId="1CCCE067">
      <w:pPr>
        <w:pStyle w:val="21"/>
        <w:numPr>
          <w:ilvl w:val="0"/>
          <w:numId w:val="17"/>
        </w:numPr>
        <w:bidi w:val="0"/>
        <w:rPr>
          <w:rFonts w:hint="eastAsia" w:ascii="Times New Roman" w:hAnsi="Times New Roman" w:eastAsia="宋体"/>
          <w:lang w:val="en-US" w:eastAsia="zh-CN"/>
        </w:rPr>
      </w:pPr>
      <w:r>
        <w:rPr>
          <w:rFonts w:hint="eastAsia" w:ascii="Times New Roman" w:hAnsi="Times New Roman" w:eastAsia="宋体"/>
          <w:lang w:val="en-US" w:eastAsia="zh-CN"/>
        </w:rPr>
        <w:t>填系统工艺及设备方案</w:t>
      </w:r>
    </w:p>
    <w:p w14:paraId="49EDF6B0">
      <w:pPr>
        <w:pStyle w:val="21"/>
        <w:bidi w:val="0"/>
        <w:rPr>
          <w:rFonts w:hint="eastAsia"/>
          <w:lang w:val="en-US" w:eastAsia="zh-CN"/>
        </w:rPr>
      </w:pPr>
      <w:r>
        <w:rPr>
          <w:rFonts w:hint="eastAsia"/>
          <w:lang w:val="en-US" w:eastAsia="zh-CN"/>
        </w:rPr>
        <w:t>1、尾矿浆浓缩脱水工艺及设备方案</w:t>
      </w:r>
    </w:p>
    <w:p w14:paraId="3B83FA71">
      <w:pPr>
        <w:pStyle w:val="21"/>
        <w:bidi w:val="0"/>
        <w:rPr>
          <w:rFonts w:hint="eastAsia"/>
          <w:lang w:val="en-US" w:eastAsia="zh-CN"/>
        </w:rPr>
      </w:pPr>
      <w:r>
        <w:rPr>
          <w:rFonts w:hint="eastAsia"/>
          <w:lang w:val="en-US" w:eastAsia="zh-CN"/>
        </w:rPr>
        <w:t>对于尾矿浆浓缩脱水工艺，根据深锥浓密机方案与普通浓密机+陶瓷过滤机方案的比较，设计选用深锥浓密机系统浓缩脱水方案。</w:t>
      </w:r>
    </w:p>
    <w:p w14:paraId="6333C947">
      <w:pPr>
        <w:pStyle w:val="21"/>
        <w:bidi w:val="0"/>
        <w:rPr>
          <w:rFonts w:hint="eastAsia"/>
          <w:lang w:val="en-US" w:eastAsia="zh-CN"/>
        </w:rPr>
      </w:pPr>
      <w:r>
        <w:rPr>
          <w:rFonts w:hint="eastAsia"/>
          <w:lang w:val="en-US" w:eastAsia="zh-CN"/>
        </w:rPr>
        <w:t>设计选用1套Ø14m深锥浓密机浓缩脱水系统由絮凝剂制备与投加系统、深锥浓密机及其底流处置系统组成。</w:t>
      </w:r>
    </w:p>
    <w:p w14:paraId="718D4DE9">
      <w:pPr>
        <w:pStyle w:val="21"/>
        <w:bidi w:val="0"/>
        <w:rPr>
          <w:rFonts w:hint="eastAsia"/>
          <w:lang w:val="en-US" w:eastAsia="zh-CN"/>
        </w:rPr>
      </w:pPr>
      <w:r>
        <w:rPr>
          <w:rFonts w:hint="eastAsia"/>
          <w:lang w:val="en-US" w:eastAsia="zh-CN"/>
        </w:rPr>
        <w:t>根据尾矿浆浓缩脱水试验结果，入料尾矿浆质量浓度10%（磁选尾矿），深锥浓密机排料底流全尾砂膏体质量浓度为（69±1%），溢流水浊度（250±50）ppm，絮凝剂消耗量15g/t～20g/t（尾矿干重）。</w:t>
      </w:r>
    </w:p>
    <w:p w14:paraId="613C6189">
      <w:pPr>
        <w:pStyle w:val="21"/>
        <w:bidi w:val="0"/>
        <w:rPr>
          <w:rFonts w:hint="eastAsia"/>
          <w:lang w:val="en-US" w:eastAsia="zh-CN"/>
        </w:rPr>
      </w:pPr>
      <w:r>
        <w:rPr>
          <w:rFonts w:hint="eastAsia"/>
          <w:lang w:val="en-US" w:eastAsia="zh-CN"/>
        </w:rPr>
        <w:t>深锥浓密机溢流水流量560m³/h。设计溢流水直接通过厂区地表生产用水管网排至生产用水沉淀池，经过沉淀达标后进入生产用水管网作为生产用水利用。</w:t>
      </w:r>
    </w:p>
    <w:p w14:paraId="57AFD079">
      <w:pPr>
        <w:pStyle w:val="21"/>
        <w:bidi w:val="0"/>
        <w:rPr>
          <w:rFonts w:hint="eastAsia"/>
          <w:lang w:val="en-US" w:eastAsia="zh-CN"/>
        </w:rPr>
      </w:pPr>
      <w:r>
        <w:rPr>
          <w:rFonts w:hint="eastAsia"/>
          <w:lang w:val="en-US" w:eastAsia="zh-CN"/>
        </w:rPr>
        <w:t>2、水泥储存与给料工艺及设备方案</w:t>
      </w:r>
    </w:p>
    <w:p w14:paraId="6D89AAFF">
      <w:pPr>
        <w:pStyle w:val="21"/>
        <w:bidi w:val="0"/>
        <w:rPr>
          <w:rFonts w:hint="eastAsia"/>
          <w:lang w:val="en-US" w:eastAsia="zh-CN"/>
        </w:rPr>
      </w:pPr>
      <w:r>
        <w:rPr>
          <w:rFonts w:hint="eastAsia"/>
          <w:lang w:val="en-US" w:eastAsia="zh-CN"/>
        </w:rPr>
        <w:t>设计采用钢结构水泥储存仓，水泥储存仓置于充填膏体制备输送楼楼顶，水泥仓底部设2个独立的放料锥体，为2个搅拌制备系列给料。</w:t>
      </w:r>
    </w:p>
    <w:p w14:paraId="7F2737AC">
      <w:pPr>
        <w:pStyle w:val="21"/>
        <w:bidi w:val="0"/>
        <w:rPr>
          <w:rFonts w:hint="eastAsia"/>
          <w:lang w:val="en-US" w:eastAsia="zh-CN"/>
        </w:rPr>
      </w:pPr>
      <w:r>
        <w:rPr>
          <w:rFonts w:hint="eastAsia"/>
          <w:lang w:val="en-US" w:eastAsia="zh-CN"/>
        </w:rPr>
        <w:t>水泥仓有效贮存容积400t，满足5天正常水泥消耗量需要。</w:t>
      </w:r>
    </w:p>
    <w:p w14:paraId="63F13676">
      <w:pPr>
        <w:pStyle w:val="21"/>
        <w:bidi w:val="0"/>
        <w:rPr>
          <w:rFonts w:hint="eastAsia"/>
          <w:lang w:val="en-US" w:eastAsia="zh-CN"/>
        </w:rPr>
      </w:pPr>
      <w:r>
        <w:rPr>
          <w:rFonts w:hint="eastAsia"/>
          <w:lang w:val="en-US" w:eastAsia="zh-CN"/>
        </w:rPr>
        <w:t>水泥给料、计量选用变频调速螺旋输送机和称重电子螺旋称，按2个系列设计，单系列的生产能力25t/h。</w:t>
      </w:r>
    </w:p>
    <w:p w14:paraId="414EB7F2">
      <w:pPr>
        <w:pStyle w:val="21"/>
        <w:bidi w:val="0"/>
        <w:rPr>
          <w:rFonts w:hint="eastAsia"/>
          <w:lang w:val="en-US" w:eastAsia="zh-CN"/>
        </w:rPr>
      </w:pPr>
      <w:r>
        <w:rPr>
          <w:rFonts w:hint="eastAsia"/>
          <w:lang w:val="en-US" w:eastAsia="zh-CN"/>
        </w:rPr>
        <w:t>3、膏体制备工艺及设备方案</w:t>
      </w:r>
    </w:p>
    <w:p w14:paraId="3ACE1637">
      <w:pPr>
        <w:pStyle w:val="21"/>
        <w:bidi w:val="0"/>
        <w:rPr>
          <w:rFonts w:hint="eastAsia"/>
          <w:lang w:val="en-US" w:eastAsia="zh-CN"/>
        </w:rPr>
      </w:pPr>
      <w:r>
        <w:rPr>
          <w:rFonts w:hint="eastAsia"/>
          <w:lang w:val="en-US" w:eastAsia="zh-CN"/>
        </w:rPr>
        <w:t>设计采用二级强制高能活化搅拌的充填膏体制备工艺。</w:t>
      </w:r>
    </w:p>
    <w:p w14:paraId="6D0D5A98">
      <w:pPr>
        <w:pStyle w:val="21"/>
        <w:bidi w:val="0"/>
        <w:rPr>
          <w:rFonts w:hint="eastAsia"/>
          <w:lang w:val="en-US" w:eastAsia="zh-CN"/>
        </w:rPr>
      </w:pPr>
      <w:r>
        <w:rPr>
          <w:rFonts w:hint="eastAsia"/>
          <w:lang w:val="en-US" w:eastAsia="zh-CN"/>
        </w:rPr>
        <w:t>第一级搅拌，为充填集料混合搅拌制备初级膏体，设计选用双卧轴平叶片强制式工业连续搅拌机；第二级搅拌，为初级膏体高能搅拌制备充填膏体，设计选用双卧轴复合叶片强制式工业连续搅拌机。</w:t>
      </w:r>
    </w:p>
    <w:p w14:paraId="7144C5C6">
      <w:pPr>
        <w:pStyle w:val="21"/>
        <w:bidi w:val="0"/>
        <w:rPr>
          <w:rFonts w:hint="eastAsia"/>
          <w:lang w:val="en-US" w:eastAsia="zh-CN"/>
        </w:rPr>
      </w:pPr>
      <w:r>
        <w:rPr>
          <w:rFonts w:hint="eastAsia"/>
          <w:lang w:val="en-US" w:eastAsia="zh-CN"/>
        </w:rPr>
        <w:t>采用机械力化学高能搅拌，通过改善充填膏体物料的均匀度，增大充填膏体的密度，促进充填膏体的胶凝水化反应，提高充填膏体的流变特性、凝固性能和强度性能，以确保制备出均质活化的充填膏体。</w:t>
      </w:r>
    </w:p>
    <w:p w14:paraId="501ABD06">
      <w:pPr>
        <w:pStyle w:val="21"/>
        <w:bidi w:val="0"/>
        <w:rPr>
          <w:rFonts w:hint="eastAsia"/>
          <w:lang w:val="en-US" w:eastAsia="zh-CN"/>
        </w:rPr>
      </w:pPr>
      <w:r>
        <w:rPr>
          <w:rFonts w:hint="eastAsia"/>
          <w:lang w:val="en-US" w:eastAsia="zh-CN"/>
        </w:rPr>
        <w:t>充填膏体搅拌制备工艺采单个搅拌制备系列生产能力60m³/h。</w:t>
      </w:r>
    </w:p>
    <w:p w14:paraId="1C586A80">
      <w:pPr>
        <w:pStyle w:val="21"/>
        <w:bidi w:val="0"/>
        <w:rPr>
          <w:rFonts w:hint="eastAsia"/>
          <w:lang w:val="en-US" w:eastAsia="zh-CN"/>
        </w:rPr>
      </w:pPr>
      <w:r>
        <w:rPr>
          <w:rFonts w:hint="eastAsia"/>
          <w:lang w:val="en-US" w:eastAsia="zh-CN"/>
        </w:rPr>
        <w:t>根据国内外的工程经验，设计充填集料混合搅拌（一级搅拌）时间&gt;2min、初级膏体高能搅拌（二级搅拌）时间&gt;3min。</w:t>
      </w:r>
    </w:p>
    <w:p w14:paraId="76582627">
      <w:pPr>
        <w:pStyle w:val="21"/>
        <w:bidi w:val="0"/>
        <w:rPr>
          <w:rFonts w:hint="eastAsia"/>
          <w:lang w:val="en-US" w:eastAsia="zh-CN"/>
        </w:rPr>
      </w:pPr>
      <w:r>
        <w:rPr>
          <w:rFonts w:hint="eastAsia"/>
          <w:lang w:val="en-US" w:eastAsia="zh-CN"/>
        </w:rPr>
        <w:t>4、膏体输送工艺及设备方案</w:t>
      </w:r>
    </w:p>
    <w:p w14:paraId="648911D5">
      <w:pPr>
        <w:pStyle w:val="21"/>
        <w:bidi w:val="0"/>
        <w:rPr>
          <w:rFonts w:hint="eastAsia"/>
          <w:lang w:val="en-US" w:eastAsia="zh-CN"/>
        </w:rPr>
      </w:pPr>
      <w:r>
        <w:rPr>
          <w:rFonts w:hint="eastAsia"/>
          <w:lang w:val="en-US" w:eastAsia="zh-CN"/>
        </w:rPr>
        <w:t>全尾砂胶结充填系统不具有充填料浆自流输送的条件，设计充填料浆输送工艺为泵压管道输送。</w:t>
      </w:r>
    </w:p>
    <w:p w14:paraId="6727BFDA">
      <w:pPr>
        <w:pStyle w:val="21"/>
        <w:bidi w:val="0"/>
        <w:rPr>
          <w:rFonts w:hint="eastAsia"/>
          <w:lang w:val="en-US" w:eastAsia="zh-CN"/>
        </w:rPr>
      </w:pPr>
      <w:r>
        <w:rPr>
          <w:rFonts w:hint="eastAsia"/>
          <w:lang w:val="en-US" w:eastAsia="zh-CN"/>
        </w:rPr>
        <w:t>组成充填料浆的固体物料为全尾砂和水泥，属于细微颗粒黏稠物料，管流沿程阻力较大，且矿山充填为连续工作，因此，充填料浆输送必须选用工业固体泵。</w:t>
      </w:r>
    </w:p>
    <w:p w14:paraId="53AB1A66">
      <w:pPr>
        <w:pStyle w:val="21"/>
        <w:bidi w:val="0"/>
        <w:rPr>
          <w:rFonts w:hint="eastAsia"/>
          <w:lang w:val="en-US" w:eastAsia="zh-CN"/>
        </w:rPr>
      </w:pPr>
      <w:r>
        <w:rPr>
          <w:rFonts w:hint="eastAsia"/>
          <w:lang w:val="en-US" w:eastAsia="zh-CN"/>
        </w:rPr>
        <w:t>根据国内外的工程经验和矿山全尾砂充填料浆物料特性、充填能力要求，设计选用座阀式工业固体泵（液压双缸柱塞泵），采用单个系列配置1台生产能力60m³/h，最大输送压力14.2MPa的S阀活塞式充填工业泵。</w:t>
      </w:r>
    </w:p>
    <w:p w14:paraId="1366938B">
      <w:pPr>
        <w:pStyle w:val="21"/>
        <w:bidi w:val="0"/>
        <w:rPr>
          <w:rFonts w:hint="eastAsia"/>
          <w:lang w:val="en-US" w:eastAsia="zh-CN"/>
        </w:rPr>
      </w:pPr>
      <w:r>
        <w:rPr>
          <w:rFonts w:hint="eastAsia"/>
          <w:lang w:val="en-US" w:eastAsia="zh-CN"/>
        </w:rPr>
        <w:t>5、坑内充填管路</w:t>
      </w:r>
    </w:p>
    <w:p w14:paraId="5AC89D59">
      <w:pPr>
        <w:pStyle w:val="21"/>
        <w:bidi w:val="0"/>
        <w:rPr>
          <w:rFonts w:hint="eastAsia"/>
          <w:lang w:val="en-US" w:eastAsia="zh-CN"/>
        </w:rPr>
      </w:pPr>
      <w:r>
        <w:rPr>
          <w:rFonts w:hint="eastAsia"/>
          <w:lang w:val="en-US" w:eastAsia="zh-CN"/>
        </w:rPr>
        <w:t>设计采用充填钻孔布置的坑内充填管路方案。</w:t>
      </w:r>
    </w:p>
    <w:p w14:paraId="34B884E8">
      <w:pPr>
        <w:pStyle w:val="21"/>
        <w:bidi w:val="0"/>
        <w:rPr>
          <w:rFonts w:hint="eastAsia"/>
          <w:lang w:val="en-US" w:eastAsia="zh-CN"/>
        </w:rPr>
      </w:pPr>
      <w:r>
        <w:rPr>
          <w:rFonts w:hint="eastAsia"/>
          <w:lang w:val="en-US" w:eastAsia="zh-CN"/>
        </w:rPr>
        <w:t>主充填管道从充填钻孔至井下各个充填中段，并布置分支管道进行空区充填。</w:t>
      </w:r>
    </w:p>
    <w:p w14:paraId="15A11857">
      <w:pPr>
        <w:pStyle w:val="21"/>
        <w:bidi w:val="0"/>
        <w:rPr>
          <w:rFonts w:hint="eastAsia"/>
          <w:lang w:val="en-US" w:eastAsia="zh-CN"/>
        </w:rPr>
      </w:pPr>
      <w:r>
        <w:rPr>
          <w:rFonts w:hint="eastAsia"/>
          <w:lang w:val="en-US" w:eastAsia="zh-CN"/>
        </w:rPr>
        <w:t>①充填倍线</w:t>
      </w:r>
    </w:p>
    <w:p w14:paraId="3191E625">
      <w:pPr>
        <w:pStyle w:val="21"/>
        <w:bidi w:val="0"/>
        <w:rPr>
          <w:rFonts w:hint="eastAsia"/>
          <w:lang w:val="en-US" w:eastAsia="zh-CN"/>
        </w:rPr>
      </w:pPr>
      <w:r>
        <w:rPr>
          <w:rFonts w:hint="eastAsia"/>
          <w:lang w:val="en-US" w:eastAsia="zh-CN"/>
        </w:rPr>
        <w:t>充填站地表标高100m，各充填作业中段最大充填倍线见下表。</w:t>
      </w:r>
    </w:p>
    <w:p w14:paraId="48BA16E0">
      <w:pPr>
        <w:pStyle w:val="30"/>
        <w:bidi w:val="0"/>
        <w:rPr>
          <w:rFonts w:hint="default"/>
          <w:lang w:val="en-US" w:eastAsia="zh-CN"/>
        </w:rPr>
      </w:pPr>
      <w:r>
        <w:rPr>
          <w:rFonts w:hint="default"/>
        </w:rPr>
        <w:t>表</w:t>
      </w:r>
      <w:r>
        <w:rPr>
          <w:rFonts w:hint="eastAsia"/>
          <w:lang w:val="en-US" w:eastAsia="zh-CN"/>
        </w:rPr>
        <w:t>2.4-4  充填倍线计算表</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95"/>
        <w:gridCol w:w="2512"/>
        <w:gridCol w:w="2416"/>
        <w:gridCol w:w="1796"/>
      </w:tblGrid>
      <w:tr w14:paraId="1C759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795" w:type="dxa"/>
            <w:noWrap w:val="0"/>
            <w:vAlign w:val="center"/>
          </w:tcPr>
          <w:p w14:paraId="42D3C312">
            <w:pPr>
              <w:pStyle w:val="31"/>
              <w:bidi w:val="0"/>
              <w:rPr>
                <w:rFonts w:hint="default"/>
                <w:lang w:val="en-US" w:eastAsia="zh-CN"/>
              </w:rPr>
            </w:pPr>
            <w:r>
              <w:rPr>
                <w:rFonts w:hint="eastAsia"/>
                <w:lang w:val="en-US" w:eastAsia="zh-CN"/>
              </w:rPr>
              <w:t>中段标高</w:t>
            </w:r>
          </w:p>
        </w:tc>
        <w:tc>
          <w:tcPr>
            <w:tcW w:w="2512" w:type="dxa"/>
            <w:noWrap w:val="0"/>
            <w:vAlign w:val="center"/>
          </w:tcPr>
          <w:p w14:paraId="2B91C17A">
            <w:pPr>
              <w:pStyle w:val="31"/>
              <w:bidi w:val="0"/>
              <w:rPr>
                <w:rFonts w:hint="default"/>
                <w:lang w:val="en-US" w:eastAsia="zh-CN"/>
              </w:rPr>
            </w:pPr>
            <w:r>
              <w:rPr>
                <w:rFonts w:hint="eastAsia"/>
                <w:lang w:val="en-US" w:eastAsia="zh-CN"/>
              </w:rPr>
              <w:t>管道总长度（m）</w:t>
            </w:r>
          </w:p>
        </w:tc>
        <w:tc>
          <w:tcPr>
            <w:tcW w:w="2416" w:type="dxa"/>
            <w:noWrap w:val="0"/>
            <w:vAlign w:val="center"/>
          </w:tcPr>
          <w:p w14:paraId="614DFCE3">
            <w:pPr>
              <w:pStyle w:val="31"/>
              <w:bidi w:val="0"/>
              <w:rPr>
                <w:rFonts w:hint="default"/>
                <w:lang w:val="en-US" w:eastAsia="zh-CN"/>
              </w:rPr>
            </w:pPr>
            <w:r>
              <w:rPr>
                <w:rFonts w:hint="eastAsia"/>
                <w:lang w:val="en-US" w:eastAsia="zh-CN"/>
              </w:rPr>
              <w:t>管道出入口高差（m）</w:t>
            </w:r>
          </w:p>
        </w:tc>
        <w:tc>
          <w:tcPr>
            <w:tcW w:w="1796" w:type="dxa"/>
            <w:noWrap w:val="0"/>
            <w:vAlign w:val="center"/>
          </w:tcPr>
          <w:p w14:paraId="6503DCB0">
            <w:pPr>
              <w:pStyle w:val="31"/>
              <w:bidi w:val="0"/>
              <w:rPr>
                <w:rFonts w:hint="default"/>
                <w:lang w:val="en-US" w:eastAsia="zh-CN"/>
              </w:rPr>
            </w:pPr>
            <w:r>
              <w:rPr>
                <w:rFonts w:hint="eastAsia"/>
                <w:lang w:val="en-US" w:eastAsia="zh-CN"/>
              </w:rPr>
              <w:t>充填倍线</w:t>
            </w:r>
          </w:p>
        </w:tc>
      </w:tr>
      <w:tr w14:paraId="4CD3D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795" w:type="dxa"/>
            <w:noWrap w:val="0"/>
            <w:vAlign w:val="center"/>
          </w:tcPr>
          <w:p w14:paraId="38B8425D">
            <w:pPr>
              <w:pStyle w:val="31"/>
              <w:bidi w:val="0"/>
              <w:rPr>
                <w:rFonts w:hint="default"/>
                <w:lang w:val="en-US" w:eastAsia="zh-CN"/>
              </w:rPr>
            </w:pPr>
            <w:r>
              <w:rPr>
                <w:rFonts w:hint="eastAsia"/>
                <w:lang w:val="en-US" w:eastAsia="zh-CN"/>
              </w:rPr>
              <w:t>0m中段</w:t>
            </w:r>
          </w:p>
        </w:tc>
        <w:tc>
          <w:tcPr>
            <w:tcW w:w="2512" w:type="dxa"/>
            <w:noWrap w:val="0"/>
            <w:vAlign w:val="center"/>
          </w:tcPr>
          <w:p w14:paraId="7CA30053">
            <w:pPr>
              <w:pStyle w:val="31"/>
              <w:bidi w:val="0"/>
              <w:rPr>
                <w:rFonts w:hint="default"/>
                <w:lang w:val="en-US" w:eastAsia="zh-CN"/>
              </w:rPr>
            </w:pPr>
            <w:r>
              <w:rPr>
                <w:rFonts w:hint="eastAsia"/>
                <w:lang w:val="en-US" w:eastAsia="zh-CN"/>
              </w:rPr>
              <w:t>690</w:t>
            </w:r>
          </w:p>
        </w:tc>
        <w:tc>
          <w:tcPr>
            <w:tcW w:w="2416" w:type="dxa"/>
            <w:noWrap w:val="0"/>
            <w:vAlign w:val="center"/>
          </w:tcPr>
          <w:p w14:paraId="013E35BE">
            <w:pPr>
              <w:pStyle w:val="31"/>
              <w:bidi w:val="0"/>
              <w:rPr>
                <w:rFonts w:hint="default"/>
                <w:lang w:val="en-US" w:eastAsia="zh-CN"/>
              </w:rPr>
            </w:pPr>
            <w:r>
              <w:rPr>
                <w:rFonts w:hint="eastAsia"/>
                <w:lang w:val="en-US" w:eastAsia="zh-CN"/>
              </w:rPr>
              <w:t>100</w:t>
            </w:r>
          </w:p>
        </w:tc>
        <w:tc>
          <w:tcPr>
            <w:tcW w:w="1796" w:type="dxa"/>
            <w:noWrap w:val="0"/>
            <w:vAlign w:val="center"/>
          </w:tcPr>
          <w:p w14:paraId="2A9EC886">
            <w:pPr>
              <w:pStyle w:val="31"/>
              <w:bidi w:val="0"/>
              <w:rPr>
                <w:rFonts w:hint="default"/>
                <w:lang w:val="en-US" w:eastAsia="zh-CN"/>
              </w:rPr>
            </w:pPr>
            <w:r>
              <w:rPr>
                <w:rFonts w:hint="eastAsia"/>
                <w:lang w:val="en-US" w:eastAsia="zh-CN"/>
              </w:rPr>
              <w:t xml:space="preserve">6.9 </w:t>
            </w:r>
          </w:p>
        </w:tc>
      </w:tr>
      <w:tr w14:paraId="6D9D0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795" w:type="dxa"/>
            <w:noWrap w:val="0"/>
            <w:vAlign w:val="center"/>
          </w:tcPr>
          <w:p w14:paraId="30C5B73D">
            <w:pPr>
              <w:pStyle w:val="31"/>
              <w:bidi w:val="0"/>
              <w:rPr>
                <w:rFonts w:hint="default"/>
                <w:lang w:val="en-US" w:eastAsia="zh-CN"/>
              </w:rPr>
            </w:pPr>
            <w:r>
              <w:rPr>
                <w:rFonts w:hint="eastAsia"/>
                <w:lang w:val="en-US" w:eastAsia="zh-CN"/>
              </w:rPr>
              <w:t>-50m中段</w:t>
            </w:r>
          </w:p>
        </w:tc>
        <w:tc>
          <w:tcPr>
            <w:tcW w:w="2512" w:type="dxa"/>
            <w:noWrap w:val="0"/>
            <w:vAlign w:val="center"/>
          </w:tcPr>
          <w:p w14:paraId="100A6DD0">
            <w:pPr>
              <w:pStyle w:val="31"/>
              <w:bidi w:val="0"/>
              <w:rPr>
                <w:rFonts w:hint="default"/>
                <w:lang w:val="en-US" w:eastAsia="zh-CN"/>
              </w:rPr>
            </w:pPr>
            <w:r>
              <w:rPr>
                <w:rFonts w:hint="eastAsia"/>
                <w:lang w:val="en-US" w:eastAsia="zh-CN"/>
              </w:rPr>
              <w:t>740</w:t>
            </w:r>
          </w:p>
        </w:tc>
        <w:tc>
          <w:tcPr>
            <w:tcW w:w="2416" w:type="dxa"/>
            <w:noWrap w:val="0"/>
            <w:vAlign w:val="center"/>
          </w:tcPr>
          <w:p w14:paraId="1D8DDAAC">
            <w:pPr>
              <w:pStyle w:val="31"/>
              <w:bidi w:val="0"/>
              <w:rPr>
                <w:rFonts w:hint="default"/>
                <w:lang w:val="en-US" w:eastAsia="zh-CN"/>
              </w:rPr>
            </w:pPr>
            <w:r>
              <w:rPr>
                <w:rFonts w:hint="eastAsia"/>
                <w:lang w:val="en-US" w:eastAsia="zh-CN"/>
              </w:rPr>
              <w:t>150</w:t>
            </w:r>
          </w:p>
        </w:tc>
        <w:tc>
          <w:tcPr>
            <w:tcW w:w="1796" w:type="dxa"/>
            <w:noWrap w:val="0"/>
            <w:vAlign w:val="center"/>
          </w:tcPr>
          <w:p w14:paraId="5AD8E551">
            <w:pPr>
              <w:pStyle w:val="31"/>
              <w:bidi w:val="0"/>
              <w:rPr>
                <w:rFonts w:hint="default"/>
                <w:lang w:val="en-US" w:eastAsia="zh-CN"/>
              </w:rPr>
            </w:pPr>
            <w:r>
              <w:rPr>
                <w:rFonts w:hint="eastAsia"/>
                <w:lang w:val="en-US" w:eastAsia="zh-CN"/>
              </w:rPr>
              <w:t xml:space="preserve">4.9 </w:t>
            </w:r>
          </w:p>
        </w:tc>
      </w:tr>
      <w:tr w14:paraId="6DB5E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795" w:type="dxa"/>
            <w:noWrap w:val="0"/>
            <w:vAlign w:val="center"/>
          </w:tcPr>
          <w:p w14:paraId="0B6916B3">
            <w:pPr>
              <w:pStyle w:val="31"/>
              <w:bidi w:val="0"/>
              <w:rPr>
                <w:rFonts w:hint="eastAsia"/>
                <w:lang w:val="en-US" w:eastAsia="zh-CN"/>
              </w:rPr>
            </w:pPr>
            <w:r>
              <w:rPr>
                <w:rFonts w:hint="eastAsia"/>
                <w:lang w:val="en-US" w:eastAsia="zh-CN"/>
              </w:rPr>
              <w:t>-100m中段</w:t>
            </w:r>
          </w:p>
        </w:tc>
        <w:tc>
          <w:tcPr>
            <w:tcW w:w="2512" w:type="dxa"/>
            <w:noWrap w:val="0"/>
            <w:vAlign w:val="center"/>
          </w:tcPr>
          <w:p w14:paraId="3BB07B3D">
            <w:pPr>
              <w:pStyle w:val="31"/>
              <w:bidi w:val="0"/>
              <w:rPr>
                <w:rFonts w:hint="default"/>
                <w:lang w:val="en-US" w:eastAsia="zh-CN"/>
              </w:rPr>
            </w:pPr>
            <w:r>
              <w:rPr>
                <w:rFonts w:hint="eastAsia"/>
                <w:lang w:val="en-US" w:eastAsia="zh-CN"/>
              </w:rPr>
              <w:t>827</w:t>
            </w:r>
          </w:p>
        </w:tc>
        <w:tc>
          <w:tcPr>
            <w:tcW w:w="2416" w:type="dxa"/>
            <w:noWrap w:val="0"/>
            <w:vAlign w:val="center"/>
          </w:tcPr>
          <w:p w14:paraId="4720DA5D">
            <w:pPr>
              <w:pStyle w:val="31"/>
              <w:bidi w:val="0"/>
              <w:rPr>
                <w:rFonts w:hint="default"/>
                <w:lang w:val="en-US" w:eastAsia="zh-CN"/>
              </w:rPr>
            </w:pPr>
            <w:r>
              <w:rPr>
                <w:rFonts w:hint="eastAsia"/>
                <w:lang w:val="en-US" w:eastAsia="zh-CN"/>
              </w:rPr>
              <w:t>200</w:t>
            </w:r>
          </w:p>
        </w:tc>
        <w:tc>
          <w:tcPr>
            <w:tcW w:w="1796" w:type="dxa"/>
            <w:noWrap w:val="0"/>
            <w:vAlign w:val="center"/>
          </w:tcPr>
          <w:p w14:paraId="58A91114">
            <w:pPr>
              <w:pStyle w:val="31"/>
              <w:bidi w:val="0"/>
              <w:rPr>
                <w:rFonts w:hint="eastAsia"/>
                <w:lang w:val="en-US" w:eastAsia="zh-CN"/>
              </w:rPr>
            </w:pPr>
            <w:r>
              <w:rPr>
                <w:rFonts w:hint="eastAsia"/>
                <w:lang w:val="en-US" w:eastAsia="zh-CN"/>
              </w:rPr>
              <w:t xml:space="preserve">4.1 </w:t>
            </w:r>
          </w:p>
        </w:tc>
      </w:tr>
      <w:tr w14:paraId="238F2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795" w:type="dxa"/>
            <w:noWrap w:val="0"/>
            <w:vAlign w:val="center"/>
          </w:tcPr>
          <w:p w14:paraId="01043DB1">
            <w:pPr>
              <w:pStyle w:val="31"/>
              <w:bidi w:val="0"/>
              <w:rPr>
                <w:rFonts w:hint="eastAsia"/>
                <w:lang w:val="en-US" w:eastAsia="zh-CN"/>
              </w:rPr>
            </w:pPr>
            <w:r>
              <w:rPr>
                <w:rFonts w:hint="eastAsia"/>
                <w:lang w:val="en-US" w:eastAsia="zh-CN"/>
              </w:rPr>
              <w:t>-150m中段</w:t>
            </w:r>
          </w:p>
        </w:tc>
        <w:tc>
          <w:tcPr>
            <w:tcW w:w="2512" w:type="dxa"/>
            <w:noWrap w:val="0"/>
            <w:vAlign w:val="center"/>
          </w:tcPr>
          <w:p w14:paraId="3C7A2391">
            <w:pPr>
              <w:pStyle w:val="31"/>
              <w:bidi w:val="0"/>
              <w:rPr>
                <w:rFonts w:hint="default"/>
                <w:lang w:val="en-US" w:eastAsia="zh-CN"/>
              </w:rPr>
            </w:pPr>
            <w:r>
              <w:rPr>
                <w:rFonts w:hint="eastAsia"/>
                <w:lang w:val="en-US" w:eastAsia="zh-CN"/>
              </w:rPr>
              <w:t>904</w:t>
            </w:r>
          </w:p>
        </w:tc>
        <w:tc>
          <w:tcPr>
            <w:tcW w:w="2416" w:type="dxa"/>
            <w:noWrap w:val="0"/>
            <w:vAlign w:val="center"/>
          </w:tcPr>
          <w:p w14:paraId="5B2F90C9">
            <w:pPr>
              <w:pStyle w:val="31"/>
              <w:bidi w:val="0"/>
              <w:rPr>
                <w:rFonts w:hint="default"/>
                <w:lang w:val="en-US" w:eastAsia="zh-CN"/>
              </w:rPr>
            </w:pPr>
            <w:r>
              <w:rPr>
                <w:rFonts w:hint="eastAsia"/>
                <w:lang w:val="en-US" w:eastAsia="zh-CN"/>
              </w:rPr>
              <w:t>250</w:t>
            </w:r>
          </w:p>
        </w:tc>
        <w:tc>
          <w:tcPr>
            <w:tcW w:w="1796" w:type="dxa"/>
            <w:noWrap w:val="0"/>
            <w:vAlign w:val="center"/>
          </w:tcPr>
          <w:p w14:paraId="57F8DBA7">
            <w:pPr>
              <w:pStyle w:val="31"/>
              <w:bidi w:val="0"/>
              <w:rPr>
                <w:rFonts w:hint="eastAsia"/>
                <w:lang w:val="en-US" w:eastAsia="zh-CN"/>
              </w:rPr>
            </w:pPr>
            <w:r>
              <w:rPr>
                <w:rFonts w:hint="eastAsia"/>
                <w:lang w:val="en-US" w:eastAsia="zh-CN"/>
              </w:rPr>
              <w:t xml:space="preserve">3.6 </w:t>
            </w:r>
          </w:p>
        </w:tc>
      </w:tr>
      <w:tr w14:paraId="4D854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795" w:type="dxa"/>
            <w:noWrap w:val="0"/>
            <w:vAlign w:val="center"/>
          </w:tcPr>
          <w:p w14:paraId="7CDA3A1A">
            <w:pPr>
              <w:pStyle w:val="31"/>
              <w:bidi w:val="0"/>
              <w:rPr>
                <w:rFonts w:hint="eastAsia"/>
                <w:lang w:val="en-US" w:eastAsia="zh-CN"/>
              </w:rPr>
            </w:pPr>
            <w:r>
              <w:rPr>
                <w:rFonts w:hint="eastAsia"/>
                <w:lang w:val="en-US" w:eastAsia="zh-CN"/>
              </w:rPr>
              <w:t>-200m中段</w:t>
            </w:r>
          </w:p>
        </w:tc>
        <w:tc>
          <w:tcPr>
            <w:tcW w:w="2512" w:type="dxa"/>
            <w:noWrap w:val="0"/>
            <w:vAlign w:val="center"/>
          </w:tcPr>
          <w:p w14:paraId="095569EA">
            <w:pPr>
              <w:pStyle w:val="31"/>
              <w:bidi w:val="0"/>
              <w:rPr>
                <w:rFonts w:hint="default"/>
                <w:lang w:val="en-US" w:eastAsia="zh-CN"/>
              </w:rPr>
            </w:pPr>
            <w:r>
              <w:rPr>
                <w:rFonts w:hint="eastAsia"/>
                <w:lang w:val="en-US" w:eastAsia="zh-CN"/>
              </w:rPr>
              <w:t>938</w:t>
            </w:r>
          </w:p>
        </w:tc>
        <w:tc>
          <w:tcPr>
            <w:tcW w:w="2416" w:type="dxa"/>
            <w:noWrap w:val="0"/>
            <w:vAlign w:val="center"/>
          </w:tcPr>
          <w:p w14:paraId="2678FE27">
            <w:pPr>
              <w:pStyle w:val="31"/>
              <w:bidi w:val="0"/>
              <w:rPr>
                <w:rFonts w:hint="default"/>
                <w:lang w:val="en-US" w:eastAsia="zh-CN"/>
              </w:rPr>
            </w:pPr>
            <w:r>
              <w:rPr>
                <w:rFonts w:hint="eastAsia"/>
                <w:lang w:val="en-US" w:eastAsia="zh-CN"/>
              </w:rPr>
              <w:t>300</w:t>
            </w:r>
          </w:p>
        </w:tc>
        <w:tc>
          <w:tcPr>
            <w:tcW w:w="1796" w:type="dxa"/>
            <w:noWrap w:val="0"/>
            <w:vAlign w:val="center"/>
          </w:tcPr>
          <w:p w14:paraId="7E5BE6E2">
            <w:pPr>
              <w:pStyle w:val="31"/>
              <w:bidi w:val="0"/>
              <w:rPr>
                <w:rFonts w:hint="eastAsia"/>
                <w:lang w:val="en-US" w:eastAsia="zh-CN"/>
              </w:rPr>
            </w:pPr>
            <w:r>
              <w:rPr>
                <w:rFonts w:hint="eastAsia"/>
                <w:lang w:val="en-US" w:eastAsia="zh-CN"/>
              </w:rPr>
              <w:t xml:space="preserve">3.1 </w:t>
            </w:r>
          </w:p>
        </w:tc>
      </w:tr>
      <w:tr w14:paraId="7F765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795" w:type="dxa"/>
            <w:noWrap w:val="0"/>
            <w:vAlign w:val="center"/>
          </w:tcPr>
          <w:p w14:paraId="52CEFC8E">
            <w:pPr>
              <w:pStyle w:val="31"/>
              <w:bidi w:val="0"/>
              <w:rPr>
                <w:rFonts w:hint="eastAsia"/>
                <w:lang w:val="en-US" w:eastAsia="zh-CN"/>
              </w:rPr>
            </w:pPr>
            <w:r>
              <w:rPr>
                <w:rFonts w:hint="eastAsia"/>
                <w:lang w:val="en-US" w:eastAsia="zh-CN"/>
              </w:rPr>
              <w:t>-250m中段</w:t>
            </w:r>
          </w:p>
        </w:tc>
        <w:tc>
          <w:tcPr>
            <w:tcW w:w="2512" w:type="dxa"/>
            <w:noWrap w:val="0"/>
            <w:vAlign w:val="center"/>
          </w:tcPr>
          <w:p w14:paraId="0D4A9FCA">
            <w:pPr>
              <w:pStyle w:val="31"/>
              <w:bidi w:val="0"/>
              <w:rPr>
                <w:rFonts w:hint="default"/>
                <w:lang w:val="en-US" w:eastAsia="zh-CN"/>
              </w:rPr>
            </w:pPr>
            <w:r>
              <w:rPr>
                <w:rFonts w:hint="eastAsia"/>
                <w:lang w:val="en-US" w:eastAsia="zh-CN"/>
              </w:rPr>
              <w:t>1015</w:t>
            </w:r>
          </w:p>
        </w:tc>
        <w:tc>
          <w:tcPr>
            <w:tcW w:w="2416" w:type="dxa"/>
            <w:noWrap w:val="0"/>
            <w:vAlign w:val="center"/>
          </w:tcPr>
          <w:p w14:paraId="7EEED2E3">
            <w:pPr>
              <w:pStyle w:val="31"/>
              <w:bidi w:val="0"/>
              <w:rPr>
                <w:rFonts w:hint="default"/>
                <w:lang w:val="en-US" w:eastAsia="zh-CN"/>
              </w:rPr>
            </w:pPr>
            <w:r>
              <w:rPr>
                <w:rFonts w:hint="eastAsia"/>
                <w:lang w:val="en-US" w:eastAsia="zh-CN"/>
              </w:rPr>
              <w:t>350</w:t>
            </w:r>
          </w:p>
        </w:tc>
        <w:tc>
          <w:tcPr>
            <w:tcW w:w="1796" w:type="dxa"/>
            <w:noWrap w:val="0"/>
            <w:vAlign w:val="center"/>
          </w:tcPr>
          <w:p w14:paraId="586E90D5">
            <w:pPr>
              <w:pStyle w:val="31"/>
              <w:bidi w:val="0"/>
              <w:rPr>
                <w:rFonts w:hint="eastAsia"/>
                <w:lang w:val="en-US" w:eastAsia="zh-CN"/>
              </w:rPr>
            </w:pPr>
            <w:r>
              <w:rPr>
                <w:rFonts w:hint="eastAsia"/>
                <w:lang w:val="en-US" w:eastAsia="zh-CN"/>
              </w:rPr>
              <w:t xml:space="preserve">2.9 </w:t>
            </w:r>
          </w:p>
        </w:tc>
      </w:tr>
      <w:tr w14:paraId="1ED1B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795" w:type="dxa"/>
            <w:noWrap w:val="0"/>
            <w:vAlign w:val="center"/>
          </w:tcPr>
          <w:p w14:paraId="3A2ECE68">
            <w:pPr>
              <w:pStyle w:val="31"/>
              <w:bidi w:val="0"/>
              <w:rPr>
                <w:rFonts w:hint="eastAsia"/>
                <w:lang w:val="en-US" w:eastAsia="zh-CN"/>
              </w:rPr>
            </w:pPr>
            <w:r>
              <w:rPr>
                <w:rFonts w:hint="eastAsia"/>
                <w:lang w:val="en-US" w:eastAsia="zh-CN"/>
              </w:rPr>
              <w:t>-300m中段</w:t>
            </w:r>
          </w:p>
        </w:tc>
        <w:tc>
          <w:tcPr>
            <w:tcW w:w="2512" w:type="dxa"/>
            <w:noWrap w:val="0"/>
            <w:vAlign w:val="center"/>
          </w:tcPr>
          <w:p w14:paraId="2F9C4389">
            <w:pPr>
              <w:pStyle w:val="31"/>
              <w:bidi w:val="0"/>
              <w:rPr>
                <w:rFonts w:hint="default"/>
                <w:lang w:val="en-US" w:eastAsia="zh-CN"/>
              </w:rPr>
            </w:pPr>
            <w:r>
              <w:rPr>
                <w:rFonts w:hint="eastAsia"/>
                <w:lang w:val="en-US" w:eastAsia="zh-CN"/>
              </w:rPr>
              <w:t>1091</w:t>
            </w:r>
          </w:p>
        </w:tc>
        <w:tc>
          <w:tcPr>
            <w:tcW w:w="2416" w:type="dxa"/>
            <w:noWrap w:val="0"/>
            <w:vAlign w:val="center"/>
          </w:tcPr>
          <w:p w14:paraId="24E55B32">
            <w:pPr>
              <w:pStyle w:val="31"/>
              <w:bidi w:val="0"/>
              <w:rPr>
                <w:rFonts w:hint="default"/>
                <w:lang w:val="en-US" w:eastAsia="zh-CN"/>
              </w:rPr>
            </w:pPr>
            <w:r>
              <w:rPr>
                <w:rFonts w:hint="eastAsia"/>
                <w:lang w:val="en-US" w:eastAsia="zh-CN"/>
              </w:rPr>
              <w:t>400</w:t>
            </w:r>
          </w:p>
        </w:tc>
        <w:tc>
          <w:tcPr>
            <w:tcW w:w="1796" w:type="dxa"/>
            <w:noWrap w:val="0"/>
            <w:vAlign w:val="center"/>
          </w:tcPr>
          <w:p w14:paraId="13790524">
            <w:pPr>
              <w:pStyle w:val="31"/>
              <w:bidi w:val="0"/>
              <w:rPr>
                <w:rFonts w:hint="eastAsia"/>
                <w:lang w:val="en-US" w:eastAsia="zh-CN"/>
              </w:rPr>
            </w:pPr>
            <w:r>
              <w:rPr>
                <w:rFonts w:hint="eastAsia"/>
                <w:lang w:val="en-US" w:eastAsia="zh-CN"/>
              </w:rPr>
              <w:t xml:space="preserve">2.7 </w:t>
            </w:r>
          </w:p>
        </w:tc>
      </w:tr>
      <w:tr w14:paraId="04920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795" w:type="dxa"/>
            <w:noWrap w:val="0"/>
            <w:vAlign w:val="center"/>
          </w:tcPr>
          <w:p w14:paraId="642CD83A">
            <w:pPr>
              <w:pStyle w:val="31"/>
              <w:bidi w:val="0"/>
              <w:rPr>
                <w:rFonts w:hint="eastAsia"/>
                <w:lang w:val="en-US" w:eastAsia="zh-CN"/>
              </w:rPr>
            </w:pPr>
            <w:r>
              <w:rPr>
                <w:rFonts w:hint="eastAsia"/>
                <w:lang w:val="en-US" w:eastAsia="zh-CN"/>
              </w:rPr>
              <w:t>-350m中段</w:t>
            </w:r>
          </w:p>
        </w:tc>
        <w:tc>
          <w:tcPr>
            <w:tcW w:w="2512" w:type="dxa"/>
            <w:noWrap w:val="0"/>
            <w:vAlign w:val="center"/>
          </w:tcPr>
          <w:p w14:paraId="3704F07A">
            <w:pPr>
              <w:pStyle w:val="31"/>
              <w:bidi w:val="0"/>
              <w:rPr>
                <w:rFonts w:hint="default"/>
                <w:lang w:val="en-US" w:eastAsia="zh-CN"/>
              </w:rPr>
            </w:pPr>
            <w:r>
              <w:rPr>
                <w:rFonts w:hint="eastAsia"/>
                <w:lang w:val="en-US" w:eastAsia="zh-CN"/>
              </w:rPr>
              <w:t>843</w:t>
            </w:r>
          </w:p>
        </w:tc>
        <w:tc>
          <w:tcPr>
            <w:tcW w:w="2416" w:type="dxa"/>
            <w:noWrap w:val="0"/>
            <w:vAlign w:val="center"/>
          </w:tcPr>
          <w:p w14:paraId="23376784">
            <w:pPr>
              <w:pStyle w:val="31"/>
              <w:bidi w:val="0"/>
              <w:rPr>
                <w:rFonts w:hint="default"/>
                <w:lang w:val="en-US" w:eastAsia="zh-CN"/>
              </w:rPr>
            </w:pPr>
            <w:r>
              <w:rPr>
                <w:rFonts w:hint="eastAsia"/>
                <w:lang w:val="en-US" w:eastAsia="zh-CN"/>
              </w:rPr>
              <w:t>450</w:t>
            </w:r>
          </w:p>
        </w:tc>
        <w:tc>
          <w:tcPr>
            <w:tcW w:w="1796" w:type="dxa"/>
            <w:noWrap w:val="0"/>
            <w:vAlign w:val="center"/>
          </w:tcPr>
          <w:p w14:paraId="35DDAE20">
            <w:pPr>
              <w:pStyle w:val="31"/>
              <w:bidi w:val="0"/>
              <w:rPr>
                <w:rFonts w:hint="eastAsia"/>
                <w:lang w:val="en-US" w:eastAsia="zh-CN"/>
              </w:rPr>
            </w:pPr>
            <w:r>
              <w:rPr>
                <w:rFonts w:hint="eastAsia"/>
                <w:lang w:val="en-US" w:eastAsia="zh-CN"/>
              </w:rPr>
              <w:t xml:space="preserve">1.9 </w:t>
            </w:r>
          </w:p>
        </w:tc>
      </w:tr>
      <w:tr w14:paraId="567AF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795" w:type="dxa"/>
            <w:noWrap w:val="0"/>
            <w:vAlign w:val="center"/>
          </w:tcPr>
          <w:p w14:paraId="645E120A">
            <w:pPr>
              <w:pStyle w:val="31"/>
              <w:bidi w:val="0"/>
              <w:rPr>
                <w:rFonts w:hint="eastAsia"/>
                <w:lang w:val="en-US" w:eastAsia="zh-CN"/>
              </w:rPr>
            </w:pPr>
            <w:r>
              <w:rPr>
                <w:rFonts w:hint="eastAsia"/>
                <w:lang w:val="en-US" w:eastAsia="zh-CN"/>
              </w:rPr>
              <w:t>-400m中段</w:t>
            </w:r>
          </w:p>
        </w:tc>
        <w:tc>
          <w:tcPr>
            <w:tcW w:w="2512" w:type="dxa"/>
            <w:noWrap w:val="0"/>
            <w:vAlign w:val="center"/>
          </w:tcPr>
          <w:p w14:paraId="4E2D7517">
            <w:pPr>
              <w:pStyle w:val="31"/>
              <w:bidi w:val="0"/>
              <w:rPr>
                <w:rFonts w:hint="default"/>
                <w:lang w:val="en-US" w:eastAsia="zh-CN"/>
              </w:rPr>
            </w:pPr>
            <w:r>
              <w:rPr>
                <w:rFonts w:hint="eastAsia"/>
                <w:lang w:val="en-US" w:eastAsia="zh-CN"/>
              </w:rPr>
              <w:t>828</w:t>
            </w:r>
          </w:p>
        </w:tc>
        <w:tc>
          <w:tcPr>
            <w:tcW w:w="2416" w:type="dxa"/>
            <w:noWrap w:val="0"/>
            <w:vAlign w:val="center"/>
          </w:tcPr>
          <w:p w14:paraId="56ECE299">
            <w:pPr>
              <w:pStyle w:val="31"/>
              <w:bidi w:val="0"/>
              <w:rPr>
                <w:rFonts w:hint="default"/>
                <w:lang w:val="en-US" w:eastAsia="zh-CN"/>
              </w:rPr>
            </w:pPr>
            <w:r>
              <w:rPr>
                <w:rFonts w:hint="eastAsia"/>
                <w:lang w:val="en-US" w:eastAsia="zh-CN"/>
              </w:rPr>
              <w:t>500</w:t>
            </w:r>
          </w:p>
        </w:tc>
        <w:tc>
          <w:tcPr>
            <w:tcW w:w="1796" w:type="dxa"/>
            <w:noWrap w:val="0"/>
            <w:vAlign w:val="center"/>
          </w:tcPr>
          <w:p w14:paraId="60547797">
            <w:pPr>
              <w:pStyle w:val="31"/>
              <w:bidi w:val="0"/>
              <w:rPr>
                <w:rFonts w:hint="eastAsia"/>
                <w:lang w:val="en-US" w:eastAsia="zh-CN"/>
              </w:rPr>
            </w:pPr>
            <w:r>
              <w:rPr>
                <w:rFonts w:hint="eastAsia"/>
                <w:lang w:val="en-US" w:eastAsia="zh-CN"/>
              </w:rPr>
              <w:t xml:space="preserve">1.7 </w:t>
            </w:r>
          </w:p>
        </w:tc>
      </w:tr>
    </w:tbl>
    <w:p w14:paraId="6C7A678A">
      <w:pPr>
        <w:pStyle w:val="21"/>
        <w:bidi w:val="0"/>
        <w:rPr>
          <w:rFonts w:hint="eastAsia"/>
          <w:lang w:val="en-US" w:eastAsia="zh-CN"/>
        </w:rPr>
      </w:pPr>
      <w:r>
        <w:rPr>
          <w:rFonts w:hint="eastAsia"/>
          <w:lang w:val="en-US" w:eastAsia="zh-CN"/>
        </w:rPr>
        <w:t>根据我国类似矿山充填实际经验，当充填倍线大于4时，充填料需通过加压泵送至充填采场。</w:t>
      </w:r>
    </w:p>
    <w:p w14:paraId="5607A3C7">
      <w:pPr>
        <w:pStyle w:val="21"/>
        <w:bidi w:val="0"/>
        <w:rPr>
          <w:rFonts w:hint="eastAsia"/>
          <w:lang w:val="en-US" w:eastAsia="zh-CN"/>
        </w:rPr>
      </w:pPr>
      <w:r>
        <w:rPr>
          <w:rFonts w:hint="eastAsia"/>
          <w:lang w:val="en-US" w:eastAsia="zh-CN"/>
        </w:rPr>
        <w:t>②充填钻孔管路</w:t>
      </w:r>
    </w:p>
    <w:p w14:paraId="243D5FAD">
      <w:pPr>
        <w:pStyle w:val="21"/>
        <w:bidi w:val="0"/>
        <w:rPr>
          <w:rFonts w:hint="default"/>
          <w:lang w:val="en-US" w:eastAsia="zh-CN"/>
        </w:rPr>
      </w:pPr>
      <w:r>
        <w:rPr>
          <w:rFonts w:hint="default"/>
          <w:lang w:val="en-US" w:eastAsia="zh-CN"/>
        </w:rPr>
        <w:t>考虑管道磨损、维修更换等因素，充填钻孔管路选用Φ1</w:t>
      </w:r>
      <w:r>
        <w:rPr>
          <w:rFonts w:hint="eastAsia"/>
          <w:lang w:val="en-US" w:eastAsia="zh-CN"/>
        </w:rPr>
        <w:t>68</w:t>
      </w:r>
      <w:r>
        <w:rPr>
          <w:rFonts w:hint="default"/>
          <w:lang w:val="en-US" w:eastAsia="zh-CN"/>
        </w:rPr>
        <w:t>×（6+8）mm</w:t>
      </w:r>
      <w:r>
        <w:rPr>
          <w:rFonts w:hint="eastAsia"/>
          <w:lang w:val="en-US" w:eastAsia="zh-CN"/>
        </w:rPr>
        <w:t>双金属复合管</w:t>
      </w:r>
      <w:r>
        <w:rPr>
          <w:rFonts w:hint="default"/>
          <w:lang w:val="en-US" w:eastAsia="zh-CN"/>
        </w:rPr>
        <w:t>，管道内径1</w:t>
      </w:r>
      <w:r>
        <w:rPr>
          <w:rFonts w:hint="eastAsia"/>
          <w:lang w:val="en-US" w:eastAsia="zh-CN"/>
        </w:rPr>
        <w:t>40</w:t>
      </w:r>
      <w:r>
        <w:rPr>
          <w:rFonts w:hint="default"/>
          <w:lang w:val="en-US" w:eastAsia="zh-CN"/>
        </w:rPr>
        <w:t>mm，聚氨酯层厚度为6mm，钢管壁厚8mm。</w:t>
      </w:r>
    </w:p>
    <w:p w14:paraId="14B699BF">
      <w:pPr>
        <w:pStyle w:val="21"/>
        <w:bidi w:val="0"/>
        <w:rPr>
          <w:rFonts w:hint="eastAsia"/>
          <w:lang w:val="en-US" w:eastAsia="zh-CN"/>
        </w:rPr>
      </w:pPr>
      <w:r>
        <w:rPr>
          <w:rFonts w:hint="eastAsia"/>
          <w:lang w:val="en-US" w:eastAsia="zh-CN"/>
        </w:rPr>
        <w:t>③中段充填管</w:t>
      </w:r>
    </w:p>
    <w:p w14:paraId="7C265D07">
      <w:pPr>
        <w:pStyle w:val="21"/>
        <w:bidi w:val="0"/>
        <w:rPr>
          <w:rFonts w:hint="eastAsia"/>
          <w:lang w:val="en-US" w:eastAsia="zh-CN"/>
        </w:rPr>
      </w:pPr>
      <w:r>
        <w:rPr>
          <w:rFonts w:hint="eastAsia"/>
          <w:lang w:val="en-US" w:eastAsia="zh-CN"/>
        </w:rPr>
        <w:t>矿山采矿方法为嗣后充填采矿法，中段高50m，中段充填管路服务时间长、拆卸移动不频繁。综合考虑流体对管道的压力、安装搬运的劳动强度、维修便利、投资费用等因素，设计推荐中段充填管采用Φ133×8mm超高分子量聚乙烯耐磨管。</w:t>
      </w:r>
    </w:p>
    <w:p w14:paraId="5F72EC74">
      <w:pPr>
        <w:pStyle w:val="21"/>
        <w:bidi w:val="0"/>
        <w:rPr>
          <w:rFonts w:hint="eastAsia"/>
          <w:lang w:val="en-US" w:eastAsia="zh-CN"/>
        </w:rPr>
      </w:pPr>
      <w:r>
        <w:rPr>
          <w:rFonts w:hint="eastAsia"/>
          <w:lang w:val="en-US" w:eastAsia="zh-CN"/>
        </w:rPr>
        <w:t>④采场充填软管</w:t>
      </w:r>
    </w:p>
    <w:p w14:paraId="6B9DE150">
      <w:pPr>
        <w:pStyle w:val="21"/>
        <w:bidi w:val="0"/>
        <w:rPr>
          <w:rFonts w:hint="eastAsia"/>
          <w:lang w:val="en-US" w:eastAsia="zh-CN"/>
        </w:rPr>
      </w:pPr>
      <w:r>
        <w:rPr>
          <w:rFonts w:hint="eastAsia"/>
          <w:lang w:val="en-US" w:eastAsia="zh-CN"/>
        </w:rPr>
        <w:t>进入充填采区的末端管路，选用φ108mm聚乙烯增强塑料管作为采场的分支管。</w:t>
      </w:r>
    </w:p>
    <w:p w14:paraId="5D9B8D23">
      <w:pPr>
        <w:pStyle w:val="21"/>
        <w:bidi w:val="0"/>
        <w:rPr>
          <w:rFonts w:hint="default"/>
          <w:lang w:val="en-US" w:eastAsia="zh-CN"/>
        </w:rPr>
      </w:pPr>
      <w:r>
        <w:rPr>
          <w:rFonts w:hint="eastAsia"/>
          <w:lang w:val="en-US" w:eastAsia="zh-CN"/>
        </w:rPr>
        <w:t>（6）</w:t>
      </w:r>
      <w:r>
        <w:rPr>
          <w:rFonts w:hint="eastAsia"/>
          <w:color w:val="auto"/>
          <w:lang w:val="en-US" w:eastAsia="zh-CN"/>
        </w:rPr>
        <w:t>充填系统主要设备</w:t>
      </w:r>
    </w:p>
    <w:p w14:paraId="65839B42">
      <w:pPr>
        <w:pStyle w:val="30"/>
        <w:bidi w:val="0"/>
        <w:rPr>
          <w:rFonts w:hint="default"/>
          <w:lang w:val="en-US" w:eastAsia="zh-CN"/>
        </w:rPr>
      </w:pPr>
      <w:r>
        <w:rPr>
          <w:rFonts w:hint="default"/>
        </w:rPr>
        <w:t>表</w:t>
      </w:r>
      <w:r>
        <w:rPr>
          <w:rFonts w:hint="eastAsia"/>
          <w:lang w:val="en-US" w:eastAsia="zh-CN"/>
        </w:rPr>
        <w:t>2.4</w:t>
      </w:r>
      <w:r>
        <w:rPr>
          <w:rFonts w:hint="default"/>
        </w:rPr>
        <w:t>-</w:t>
      </w:r>
      <w:r>
        <w:rPr>
          <w:rFonts w:hint="eastAsia"/>
          <w:lang w:val="en-US" w:eastAsia="zh-CN"/>
        </w:rPr>
        <w:t>5  充填系统主要设备表</w:t>
      </w:r>
    </w:p>
    <w:tbl>
      <w:tblPr>
        <w:tblStyle w:val="42"/>
        <w:tblW w:w="5058"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09"/>
        <w:gridCol w:w="2471"/>
        <w:gridCol w:w="1996"/>
        <w:gridCol w:w="698"/>
        <w:gridCol w:w="539"/>
        <w:gridCol w:w="509"/>
        <w:gridCol w:w="1339"/>
        <w:gridCol w:w="1341"/>
      </w:tblGrid>
      <w:tr w14:paraId="7E635E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6" w:hRule="atLeast"/>
        </w:trPr>
        <w:tc>
          <w:tcPr>
            <w:tcW w:w="220" w:type="pct"/>
            <w:vMerge w:val="restart"/>
            <w:tcBorders>
              <w:left w:val="single" w:color="000000" w:sz="6" w:space="0"/>
              <w:bottom w:val="nil"/>
            </w:tcBorders>
            <w:noWrap w:val="0"/>
            <w:vAlign w:val="center"/>
          </w:tcPr>
          <w:p w14:paraId="3D17B3EC">
            <w:pPr>
              <w:pStyle w:val="31"/>
              <w:bidi w:val="0"/>
            </w:pPr>
            <w:r>
              <w:t>序号</w:t>
            </w:r>
          </w:p>
        </w:tc>
        <w:tc>
          <w:tcPr>
            <w:tcW w:w="1327" w:type="pct"/>
            <w:vMerge w:val="restart"/>
            <w:tcBorders>
              <w:bottom w:val="nil"/>
            </w:tcBorders>
            <w:noWrap w:val="0"/>
            <w:vAlign w:val="center"/>
          </w:tcPr>
          <w:p w14:paraId="4ADB8B4B">
            <w:pPr>
              <w:pStyle w:val="31"/>
              <w:bidi w:val="0"/>
            </w:pPr>
            <w:r>
              <w:t>设备设施名称</w:t>
            </w:r>
          </w:p>
        </w:tc>
        <w:tc>
          <w:tcPr>
            <w:tcW w:w="1072" w:type="pct"/>
            <w:vMerge w:val="restart"/>
            <w:tcBorders>
              <w:bottom w:val="nil"/>
            </w:tcBorders>
            <w:noWrap w:val="0"/>
            <w:vAlign w:val="center"/>
          </w:tcPr>
          <w:p w14:paraId="59524A69">
            <w:pPr>
              <w:pStyle w:val="31"/>
              <w:bidi w:val="0"/>
            </w:pPr>
            <w:r>
              <w:t>规格、型号</w:t>
            </w:r>
          </w:p>
        </w:tc>
        <w:tc>
          <w:tcPr>
            <w:tcW w:w="375" w:type="pct"/>
            <w:vMerge w:val="restart"/>
            <w:tcBorders>
              <w:bottom w:val="nil"/>
            </w:tcBorders>
            <w:noWrap w:val="0"/>
            <w:textDirection w:val="tbRlV"/>
            <w:vAlign w:val="center"/>
          </w:tcPr>
          <w:p w14:paraId="5A4CEBBE">
            <w:pPr>
              <w:pStyle w:val="31"/>
              <w:bidi w:val="0"/>
            </w:pPr>
            <w:r>
              <w:t>单  位</w:t>
            </w:r>
          </w:p>
        </w:tc>
        <w:tc>
          <w:tcPr>
            <w:tcW w:w="564" w:type="pct"/>
            <w:gridSpan w:val="2"/>
            <w:noWrap w:val="0"/>
            <w:vAlign w:val="center"/>
          </w:tcPr>
          <w:p w14:paraId="543DA1F2">
            <w:pPr>
              <w:pStyle w:val="31"/>
              <w:bidi w:val="0"/>
            </w:pPr>
            <w:r>
              <w:t>数量</w:t>
            </w:r>
          </w:p>
        </w:tc>
        <w:tc>
          <w:tcPr>
            <w:tcW w:w="1439" w:type="pct"/>
            <w:gridSpan w:val="2"/>
            <w:noWrap w:val="0"/>
            <w:vAlign w:val="center"/>
          </w:tcPr>
          <w:p w14:paraId="12208271">
            <w:pPr>
              <w:pStyle w:val="31"/>
              <w:bidi w:val="0"/>
            </w:pPr>
            <w:r>
              <w:t>设备功率/kW</w:t>
            </w:r>
          </w:p>
        </w:tc>
      </w:tr>
      <w:tr w14:paraId="776CDB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1" w:hRule="atLeast"/>
        </w:trPr>
        <w:tc>
          <w:tcPr>
            <w:tcW w:w="220" w:type="pct"/>
            <w:vMerge w:val="continue"/>
            <w:tcBorders>
              <w:top w:val="nil"/>
              <w:left w:val="single" w:color="000000" w:sz="6" w:space="0"/>
            </w:tcBorders>
            <w:noWrap w:val="0"/>
            <w:vAlign w:val="center"/>
          </w:tcPr>
          <w:p w14:paraId="6035C619">
            <w:pPr>
              <w:pStyle w:val="31"/>
              <w:bidi w:val="0"/>
            </w:pPr>
          </w:p>
        </w:tc>
        <w:tc>
          <w:tcPr>
            <w:tcW w:w="1327" w:type="pct"/>
            <w:vMerge w:val="continue"/>
            <w:tcBorders>
              <w:top w:val="nil"/>
            </w:tcBorders>
            <w:noWrap w:val="0"/>
            <w:vAlign w:val="center"/>
          </w:tcPr>
          <w:p w14:paraId="48C431CD">
            <w:pPr>
              <w:pStyle w:val="31"/>
              <w:bidi w:val="0"/>
            </w:pPr>
          </w:p>
        </w:tc>
        <w:tc>
          <w:tcPr>
            <w:tcW w:w="1072" w:type="pct"/>
            <w:vMerge w:val="continue"/>
            <w:tcBorders>
              <w:top w:val="nil"/>
            </w:tcBorders>
            <w:noWrap w:val="0"/>
            <w:vAlign w:val="center"/>
          </w:tcPr>
          <w:p w14:paraId="328796A2">
            <w:pPr>
              <w:pStyle w:val="31"/>
              <w:bidi w:val="0"/>
            </w:pPr>
          </w:p>
        </w:tc>
        <w:tc>
          <w:tcPr>
            <w:tcW w:w="375" w:type="pct"/>
            <w:vMerge w:val="continue"/>
            <w:tcBorders>
              <w:top w:val="nil"/>
            </w:tcBorders>
            <w:noWrap w:val="0"/>
            <w:textDirection w:val="tbRlV"/>
            <w:vAlign w:val="center"/>
          </w:tcPr>
          <w:p w14:paraId="219D79D9">
            <w:pPr>
              <w:pStyle w:val="31"/>
              <w:bidi w:val="0"/>
            </w:pPr>
          </w:p>
        </w:tc>
        <w:tc>
          <w:tcPr>
            <w:tcW w:w="290" w:type="pct"/>
            <w:noWrap w:val="0"/>
            <w:vAlign w:val="center"/>
          </w:tcPr>
          <w:p w14:paraId="59D92976">
            <w:pPr>
              <w:pStyle w:val="31"/>
              <w:bidi w:val="0"/>
            </w:pPr>
            <w:r>
              <w:t>总的</w:t>
            </w:r>
          </w:p>
        </w:tc>
        <w:tc>
          <w:tcPr>
            <w:tcW w:w="273" w:type="pct"/>
            <w:noWrap w:val="0"/>
            <w:vAlign w:val="center"/>
          </w:tcPr>
          <w:p w14:paraId="5D16CDB2">
            <w:pPr>
              <w:pStyle w:val="31"/>
              <w:bidi w:val="0"/>
            </w:pPr>
            <w:r>
              <w:t>工作的</w:t>
            </w:r>
          </w:p>
        </w:tc>
        <w:tc>
          <w:tcPr>
            <w:tcW w:w="719" w:type="pct"/>
            <w:noWrap w:val="0"/>
            <w:vAlign w:val="center"/>
          </w:tcPr>
          <w:p w14:paraId="6DD9CE16">
            <w:pPr>
              <w:pStyle w:val="31"/>
              <w:bidi w:val="0"/>
            </w:pPr>
            <w:r>
              <w:t>总的</w:t>
            </w:r>
          </w:p>
        </w:tc>
        <w:tc>
          <w:tcPr>
            <w:tcW w:w="720" w:type="pct"/>
            <w:noWrap w:val="0"/>
            <w:vAlign w:val="center"/>
          </w:tcPr>
          <w:p w14:paraId="79F24DA5">
            <w:pPr>
              <w:pStyle w:val="31"/>
              <w:bidi w:val="0"/>
            </w:pPr>
            <w:r>
              <w:t>工作的</w:t>
            </w:r>
          </w:p>
        </w:tc>
      </w:tr>
      <w:tr w14:paraId="512A47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1" w:hRule="atLeast"/>
        </w:trPr>
        <w:tc>
          <w:tcPr>
            <w:tcW w:w="220" w:type="pct"/>
            <w:tcBorders>
              <w:left w:val="single" w:color="000000" w:sz="6" w:space="0"/>
            </w:tcBorders>
            <w:noWrap w:val="0"/>
            <w:vAlign w:val="center"/>
          </w:tcPr>
          <w:p w14:paraId="6F83BB18">
            <w:pPr>
              <w:pStyle w:val="31"/>
              <w:bidi w:val="0"/>
              <w:rPr>
                <w:lang w:val="en-US" w:eastAsia="zh-CN"/>
              </w:rPr>
            </w:pPr>
            <w:r>
              <w:rPr>
                <w:rFonts w:hint="eastAsia"/>
                <w:lang w:val="en-US" w:eastAsia="zh-CN"/>
              </w:rPr>
              <w:t>一</w:t>
            </w:r>
          </w:p>
        </w:tc>
        <w:tc>
          <w:tcPr>
            <w:tcW w:w="1327" w:type="pct"/>
            <w:noWrap w:val="0"/>
            <w:vAlign w:val="center"/>
          </w:tcPr>
          <w:p w14:paraId="7702390D">
            <w:pPr>
              <w:pStyle w:val="31"/>
              <w:bidi w:val="0"/>
              <w:rPr>
                <w:rFonts w:hint="eastAsia"/>
                <w:lang w:val="en-US" w:eastAsia="zh-CN"/>
              </w:rPr>
            </w:pPr>
            <w:r>
              <w:rPr>
                <w:rFonts w:hint="eastAsia"/>
                <w:lang w:val="en-US" w:eastAsia="zh-CN"/>
              </w:rPr>
              <w:t>尾矿浆浓密脱水系统</w:t>
            </w:r>
          </w:p>
        </w:tc>
        <w:tc>
          <w:tcPr>
            <w:tcW w:w="1072" w:type="pct"/>
            <w:noWrap w:val="0"/>
            <w:vAlign w:val="center"/>
          </w:tcPr>
          <w:p w14:paraId="4A63DD49">
            <w:pPr>
              <w:pStyle w:val="31"/>
              <w:bidi w:val="0"/>
              <w:rPr>
                <w:rFonts w:hint="eastAsia"/>
              </w:rPr>
            </w:pPr>
          </w:p>
        </w:tc>
        <w:tc>
          <w:tcPr>
            <w:tcW w:w="375" w:type="pct"/>
            <w:noWrap w:val="0"/>
            <w:vAlign w:val="center"/>
          </w:tcPr>
          <w:p w14:paraId="61161401">
            <w:pPr>
              <w:pStyle w:val="31"/>
              <w:bidi w:val="0"/>
              <w:rPr>
                <w:rFonts w:hint="eastAsia"/>
              </w:rPr>
            </w:pPr>
          </w:p>
        </w:tc>
        <w:tc>
          <w:tcPr>
            <w:tcW w:w="290" w:type="pct"/>
            <w:noWrap w:val="0"/>
            <w:vAlign w:val="center"/>
          </w:tcPr>
          <w:p w14:paraId="09157604">
            <w:pPr>
              <w:pStyle w:val="31"/>
              <w:bidi w:val="0"/>
              <w:rPr>
                <w:rFonts w:hint="eastAsia"/>
              </w:rPr>
            </w:pPr>
          </w:p>
        </w:tc>
        <w:tc>
          <w:tcPr>
            <w:tcW w:w="273" w:type="pct"/>
            <w:noWrap w:val="0"/>
            <w:vAlign w:val="center"/>
          </w:tcPr>
          <w:p w14:paraId="2064BF84">
            <w:pPr>
              <w:pStyle w:val="31"/>
              <w:bidi w:val="0"/>
              <w:rPr>
                <w:rFonts w:hint="eastAsia"/>
              </w:rPr>
            </w:pPr>
          </w:p>
        </w:tc>
        <w:tc>
          <w:tcPr>
            <w:tcW w:w="719" w:type="pct"/>
            <w:noWrap w:val="0"/>
            <w:vAlign w:val="center"/>
          </w:tcPr>
          <w:p w14:paraId="23C8F9DF">
            <w:pPr>
              <w:pStyle w:val="31"/>
              <w:bidi w:val="0"/>
              <w:rPr>
                <w:rFonts w:hint="eastAsia"/>
              </w:rPr>
            </w:pPr>
          </w:p>
        </w:tc>
        <w:tc>
          <w:tcPr>
            <w:tcW w:w="720" w:type="pct"/>
            <w:noWrap w:val="0"/>
            <w:vAlign w:val="center"/>
          </w:tcPr>
          <w:p w14:paraId="727BB542">
            <w:pPr>
              <w:pStyle w:val="31"/>
              <w:bidi w:val="0"/>
              <w:rPr>
                <w:rFonts w:hint="eastAsia"/>
              </w:rPr>
            </w:pPr>
          </w:p>
        </w:tc>
      </w:tr>
      <w:tr w14:paraId="4FDF87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1" w:hRule="atLeast"/>
        </w:trPr>
        <w:tc>
          <w:tcPr>
            <w:tcW w:w="220" w:type="pct"/>
            <w:tcBorders>
              <w:left w:val="single" w:color="000000" w:sz="6" w:space="0"/>
            </w:tcBorders>
            <w:noWrap w:val="0"/>
            <w:vAlign w:val="center"/>
          </w:tcPr>
          <w:p w14:paraId="71F72503">
            <w:pPr>
              <w:pStyle w:val="31"/>
              <w:bidi w:val="0"/>
              <w:rPr>
                <w:rFonts w:hint="eastAsia"/>
                <w:lang w:val="en-US" w:eastAsia="zh-CN"/>
              </w:rPr>
            </w:pPr>
            <w:r>
              <w:rPr>
                <w:rFonts w:hint="eastAsia"/>
                <w:lang w:val="en-US" w:eastAsia="zh-CN"/>
              </w:rPr>
              <w:t>1</w:t>
            </w:r>
          </w:p>
        </w:tc>
        <w:tc>
          <w:tcPr>
            <w:tcW w:w="1327" w:type="pct"/>
            <w:noWrap w:val="0"/>
            <w:vAlign w:val="center"/>
          </w:tcPr>
          <w:p w14:paraId="6445C92F">
            <w:pPr>
              <w:pStyle w:val="31"/>
              <w:bidi w:val="0"/>
              <w:rPr>
                <w:rFonts w:hint="eastAsia"/>
                <w:lang w:val="en-US" w:eastAsia="zh-CN"/>
              </w:rPr>
            </w:pPr>
            <w:r>
              <w:rPr>
                <w:rFonts w:hint="eastAsia"/>
                <w:lang w:val="en-US" w:eastAsia="zh-CN"/>
              </w:rPr>
              <w:t>深锥浓密机系统</w:t>
            </w:r>
          </w:p>
        </w:tc>
        <w:tc>
          <w:tcPr>
            <w:tcW w:w="1072" w:type="pct"/>
            <w:noWrap w:val="0"/>
            <w:vAlign w:val="center"/>
          </w:tcPr>
          <w:p w14:paraId="54E4C26A">
            <w:pPr>
              <w:pStyle w:val="31"/>
              <w:bidi w:val="0"/>
              <w:rPr>
                <w:rFonts w:hint="eastAsia"/>
              </w:rPr>
            </w:pPr>
          </w:p>
        </w:tc>
        <w:tc>
          <w:tcPr>
            <w:tcW w:w="375" w:type="pct"/>
            <w:noWrap w:val="0"/>
            <w:vAlign w:val="center"/>
          </w:tcPr>
          <w:p w14:paraId="76D71991">
            <w:pPr>
              <w:pStyle w:val="31"/>
              <w:bidi w:val="0"/>
              <w:rPr>
                <w:rFonts w:hint="eastAsia"/>
              </w:rPr>
            </w:pPr>
          </w:p>
        </w:tc>
        <w:tc>
          <w:tcPr>
            <w:tcW w:w="290" w:type="pct"/>
            <w:noWrap w:val="0"/>
            <w:vAlign w:val="center"/>
          </w:tcPr>
          <w:p w14:paraId="29418D4C">
            <w:pPr>
              <w:pStyle w:val="31"/>
              <w:bidi w:val="0"/>
              <w:rPr>
                <w:rFonts w:hint="eastAsia"/>
              </w:rPr>
            </w:pPr>
          </w:p>
        </w:tc>
        <w:tc>
          <w:tcPr>
            <w:tcW w:w="273" w:type="pct"/>
            <w:noWrap w:val="0"/>
            <w:vAlign w:val="center"/>
          </w:tcPr>
          <w:p w14:paraId="7938F582">
            <w:pPr>
              <w:pStyle w:val="31"/>
              <w:bidi w:val="0"/>
              <w:rPr>
                <w:rFonts w:hint="eastAsia"/>
              </w:rPr>
            </w:pPr>
          </w:p>
        </w:tc>
        <w:tc>
          <w:tcPr>
            <w:tcW w:w="719" w:type="pct"/>
            <w:noWrap w:val="0"/>
            <w:vAlign w:val="center"/>
          </w:tcPr>
          <w:p w14:paraId="3F1FE3F4">
            <w:pPr>
              <w:pStyle w:val="31"/>
              <w:bidi w:val="0"/>
              <w:rPr>
                <w:rFonts w:hint="default"/>
                <w:lang w:val="en-US" w:eastAsia="zh-CN"/>
              </w:rPr>
            </w:pPr>
            <w:r>
              <w:rPr>
                <w:rFonts w:hint="eastAsia"/>
                <w:lang w:val="en-US" w:eastAsia="zh-CN"/>
              </w:rPr>
              <w:t>172</w:t>
            </w:r>
          </w:p>
        </w:tc>
        <w:tc>
          <w:tcPr>
            <w:tcW w:w="720" w:type="pct"/>
            <w:noWrap w:val="0"/>
            <w:vAlign w:val="center"/>
          </w:tcPr>
          <w:p w14:paraId="3894BAE6">
            <w:pPr>
              <w:pStyle w:val="31"/>
              <w:bidi w:val="0"/>
              <w:rPr>
                <w:rFonts w:hint="eastAsia"/>
                <w:lang w:val="en-US" w:eastAsia="zh-CN"/>
              </w:rPr>
            </w:pPr>
            <w:r>
              <w:rPr>
                <w:rFonts w:hint="eastAsia"/>
                <w:lang w:val="en-US" w:eastAsia="zh-CN"/>
              </w:rPr>
              <w:t>112</w:t>
            </w:r>
          </w:p>
        </w:tc>
      </w:tr>
      <w:tr w14:paraId="6F09DB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9" w:hRule="atLeast"/>
        </w:trPr>
        <w:tc>
          <w:tcPr>
            <w:tcW w:w="220" w:type="pct"/>
            <w:tcBorders>
              <w:left w:val="single" w:color="000000" w:sz="6" w:space="0"/>
            </w:tcBorders>
            <w:noWrap w:val="0"/>
            <w:vAlign w:val="center"/>
          </w:tcPr>
          <w:p w14:paraId="3FC9B908">
            <w:pPr>
              <w:pStyle w:val="31"/>
              <w:bidi w:val="0"/>
              <w:rPr>
                <w:rFonts w:hint="eastAsia"/>
                <w:lang w:val="en-US" w:eastAsia="zh-CN"/>
              </w:rPr>
            </w:pPr>
            <w:bookmarkStart w:id="19" w:name="OLE_LINK96" w:colFirst="1" w:colLast="2"/>
            <w:r>
              <w:rPr>
                <w:rFonts w:hint="eastAsia"/>
                <w:lang w:val="en-US" w:eastAsia="zh-CN"/>
              </w:rPr>
              <w:t>1.1</w:t>
            </w:r>
          </w:p>
        </w:tc>
        <w:tc>
          <w:tcPr>
            <w:tcW w:w="1327" w:type="pct"/>
            <w:noWrap w:val="0"/>
            <w:vAlign w:val="center"/>
          </w:tcPr>
          <w:p w14:paraId="484A0AA4">
            <w:pPr>
              <w:pStyle w:val="31"/>
              <w:bidi w:val="0"/>
              <w:rPr>
                <w:rFonts w:hint="eastAsia"/>
                <w:lang w:val="en-US" w:eastAsia="zh-CN"/>
              </w:rPr>
            </w:pPr>
            <w:r>
              <w:rPr>
                <w:rFonts w:hint="eastAsia"/>
                <w:lang w:val="en-US" w:eastAsia="zh-CN"/>
              </w:rPr>
              <w:t>深锥浓密机</w:t>
            </w:r>
          </w:p>
        </w:tc>
        <w:tc>
          <w:tcPr>
            <w:tcW w:w="1072" w:type="pct"/>
            <w:noWrap w:val="0"/>
            <w:vAlign w:val="center"/>
          </w:tcPr>
          <w:p w14:paraId="0B6A9867">
            <w:pPr>
              <w:pStyle w:val="31"/>
              <w:bidi w:val="0"/>
              <w:rPr>
                <w:lang w:val="en-US" w:eastAsia="zh-CN"/>
              </w:rPr>
            </w:pPr>
            <w:r>
              <w:rPr>
                <w:rFonts w:hint="default"/>
                <w:lang w:val="en-US" w:eastAsia="zh-CN"/>
              </w:rPr>
              <w:t>Ø</w:t>
            </w:r>
            <w:r>
              <w:rPr>
                <w:rFonts w:hint="eastAsia"/>
                <w:lang w:val="en-US" w:eastAsia="zh-CN"/>
              </w:rPr>
              <w:t>14m</w:t>
            </w:r>
          </w:p>
        </w:tc>
        <w:tc>
          <w:tcPr>
            <w:tcW w:w="375" w:type="pct"/>
            <w:noWrap w:val="0"/>
            <w:vAlign w:val="center"/>
          </w:tcPr>
          <w:p w14:paraId="74706B4E">
            <w:pPr>
              <w:pStyle w:val="31"/>
              <w:bidi w:val="0"/>
              <w:rPr>
                <w:rFonts w:hint="eastAsia"/>
                <w:lang w:val="en-US" w:eastAsia="zh-CN"/>
              </w:rPr>
            </w:pPr>
            <w:r>
              <w:rPr>
                <w:rFonts w:hint="eastAsia"/>
                <w:lang w:val="en-US" w:eastAsia="zh-CN"/>
              </w:rPr>
              <w:t>台</w:t>
            </w:r>
          </w:p>
        </w:tc>
        <w:tc>
          <w:tcPr>
            <w:tcW w:w="290" w:type="pct"/>
            <w:noWrap w:val="0"/>
            <w:vAlign w:val="center"/>
          </w:tcPr>
          <w:p w14:paraId="433DC93C">
            <w:pPr>
              <w:pStyle w:val="31"/>
              <w:bidi w:val="0"/>
              <w:rPr>
                <w:rFonts w:hint="eastAsia"/>
                <w:lang w:val="en-US" w:eastAsia="zh-CN"/>
              </w:rPr>
            </w:pPr>
            <w:r>
              <w:rPr>
                <w:rFonts w:hint="eastAsia"/>
                <w:lang w:val="en-US" w:eastAsia="zh-CN"/>
              </w:rPr>
              <w:t>1</w:t>
            </w:r>
          </w:p>
        </w:tc>
        <w:tc>
          <w:tcPr>
            <w:tcW w:w="273" w:type="pct"/>
            <w:noWrap w:val="0"/>
            <w:vAlign w:val="center"/>
          </w:tcPr>
          <w:p w14:paraId="44F78889">
            <w:pPr>
              <w:pStyle w:val="31"/>
              <w:bidi w:val="0"/>
              <w:rPr>
                <w:rFonts w:hint="eastAsia"/>
                <w:lang w:val="en-US" w:eastAsia="zh-CN"/>
              </w:rPr>
            </w:pPr>
            <w:r>
              <w:rPr>
                <w:rFonts w:hint="eastAsia"/>
                <w:lang w:val="en-US" w:eastAsia="zh-CN"/>
              </w:rPr>
              <w:t>1</w:t>
            </w:r>
          </w:p>
        </w:tc>
        <w:tc>
          <w:tcPr>
            <w:tcW w:w="719" w:type="pct"/>
            <w:noWrap w:val="0"/>
            <w:vAlign w:val="center"/>
          </w:tcPr>
          <w:p w14:paraId="1701FC5A">
            <w:pPr>
              <w:pStyle w:val="31"/>
              <w:bidi w:val="0"/>
              <w:rPr>
                <w:rFonts w:hint="eastAsia"/>
                <w:lang w:val="en-US" w:eastAsia="zh-CN"/>
              </w:rPr>
            </w:pPr>
            <w:r>
              <w:rPr>
                <w:rFonts w:hint="eastAsia"/>
                <w:lang w:val="en-US" w:eastAsia="zh-CN"/>
              </w:rPr>
              <w:t>37</w:t>
            </w:r>
          </w:p>
        </w:tc>
        <w:tc>
          <w:tcPr>
            <w:tcW w:w="720" w:type="pct"/>
            <w:noWrap w:val="0"/>
            <w:vAlign w:val="center"/>
          </w:tcPr>
          <w:p w14:paraId="072CB56E">
            <w:pPr>
              <w:pStyle w:val="31"/>
              <w:bidi w:val="0"/>
              <w:rPr>
                <w:rFonts w:hint="eastAsia"/>
                <w:lang w:val="en-US" w:eastAsia="zh-CN"/>
              </w:rPr>
            </w:pPr>
            <w:r>
              <w:rPr>
                <w:rFonts w:hint="eastAsia"/>
                <w:lang w:val="en-US" w:eastAsia="zh-CN"/>
              </w:rPr>
              <w:t>37</w:t>
            </w:r>
          </w:p>
        </w:tc>
      </w:tr>
      <w:bookmarkEnd w:id="19"/>
      <w:tr w14:paraId="71EFD5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6" w:hRule="atLeast"/>
        </w:trPr>
        <w:tc>
          <w:tcPr>
            <w:tcW w:w="220" w:type="pct"/>
            <w:tcBorders>
              <w:left w:val="single" w:color="000000" w:sz="6" w:space="0"/>
            </w:tcBorders>
            <w:noWrap w:val="0"/>
            <w:vAlign w:val="center"/>
          </w:tcPr>
          <w:p w14:paraId="43694EF1">
            <w:pPr>
              <w:pStyle w:val="31"/>
              <w:bidi w:val="0"/>
              <w:rPr>
                <w:rFonts w:hint="eastAsia"/>
                <w:lang w:val="en-US" w:eastAsia="zh-CN"/>
              </w:rPr>
            </w:pPr>
            <w:r>
              <w:rPr>
                <w:rFonts w:hint="eastAsia"/>
                <w:lang w:val="en-US" w:eastAsia="zh-CN"/>
              </w:rPr>
              <w:t>1.2</w:t>
            </w:r>
          </w:p>
        </w:tc>
        <w:tc>
          <w:tcPr>
            <w:tcW w:w="1327" w:type="pct"/>
            <w:noWrap w:val="0"/>
            <w:vAlign w:val="center"/>
          </w:tcPr>
          <w:p w14:paraId="267F1BC7">
            <w:pPr>
              <w:pStyle w:val="31"/>
              <w:bidi w:val="0"/>
              <w:rPr>
                <w:rFonts w:hint="eastAsia"/>
                <w:lang w:val="en-US" w:eastAsia="zh-CN"/>
              </w:rPr>
            </w:pPr>
            <w:r>
              <w:rPr>
                <w:rFonts w:hint="eastAsia"/>
                <w:lang w:val="en-US" w:eastAsia="zh-CN"/>
              </w:rPr>
              <w:t>底流输送渣浆泵</w:t>
            </w:r>
          </w:p>
        </w:tc>
        <w:tc>
          <w:tcPr>
            <w:tcW w:w="1072" w:type="pct"/>
            <w:noWrap w:val="0"/>
            <w:vAlign w:val="center"/>
          </w:tcPr>
          <w:p w14:paraId="71118133">
            <w:pPr>
              <w:pStyle w:val="31"/>
              <w:bidi w:val="0"/>
              <w:rPr>
                <w:rFonts w:hint="eastAsia"/>
                <w:lang w:val="en-US" w:eastAsia="zh-CN"/>
              </w:rPr>
            </w:pPr>
            <w:r>
              <w:rPr>
                <w:rFonts w:hint="eastAsia"/>
                <w:lang w:val="en-US" w:eastAsia="zh-CN"/>
              </w:rPr>
              <w:t>膏体，浓度 68%～70%，流量100m³、扬程20m</w:t>
            </w:r>
          </w:p>
        </w:tc>
        <w:tc>
          <w:tcPr>
            <w:tcW w:w="375" w:type="pct"/>
            <w:noWrap w:val="0"/>
            <w:vAlign w:val="center"/>
          </w:tcPr>
          <w:p w14:paraId="42BD3853">
            <w:pPr>
              <w:pStyle w:val="31"/>
              <w:bidi w:val="0"/>
              <w:rPr>
                <w:rFonts w:hint="eastAsia"/>
                <w:lang w:val="en-US" w:eastAsia="zh-CN"/>
              </w:rPr>
            </w:pPr>
            <w:r>
              <w:rPr>
                <w:rFonts w:hint="eastAsia"/>
                <w:lang w:val="en-US" w:eastAsia="zh-CN"/>
              </w:rPr>
              <w:t>台</w:t>
            </w:r>
          </w:p>
        </w:tc>
        <w:tc>
          <w:tcPr>
            <w:tcW w:w="290" w:type="pct"/>
            <w:noWrap w:val="0"/>
            <w:vAlign w:val="center"/>
          </w:tcPr>
          <w:p w14:paraId="28982E1D">
            <w:pPr>
              <w:pStyle w:val="31"/>
              <w:bidi w:val="0"/>
              <w:rPr>
                <w:rFonts w:hint="eastAsia"/>
                <w:lang w:val="en-US" w:eastAsia="zh-CN"/>
              </w:rPr>
            </w:pPr>
            <w:r>
              <w:rPr>
                <w:rFonts w:hint="eastAsia"/>
                <w:lang w:val="en-US" w:eastAsia="zh-CN"/>
              </w:rPr>
              <w:t>2</w:t>
            </w:r>
          </w:p>
        </w:tc>
        <w:tc>
          <w:tcPr>
            <w:tcW w:w="273" w:type="pct"/>
            <w:noWrap w:val="0"/>
            <w:vAlign w:val="center"/>
          </w:tcPr>
          <w:p w14:paraId="41558AC5">
            <w:pPr>
              <w:pStyle w:val="31"/>
              <w:bidi w:val="0"/>
              <w:rPr>
                <w:rFonts w:hint="eastAsia"/>
                <w:lang w:val="en-US" w:eastAsia="zh-CN"/>
              </w:rPr>
            </w:pPr>
            <w:r>
              <w:rPr>
                <w:rFonts w:hint="eastAsia"/>
                <w:lang w:val="en-US" w:eastAsia="zh-CN"/>
              </w:rPr>
              <w:t>1</w:t>
            </w:r>
          </w:p>
        </w:tc>
        <w:tc>
          <w:tcPr>
            <w:tcW w:w="719" w:type="pct"/>
            <w:noWrap w:val="0"/>
            <w:vAlign w:val="center"/>
          </w:tcPr>
          <w:p w14:paraId="53E0EDE9">
            <w:pPr>
              <w:pStyle w:val="31"/>
              <w:bidi w:val="0"/>
              <w:rPr>
                <w:rFonts w:hint="eastAsia"/>
                <w:lang w:val="en-US" w:eastAsia="zh-CN"/>
              </w:rPr>
            </w:pPr>
            <w:r>
              <w:rPr>
                <w:rFonts w:hint="eastAsia"/>
                <w:lang w:val="en-US" w:eastAsia="zh-CN"/>
              </w:rPr>
              <w:t>60</w:t>
            </w:r>
          </w:p>
        </w:tc>
        <w:tc>
          <w:tcPr>
            <w:tcW w:w="720" w:type="pct"/>
            <w:noWrap w:val="0"/>
            <w:vAlign w:val="center"/>
          </w:tcPr>
          <w:p w14:paraId="0F7B43ED">
            <w:pPr>
              <w:pStyle w:val="31"/>
              <w:bidi w:val="0"/>
              <w:rPr>
                <w:rFonts w:hint="default"/>
                <w:lang w:val="en-US" w:eastAsia="zh-CN"/>
              </w:rPr>
            </w:pPr>
            <w:r>
              <w:rPr>
                <w:rFonts w:hint="eastAsia"/>
                <w:lang w:val="en-US" w:eastAsia="zh-CN"/>
              </w:rPr>
              <w:t>30</w:t>
            </w:r>
          </w:p>
        </w:tc>
      </w:tr>
      <w:tr w14:paraId="23DB65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6" w:hRule="atLeast"/>
        </w:trPr>
        <w:tc>
          <w:tcPr>
            <w:tcW w:w="220" w:type="pct"/>
            <w:tcBorders>
              <w:left w:val="single" w:color="000000" w:sz="6" w:space="0"/>
            </w:tcBorders>
            <w:noWrap w:val="0"/>
            <w:vAlign w:val="center"/>
          </w:tcPr>
          <w:p w14:paraId="2EE26102">
            <w:pPr>
              <w:pStyle w:val="31"/>
              <w:bidi w:val="0"/>
              <w:rPr>
                <w:rFonts w:hint="eastAsia"/>
                <w:lang w:val="en-US" w:eastAsia="zh-CN"/>
              </w:rPr>
            </w:pPr>
            <w:r>
              <w:rPr>
                <w:rFonts w:hint="eastAsia"/>
                <w:lang w:val="en-US" w:eastAsia="zh-CN"/>
              </w:rPr>
              <w:t>1.3</w:t>
            </w:r>
          </w:p>
        </w:tc>
        <w:tc>
          <w:tcPr>
            <w:tcW w:w="1327" w:type="pct"/>
            <w:noWrap w:val="0"/>
            <w:vAlign w:val="center"/>
          </w:tcPr>
          <w:p w14:paraId="561514FD">
            <w:pPr>
              <w:pStyle w:val="31"/>
              <w:bidi w:val="0"/>
              <w:rPr>
                <w:rFonts w:hint="eastAsia"/>
                <w:lang w:val="en-US" w:eastAsia="zh-CN"/>
              </w:rPr>
            </w:pPr>
            <w:r>
              <w:rPr>
                <w:rFonts w:hint="eastAsia"/>
                <w:lang w:val="en-US" w:eastAsia="zh-CN"/>
              </w:rPr>
              <w:t>内循环剪切渣浆泵</w:t>
            </w:r>
          </w:p>
        </w:tc>
        <w:tc>
          <w:tcPr>
            <w:tcW w:w="1072" w:type="pct"/>
            <w:noWrap w:val="0"/>
            <w:vAlign w:val="center"/>
          </w:tcPr>
          <w:p w14:paraId="65F87550">
            <w:pPr>
              <w:pStyle w:val="31"/>
              <w:bidi w:val="0"/>
              <w:rPr>
                <w:rFonts w:hint="eastAsia"/>
                <w:lang w:val="en-US" w:eastAsia="zh-CN"/>
              </w:rPr>
            </w:pPr>
            <w:r>
              <w:rPr>
                <w:rFonts w:hint="eastAsia"/>
                <w:lang w:val="en-US" w:eastAsia="zh-CN"/>
              </w:rPr>
              <w:t>膏体，浓度 68%～70%，流量100m³、扬程20m</w:t>
            </w:r>
          </w:p>
        </w:tc>
        <w:tc>
          <w:tcPr>
            <w:tcW w:w="375" w:type="pct"/>
            <w:noWrap w:val="0"/>
            <w:vAlign w:val="center"/>
          </w:tcPr>
          <w:p w14:paraId="11CD390B">
            <w:pPr>
              <w:pStyle w:val="31"/>
              <w:bidi w:val="0"/>
              <w:rPr>
                <w:rFonts w:hint="eastAsia"/>
                <w:lang w:val="en-US" w:eastAsia="zh-CN"/>
              </w:rPr>
            </w:pPr>
            <w:r>
              <w:rPr>
                <w:rFonts w:hint="eastAsia"/>
                <w:lang w:val="en-US" w:eastAsia="zh-CN"/>
              </w:rPr>
              <w:t>台</w:t>
            </w:r>
          </w:p>
        </w:tc>
        <w:tc>
          <w:tcPr>
            <w:tcW w:w="290" w:type="pct"/>
            <w:noWrap w:val="0"/>
            <w:vAlign w:val="center"/>
          </w:tcPr>
          <w:p w14:paraId="447D8CE6">
            <w:pPr>
              <w:pStyle w:val="31"/>
              <w:bidi w:val="0"/>
              <w:rPr>
                <w:rFonts w:hint="eastAsia"/>
                <w:lang w:val="en-US" w:eastAsia="zh-CN"/>
              </w:rPr>
            </w:pPr>
            <w:r>
              <w:rPr>
                <w:rFonts w:hint="eastAsia"/>
                <w:lang w:val="en-US" w:eastAsia="zh-CN"/>
              </w:rPr>
              <w:t>2</w:t>
            </w:r>
          </w:p>
        </w:tc>
        <w:tc>
          <w:tcPr>
            <w:tcW w:w="273" w:type="pct"/>
            <w:noWrap w:val="0"/>
            <w:vAlign w:val="center"/>
          </w:tcPr>
          <w:p w14:paraId="631B3379">
            <w:pPr>
              <w:pStyle w:val="31"/>
              <w:bidi w:val="0"/>
              <w:rPr>
                <w:rFonts w:hint="eastAsia"/>
                <w:lang w:val="en-US" w:eastAsia="zh-CN"/>
              </w:rPr>
            </w:pPr>
            <w:r>
              <w:rPr>
                <w:rFonts w:hint="eastAsia"/>
                <w:lang w:val="en-US" w:eastAsia="zh-CN"/>
              </w:rPr>
              <w:t>1</w:t>
            </w:r>
          </w:p>
        </w:tc>
        <w:tc>
          <w:tcPr>
            <w:tcW w:w="719" w:type="pct"/>
            <w:noWrap w:val="0"/>
            <w:vAlign w:val="center"/>
          </w:tcPr>
          <w:p w14:paraId="3ACAEA5E">
            <w:pPr>
              <w:pStyle w:val="31"/>
              <w:bidi w:val="0"/>
              <w:rPr>
                <w:rFonts w:hint="eastAsia"/>
                <w:lang w:val="en-US" w:eastAsia="zh-CN"/>
              </w:rPr>
            </w:pPr>
            <w:r>
              <w:rPr>
                <w:rFonts w:hint="eastAsia"/>
                <w:lang w:val="en-US" w:eastAsia="zh-CN"/>
              </w:rPr>
              <w:t>60</w:t>
            </w:r>
          </w:p>
        </w:tc>
        <w:tc>
          <w:tcPr>
            <w:tcW w:w="720" w:type="pct"/>
            <w:noWrap w:val="0"/>
            <w:vAlign w:val="center"/>
          </w:tcPr>
          <w:p w14:paraId="28D4177C">
            <w:pPr>
              <w:pStyle w:val="31"/>
              <w:bidi w:val="0"/>
              <w:rPr>
                <w:rFonts w:hint="eastAsia"/>
                <w:lang w:val="en-US" w:eastAsia="zh-CN"/>
              </w:rPr>
            </w:pPr>
            <w:r>
              <w:rPr>
                <w:rFonts w:hint="eastAsia"/>
                <w:lang w:val="en-US" w:eastAsia="zh-CN"/>
              </w:rPr>
              <w:t>30</w:t>
            </w:r>
          </w:p>
        </w:tc>
      </w:tr>
      <w:tr w14:paraId="049463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1" w:hRule="atLeast"/>
        </w:trPr>
        <w:tc>
          <w:tcPr>
            <w:tcW w:w="220" w:type="pct"/>
            <w:tcBorders>
              <w:left w:val="single" w:color="000000" w:sz="6" w:space="0"/>
            </w:tcBorders>
            <w:noWrap w:val="0"/>
            <w:vAlign w:val="center"/>
          </w:tcPr>
          <w:p w14:paraId="2720412B">
            <w:pPr>
              <w:pStyle w:val="31"/>
              <w:bidi w:val="0"/>
              <w:rPr>
                <w:rFonts w:hint="eastAsia"/>
                <w:lang w:val="en-US" w:eastAsia="zh-CN"/>
              </w:rPr>
            </w:pPr>
            <w:r>
              <w:rPr>
                <w:rFonts w:hint="eastAsia"/>
                <w:lang w:val="en-US" w:eastAsia="zh-CN"/>
              </w:rPr>
              <w:t>2</w:t>
            </w:r>
          </w:p>
        </w:tc>
        <w:tc>
          <w:tcPr>
            <w:tcW w:w="1327" w:type="pct"/>
            <w:noWrap w:val="0"/>
            <w:vAlign w:val="center"/>
          </w:tcPr>
          <w:p w14:paraId="32EF52F6">
            <w:pPr>
              <w:pStyle w:val="31"/>
              <w:bidi w:val="0"/>
              <w:rPr>
                <w:rFonts w:hint="eastAsia"/>
                <w:lang w:val="en-US" w:eastAsia="zh-CN"/>
              </w:rPr>
            </w:pPr>
            <w:r>
              <w:rPr>
                <w:rFonts w:hint="eastAsia"/>
                <w:lang w:val="en-US" w:eastAsia="zh-CN"/>
              </w:rPr>
              <w:t>絮凝剂制备、投加系统</w:t>
            </w:r>
          </w:p>
        </w:tc>
        <w:tc>
          <w:tcPr>
            <w:tcW w:w="1072" w:type="pct"/>
            <w:noWrap w:val="0"/>
            <w:vAlign w:val="center"/>
          </w:tcPr>
          <w:p w14:paraId="232C314D">
            <w:pPr>
              <w:pStyle w:val="31"/>
              <w:bidi w:val="0"/>
              <w:rPr>
                <w:rFonts w:hint="eastAsia"/>
                <w:lang w:val="en-US" w:eastAsia="zh-CN"/>
              </w:rPr>
            </w:pPr>
            <w:r>
              <w:rPr>
                <w:rFonts w:hint="eastAsia"/>
                <w:lang w:val="en-US" w:eastAsia="zh-CN"/>
              </w:rPr>
              <w:t>2m³ ，上下箱型</w:t>
            </w:r>
          </w:p>
        </w:tc>
        <w:tc>
          <w:tcPr>
            <w:tcW w:w="375" w:type="pct"/>
            <w:noWrap w:val="0"/>
            <w:vAlign w:val="center"/>
          </w:tcPr>
          <w:p w14:paraId="6749AA55">
            <w:pPr>
              <w:pStyle w:val="31"/>
              <w:bidi w:val="0"/>
              <w:rPr>
                <w:rFonts w:hint="eastAsia"/>
                <w:lang w:val="en-US" w:eastAsia="zh-CN"/>
              </w:rPr>
            </w:pPr>
            <w:r>
              <w:rPr>
                <w:rFonts w:hint="eastAsia"/>
                <w:lang w:val="en-US" w:eastAsia="zh-CN"/>
              </w:rPr>
              <w:t>套</w:t>
            </w:r>
          </w:p>
        </w:tc>
        <w:tc>
          <w:tcPr>
            <w:tcW w:w="290" w:type="pct"/>
            <w:noWrap w:val="0"/>
            <w:vAlign w:val="center"/>
          </w:tcPr>
          <w:p w14:paraId="658334B3">
            <w:pPr>
              <w:pStyle w:val="31"/>
              <w:bidi w:val="0"/>
              <w:rPr>
                <w:rFonts w:hint="eastAsia"/>
                <w:lang w:val="en-US" w:eastAsia="zh-CN"/>
              </w:rPr>
            </w:pPr>
            <w:r>
              <w:rPr>
                <w:rFonts w:hint="eastAsia"/>
                <w:lang w:val="en-US" w:eastAsia="zh-CN"/>
              </w:rPr>
              <w:t>1</w:t>
            </w:r>
          </w:p>
        </w:tc>
        <w:tc>
          <w:tcPr>
            <w:tcW w:w="273" w:type="pct"/>
            <w:noWrap w:val="0"/>
            <w:vAlign w:val="center"/>
          </w:tcPr>
          <w:p w14:paraId="6D764A4B">
            <w:pPr>
              <w:pStyle w:val="31"/>
              <w:bidi w:val="0"/>
              <w:rPr>
                <w:rFonts w:hint="eastAsia"/>
                <w:lang w:val="en-US" w:eastAsia="zh-CN"/>
              </w:rPr>
            </w:pPr>
            <w:r>
              <w:rPr>
                <w:rFonts w:hint="eastAsia"/>
                <w:lang w:val="en-US" w:eastAsia="zh-CN"/>
              </w:rPr>
              <w:t>1</w:t>
            </w:r>
          </w:p>
        </w:tc>
        <w:tc>
          <w:tcPr>
            <w:tcW w:w="719" w:type="pct"/>
            <w:noWrap w:val="0"/>
            <w:vAlign w:val="center"/>
          </w:tcPr>
          <w:p w14:paraId="1D74B590">
            <w:pPr>
              <w:pStyle w:val="31"/>
              <w:bidi w:val="0"/>
              <w:rPr>
                <w:rFonts w:hint="eastAsia"/>
                <w:lang w:val="en-US" w:eastAsia="zh-CN"/>
              </w:rPr>
            </w:pPr>
            <w:r>
              <w:rPr>
                <w:rFonts w:hint="eastAsia"/>
                <w:lang w:val="en-US" w:eastAsia="zh-CN"/>
              </w:rPr>
              <w:t>15</w:t>
            </w:r>
          </w:p>
        </w:tc>
        <w:tc>
          <w:tcPr>
            <w:tcW w:w="720" w:type="pct"/>
            <w:noWrap w:val="0"/>
            <w:vAlign w:val="center"/>
          </w:tcPr>
          <w:p w14:paraId="3BB298F2">
            <w:pPr>
              <w:pStyle w:val="31"/>
              <w:bidi w:val="0"/>
              <w:rPr>
                <w:rFonts w:hint="eastAsia"/>
                <w:lang w:val="en-US" w:eastAsia="zh-CN"/>
              </w:rPr>
            </w:pPr>
            <w:r>
              <w:rPr>
                <w:rFonts w:hint="eastAsia"/>
                <w:lang w:val="en-US" w:eastAsia="zh-CN"/>
              </w:rPr>
              <w:t>15</w:t>
            </w:r>
          </w:p>
        </w:tc>
      </w:tr>
      <w:tr w14:paraId="68C7C7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1" w:hRule="atLeast"/>
        </w:trPr>
        <w:tc>
          <w:tcPr>
            <w:tcW w:w="220" w:type="pct"/>
            <w:tcBorders>
              <w:left w:val="single" w:color="000000" w:sz="6" w:space="0"/>
            </w:tcBorders>
            <w:noWrap w:val="0"/>
            <w:vAlign w:val="center"/>
          </w:tcPr>
          <w:p w14:paraId="6653223A">
            <w:pPr>
              <w:pStyle w:val="31"/>
              <w:bidi w:val="0"/>
              <w:rPr>
                <w:rFonts w:hint="eastAsia"/>
                <w:lang w:val="en-US" w:eastAsia="zh-CN"/>
              </w:rPr>
            </w:pPr>
            <w:r>
              <w:rPr>
                <w:rFonts w:hint="eastAsia"/>
                <w:lang w:val="en-US" w:eastAsia="zh-CN"/>
              </w:rPr>
              <w:t>二</w:t>
            </w:r>
          </w:p>
        </w:tc>
        <w:tc>
          <w:tcPr>
            <w:tcW w:w="1327" w:type="pct"/>
            <w:noWrap w:val="0"/>
            <w:vAlign w:val="center"/>
          </w:tcPr>
          <w:p w14:paraId="5DEC777F">
            <w:pPr>
              <w:pStyle w:val="31"/>
              <w:bidi w:val="0"/>
              <w:rPr>
                <w:rFonts w:hint="eastAsia"/>
                <w:lang w:val="en-US" w:eastAsia="zh-CN"/>
              </w:rPr>
            </w:pPr>
            <w:r>
              <w:rPr>
                <w:rFonts w:hint="eastAsia"/>
                <w:lang w:val="en-US" w:eastAsia="zh-CN"/>
              </w:rPr>
              <w:t>水泥仓储及给料系统</w:t>
            </w:r>
          </w:p>
        </w:tc>
        <w:tc>
          <w:tcPr>
            <w:tcW w:w="1072" w:type="pct"/>
            <w:noWrap w:val="0"/>
            <w:vAlign w:val="center"/>
          </w:tcPr>
          <w:p w14:paraId="0C99788D">
            <w:pPr>
              <w:pStyle w:val="31"/>
              <w:bidi w:val="0"/>
              <w:rPr>
                <w:rFonts w:hint="eastAsia"/>
              </w:rPr>
            </w:pPr>
          </w:p>
        </w:tc>
        <w:tc>
          <w:tcPr>
            <w:tcW w:w="375" w:type="pct"/>
            <w:noWrap w:val="0"/>
            <w:vAlign w:val="center"/>
          </w:tcPr>
          <w:p w14:paraId="6EB038B6">
            <w:pPr>
              <w:pStyle w:val="31"/>
              <w:bidi w:val="0"/>
              <w:rPr>
                <w:rFonts w:hint="eastAsia"/>
              </w:rPr>
            </w:pPr>
          </w:p>
        </w:tc>
        <w:tc>
          <w:tcPr>
            <w:tcW w:w="290" w:type="pct"/>
            <w:noWrap w:val="0"/>
            <w:vAlign w:val="center"/>
          </w:tcPr>
          <w:p w14:paraId="7F677C89">
            <w:pPr>
              <w:pStyle w:val="31"/>
              <w:bidi w:val="0"/>
              <w:rPr>
                <w:rFonts w:hint="eastAsia"/>
              </w:rPr>
            </w:pPr>
          </w:p>
        </w:tc>
        <w:tc>
          <w:tcPr>
            <w:tcW w:w="273" w:type="pct"/>
            <w:noWrap w:val="0"/>
            <w:vAlign w:val="center"/>
          </w:tcPr>
          <w:p w14:paraId="7F0ED1EA">
            <w:pPr>
              <w:pStyle w:val="31"/>
              <w:bidi w:val="0"/>
              <w:rPr>
                <w:rFonts w:hint="eastAsia"/>
              </w:rPr>
            </w:pPr>
          </w:p>
        </w:tc>
        <w:tc>
          <w:tcPr>
            <w:tcW w:w="719" w:type="pct"/>
            <w:noWrap w:val="0"/>
            <w:vAlign w:val="center"/>
          </w:tcPr>
          <w:p w14:paraId="32005692">
            <w:pPr>
              <w:pStyle w:val="31"/>
              <w:bidi w:val="0"/>
              <w:rPr>
                <w:rFonts w:hint="eastAsia"/>
                <w:lang w:val="en-US" w:eastAsia="zh-CN"/>
              </w:rPr>
            </w:pPr>
            <w:r>
              <w:rPr>
                <w:rFonts w:hint="eastAsia"/>
                <w:lang w:val="en-US" w:eastAsia="zh-CN"/>
              </w:rPr>
              <w:t>46</w:t>
            </w:r>
          </w:p>
        </w:tc>
        <w:tc>
          <w:tcPr>
            <w:tcW w:w="720" w:type="pct"/>
            <w:noWrap w:val="0"/>
            <w:vAlign w:val="center"/>
          </w:tcPr>
          <w:p w14:paraId="61DBFDD9">
            <w:pPr>
              <w:pStyle w:val="31"/>
              <w:bidi w:val="0"/>
              <w:rPr>
                <w:rFonts w:hint="eastAsia"/>
                <w:lang w:val="en-US" w:eastAsia="zh-CN"/>
              </w:rPr>
            </w:pPr>
            <w:r>
              <w:rPr>
                <w:rFonts w:hint="eastAsia"/>
                <w:lang w:val="en-US" w:eastAsia="zh-CN"/>
              </w:rPr>
              <w:t>46</w:t>
            </w:r>
          </w:p>
        </w:tc>
      </w:tr>
      <w:tr w14:paraId="5D8605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1" w:hRule="atLeast"/>
        </w:trPr>
        <w:tc>
          <w:tcPr>
            <w:tcW w:w="220" w:type="pct"/>
            <w:tcBorders>
              <w:left w:val="single" w:color="000000" w:sz="6" w:space="0"/>
            </w:tcBorders>
            <w:noWrap w:val="0"/>
            <w:vAlign w:val="center"/>
          </w:tcPr>
          <w:p w14:paraId="75D7831A">
            <w:pPr>
              <w:pStyle w:val="31"/>
              <w:bidi w:val="0"/>
              <w:rPr>
                <w:rFonts w:hint="eastAsia"/>
                <w:lang w:val="en-US" w:eastAsia="zh-CN"/>
              </w:rPr>
            </w:pPr>
            <w:r>
              <w:rPr>
                <w:rFonts w:hint="eastAsia"/>
                <w:lang w:val="en-US" w:eastAsia="zh-CN"/>
              </w:rPr>
              <w:t>1</w:t>
            </w:r>
          </w:p>
        </w:tc>
        <w:tc>
          <w:tcPr>
            <w:tcW w:w="1327" w:type="pct"/>
            <w:noWrap w:val="0"/>
            <w:vAlign w:val="center"/>
          </w:tcPr>
          <w:p w14:paraId="2CBA1DEB">
            <w:pPr>
              <w:pStyle w:val="31"/>
              <w:bidi w:val="0"/>
              <w:rPr>
                <w:rFonts w:hint="eastAsia"/>
                <w:lang w:val="en-US" w:eastAsia="zh-CN"/>
              </w:rPr>
            </w:pPr>
            <w:r>
              <w:rPr>
                <w:rFonts w:hint="eastAsia"/>
                <w:lang w:val="en-US" w:eastAsia="zh-CN"/>
              </w:rPr>
              <w:t>脉冲式布袋除尘器</w:t>
            </w:r>
          </w:p>
        </w:tc>
        <w:tc>
          <w:tcPr>
            <w:tcW w:w="1072" w:type="pct"/>
            <w:noWrap w:val="0"/>
            <w:vAlign w:val="center"/>
          </w:tcPr>
          <w:p w14:paraId="2AC8F4CB">
            <w:pPr>
              <w:pStyle w:val="31"/>
              <w:bidi w:val="0"/>
              <w:rPr>
                <w:rFonts w:hint="eastAsia"/>
                <w:lang w:val="en-US" w:eastAsia="zh-CN"/>
              </w:rPr>
            </w:pPr>
            <w:r>
              <w:rPr>
                <w:rFonts w:hint="eastAsia"/>
                <w:lang w:val="en-US" w:eastAsia="zh-CN"/>
              </w:rPr>
              <w:t>DMC－48（B）型，无灰斗</w:t>
            </w:r>
          </w:p>
        </w:tc>
        <w:tc>
          <w:tcPr>
            <w:tcW w:w="375" w:type="pct"/>
            <w:noWrap w:val="0"/>
            <w:vAlign w:val="center"/>
          </w:tcPr>
          <w:p w14:paraId="66CC0828">
            <w:pPr>
              <w:pStyle w:val="31"/>
              <w:bidi w:val="0"/>
              <w:rPr>
                <w:rFonts w:hint="eastAsia"/>
                <w:lang w:val="en-US" w:eastAsia="zh-CN"/>
              </w:rPr>
            </w:pPr>
            <w:r>
              <w:rPr>
                <w:rFonts w:hint="eastAsia"/>
                <w:lang w:val="en-US" w:eastAsia="zh-CN"/>
              </w:rPr>
              <w:t>台</w:t>
            </w:r>
          </w:p>
        </w:tc>
        <w:tc>
          <w:tcPr>
            <w:tcW w:w="290" w:type="pct"/>
            <w:noWrap w:val="0"/>
            <w:vAlign w:val="center"/>
          </w:tcPr>
          <w:p w14:paraId="75066644">
            <w:pPr>
              <w:pStyle w:val="31"/>
              <w:bidi w:val="0"/>
              <w:rPr>
                <w:rFonts w:hint="eastAsia"/>
                <w:lang w:val="en-US" w:eastAsia="zh-CN"/>
              </w:rPr>
            </w:pPr>
            <w:r>
              <w:rPr>
                <w:rFonts w:hint="eastAsia"/>
                <w:lang w:val="en-US" w:eastAsia="zh-CN"/>
              </w:rPr>
              <w:t>2</w:t>
            </w:r>
          </w:p>
        </w:tc>
        <w:tc>
          <w:tcPr>
            <w:tcW w:w="273" w:type="pct"/>
            <w:noWrap w:val="0"/>
            <w:vAlign w:val="center"/>
          </w:tcPr>
          <w:p w14:paraId="455D9FE8">
            <w:pPr>
              <w:pStyle w:val="31"/>
              <w:bidi w:val="0"/>
              <w:rPr>
                <w:rFonts w:hint="eastAsia"/>
                <w:lang w:val="en-US" w:eastAsia="zh-CN"/>
              </w:rPr>
            </w:pPr>
            <w:r>
              <w:rPr>
                <w:rFonts w:hint="eastAsia"/>
                <w:lang w:val="en-US" w:eastAsia="zh-CN"/>
              </w:rPr>
              <w:t>2</w:t>
            </w:r>
          </w:p>
        </w:tc>
        <w:tc>
          <w:tcPr>
            <w:tcW w:w="719" w:type="pct"/>
            <w:noWrap w:val="0"/>
            <w:vAlign w:val="center"/>
          </w:tcPr>
          <w:p w14:paraId="46724831">
            <w:pPr>
              <w:pStyle w:val="31"/>
              <w:bidi w:val="0"/>
              <w:rPr>
                <w:rFonts w:hint="eastAsia"/>
                <w:lang w:val="en-US" w:eastAsia="zh-CN"/>
              </w:rPr>
            </w:pPr>
            <w:r>
              <w:rPr>
                <w:rFonts w:hint="eastAsia"/>
                <w:lang w:val="en-US" w:eastAsia="zh-CN"/>
              </w:rPr>
              <w:t>8</w:t>
            </w:r>
          </w:p>
        </w:tc>
        <w:tc>
          <w:tcPr>
            <w:tcW w:w="720" w:type="pct"/>
            <w:noWrap w:val="0"/>
            <w:vAlign w:val="center"/>
          </w:tcPr>
          <w:p w14:paraId="28DCDA5A">
            <w:pPr>
              <w:pStyle w:val="31"/>
              <w:bidi w:val="0"/>
              <w:rPr>
                <w:rFonts w:hint="eastAsia"/>
                <w:lang w:val="en-US" w:eastAsia="zh-CN"/>
              </w:rPr>
            </w:pPr>
            <w:r>
              <w:rPr>
                <w:rFonts w:hint="eastAsia"/>
                <w:lang w:val="en-US" w:eastAsia="zh-CN"/>
              </w:rPr>
              <w:t>8</w:t>
            </w:r>
          </w:p>
        </w:tc>
      </w:tr>
      <w:tr w14:paraId="69DD13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6" w:hRule="atLeast"/>
        </w:trPr>
        <w:tc>
          <w:tcPr>
            <w:tcW w:w="220" w:type="pct"/>
            <w:tcBorders>
              <w:left w:val="single" w:color="000000" w:sz="6" w:space="0"/>
            </w:tcBorders>
            <w:noWrap w:val="0"/>
            <w:vAlign w:val="center"/>
          </w:tcPr>
          <w:p w14:paraId="7A253A31">
            <w:pPr>
              <w:pStyle w:val="31"/>
              <w:bidi w:val="0"/>
              <w:rPr>
                <w:rFonts w:hint="eastAsia"/>
                <w:lang w:val="en-US" w:eastAsia="zh-CN"/>
              </w:rPr>
            </w:pPr>
            <w:r>
              <w:rPr>
                <w:rFonts w:hint="eastAsia"/>
                <w:lang w:val="en-US" w:eastAsia="zh-CN"/>
              </w:rPr>
              <w:t>2</w:t>
            </w:r>
          </w:p>
        </w:tc>
        <w:tc>
          <w:tcPr>
            <w:tcW w:w="1327" w:type="pct"/>
            <w:noWrap w:val="0"/>
            <w:vAlign w:val="center"/>
          </w:tcPr>
          <w:p w14:paraId="0EC49D0B">
            <w:pPr>
              <w:pStyle w:val="31"/>
              <w:bidi w:val="0"/>
              <w:rPr>
                <w:rFonts w:hint="eastAsia"/>
                <w:lang w:val="en-US" w:eastAsia="zh-CN"/>
              </w:rPr>
            </w:pPr>
            <w:r>
              <w:rPr>
                <w:rFonts w:hint="eastAsia"/>
                <w:lang w:val="en-US" w:eastAsia="zh-CN"/>
              </w:rPr>
              <w:t>脉冲式布袋除尘器</w:t>
            </w:r>
          </w:p>
        </w:tc>
        <w:tc>
          <w:tcPr>
            <w:tcW w:w="1072" w:type="pct"/>
            <w:noWrap w:val="0"/>
            <w:vAlign w:val="center"/>
          </w:tcPr>
          <w:p w14:paraId="3576FDCB">
            <w:pPr>
              <w:pStyle w:val="31"/>
              <w:bidi w:val="0"/>
              <w:rPr>
                <w:rFonts w:hint="eastAsia"/>
                <w:lang w:val="en-US" w:eastAsia="zh-CN"/>
              </w:rPr>
            </w:pPr>
            <w:r>
              <w:rPr>
                <w:rFonts w:hint="eastAsia"/>
                <w:lang w:val="en-US" w:eastAsia="zh-CN"/>
              </w:rPr>
              <w:t>DMC－48（A）型，有灰斗</w:t>
            </w:r>
          </w:p>
        </w:tc>
        <w:tc>
          <w:tcPr>
            <w:tcW w:w="375" w:type="pct"/>
            <w:noWrap w:val="0"/>
            <w:vAlign w:val="center"/>
          </w:tcPr>
          <w:p w14:paraId="01224377">
            <w:pPr>
              <w:pStyle w:val="31"/>
              <w:bidi w:val="0"/>
              <w:rPr>
                <w:rFonts w:hint="eastAsia"/>
                <w:lang w:val="en-US" w:eastAsia="zh-CN"/>
              </w:rPr>
            </w:pPr>
            <w:r>
              <w:rPr>
                <w:rFonts w:hint="eastAsia"/>
                <w:lang w:val="en-US" w:eastAsia="zh-CN"/>
              </w:rPr>
              <w:t>台</w:t>
            </w:r>
          </w:p>
        </w:tc>
        <w:tc>
          <w:tcPr>
            <w:tcW w:w="290" w:type="pct"/>
            <w:noWrap w:val="0"/>
            <w:vAlign w:val="center"/>
          </w:tcPr>
          <w:p w14:paraId="2BEE0257">
            <w:pPr>
              <w:pStyle w:val="31"/>
              <w:bidi w:val="0"/>
              <w:rPr>
                <w:rFonts w:hint="eastAsia"/>
                <w:lang w:val="en-US" w:eastAsia="zh-CN"/>
              </w:rPr>
            </w:pPr>
            <w:r>
              <w:rPr>
                <w:rFonts w:hint="eastAsia"/>
                <w:lang w:val="en-US" w:eastAsia="zh-CN"/>
              </w:rPr>
              <w:t>2</w:t>
            </w:r>
          </w:p>
        </w:tc>
        <w:tc>
          <w:tcPr>
            <w:tcW w:w="273" w:type="pct"/>
            <w:noWrap w:val="0"/>
            <w:vAlign w:val="center"/>
          </w:tcPr>
          <w:p w14:paraId="2F7C6880">
            <w:pPr>
              <w:pStyle w:val="31"/>
              <w:bidi w:val="0"/>
              <w:rPr>
                <w:rFonts w:hint="eastAsia"/>
                <w:lang w:val="en-US" w:eastAsia="zh-CN"/>
              </w:rPr>
            </w:pPr>
            <w:r>
              <w:rPr>
                <w:rFonts w:hint="eastAsia"/>
                <w:lang w:val="en-US" w:eastAsia="zh-CN"/>
              </w:rPr>
              <w:t>2</w:t>
            </w:r>
          </w:p>
        </w:tc>
        <w:tc>
          <w:tcPr>
            <w:tcW w:w="719" w:type="pct"/>
            <w:noWrap w:val="0"/>
            <w:vAlign w:val="center"/>
          </w:tcPr>
          <w:p w14:paraId="58B15DC9">
            <w:pPr>
              <w:pStyle w:val="31"/>
              <w:bidi w:val="0"/>
              <w:rPr>
                <w:rFonts w:hint="eastAsia"/>
                <w:lang w:val="en-US" w:eastAsia="zh-CN"/>
              </w:rPr>
            </w:pPr>
            <w:r>
              <w:rPr>
                <w:rFonts w:hint="eastAsia"/>
                <w:lang w:val="en-US" w:eastAsia="zh-CN"/>
              </w:rPr>
              <w:t>8</w:t>
            </w:r>
          </w:p>
        </w:tc>
        <w:tc>
          <w:tcPr>
            <w:tcW w:w="720" w:type="pct"/>
            <w:noWrap w:val="0"/>
            <w:vAlign w:val="center"/>
          </w:tcPr>
          <w:p w14:paraId="6187CFB0">
            <w:pPr>
              <w:pStyle w:val="31"/>
              <w:bidi w:val="0"/>
              <w:rPr>
                <w:rFonts w:hint="eastAsia"/>
                <w:lang w:val="en-US" w:eastAsia="zh-CN"/>
              </w:rPr>
            </w:pPr>
            <w:r>
              <w:rPr>
                <w:rFonts w:hint="eastAsia"/>
                <w:lang w:val="en-US" w:eastAsia="zh-CN"/>
              </w:rPr>
              <w:t>8</w:t>
            </w:r>
          </w:p>
        </w:tc>
      </w:tr>
      <w:tr w14:paraId="478CFE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3" w:hRule="atLeast"/>
        </w:trPr>
        <w:tc>
          <w:tcPr>
            <w:tcW w:w="220" w:type="pct"/>
            <w:tcBorders>
              <w:left w:val="single" w:color="000000" w:sz="6" w:space="0"/>
            </w:tcBorders>
            <w:noWrap w:val="0"/>
            <w:vAlign w:val="center"/>
          </w:tcPr>
          <w:p w14:paraId="3189FF57">
            <w:pPr>
              <w:pStyle w:val="31"/>
              <w:bidi w:val="0"/>
              <w:rPr>
                <w:rFonts w:hint="eastAsia"/>
                <w:lang w:val="en-US" w:eastAsia="zh-CN"/>
              </w:rPr>
            </w:pPr>
            <w:r>
              <w:rPr>
                <w:rFonts w:hint="eastAsia"/>
                <w:lang w:val="en-US" w:eastAsia="zh-CN"/>
              </w:rPr>
              <w:t>3</w:t>
            </w:r>
          </w:p>
        </w:tc>
        <w:tc>
          <w:tcPr>
            <w:tcW w:w="1327" w:type="pct"/>
            <w:noWrap w:val="0"/>
            <w:vAlign w:val="center"/>
          </w:tcPr>
          <w:p w14:paraId="780C4580">
            <w:pPr>
              <w:pStyle w:val="31"/>
              <w:bidi w:val="0"/>
              <w:rPr>
                <w:rFonts w:hint="eastAsia"/>
                <w:lang w:val="en-US" w:eastAsia="zh-CN"/>
              </w:rPr>
            </w:pPr>
            <w:r>
              <w:rPr>
                <w:rFonts w:hint="eastAsia"/>
                <w:lang w:val="en-US" w:eastAsia="zh-CN"/>
              </w:rPr>
              <w:t>螺旋输送机</w:t>
            </w:r>
          </w:p>
        </w:tc>
        <w:tc>
          <w:tcPr>
            <w:tcW w:w="1072" w:type="pct"/>
            <w:noWrap w:val="0"/>
            <w:vAlign w:val="center"/>
          </w:tcPr>
          <w:p w14:paraId="48A1EB3F">
            <w:pPr>
              <w:pStyle w:val="31"/>
              <w:bidi w:val="0"/>
              <w:rPr>
                <w:rFonts w:hint="eastAsia"/>
                <w:lang w:val="en-US" w:eastAsia="zh-CN"/>
              </w:rPr>
            </w:pPr>
            <w:r>
              <w:rPr>
                <w:rFonts w:hint="eastAsia"/>
                <w:lang w:val="en-US" w:eastAsia="zh-CN"/>
              </w:rPr>
              <w:t>HYCW-C350×4000 型电机减速机</w:t>
            </w:r>
          </w:p>
        </w:tc>
        <w:tc>
          <w:tcPr>
            <w:tcW w:w="375" w:type="pct"/>
            <w:noWrap w:val="0"/>
            <w:vAlign w:val="center"/>
          </w:tcPr>
          <w:p w14:paraId="549469DE">
            <w:pPr>
              <w:pStyle w:val="31"/>
              <w:bidi w:val="0"/>
              <w:rPr>
                <w:rFonts w:hint="eastAsia"/>
                <w:lang w:val="en-US" w:eastAsia="zh-CN"/>
              </w:rPr>
            </w:pPr>
            <w:r>
              <w:rPr>
                <w:rFonts w:hint="eastAsia"/>
                <w:lang w:val="en-US" w:eastAsia="zh-CN"/>
              </w:rPr>
              <w:t>台</w:t>
            </w:r>
          </w:p>
        </w:tc>
        <w:tc>
          <w:tcPr>
            <w:tcW w:w="290" w:type="pct"/>
            <w:noWrap w:val="0"/>
            <w:vAlign w:val="center"/>
          </w:tcPr>
          <w:p w14:paraId="57C85146">
            <w:pPr>
              <w:pStyle w:val="31"/>
              <w:bidi w:val="0"/>
              <w:rPr>
                <w:rFonts w:hint="eastAsia"/>
                <w:lang w:val="en-US" w:eastAsia="zh-CN"/>
              </w:rPr>
            </w:pPr>
            <w:r>
              <w:rPr>
                <w:rFonts w:hint="eastAsia"/>
                <w:lang w:val="en-US" w:eastAsia="zh-CN"/>
              </w:rPr>
              <w:t>1</w:t>
            </w:r>
          </w:p>
        </w:tc>
        <w:tc>
          <w:tcPr>
            <w:tcW w:w="273" w:type="pct"/>
            <w:noWrap w:val="0"/>
            <w:vAlign w:val="center"/>
          </w:tcPr>
          <w:p w14:paraId="156795B0">
            <w:pPr>
              <w:pStyle w:val="31"/>
              <w:bidi w:val="0"/>
              <w:rPr>
                <w:rFonts w:hint="eastAsia"/>
                <w:lang w:val="en-US" w:eastAsia="zh-CN"/>
              </w:rPr>
            </w:pPr>
            <w:r>
              <w:rPr>
                <w:rFonts w:hint="eastAsia"/>
                <w:lang w:val="en-US" w:eastAsia="zh-CN"/>
              </w:rPr>
              <w:t>1</w:t>
            </w:r>
          </w:p>
        </w:tc>
        <w:tc>
          <w:tcPr>
            <w:tcW w:w="719" w:type="pct"/>
            <w:noWrap w:val="0"/>
            <w:vAlign w:val="center"/>
          </w:tcPr>
          <w:p w14:paraId="4CE292E2">
            <w:pPr>
              <w:pStyle w:val="31"/>
              <w:bidi w:val="0"/>
              <w:rPr>
                <w:rFonts w:hint="eastAsia"/>
                <w:lang w:val="en-US" w:eastAsia="zh-CN"/>
              </w:rPr>
            </w:pPr>
            <w:r>
              <w:rPr>
                <w:rFonts w:hint="eastAsia"/>
                <w:lang w:val="en-US" w:eastAsia="zh-CN"/>
              </w:rPr>
              <w:t>15</w:t>
            </w:r>
          </w:p>
        </w:tc>
        <w:tc>
          <w:tcPr>
            <w:tcW w:w="720" w:type="pct"/>
            <w:noWrap w:val="0"/>
            <w:vAlign w:val="center"/>
          </w:tcPr>
          <w:p w14:paraId="02D62B8F">
            <w:pPr>
              <w:pStyle w:val="31"/>
              <w:bidi w:val="0"/>
              <w:rPr>
                <w:rFonts w:hint="eastAsia"/>
                <w:lang w:val="en-US" w:eastAsia="zh-CN"/>
              </w:rPr>
            </w:pPr>
            <w:r>
              <w:rPr>
                <w:rFonts w:hint="eastAsia"/>
                <w:lang w:val="en-US" w:eastAsia="zh-CN"/>
              </w:rPr>
              <w:t>15</w:t>
            </w:r>
          </w:p>
        </w:tc>
      </w:tr>
      <w:tr w14:paraId="711199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3" w:hRule="atLeast"/>
        </w:trPr>
        <w:tc>
          <w:tcPr>
            <w:tcW w:w="220" w:type="pct"/>
            <w:tcBorders>
              <w:left w:val="single" w:color="000000" w:sz="6" w:space="0"/>
            </w:tcBorders>
            <w:noWrap w:val="0"/>
            <w:vAlign w:val="center"/>
          </w:tcPr>
          <w:p w14:paraId="5CA80DB6">
            <w:pPr>
              <w:pStyle w:val="31"/>
              <w:bidi w:val="0"/>
              <w:rPr>
                <w:rFonts w:hint="eastAsia"/>
                <w:lang w:val="en-US" w:eastAsia="zh-CN"/>
              </w:rPr>
            </w:pPr>
            <w:r>
              <w:rPr>
                <w:rFonts w:hint="eastAsia"/>
                <w:lang w:val="en-US" w:eastAsia="zh-CN"/>
              </w:rPr>
              <w:t>4</w:t>
            </w:r>
          </w:p>
        </w:tc>
        <w:tc>
          <w:tcPr>
            <w:tcW w:w="1327" w:type="pct"/>
            <w:noWrap w:val="0"/>
            <w:vAlign w:val="center"/>
          </w:tcPr>
          <w:p w14:paraId="3655BC2A">
            <w:pPr>
              <w:pStyle w:val="31"/>
              <w:bidi w:val="0"/>
              <w:rPr>
                <w:rFonts w:hint="eastAsia"/>
                <w:lang w:val="en-US" w:eastAsia="zh-CN"/>
              </w:rPr>
            </w:pPr>
            <w:r>
              <w:rPr>
                <w:rFonts w:hint="eastAsia"/>
                <w:lang w:val="en-US" w:eastAsia="zh-CN"/>
              </w:rPr>
              <w:t>螺旋计量秤</w:t>
            </w:r>
          </w:p>
        </w:tc>
        <w:tc>
          <w:tcPr>
            <w:tcW w:w="1072" w:type="pct"/>
            <w:noWrap w:val="0"/>
            <w:vAlign w:val="center"/>
          </w:tcPr>
          <w:p w14:paraId="1159587F">
            <w:pPr>
              <w:pStyle w:val="31"/>
              <w:bidi w:val="0"/>
              <w:rPr>
                <w:rFonts w:hint="eastAsia"/>
                <w:lang w:val="en-US" w:eastAsia="zh-CN"/>
              </w:rPr>
            </w:pPr>
            <w:r>
              <w:rPr>
                <w:rFonts w:hint="eastAsia"/>
                <w:lang w:val="en-US" w:eastAsia="zh-CN"/>
              </w:rPr>
              <w:t>HBCW-S350×2000 型</w:t>
            </w:r>
          </w:p>
        </w:tc>
        <w:tc>
          <w:tcPr>
            <w:tcW w:w="375" w:type="pct"/>
            <w:noWrap w:val="0"/>
            <w:vAlign w:val="center"/>
          </w:tcPr>
          <w:p w14:paraId="6532AF22">
            <w:pPr>
              <w:pStyle w:val="31"/>
              <w:bidi w:val="0"/>
              <w:rPr>
                <w:rFonts w:hint="eastAsia"/>
                <w:lang w:val="en-US" w:eastAsia="zh-CN"/>
              </w:rPr>
            </w:pPr>
            <w:r>
              <w:rPr>
                <w:rFonts w:hint="eastAsia"/>
                <w:lang w:val="en-US" w:eastAsia="zh-CN"/>
              </w:rPr>
              <w:t>台</w:t>
            </w:r>
          </w:p>
        </w:tc>
        <w:tc>
          <w:tcPr>
            <w:tcW w:w="290" w:type="pct"/>
            <w:noWrap w:val="0"/>
            <w:vAlign w:val="center"/>
          </w:tcPr>
          <w:p w14:paraId="550731D3">
            <w:pPr>
              <w:pStyle w:val="31"/>
              <w:bidi w:val="0"/>
              <w:rPr>
                <w:rFonts w:hint="eastAsia"/>
                <w:lang w:val="en-US" w:eastAsia="zh-CN"/>
              </w:rPr>
            </w:pPr>
            <w:r>
              <w:rPr>
                <w:rFonts w:hint="eastAsia"/>
                <w:lang w:val="en-US" w:eastAsia="zh-CN"/>
              </w:rPr>
              <w:t>1</w:t>
            </w:r>
          </w:p>
        </w:tc>
        <w:tc>
          <w:tcPr>
            <w:tcW w:w="273" w:type="pct"/>
            <w:noWrap w:val="0"/>
            <w:vAlign w:val="center"/>
          </w:tcPr>
          <w:p w14:paraId="3437B0DA">
            <w:pPr>
              <w:pStyle w:val="31"/>
              <w:bidi w:val="0"/>
              <w:rPr>
                <w:rFonts w:hint="eastAsia"/>
                <w:lang w:val="en-US" w:eastAsia="zh-CN"/>
              </w:rPr>
            </w:pPr>
            <w:r>
              <w:rPr>
                <w:rFonts w:hint="eastAsia"/>
                <w:lang w:val="en-US" w:eastAsia="zh-CN"/>
              </w:rPr>
              <w:t>1</w:t>
            </w:r>
          </w:p>
        </w:tc>
        <w:tc>
          <w:tcPr>
            <w:tcW w:w="719" w:type="pct"/>
            <w:noWrap w:val="0"/>
            <w:vAlign w:val="center"/>
          </w:tcPr>
          <w:p w14:paraId="09D4CBA2">
            <w:pPr>
              <w:pStyle w:val="31"/>
              <w:bidi w:val="0"/>
              <w:rPr>
                <w:rFonts w:hint="eastAsia"/>
                <w:lang w:val="en-US" w:eastAsia="zh-CN"/>
              </w:rPr>
            </w:pPr>
            <w:r>
              <w:rPr>
                <w:rFonts w:hint="eastAsia"/>
                <w:lang w:val="en-US" w:eastAsia="zh-CN"/>
              </w:rPr>
              <w:t>15</w:t>
            </w:r>
          </w:p>
        </w:tc>
        <w:tc>
          <w:tcPr>
            <w:tcW w:w="720" w:type="pct"/>
            <w:noWrap w:val="0"/>
            <w:vAlign w:val="center"/>
          </w:tcPr>
          <w:p w14:paraId="239CB1FB">
            <w:pPr>
              <w:pStyle w:val="31"/>
              <w:bidi w:val="0"/>
              <w:rPr>
                <w:rFonts w:hint="eastAsia"/>
                <w:lang w:val="en-US" w:eastAsia="zh-CN"/>
              </w:rPr>
            </w:pPr>
            <w:r>
              <w:rPr>
                <w:rFonts w:hint="eastAsia"/>
                <w:lang w:val="en-US" w:eastAsia="zh-CN"/>
              </w:rPr>
              <w:t>15</w:t>
            </w:r>
          </w:p>
        </w:tc>
      </w:tr>
      <w:tr w14:paraId="0452F0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3" w:hRule="atLeast"/>
        </w:trPr>
        <w:tc>
          <w:tcPr>
            <w:tcW w:w="220" w:type="pct"/>
            <w:tcBorders>
              <w:left w:val="single" w:color="000000" w:sz="6" w:space="0"/>
            </w:tcBorders>
            <w:noWrap w:val="0"/>
            <w:vAlign w:val="center"/>
          </w:tcPr>
          <w:p w14:paraId="2941E0EB">
            <w:pPr>
              <w:pStyle w:val="31"/>
              <w:bidi w:val="0"/>
              <w:rPr>
                <w:rFonts w:hint="eastAsia"/>
                <w:lang w:val="en-US" w:eastAsia="zh-CN"/>
              </w:rPr>
            </w:pPr>
            <w:r>
              <w:rPr>
                <w:rFonts w:hint="eastAsia"/>
                <w:lang w:val="en-US" w:eastAsia="zh-CN"/>
              </w:rPr>
              <w:t>5</w:t>
            </w:r>
          </w:p>
        </w:tc>
        <w:tc>
          <w:tcPr>
            <w:tcW w:w="1327" w:type="pct"/>
            <w:noWrap w:val="0"/>
            <w:vAlign w:val="center"/>
          </w:tcPr>
          <w:p w14:paraId="2FDABD20">
            <w:pPr>
              <w:pStyle w:val="31"/>
              <w:bidi w:val="0"/>
              <w:rPr>
                <w:rFonts w:hint="eastAsia"/>
                <w:lang w:val="en-US" w:eastAsia="zh-CN"/>
              </w:rPr>
            </w:pPr>
            <w:r>
              <w:rPr>
                <w:rFonts w:hint="eastAsia"/>
                <w:lang w:val="en-US" w:eastAsia="zh-CN"/>
              </w:rPr>
              <w:t>手动闸板阀</w:t>
            </w:r>
          </w:p>
        </w:tc>
        <w:tc>
          <w:tcPr>
            <w:tcW w:w="1072" w:type="pct"/>
            <w:noWrap w:val="0"/>
            <w:vAlign w:val="center"/>
          </w:tcPr>
          <w:p w14:paraId="2983ECB4">
            <w:pPr>
              <w:pStyle w:val="31"/>
              <w:bidi w:val="0"/>
              <w:rPr>
                <w:rFonts w:hint="eastAsia"/>
                <w:lang w:val="en-US" w:eastAsia="zh-CN"/>
              </w:rPr>
            </w:pPr>
            <w:r>
              <w:rPr>
                <w:rFonts w:hint="eastAsia"/>
                <w:lang w:val="en-US" w:eastAsia="zh-CN"/>
              </w:rPr>
              <w:t>500mm×500mm 型</w:t>
            </w:r>
          </w:p>
        </w:tc>
        <w:tc>
          <w:tcPr>
            <w:tcW w:w="375" w:type="pct"/>
            <w:noWrap w:val="0"/>
            <w:vAlign w:val="center"/>
          </w:tcPr>
          <w:p w14:paraId="22A1CCC3">
            <w:pPr>
              <w:pStyle w:val="31"/>
              <w:bidi w:val="0"/>
              <w:rPr>
                <w:rFonts w:hint="eastAsia"/>
                <w:lang w:val="en-US" w:eastAsia="zh-CN"/>
              </w:rPr>
            </w:pPr>
            <w:r>
              <w:rPr>
                <w:rFonts w:hint="eastAsia"/>
                <w:lang w:val="en-US" w:eastAsia="zh-CN"/>
              </w:rPr>
              <w:t>个</w:t>
            </w:r>
          </w:p>
        </w:tc>
        <w:tc>
          <w:tcPr>
            <w:tcW w:w="290" w:type="pct"/>
            <w:noWrap w:val="0"/>
            <w:vAlign w:val="center"/>
          </w:tcPr>
          <w:p w14:paraId="01206991">
            <w:pPr>
              <w:pStyle w:val="31"/>
              <w:bidi w:val="0"/>
              <w:rPr>
                <w:rFonts w:hint="eastAsia"/>
                <w:lang w:val="en-US" w:eastAsia="zh-CN"/>
              </w:rPr>
            </w:pPr>
            <w:r>
              <w:rPr>
                <w:rFonts w:hint="eastAsia"/>
                <w:lang w:val="en-US" w:eastAsia="zh-CN"/>
              </w:rPr>
              <w:t>2</w:t>
            </w:r>
          </w:p>
        </w:tc>
        <w:tc>
          <w:tcPr>
            <w:tcW w:w="273" w:type="pct"/>
            <w:noWrap w:val="0"/>
            <w:vAlign w:val="center"/>
          </w:tcPr>
          <w:p w14:paraId="7F06BBFC">
            <w:pPr>
              <w:pStyle w:val="31"/>
              <w:bidi w:val="0"/>
              <w:rPr>
                <w:rFonts w:hint="eastAsia"/>
                <w:lang w:val="en-US" w:eastAsia="zh-CN"/>
              </w:rPr>
            </w:pPr>
            <w:r>
              <w:rPr>
                <w:rFonts w:hint="eastAsia"/>
                <w:lang w:val="en-US" w:eastAsia="zh-CN"/>
              </w:rPr>
              <w:t>2</w:t>
            </w:r>
          </w:p>
        </w:tc>
        <w:tc>
          <w:tcPr>
            <w:tcW w:w="719" w:type="pct"/>
            <w:noWrap w:val="0"/>
            <w:vAlign w:val="center"/>
          </w:tcPr>
          <w:p w14:paraId="02E55D11">
            <w:pPr>
              <w:pStyle w:val="31"/>
              <w:bidi w:val="0"/>
              <w:rPr>
                <w:rFonts w:hint="eastAsia"/>
              </w:rPr>
            </w:pPr>
          </w:p>
        </w:tc>
        <w:tc>
          <w:tcPr>
            <w:tcW w:w="720" w:type="pct"/>
            <w:noWrap w:val="0"/>
            <w:vAlign w:val="center"/>
          </w:tcPr>
          <w:p w14:paraId="38C92B5F">
            <w:pPr>
              <w:pStyle w:val="31"/>
              <w:bidi w:val="0"/>
              <w:rPr>
                <w:rFonts w:hint="eastAsia"/>
              </w:rPr>
            </w:pPr>
          </w:p>
        </w:tc>
      </w:tr>
      <w:tr w14:paraId="7BCF12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7" w:hRule="atLeast"/>
        </w:trPr>
        <w:tc>
          <w:tcPr>
            <w:tcW w:w="220" w:type="pct"/>
            <w:tcBorders>
              <w:left w:val="single" w:color="000000" w:sz="6" w:space="0"/>
            </w:tcBorders>
            <w:noWrap w:val="0"/>
            <w:vAlign w:val="center"/>
          </w:tcPr>
          <w:p w14:paraId="0784D5BF">
            <w:pPr>
              <w:pStyle w:val="31"/>
              <w:bidi w:val="0"/>
              <w:rPr>
                <w:rFonts w:hint="eastAsia"/>
                <w:lang w:val="en-US" w:eastAsia="zh-CN"/>
              </w:rPr>
            </w:pPr>
            <w:r>
              <w:rPr>
                <w:rFonts w:hint="eastAsia"/>
                <w:lang w:val="en-US" w:eastAsia="zh-CN"/>
              </w:rPr>
              <w:t>6</w:t>
            </w:r>
          </w:p>
        </w:tc>
        <w:tc>
          <w:tcPr>
            <w:tcW w:w="1327" w:type="pct"/>
            <w:noWrap w:val="0"/>
            <w:vAlign w:val="center"/>
          </w:tcPr>
          <w:p w14:paraId="772A0978">
            <w:pPr>
              <w:pStyle w:val="31"/>
              <w:bidi w:val="0"/>
              <w:rPr>
                <w:rFonts w:hint="eastAsia"/>
                <w:lang w:val="en-US" w:eastAsia="zh-CN"/>
              </w:rPr>
            </w:pPr>
            <w:r>
              <w:rPr>
                <w:rFonts w:hint="eastAsia"/>
                <w:lang w:val="en-US" w:eastAsia="zh-CN"/>
              </w:rPr>
              <w:t>料仓破拱器</w:t>
            </w:r>
          </w:p>
        </w:tc>
        <w:tc>
          <w:tcPr>
            <w:tcW w:w="1072" w:type="pct"/>
            <w:noWrap w:val="0"/>
            <w:vAlign w:val="center"/>
          </w:tcPr>
          <w:p w14:paraId="4CB4F5A9">
            <w:pPr>
              <w:pStyle w:val="31"/>
              <w:bidi w:val="0"/>
              <w:rPr>
                <w:rFonts w:hint="eastAsia"/>
                <w:lang w:val="en-US" w:eastAsia="zh-CN"/>
              </w:rPr>
            </w:pPr>
            <w:r>
              <w:rPr>
                <w:rFonts w:hint="eastAsia"/>
                <w:lang w:val="en-US" w:eastAsia="zh-CN"/>
              </w:rPr>
              <w:t>艾福特 520A ，气动型，配减压阀</w:t>
            </w:r>
          </w:p>
        </w:tc>
        <w:tc>
          <w:tcPr>
            <w:tcW w:w="375" w:type="pct"/>
            <w:noWrap w:val="0"/>
            <w:vAlign w:val="center"/>
          </w:tcPr>
          <w:p w14:paraId="4DF24B94">
            <w:pPr>
              <w:pStyle w:val="31"/>
              <w:bidi w:val="0"/>
              <w:rPr>
                <w:rFonts w:hint="eastAsia"/>
                <w:lang w:val="en-US" w:eastAsia="zh-CN"/>
              </w:rPr>
            </w:pPr>
            <w:r>
              <w:rPr>
                <w:rFonts w:hint="eastAsia"/>
                <w:lang w:val="en-US" w:eastAsia="zh-CN"/>
              </w:rPr>
              <w:t>套</w:t>
            </w:r>
          </w:p>
        </w:tc>
        <w:tc>
          <w:tcPr>
            <w:tcW w:w="290" w:type="pct"/>
            <w:noWrap w:val="0"/>
            <w:vAlign w:val="center"/>
          </w:tcPr>
          <w:p w14:paraId="1F346990">
            <w:pPr>
              <w:pStyle w:val="31"/>
              <w:bidi w:val="0"/>
              <w:rPr>
                <w:rFonts w:hint="eastAsia"/>
                <w:lang w:val="en-US" w:eastAsia="zh-CN"/>
              </w:rPr>
            </w:pPr>
            <w:r>
              <w:rPr>
                <w:rFonts w:hint="eastAsia"/>
                <w:lang w:val="en-US" w:eastAsia="zh-CN"/>
              </w:rPr>
              <w:t>2</w:t>
            </w:r>
          </w:p>
        </w:tc>
        <w:tc>
          <w:tcPr>
            <w:tcW w:w="273" w:type="pct"/>
            <w:noWrap w:val="0"/>
            <w:vAlign w:val="center"/>
          </w:tcPr>
          <w:p w14:paraId="11EE0FDC">
            <w:pPr>
              <w:pStyle w:val="31"/>
              <w:bidi w:val="0"/>
              <w:rPr>
                <w:rFonts w:hint="eastAsia"/>
                <w:lang w:val="en-US" w:eastAsia="zh-CN"/>
              </w:rPr>
            </w:pPr>
            <w:r>
              <w:rPr>
                <w:rFonts w:hint="eastAsia"/>
                <w:lang w:val="en-US" w:eastAsia="zh-CN"/>
              </w:rPr>
              <w:t>2</w:t>
            </w:r>
          </w:p>
        </w:tc>
        <w:tc>
          <w:tcPr>
            <w:tcW w:w="719" w:type="pct"/>
            <w:noWrap w:val="0"/>
            <w:vAlign w:val="center"/>
          </w:tcPr>
          <w:p w14:paraId="39F3726C">
            <w:pPr>
              <w:pStyle w:val="31"/>
              <w:bidi w:val="0"/>
              <w:rPr>
                <w:rFonts w:hint="eastAsia"/>
              </w:rPr>
            </w:pPr>
          </w:p>
        </w:tc>
        <w:tc>
          <w:tcPr>
            <w:tcW w:w="720" w:type="pct"/>
            <w:noWrap w:val="0"/>
            <w:vAlign w:val="center"/>
          </w:tcPr>
          <w:p w14:paraId="4CAB9BF4">
            <w:pPr>
              <w:pStyle w:val="31"/>
              <w:bidi w:val="0"/>
              <w:rPr>
                <w:rFonts w:hint="eastAsia"/>
              </w:rPr>
            </w:pPr>
          </w:p>
        </w:tc>
      </w:tr>
      <w:tr w14:paraId="04737B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220" w:type="pct"/>
            <w:tcBorders>
              <w:left w:val="single" w:color="000000" w:sz="6" w:space="0"/>
            </w:tcBorders>
            <w:noWrap w:val="0"/>
            <w:vAlign w:val="center"/>
          </w:tcPr>
          <w:p w14:paraId="7FF1A57C">
            <w:pPr>
              <w:pStyle w:val="31"/>
              <w:bidi w:val="0"/>
              <w:rPr>
                <w:rFonts w:hint="eastAsia"/>
                <w:lang w:val="en-US" w:eastAsia="zh-CN"/>
              </w:rPr>
            </w:pPr>
            <w:r>
              <w:rPr>
                <w:rFonts w:hint="eastAsia"/>
                <w:lang w:val="en-US" w:eastAsia="zh-CN"/>
              </w:rPr>
              <w:t>三</w:t>
            </w:r>
          </w:p>
        </w:tc>
        <w:tc>
          <w:tcPr>
            <w:tcW w:w="1327" w:type="pct"/>
            <w:noWrap w:val="0"/>
            <w:vAlign w:val="center"/>
          </w:tcPr>
          <w:p w14:paraId="249E0170">
            <w:pPr>
              <w:pStyle w:val="31"/>
              <w:bidi w:val="0"/>
              <w:rPr>
                <w:rFonts w:hint="eastAsia"/>
                <w:lang w:val="en-US" w:eastAsia="zh-CN"/>
              </w:rPr>
            </w:pPr>
            <w:r>
              <w:rPr>
                <w:rFonts w:hint="eastAsia"/>
                <w:lang w:val="en-US" w:eastAsia="zh-CN"/>
              </w:rPr>
              <w:t>膏体搅拌制备系统</w:t>
            </w:r>
          </w:p>
        </w:tc>
        <w:tc>
          <w:tcPr>
            <w:tcW w:w="1072" w:type="pct"/>
            <w:noWrap w:val="0"/>
            <w:vAlign w:val="center"/>
          </w:tcPr>
          <w:p w14:paraId="76453752">
            <w:pPr>
              <w:pStyle w:val="31"/>
              <w:bidi w:val="0"/>
              <w:rPr>
                <w:rFonts w:hint="eastAsia"/>
              </w:rPr>
            </w:pPr>
          </w:p>
        </w:tc>
        <w:tc>
          <w:tcPr>
            <w:tcW w:w="375" w:type="pct"/>
            <w:noWrap w:val="0"/>
            <w:vAlign w:val="center"/>
          </w:tcPr>
          <w:p w14:paraId="7BA288BC">
            <w:pPr>
              <w:pStyle w:val="31"/>
              <w:bidi w:val="0"/>
              <w:rPr>
                <w:rFonts w:hint="eastAsia"/>
              </w:rPr>
            </w:pPr>
          </w:p>
        </w:tc>
        <w:tc>
          <w:tcPr>
            <w:tcW w:w="290" w:type="pct"/>
            <w:noWrap w:val="0"/>
            <w:vAlign w:val="center"/>
          </w:tcPr>
          <w:p w14:paraId="2E4E31AF">
            <w:pPr>
              <w:pStyle w:val="31"/>
              <w:bidi w:val="0"/>
              <w:rPr>
                <w:rFonts w:hint="eastAsia"/>
              </w:rPr>
            </w:pPr>
          </w:p>
        </w:tc>
        <w:tc>
          <w:tcPr>
            <w:tcW w:w="273" w:type="pct"/>
            <w:noWrap w:val="0"/>
            <w:vAlign w:val="center"/>
          </w:tcPr>
          <w:p w14:paraId="4B1BA371">
            <w:pPr>
              <w:pStyle w:val="31"/>
              <w:bidi w:val="0"/>
              <w:rPr>
                <w:rFonts w:hint="eastAsia"/>
              </w:rPr>
            </w:pPr>
          </w:p>
        </w:tc>
        <w:tc>
          <w:tcPr>
            <w:tcW w:w="719" w:type="pct"/>
            <w:noWrap w:val="0"/>
            <w:vAlign w:val="center"/>
          </w:tcPr>
          <w:p w14:paraId="515D8341">
            <w:pPr>
              <w:pStyle w:val="31"/>
              <w:bidi w:val="0"/>
              <w:rPr>
                <w:rFonts w:hint="default"/>
                <w:lang w:val="en-US" w:eastAsia="zh-CN"/>
              </w:rPr>
            </w:pPr>
            <w:r>
              <w:rPr>
                <w:rFonts w:hint="eastAsia"/>
                <w:lang w:val="en-US" w:eastAsia="zh-CN"/>
              </w:rPr>
              <w:t>55</w:t>
            </w:r>
          </w:p>
        </w:tc>
        <w:tc>
          <w:tcPr>
            <w:tcW w:w="720" w:type="pct"/>
            <w:noWrap w:val="0"/>
            <w:vAlign w:val="center"/>
          </w:tcPr>
          <w:p w14:paraId="4D915287">
            <w:pPr>
              <w:pStyle w:val="31"/>
              <w:bidi w:val="0"/>
              <w:rPr>
                <w:rFonts w:hint="default"/>
                <w:lang w:val="en-US" w:eastAsia="zh-CN"/>
              </w:rPr>
            </w:pPr>
            <w:r>
              <w:rPr>
                <w:rFonts w:hint="eastAsia"/>
                <w:lang w:val="en-US" w:eastAsia="zh-CN"/>
              </w:rPr>
              <w:t>55</w:t>
            </w:r>
          </w:p>
        </w:tc>
      </w:tr>
      <w:tr w14:paraId="5FB856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3" w:hRule="atLeast"/>
        </w:trPr>
        <w:tc>
          <w:tcPr>
            <w:tcW w:w="220" w:type="pct"/>
            <w:tcBorders>
              <w:left w:val="single" w:color="000000" w:sz="6" w:space="0"/>
            </w:tcBorders>
            <w:noWrap w:val="0"/>
            <w:vAlign w:val="center"/>
          </w:tcPr>
          <w:p w14:paraId="5B46E2C3">
            <w:pPr>
              <w:pStyle w:val="31"/>
              <w:bidi w:val="0"/>
              <w:rPr>
                <w:rFonts w:hint="eastAsia"/>
                <w:lang w:val="en-US" w:eastAsia="zh-CN"/>
              </w:rPr>
            </w:pPr>
            <w:bookmarkStart w:id="20" w:name="OLE_LINK97" w:colFirst="1" w:colLast="2"/>
            <w:r>
              <w:rPr>
                <w:rFonts w:hint="eastAsia"/>
                <w:lang w:val="en-US" w:eastAsia="zh-CN"/>
              </w:rPr>
              <w:t>1</w:t>
            </w:r>
          </w:p>
        </w:tc>
        <w:tc>
          <w:tcPr>
            <w:tcW w:w="1327" w:type="pct"/>
            <w:noWrap w:val="0"/>
            <w:vAlign w:val="center"/>
          </w:tcPr>
          <w:p w14:paraId="177661C5">
            <w:pPr>
              <w:pStyle w:val="31"/>
              <w:bidi w:val="0"/>
              <w:rPr>
                <w:rFonts w:hint="eastAsia"/>
                <w:lang w:val="en-US" w:eastAsia="zh-CN"/>
              </w:rPr>
            </w:pPr>
            <w:r>
              <w:rPr>
                <w:rFonts w:hint="eastAsia"/>
                <w:lang w:val="en-US" w:eastAsia="zh-CN"/>
              </w:rPr>
              <w:t>卧式双轴连续式搅拌机</w:t>
            </w:r>
          </w:p>
        </w:tc>
        <w:tc>
          <w:tcPr>
            <w:tcW w:w="1072" w:type="pct"/>
            <w:noWrap w:val="0"/>
            <w:vAlign w:val="center"/>
          </w:tcPr>
          <w:p w14:paraId="3F3665F6">
            <w:pPr>
              <w:pStyle w:val="31"/>
              <w:bidi w:val="0"/>
              <w:rPr>
                <w:rFonts w:hint="eastAsia"/>
                <w:lang w:val="en-US" w:eastAsia="zh-CN"/>
              </w:rPr>
            </w:pPr>
            <w:r>
              <w:rPr>
                <w:rFonts w:hint="eastAsia"/>
                <w:lang w:val="en-US" w:eastAsia="zh-CN"/>
              </w:rPr>
              <w:t>60m³/h ，双卧轴强制式</w:t>
            </w:r>
          </w:p>
        </w:tc>
        <w:tc>
          <w:tcPr>
            <w:tcW w:w="375" w:type="pct"/>
            <w:noWrap w:val="0"/>
            <w:vAlign w:val="center"/>
          </w:tcPr>
          <w:p w14:paraId="1C5AD716">
            <w:pPr>
              <w:pStyle w:val="31"/>
              <w:bidi w:val="0"/>
              <w:rPr>
                <w:rFonts w:hint="eastAsia"/>
                <w:lang w:val="en-US" w:eastAsia="zh-CN"/>
              </w:rPr>
            </w:pPr>
            <w:r>
              <w:rPr>
                <w:rFonts w:hint="eastAsia"/>
                <w:lang w:val="en-US" w:eastAsia="zh-CN"/>
              </w:rPr>
              <w:t>台</w:t>
            </w:r>
          </w:p>
        </w:tc>
        <w:tc>
          <w:tcPr>
            <w:tcW w:w="290" w:type="pct"/>
            <w:noWrap w:val="0"/>
            <w:vAlign w:val="center"/>
          </w:tcPr>
          <w:p w14:paraId="25468A99">
            <w:pPr>
              <w:pStyle w:val="31"/>
              <w:bidi w:val="0"/>
              <w:rPr>
                <w:rFonts w:hint="eastAsia"/>
                <w:lang w:val="en-US" w:eastAsia="zh-CN"/>
              </w:rPr>
            </w:pPr>
            <w:r>
              <w:rPr>
                <w:rFonts w:hint="eastAsia"/>
                <w:lang w:val="en-US" w:eastAsia="zh-CN"/>
              </w:rPr>
              <w:t>1</w:t>
            </w:r>
          </w:p>
        </w:tc>
        <w:tc>
          <w:tcPr>
            <w:tcW w:w="273" w:type="pct"/>
            <w:noWrap w:val="0"/>
            <w:vAlign w:val="center"/>
          </w:tcPr>
          <w:p w14:paraId="13B87AF9">
            <w:pPr>
              <w:pStyle w:val="31"/>
              <w:bidi w:val="0"/>
              <w:rPr>
                <w:rFonts w:hint="eastAsia"/>
                <w:lang w:val="en-US" w:eastAsia="zh-CN"/>
              </w:rPr>
            </w:pPr>
            <w:r>
              <w:rPr>
                <w:rFonts w:hint="eastAsia"/>
                <w:lang w:val="en-US" w:eastAsia="zh-CN"/>
              </w:rPr>
              <w:t>1</w:t>
            </w:r>
          </w:p>
        </w:tc>
        <w:tc>
          <w:tcPr>
            <w:tcW w:w="719" w:type="pct"/>
            <w:noWrap w:val="0"/>
            <w:vAlign w:val="center"/>
          </w:tcPr>
          <w:p w14:paraId="12BFC991">
            <w:pPr>
              <w:pStyle w:val="31"/>
              <w:bidi w:val="0"/>
              <w:rPr>
                <w:rFonts w:hint="default"/>
                <w:lang w:val="en-US" w:eastAsia="zh-CN"/>
              </w:rPr>
            </w:pPr>
            <w:r>
              <w:rPr>
                <w:rFonts w:hint="eastAsia"/>
                <w:lang w:val="en-US" w:eastAsia="zh-CN"/>
              </w:rPr>
              <w:t>55</w:t>
            </w:r>
          </w:p>
        </w:tc>
        <w:tc>
          <w:tcPr>
            <w:tcW w:w="720" w:type="pct"/>
            <w:noWrap w:val="0"/>
            <w:vAlign w:val="center"/>
          </w:tcPr>
          <w:p w14:paraId="51AC9727">
            <w:pPr>
              <w:pStyle w:val="31"/>
              <w:bidi w:val="0"/>
              <w:rPr>
                <w:rFonts w:hint="default"/>
                <w:lang w:val="en-US" w:eastAsia="zh-CN"/>
              </w:rPr>
            </w:pPr>
            <w:r>
              <w:rPr>
                <w:rFonts w:hint="eastAsia"/>
                <w:lang w:val="en-US" w:eastAsia="zh-CN"/>
              </w:rPr>
              <w:t>55</w:t>
            </w:r>
          </w:p>
        </w:tc>
      </w:tr>
      <w:bookmarkEnd w:id="20"/>
      <w:tr w14:paraId="6B7488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3" w:hRule="atLeast"/>
        </w:trPr>
        <w:tc>
          <w:tcPr>
            <w:tcW w:w="220" w:type="pct"/>
            <w:tcBorders>
              <w:left w:val="single" w:color="000000" w:sz="6" w:space="0"/>
            </w:tcBorders>
            <w:noWrap w:val="0"/>
            <w:vAlign w:val="center"/>
          </w:tcPr>
          <w:p w14:paraId="4890D0E3">
            <w:pPr>
              <w:pStyle w:val="31"/>
              <w:bidi w:val="0"/>
              <w:rPr>
                <w:rFonts w:hint="eastAsia"/>
                <w:lang w:val="en-US" w:eastAsia="zh-CN"/>
              </w:rPr>
            </w:pPr>
            <w:r>
              <w:rPr>
                <w:rFonts w:hint="eastAsia"/>
                <w:lang w:val="en-US" w:eastAsia="zh-CN"/>
              </w:rPr>
              <w:t>2</w:t>
            </w:r>
          </w:p>
        </w:tc>
        <w:tc>
          <w:tcPr>
            <w:tcW w:w="1327" w:type="pct"/>
            <w:noWrap w:val="0"/>
            <w:vAlign w:val="center"/>
          </w:tcPr>
          <w:p w14:paraId="4A5740EA">
            <w:pPr>
              <w:pStyle w:val="31"/>
              <w:bidi w:val="0"/>
              <w:rPr>
                <w:rFonts w:hint="eastAsia"/>
                <w:lang w:val="en-US" w:eastAsia="zh-CN"/>
              </w:rPr>
            </w:pPr>
            <w:r>
              <w:rPr>
                <w:rFonts w:hint="eastAsia"/>
                <w:lang w:val="en-US" w:eastAsia="zh-CN"/>
              </w:rPr>
              <w:t>膏体均质活化机构</w:t>
            </w:r>
          </w:p>
        </w:tc>
        <w:tc>
          <w:tcPr>
            <w:tcW w:w="1072" w:type="pct"/>
            <w:noWrap w:val="0"/>
            <w:vAlign w:val="center"/>
          </w:tcPr>
          <w:p w14:paraId="4C72B107">
            <w:pPr>
              <w:pStyle w:val="31"/>
              <w:bidi w:val="0"/>
              <w:rPr>
                <w:rFonts w:hint="eastAsia"/>
                <w:lang w:val="en-US" w:eastAsia="zh-CN"/>
              </w:rPr>
            </w:pPr>
            <w:r>
              <w:rPr>
                <w:rFonts w:hint="eastAsia"/>
                <w:lang w:val="en-US" w:eastAsia="zh-CN"/>
              </w:rPr>
              <w:t>500mm×500mm，气动型</w:t>
            </w:r>
          </w:p>
        </w:tc>
        <w:tc>
          <w:tcPr>
            <w:tcW w:w="375" w:type="pct"/>
            <w:noWrap w:val="0"/>
            <w:vAlign w:val="center"/>
          </w:tcPr>
          <w:p w14:paraId="27FCF1AE">
            <w:pPr>
              <w:pStyle w:val="31"/>
              <w:bidi w:val="0"/>
              <w:rPr>
                <w:rFonts w:hint="eastAsia"/>
                <w:lang w:val="en-US" w:eastAsia="zh-CN"/>
              </w:rPr>
            </w:pPr>
            <w:r>
              <w:rPr>
                <w:rFonts w:hint="eastAsia"/>
                <w:lang w:val="en-US" w:eastAsia="zh-CN"/>
              </w:rPr>
              <w:t>套</w:t>
            </w:r>
          </w:p>
        </w:tc>
        <w:tc>
          <w:tcPr>
            <w:tcW w:w="290" w:type="pct"/>
            <w:noWrap w:val="0"/>
            <w:vAlign w:val="center"/>
          </w:tcPr>
          <w:p w14:paraId="1A44AB68">
            <w:pPr>
              <w:pStyle w:val="31"/>
              <w:bidi w:val="0"/>
              <w:rPr>
                <w:rFonts w:hint="eastAsia"/>
                <w:lang w:val="en-US" w:eastAsia="zh-CN"/>
              </w:rPr>
            </w:pPr>
            <w:r>
              <w:rPr>
                <w:rFonts w:hint="eastAsia"/>
                <w:lang w:val="en-US" w:eastAsia="zh-CN"/>
              </w:rPr>
              <w:t>2</w:t>
            </w:r>
          </w:p>
        </w:tc>
        <w:tc>
          <w:tcPr>
            <w:tcW w:w="273" w:type="pct"/>
            <w:noWrap w:val="0"/>
            <w:vAlign w:val="center"/>
          </w:tcPr>
          <w:p w14:paraId="54F01C67">
            <w:pPr>
              <w:pStyle w:val="31"/>
              <w:bidi w:val="0"/>
              <w:rPr>
                <w:rFonts w:hint="eastAsia"/>
                <w:lang w:val="en-US" w:eastAsia="zh-CN"/>
              </w:rPr>
            </w:pPr>
            <w:r>
              <w:rPr>
                <w:rFonts w:hint="eastAsia"/>
                <w:lang w:val="en-US" w:eastAsia="zh-CN"/>
              </w:rPr>
              <w:t>2</w:t>
            </w:r>
          </w:p>
        </w:tc>
        <w:tc>
          <w:tcPr>
            <w:tcW w:w="719" w:type="pct"/>
            <w:noWrap w:val="0"/>
            <w:vAlign w:val="center"/>
          </w:tcPr>
          <w:p w14:paraId="6FC597F3">
            <w:pPr>
              <w:pStyle w:val="31"/>
              <w:bidi w:val="0"/>
              <w:rPr>
                <w:rFonts w:hint="default"/>
                <w:lang w:val="en-US" w:eastAsia="zh-CN"/>
              </w:rPr>
            </w:pPr>
          </w:p>
        </w:tc>
        <w:tc>
          <w:tcPr>
            <w:tcW w:w="720" w:type="pct"/>
            <w:noWrap w:val="0"/>
            <w:vAlign w:val="center"/>
          </w:tcPr>
          <w:p w14:paraId="7AB149A3">
            <w:pPr>
              <w:pStyle w:val="31"/>
              <w:bidi w:val="0"/>
              <w:rPr>
                <w:rFonts w:hint="eastAsia"/>
                <w:lang w:eastAsia="zh-CN"/>
              </w:rPr>
            </w:pPr>
          </w:p>
        </w:tc>
      </w:tr>
      <w:tr w14:paraId="4E501C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4" w:hRule="atLeast"/>
        </w:trPr>
        <w:tc>
          <w:tcPr>
            <w:tcW w:w="220" w:type="pct"/>
            <w:tcBorders>
              <w:left w:val="single" w:color="000000" w:sz="6" w:space="0"/>
            </w:tcBorders>
            <w:noWrap w:val="0"/>
            <w:vAlign w:val="center"/>
          </w:tcPr>
          <w:p w14:paraId="228239A9">
            <w:pPr>
              <w:pStyle w:val="31"/>
              <w:bidi w:val="0"/>
              <w:rPr>
                <w:rFonts w:hint="eastAsia"/>
                <w:lang w:val="en-US" w:eastAsia="zh-CN"/>
              </w:rPr>
            </w:pPr>
            <w:r>
              <w:rPr>
                <w:rFonts w:hint="eastAsia"/>
                <w:lang w:val="en-US" w:eastAsia="zh-CN"/>
              </w:rPr>
              <w:t>四</w:t>
            </w:r>
          </w:p>
        </w:tc>
        <w:tc>
          <w:tcPr>
            <w:tcW w:w="1327" w:type="pct"/>
            <w:noWrap w:val="0"/>
            <w:vAlign w:val="center"/>
          </w:tcPr>
          <w:p w14:paraId="51222AA9">
            <w:pPr>
              <w:pStyle w:val="31"/>
              <w:bidi w:val="0"/>
              <w:rPr>
                <w:rFonts w:hint="eastAsia"/>
                <w:lang w:val="en-US" w:eastAsia="zh-CN"/>
              </w:rPr>
            </w:pPr>
            <w:r>
              <w:rPr>
                <w:rFonts w:hint="eastAsia"/>
                <w:lang w:val="en-US" w:eastAsia="zh-CN"/>
              </w:rPr>
              <w:t>膏体输送系统</w:t>
            </w:r>
          </w:p>
        </w:tc>
        <w:tc>
          <w:tcPr>
            <w:tcW w:w="1072" w:type="pct"/>
            <w:noWrap w:val="0"/>
            <w:vAlign w:val="center"/>
          </w:tcPr>
          <w:p w14:paraId="71AC7FC6">
            <w:pPr>
              <w:pStyle w:val="31"/>
              <w:bidi w:val="0"/>
              <w:rPr>
                <w:rFonts w:hint="eastAsia"/>
              </w:rPr>
            </w:pPr>
          </w:p>
        </w:tc>
        <w:tc>
          <w:tcPr>
            <w:tcW w:w="375" w:type="pct"/>
            <w:noWrap w:val="0"/>
            <w:vAlign w:val="center"/>
          </w:tcPr>
          <w:p w14:paraId="2F11201D">
            <w:pPr>
              <w:pStyle w:val="31"/>
              <w:bidi w:val="0"/>
              <w:rPr>
                <w:rFonts w:hint="eastAsia"/>
              </w:rPr>
            </w:pPr>
          </w:p>
        </w:tc>
        <w:tc>
          <w:tcPr>
            <w:tcW w:w="290" w:type="pct"/>
            <w:noWrap w:val="0"/>
            <w:vAlign w:val="center"/>
          </w:tcPr>
          <w:p w14:paraId="5B1EC8BD">
            <w:pPr>
              <w:pStyle w:val="31"/>
              <w:bidi w:val="0"/>
              <w:rPr>
                <w:rFonts w:hint="eastAsia"/>
              </w:rPr>
            </w:pPr>
          </w:p>
        </w:tc>
        <w:tc>
          <w:tcPr>
            <w:tcW w:w="273" w:type="pct"/>
            <w:noWrap w:val="0"/>
            <w:vAlign w:val="center"/>
          </w:tcPr>
          <w:p w14:paraId="1D0D7CF5">
            <w:pPr>
              <w:pStyle w:val="31"/>
              <w:bidi w:val="0"/>
              <w:rPr>
                <w:rFonts w:hint="eastAsia"/>
                <w:lang w:eastAsia="zh-CN"/>
              </w:rPr>
            </w:pPr>
          </w:p>
        </w:tc>
        <w:tc>
          <w:tcPr>
            <w:tcW w:w="719" w:type="pct"/>
            <w:noWrap w:val="0"/>
            <w:vAlign w:val="center"/>
          </w:tcPr>
          <w:p w14:paraId="29F5C92E">
            <w:pPr>
              <w:pStyle w:val="31"/>
              <w:bidi w:val="0"/>
              <w:rPr>
                <w:rFonts w:hint="eastAsia"/>
                <w:lang w:val="en-US" w:eastAsia="zh-CN"/>
              </w:rPr>
            </w:pPr>
            <w:r>
              <w:rPr>
                <w:rFonts w:hint="eastAsia"/>
                <w:lang w:val="en-US" w:eastAsia="zh-CN"/>
              </w:rPr>
              <w:t>328</w:t>
            </w:r>
          </w:p>
        </w:tc>
        <w:tc>
          <w:tcPr>
            <w:tcW w:w="720" w:type="pct"/>
            <w:noWrap w:val="0"/>
            <w:vAlign w:val="center"/>
          </w:tcPr>
          <w:p w14:paraId="31E15031">
            <w:pPr>
              <w:pStyle w:val="31"/>
              <w:bidi w:val="0"/>
              <w:rPr>
                <w:rFonts w:hint="eastAsia"/>
                <w:lang w:val="en-US" w:eastAsia="zh-CN"/>
              </w:rPr>
            </w:pPr>
            <w:r>
              <w:rPr>
                <w:rFonts w:hint="eastAsia"/>
                <w:lang w:val="en-US" w:eastAsia="zh-CN"/>
              </w:rPr>
              <w:t>328</w:t>
            </w:r>
          </w:p>
        </w:tc>
      </w:tr>
      <w:tr w14:paraId="5A0D5C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8" w:hRule="atLeast"/>
        </w:trPr>
        <w:tc>
          <w:tcPr>
            <w:tcW w:w="220" w:type="pct"/>
            <w:tcBorders>
              <w:left w:val="single" w:color="000000" w:sz="6" w:space="0"/>
            </w:tcBorders>
            <w:noWrap w:val="0"/>
            <w:vAlign w:val="center"/>
          </w:tcPr>
          <w:p w14:paraId="7A49BD1C">
            <w:pPr>
              <w:pStyle w:val="31"/>
              <w:bidi w:val="0"/>
              <w:rPr>
                <w:rFonts w:hint="eastAsia"/>
                <w:lang w:val="en-US" w:eastAsia="zh-CN"/>
              </w:rPr>
            </w:pPr>
            <w:bookmarkStart w:id="21" w:name="OLE_LINK98" w:colFirst="1" w:colLast="2"/>
            <w:r>
              <w:rPr>
                <w:rFonts w:hint="eastAsia"/>
                <w:lang w:val="en-US" w:eastAsia="zh-CN"/>
              </w:rPr>
              <w:t>1</w:t>
            </w:r>
          </w:p>
        </w:tc>
        <w:tc>
          <w:tcPr>
            <w:tcW w:w="1327" w:type="pct"/>
            <w:noWrap w:val="0"/>
            <w:vAlign w:val="center"/>
          </w:tcPr>
          <w:p w14:paraId="692FC36C">
            <w:pPr>
              <w:pStyle w:val="31"/>
              <w:bidi w:val="0"/>
              <w:rPr>
                <w:rFonts w:hint="eastAsia"/>
                <w:lang w:val="en-US" w:eastAsia="zh-CN"/>
              </w:rPr>
            </w:pPr>
            <w:r>
              <w:rPr>
                <w:rFonts w:hint="eastAsia"/>
                <w:lang w:val="en-US" w:eastAsia="zh-CN"/>
              </w:rPr>
              <w:t>工业充填泵</w:t>
            </w:r>
          </w:p>
        </w:tc>
        <w:tc>
          <w:tcPr>
            <w:tcW w:w="1072" w:type="pct"/>
            <w:noWrap w:val="0"/>
            <w:vAlign w:val="center"/>
          </w:tcPr>
          <w:p w14:paraId="7AC75F69">
            <w:pPr>
              <w:pStyle w:val="31"/>
              <w:bidi w:val="0"/>
              <w:rPr>
                <w:rFonts w:hint="eastAsia"/>
                <w:lang w:val="en-US" w:eastAsia="zh-CN"/>
              </w:rPr>
            </w:pPr>
            <w:r>
              <w:rPr>
                <w:rFonts w:hint="eastAsia"/>
                <w:lang w:val="en-US" w:eastAsia="zh-CN"/>
              </w:rPr>
              <w:t>最大泵送压力 14.2MPa，（双缸液压柱塞泵），流量60m³/h</w:t>
            </w:r>
          </w:p>
        </w:tc>
        <w:tc>
          <w:tcPr>
            <w:tcW w:w="375" w:type="pct"/>
            <w:noWrap w:val="0"/>
            <w:vAlign w:val="center"/>
          </w:tcPr>
          <w:p w14:paraId="439E15C6">
            <w:pPr>
              <w:pStyle w:val="31"/>
              <w:bidi w:val="0"/>
              <w:rPr>
                <w:rFonts w:hint="eastAsia"/>
                <w:lang w:val="en-US" w:eastAsia="zh-CN"/>
              </w:rPr>
            </w:pPr>
            <w:r>
              <w:rPr>
                <w:rFonts w:hint="eastAsia"/>
                <w:lang w:val="en-US" w:eastAsia="zh-CN"/>
              </w:rPr>
              <w:t>套</w:t>
            </w:r>
          </w:p>
        </w:tc>
        <w:tc>
          <w:tcPr>
            <w:tcW w:w="290" w:type="pct"/>
            <w:noWrap w:val="0"/>
            <w:vAlign w:val="center"/>
          </w:tcPr>
          <w:p w14:paraId="2C88B82E">
            <w:pPr>
              <w:pStyle w:val="31"/>
              <w:bidi w:val="0"/>
              <w:rPr>
                <w:rFonts w:hint="eastAsia"/>
                <w:lang w:val="en-US" w:eastAsia="zh-CN"/>
              </w:rPr>
            </w:pPr>
            <w:r>
              <w:rPr>
                <w:rFonts w:hint="eastAsia"/>
                <w:lang w:val="en-US" w:eastAsia="zh-CN"/>
              </w:rPr>
              <w:t>1</w:t>
            </w:r>
          </w:p>
        </w:tc>
        <w:tc>
          <w:tcPr>
            <w:tcW w:w="273" w:type="pct"/>
            <w:noWrap w:val="0"/>
            <w:vAlign w:val="center"/>
          </w:tcPr>
          <w:p w14:paraId="16C075DC">
            <w:pPr>
              <w:pStyle w:val="31"/>
              <w:bidi w:val="0"/>
              <w:rPr>
                <w:rFonts w:hint="eastAsia"/>
                <w:lang w:val="en-US" w:eastAsia="zh-CN"/>
              </w:rPr>
            </w:pPr>
            <w:r>
              <w:rPr>
                <w:rFonts w:hint="eastAsia"/>
                <w:lang w:val="en-US" w:eastAsia="zh-CN"/>
              </w:rPr>
              <w:t>1</w:t>
            </w:r>
          </w:p>
        </w:tc>
        <w:tc>
          <w:tcPr>
            <w:tcW w:w="719" w:type="pct"/>
            <w:noWrap w:val="0"/>
            <w:vAlign w:val="center"/>
          </w:tcPr>
          <w:p w14:paraId="5947ECFF">
            <w:pPr>
              <w:pStyle w:val="31"/>
              <w:bidi w:val="0"/>
              <w:rPr>
                <w:rFonts w:hint="default"/>
                <w:lang w:val="en-US" w:eastAsia="zh-CN"/>
              </w:rPr>
            </w:pPr>
            <w:r>
              <w:rPr>
                <w:rFonts w:hint="eastAsia"/>
                <w:lang w:val="en-US" w:eastAsia="zh-CN"/>
              </w:rPr>
              <w:t>320</w:t>
            </w:r>
          </w:p>
        </w:tc>
        <w:tc>
          <w:tcPr>
            <w:tcW w:w="720" w:type="pct"/>
            <w:noWrap w:val="0"/>
            <w:vAlign w:val="center"/>
          </w:tcPr>
          <w:p w14:paraId="6EA3D973">
            <w:pPr>
              <w:pStyle w:val="31"/>
              <w:bidi w:val="0"/>
              <w:rPr>
                <w:rFonts w:hint="default"/>
                <w:lang w:val="en-US" w:eastAsia="zh-CN"/>
              </w:rPr>
            </w:pPr>
            <w:r>
              <w:rPr>
                <w:rFonts w:hint="eastAsia"/>
                <w:lang w:val="en-US" w:eastAsia="zh-CN"/>
              </w:rPr>
              <w:t>320</w:t>
            </w:r>
          </w:p>
        </w:tc>
      </w:tr>
      <w:bookmarkEnd w:id="21"/>
      <w:tr w14:paraId="6CB69D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9" w:hRule="atLeast"/>
        </w:trPr>
        <w:tc>
          <w:tcPr>
            <w:tcW w:w="220" w:type="pct"/>
            <w:tcBorders>
              <w:left w:val="single" w:color="000000" w:sz="6" w:space="0"/>
            </w:tcBorders>
            <w:noWrap w:val="0"/>
            <w:vAlign w:val="center"/>
          </w:tcPr>
          <w:p w14:paraId="446D9D22">
            <w:pPr>
              <w:pStyle w:val="31"/>
              <w:bidi w:val="0"/>
              <w:rPr>
                <w:rFonts w:hint="eastAsia"/>
                <w:lang w:val="en-US" w:eastAsia="zh-CN"/>
              </w:rPr>
            </w:pPr>
            <w:r>
              <w:rPr>
                <w:rFonts w:hint="eastAsia"/>
                <w:lang w:val="en-US" w:eastAsia="zh-CN"/>
              </w:rPr>
              <w:t>2</w:t>
            </w:r>
          </w:p>
        </w:tc>
        <w:tc>
          <w:tcPr>
            <w:tcW w:w="1327" w:type="pct"/>
            <w:noWrap w:val="0"/>
            <w:vAlign w:val="center"/>
          </w:tcPr>
          <w:p w14:paraId="5B71E300">
            <w:pPr>
              <w:pStyle w:val="31"/>
              <w:bidi w:val="0"/>
              <w:rPr>
                <w:rFonts w:hint="eastAsia"/>
                <w:lang w:val="en-US" w:eastAsia="zh-CN"/>
              </w:rPr>
            </w:pPr>
            <w:r>
              <w:rPr>
                <w:rFonts w:hint="eastAsia"/>
                <w:lang w:val="en-US" w:eastAsia="zh-CN"/>
              </w:rPr>
              <w:t>管道切换阀</w:t>
            </w:r>
          </w:p>
        </w:tc>
        <w:tc>
          <w:tcPr>
            <w:tcW w:w="1072" w:type="pct"/>
            <w:noWrap w:val="0"/>
            <w:vAlign w:val="center"/>
          </w:tcPr>
          <w:p w14:paraId="5AD7E2E6">
            <w:pPr>
              <w:pStyle w:val="31"/>
              <w:bidi w:val="0"/>
              <w:rPr>
                <w:rFonts w:hint="eastAsia"/>
                <w:lang w:val="en-US" w:eastAsia="zh-CN"/>
              </w:rPr>
            </w:pPr>
            <w:r>
              <w:rPr>
                <w:rFonts w:hint="eastAsia"/>
                <w:lang w:val="en-US" w:eastAsia="zh-CN"/>
              </w:rPr>
              <w:t>Y 型，D168mm×11mm，8MPa</w:t>
            </w:r>
          </w:p>
        </w:tc>
        <w:tc>
          <w:tcPr>
            <w:tcW w:w="375" w:type="pct"/>
            <w:noWrap w:val="0"/>
            <w:vAlign w:val="center"/>
          </w:tcPr>
          <w:p w14:paraId="7FA4215D">
            <w:pPr>
              <w:pStyle w:val="31"/>
              <w:bidi w:val="0"/>
              <w:rPr>
                <w:rFonts w:hint="eastAsia"/>
              </w:rPr>
            </w:pPr>
          </w:p>
        </w:tc>
        <w:tc>
          <w:tcPr>
            <w:tcW w:w="290" w:type="pct"/>
            <w:noWrap w:val="0"/>
            <w:vAlign w:val="center"/>
          </w:tcPr>
          <w:p w14:paraId="72BA9715">
            <w:pPr>
              <w:pStyle w:val="31"/>
              <w:bidi w:val="0"/>
              <w:rPr>
                <w:rFonts w:hint="eastAsia"/>
                <w:lang w:val="en-US" w:eastAsia="zh-CN"/>
              </w:rPr>
            </w:pPr>
            <w:r>
              <w:rPr>
                <w:rFonts w:hint="eastAsia"/>
                <w:lang w:val="en-US" w:eastAsia="zh-CN"/>
              </w:rPr>
              <w:t>2</w:t>
            </w:r>
          </w:p>
        </w:tc>
        <w:tc>
          <w:tcPr>
            <w:tcW w:w="273" w:type="pct"/>
            <w:noWrap w:val="0"/>
            <w:vAlign w:val="center"/>
          </w:tcPr>
          <w:p w14:paraId="6D5695EA">
            <w:pPr>
              <w:pStyle w:val="31"/>
              <w:bidi w:val="0"/>
              <w:rPr>
                <w:rFonts w:hint="eastAsia"/>
                <w:lang w:val="en-US" w:eastAsia="zh-CN"/>
              </w:rPr>
            </w:pPr>
            <w:r>
              <w:rPr>
                <w:rFonts w:hint="eastAsia"/>
                <w:lang w:val="en-US" w:eastAsia="zh-CN"/>
              </w:rPr>
              <w:t>2</w:t>
            </w:r>
          </w:p>
        </w:tc>
        <w:tc>
          <w:tcPr>
            <w:tcW w:w="719" w:type="pct"/>
            <w:noWrap w:val="0"/>
            <w:vAlign w:val="center"/>
          </w:tcPr>
          <w:p w14:paraId="5EDF7CAA">
            <w:pPr>
              <w:pStyle w:val="31"/>
              <w:bidi w:val="0"/>
              <w:rPr>
                <w:rFonts w:hint="default"/>
                <w:lang w:val="en-US" w:eastAsia="zh-CN"/>
              </w:rPr>
            </w:pPr>
            <w:r>
              <w:rPr>
                <w:rFonts w:hint="eastAsia"/>
                <w:lang w:val="en-US" w:eastAsia="zh-CN"/>
              </w:rPr>
              <w:t>8</w:t>
            </w:r>
          </w:p>
        </w:tc>
        <w:tc>
          <w:tcPr>
            <w:tcW w:w="720" w:type="pct"/>
            <w:noWrap w:val="0"/>
            <w:vAlign w:val="center"/>
          </w:tcPr>
          <w:p w14:paraId="10A95648">
            <w:pPr>
              <w:pStyle w:val="31"/>
              <w:bidi w:val="0"/>
              <w:rPr>
                <w:rFonts w:hint="default"/>
                <w:lang w:val="en-US" w:eastAsia="zh-CN"/>
              </w:rPr>
            </w:pPr>
            <w:r>
              <w:rPr>
                <w:rFonts w:hint="eastAsia"/>
                <w:lang w:val="en-US" w:eastAsia="zh-CN"/>
              </w:rPr>
              <w:t>8</w:t>
            </w:r>
          </w:p>
        </w:tc>
      </w:tr>
      <w:tr w14:paraId="55F4C7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3" w:hRule="atLeast"/>
        </w:trPr>
        <w:tc>
          <w:tcPr>
            <w:tcW w:w="220" w:type="pct"/>
            <w:tcBorders>
              <w:left w:val="single" w:color="000000" w:sz="6" w:space="0"/>
            </w:tcBorders>
            <w:noWrap w:val="0"/>
            <w:vAlign w:val="center"/>
          </w:tcPr>
          <w:p w14:paraId="293A3280">
            <w:pPr>
              <w:pStyle w:val="31"/>
              <w:bidi w:val="0"/>
              <w:rPr>
                <w:rFonts w:hint="eastAsia"/>
                <w:lang w:val="en-US" w:eastAsia="zh-CN"/>
              </w:rPr>
            </w:pPr>
            <w:r>
              <w:rPr>
                <w:rFonts w:hint="eastAsia"/>
                <w:lang w:val="en-US" w:eastAsia="zh-CN"/>
              </w:rPr>
              <w:t>五</w:t>
            </w:r>
          </w:p>
        </w:tc>
        <w:tc>
          <w:tcPr>
            <w:tcW w:w="1327" w:type="pct"/>
            <w:noWrap w:val="0"/>
            <w:vAlign w:val="center"/>
          </w:tcPr>
          <w:p w14:paraId="4C596D76">
            <w:pPr>
              <w:pStyle w:val="31"/>
              <w:bidi w:val="0"/>
              <w:rPr>
                <w:rFonts w:hint="eastAsia"/>
                <w:lang w:val="en-US" w:eastAsia="zh-CN"/>
              </w:rPr>
            </w:pPr>
            <w:r>
              <w:rPr>
                <w:rFonts w:hint="eastAsia"/>
                <w:lang w:val="en-US" w:eastAsia="zh-CN"/>
              </w:rPr>
              <w:t>事故处置系统</w:t>
            </w:r>
          </w:p>
        </w:tc>
        <w:tc>
          <w:tcPr>
            <w:tcW w:w="1072" w:type="pct"/>
            <w:noWrap w:val="0"/>
            <w:vAlign w:val="center"/>
          </w:tcPr>
          <w:p w14:paraId="4BC40400">
            <w:pPr>
              <w:pStyle w:val="31"/>
              <w:bidi w:val="0"/>
              <w:rPr>
                <w:rFonts w:hint="eastAsia"/>
              </w:rPr>
            </w:pPr>
          </w:p>
        </w:tc>
        <w:tc>
          <w:tcPr>
            <w:tcW w:w="375" w:type="pct"/>
            <w:noWrap w:val="0"/>
            <w:vAlign w:val="center"/>
          </w:tcPr>
          <w:p w14:paraId="1011A72F">
            <w:pPr>
              <w:pStyle w:val="31"/>
              <w:bidi w:val="0"/>
              <w:rPr>
                <w:rFonts w:hint="eastAsia"/>
              </w:rPr>
            </w:pPr>
          </w:p>
        </w:tc>
        <w:tc>
          <w:tcPr>
            <w:tcW w:w="290" w:type="pct"/>
            <w:noWrap w:val="0"/>
            <w:vAlign w:val="center"/>
          </w:tcPr>
          <w:p w14:paraId="17018941">
            <w:pPr>
              <w:pStyle w:val="31"/>
              <w:bidi w:val="0"/>
              <w:rPr>
                <w:rFonts w:hint="eastAsia"/>
              </w:rPr>
            </w:pPr>
          </w:p>
        </w:tc>
        <w:tc>
          <w:tcPr>
            <w:tcW w:w="273" w:type="pct"/>
            <w:noWrap w:val="0"/>
            <w:vAlign w:val="center"/>
          </w:tcPr>
          <w:p w14:paraId="57338DFD">
            <w:pPr>
              <w:pStyle w:val="31"/>
              <w:bidi w:val="0"/>
              <w:rPr>
                <w:rFonts w:hint="eastAsia"/>
              </w:rPr>
            </w:pPr>
          </w:p>
        </w:tc>
        <w:tc>
          <w:tcPr>
            <w:tcW w:w="719" w:type="pct"/>
            <w:noWrap w:val="0"/>
            <w:vAlign w:val="center"/>
          </w:tcPr>
          <w:p w14:paraId="04728B0E">
            <w:pPr>
              <w:pStyle w:val="31"/>
              <w:bidi w:val="0"/>
              <w:rPr>
                <w:rFonts w:hint="eastAsia"/>
                <w:lang w:val="en-US" w:eastAsia="zh-CN"/>
              </w:rPr>
            </w:pPr>
            <w:r>
              <w:rPr>
                <w:rFonts w:hint="eastAsia"/>
                <w:lang w:val="en-US" w:eastAsia="zh-CN"/>
              </w:rPr>
              <w:t>75</w:t>
            </w:r>
          </w:p>
        </w:tc>
        <w:tc>
          <w:tcPr>
            <w:tcW w:w="720" w:type="pct"/>
            <w:noWrap w:val="0"/>
            <w:vAlign w:val="center"/>
          </w:tcPr>
          <w:p w14:paraId="0BA47726">
            <w:pPr>
              <w:pStyle w:val="31"/>
              <w:bidi w:val="0"/>
              <w:rPr>
                <w:rFonts w:hint="eastAsia"/>
                <w:lang w:val="en-US" w:eastAsia="zh-CN"/>
              </w:rPr>
            </w:pPr>
            <w:r>
              <w:rPr>
                <w:rFonts w:hint="eastAsia"/>
                <w:lang w:val="en-US" w:eastAsia="zh-CN"/>
              </w:rPr>
              <w:t>75</w:t>
            </w:r>
          </w:p>
        </w:tc>
      </w:tr>
      <w:tr w14:paraId="498A16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2" w:hRule="atLeast"/>
        </w:trPr>
        <w:tc>
          <w:tcPr>
            <w:tcW w:w="220" w:type="pct"/>
            <w:tcBorders>
              <w:left w:val="single" w:color="000000" w:sz="6" w:space="0"/>
            </w:tcBorders>
            <w:noWrap w:val="0"/>
            <w:vAlign w:val="center"/>
          </w:tcPr>
          <w:p w14:paraId="05088AA9">
            <w:pPr>
              <w:pStyle w:val="31"/>
              <w:bidi w:val="0"/>
              <w:rPr>
                <w:rFonts w:hint="eastAsia"/>
                <w:lang w:val="en-US" w:eastAsia="zh-CN"/>
              </w:rPr>
            </w:pPr>
            <w:r>
              <w:rPr>
                <w:rFonts w:hint="eastAsia"/>
                <w:lang w:val="en-US" w:eastAsia="zh-CN"/>
              </w:rPr>
              <w:t>1</w:t>
            </w:r>
          </w:p>
        </w:tc>
        <w:tc>
          <w:tcPr>
            <w:tcW w:w="1327" w:type="pct"/>
            <w:noWrap w:val="0"/>
            <w:vAlign w:val="center"/>
          </w:tcPr>
          <w:p w14:paraId="136D590E">
            <w:pPr>
              <w:pStyle w:val="31"/>
              <w:bidi w:val="0"/>
              <w:rPr>
                <w:rFonts w:hint="eastAsia"/>
                <w:lang w:val="en-US" w:eastAsia="zh-CN"/>
              </w:rPr>
            </w:pPr>
            <w:r>
              <w:rPr>
                <w:rFonts w:hint="eastAsia"/>
                <w:lang w:val="en-US" w:eastAsia="zh-CN"/>
              </w:rPr>
              <w:t>稀释搅拌桶</w:t>
            </w:r>
          </w:p>
        </w:tc>
        <w:tc>
          <w:tcPr>
            <w:tcW w:w="1072" w:type="pct"/>
            <w:noWrap w:val="0"/>
            <w:vAlign w:val="center"/>
          </w:tcPr>
          <w:p w14:paraId="32A46839">
            <w:pPr>
              <w:pStyle w:val="31"/>
              <w:bidi w:val="0"/>
              <w:rPr>
                <w:rFonts w:hint="default"/>
                <w:lang w:val="en-US" w:eastAsia="zh-CN"/>
              </w:rPr>
            </w:pPr>
            <w:r>
              <w:rPr>
                <w:rFonts w:hint="default"/>
                <w:lang w:val="en-US" w:eastAsia="zh-CN"/>
              </w:rPr>
              <w:t>Ø</w:t>
            </w:r>
            <w:r>
              <w:rPr>
                <w:rFonts w:hint="eastAsia"/>
                <w:lang w:val="en-US" w:eastAsia="zh-CN"/>
              </w:rPr>
              <w:t>2000×2100mm</w:t>
            </w:r>
          </w:p>
        </w:tc>
        <w:tc>
          <w:tcPr>
            <w:tcW w:w="375" w:type="pct"/>
            <w:noWrap w:val="0"/>
            <w:vAlign w:val="center"/>
          </w:tcPr>
          <w:p w14:paraId="10AE9D2B">
            <w:pPr>
              <w:pStyle w:val="31"/>
              <w:bidi w:val="0"/>
              <w:rPr>
                <w:rFonts w:hint="eastAsia"/>
                <w:lang w:val="en-US" w:eastAsia="zh-CN"/>
              </w:rPr>
            </w:pPr>
            <w:r>
              <w:rPr>
                <w:rFonts w:hint="eastAsia"/>
                <w:lang w:val="en-US" w:eastAsia="zh-CN"/>
              </w:rPr>
              <w:t>台</w:t>
            </w:r>
          </w:p>
        </w:tc>
        <w:tc>
          <w:tcPr>
            <w:tcW w:w="290" w:type="pct"/>
            <w:noWrap w:val="0"/>
            <w:vAlign w:val="center"/>
          </w:tcPr>
          <w:p w14:paraId="2D40615A">
            <w:pPr>
              <w:pStyle w:val="31"/>
              <w:bidi w:val="0"/>
              <w:rPr>
                <w:rFonts w:hint="eastAsia"/>
                <w:lang w:val="en-US" w:eastAsia="zh-CN"/>
              </w:rPr>
            </w:pPr>
            <w:r>
              <w:rPr>
                <w:rFonts w:hint="eastAsia"/>
                <w:lang w:val="en-US" w:eastAsia="zh-CN"/>
              </w:rPr>
              <w:t>1</w:t>
            </w:r>
          </w:p>
        </w:tc>
        <w:tc>
          <w:tcPr>
            <w:tcW w:w="273" w:type="pct"/>
            <w:noWrap w:val="0"/>
            <w:vAlign w:val="center"/>
          </w:tcPr>
          <w:p w14:paraId="1DD746AF">
            <w:pPr>
              <w:pStyle w:val="31"/>
              <w:bidi w:val="0"/>
              <w:rPr>
                <w:rFonts w:hint="eastAsia"/>
                <w:lang w:val="en-US" w:eastAsia="zh-CN"/>
              </w:rPr>
            </w:pPr>
            <w:r>
              <w:rPr>
                <w:rFonts w:hint="eastAsia"/>
                <w:lang w:val="en-US" w:eastAsia="zh-CN"/>
              </w:rPr>
              <w:t>1</w:t>
            </w:r>
          </w:p>
        </w:tc>
        <w:tc>
          <w:tcPr>
            <w:tcW w:w="719" w:type="pct"/>
            <w:noWrap w:val="0"/>
            <w:vAlign w:val="center"/>
          </w:tcPr>
          <w:p w14:paraId="54AA94E7">
            <w:pPr>
              <w:pStyle w:val="31"/>
              <w:bidi w:val="0"/>
              <w:rPr>
                <w:rFonts w:hint="default"/>
                <w:lang w:val="en-US" w:eastAsia="zh-CN"/>
              </w:rPr>
            </w:pPr>
            <w:r>
              <w:rPr>
                <w:rFonts w:hint="eastAsia"/>
                <w:lang w:val="en-US" w:eastAsia="zh-CN"/>
              </w:rPr>
              <w:t>45</w:t>
            </w:r>
          </w:p>
        </w:tc>
        <w:tc>
          <w:tcPr>
            <w:tcW w:w="720" w:type="pct"/>
            <w:noWrap w:val="0"/>
            <w:vAlign w:val="center"/>
          </w:tcPr>
          <w:p w14:paraId="6D72219C">
            <w:pPr>
              <w:pStyle w:val="31"/>
              <w:bidi w:val="0"/>
              <w:rPr>
                <w:rFonts w:hint="eastAsia"/>
                <w:lang w:val="en-US" w:eastAsia="zh-CN"/>
              </w:rPr>
            </w:pPr>
            <w:r>
              <w:rPr>
                <w:rFonts w:hint="eastAsia"/>
                <w:lang w:val="en-US" w:eastAsia="zh-CN"/>
              </w:rPr>
              <w:t>45</w:t>
            </w:r>
          </w:p>
        </w:tc>
      </w:tr>
      <w:tr w14:paraId="4126AF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220" w:type="pct"/>
            <w:tcBorders>
              <w:left w:val="single" w:color="000000" w:sz="6" w:space="0"/>
            </w:tcBorders>
            <w:noWrap w:val="0"/>
            <w:vAlign w:val="center"/>
          </w:tcPr>
          <w:p w14:paraId="76282FCC">
            <w:pPr>
              <w:pStyle w:val="31"/>
              <w:bidi w:val="0"/>
              <w:rPr>
                <w:rFonts w:hint="eastAsia"/>
                <w:lang w:val="en-US" w:eastAsia="zh-CN"/>
              </w:rPr>
            </w:pPr>
            <w:r>
              <w:rPr>
                <w:rFonts w:hint="eastAsia"/>
                <w:lang w:val="en-US" w:eastAsia="zh-CN"/>
              </w:rPr>
              <w:t>2</w:t>
            </w:r>
          </w:p>
        </w:tc>
        <w:tc>
          <w:tcPr>
            <w:tcW w:w="1327" w:type="pct"/>
            <w:noWrap w:val="0"/>
            <w:vAlign w:val="center"/>
          </w:tcPr>
          <w:p w14:paraId="44724351">
            <w:pPr>
              <w:pStyle w:val="31"/>
              <w:bidi w:val="0"/>
              <w:rPr>
                <w:rFonts w:hint="eastAsia"/>
                <w:lang w:val="en-US" w:eastAsia="zh-CN"/>
              </w:rPr>
            </w:pPr>
            <w:r>
              <w:rPr>
                <w:rFonts w:hint="eastAsia"/>
                <w:lang w:val="en-US" w:eastAsia="zh-CN"/>
              </w:rPr>
              <w:t>渣浆泵</w:t>
            </w:r>
          </w:p>
        </w:tc>
        <w:tc>
          <w:tcPr>
            <w:tcW w:w="1072" w:type="pct"/>
            <w:noWrap w:val="0"/>
            <w:vAlign w:val="center"/>
          </w:tcPr>
          <w:p w14:paraId="06C9922D">
            <w:pPr>
              <w:pStyle w:val="31"/>
              <w:bidi w:val="0"/>
              <w:rPr>
                <w:rFonts w:hint="eastAsia"/>
                <w:lang w:val="en-US" w:eastAsia="zh-CN"/>
              </w:rPr>
            </w:pPr>
            <w:r>
              <w:rPr>
                <w:rFonts w:hint="eastAsia"/>
                <w:lang w:val="en-US" w:eastAsia="zh-CN"/>
              </w:rPr>
              <w:t>流量80m³/h，扬程 35m</w:t>
            </w:r>
          </w:p>
        </w:tc>
        <w:tc>
          <w:tcPr>
            <w:tcW w:w="375" w:type="pct"/>
            <w:noWrap w:val="0"/>
            <w:vAlign w:val="center"/>
          </w:tcPr>
          <w:p w14:paraId="0B3CA2A9">
            <w:pPr>
              <w:pStyle w:val="31"/>
              <w:bidi w:val="0"/>
              <w:rPr>
                <w:rFonts w:hint="eastAsia"/>
                <w:lang w:val="en-US" w:eastAsia="zh-CN"/>
              </w:rPr>
            </w:pPr>
            <w:r>
              <w:rPr>
                <w:rFonts w:hint="eastAsia"/>
                <w:lang w:val="en-US" w:eastAsia="zh-CN"/>
              </w:rPr>
              <w:t>台</w:t>
            </w:r>
          </w:p>
        </w:tc>
        <w:tc>
          <w:tcPr>
            <w:tcW w:w="290" w:type="pct"/>
            <w:noWrap w:val="0"/>
            <w:vAlign w:val="center"/>
          </w:tcPr>
          <w:p w14:paraId="39A1A747">
            <w:pPr>
              <w:pStyle w:val="31"/>
              <w:bidi w:val="0"/>
              <w:rPr>
                <w:rFonts w:hint="eastAsia"/>
                <w:lang w:val="en-US" w:eastAsia="zh-CN"/>
              </w:rPr>
            </w:pPr>
            <w:r>
              <w:rPr>
                <w:rFonts w:hint="eastAsia"/>
                <w:lang w:val="en-US" w:eastAsia="zh-CN"/>
              </w:rPr>
              <w:t>1</w:t>
            </w:r>
          </w:p>
        </w:tc>
        <w:tc>
          <w:tcPr>
            <w:tcW w:w="273" w:type="pct"/>
            <w:noWrap w:val="0"/>
            <w:vAlign w:val="center"/>
          </w:tcPr>
          <w:p w14:paraId="13EB96A8">
            <w:pPr>
              <w:pStyle w:val="31"/>
              <w:bidi w:val="0"/>
              <w:rPr>
                <w:rFonts w:hint="eastAsia"/>
                <w:lang w:val="en-US" w:eastAsia="zh-CN"/>
              </w:rPr>
            </w:pPr>
            <w:r>
              <w:rPr>
                <w:rFonts w:hint="eastAsia"/>
                <w:lang w:val="en-US" w:eastAsia="zh-CN"/>
              </w:rPr>
              <w:t>1</w:t>
            </w:r>
          </w:p>
        </w:tc>
        <w:tc>
          <w:tcPr>
            <w:tcW w:w="719" w:type="pct"/>
            <w:noWrap w:val="0"/>
            <w:vAlign w:val="center"/>
          </w:tcPr>
          <w:p w14:paraId="4956404C">
            <w:pPr>
              <w:pStyle w:val="31"/>
              <w:bidi w:val="0"/>
              <w:rPr>
                <w:rFonts w:hint="default"/>
                <w:lang w:val="en-US" w:eastAsia="zh-CN"/>
              </w:rPr>
            </w:pPr>
            <w:r>
              <w:rPr>
                <w:rFonts w:hint="eastAsia"/>
                <w:lang w:val="en-US" w:eastAsia="zh-CN"/>
              </w:rPr>
              <w:t>30</w:t>
            </w:r>
          </w:p>
        </w:tc>
        <w:tc>
          <w:tcPr>
            <w:tcW w:w="720" w:type="pct"/>
            <w:noWrap w:val="0"/>
            <w:vAlign w:val="center"/>
          </w:tcPr>
          <w:p w14:paraId="1FFFB10F">
            <w:pPr>
              <w:pStyle w:val="31"/>
              <w:bidi w:val="0"/>
              <w:rPr>
                <w:rFonts w:hint="eastAsia"/>
                <w:lang w:val="en-US" w:eastAsia="zh-CN"/>
              </w:rPr>
            </w:pPr>
            <w:r>
              <w:rPr>
                <w:rFonts w:hint="eastAsia"/>
                <w:lang w:val="en-US" w:eastAsia="zh-CN"/>
              </w:rPr>
              <w:t>30</w:t>
            </w:r>
          </w:p>
        </w:tc>
      </w:tr>
      <w:tr w14:paraId="0CF309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3" w:hRule="atLeast"/>
        </w:trPr>
        <w:tc>
          <w:tcPr>
            <w:tcW w:w="220" w:type="pct"/>
            <w:tcBorders>
              <w:left w:val="single" w:color="000000" w:sz="6" w:space="0"/>
            </w:tcBorders>
            <w:noWrap w:val="0"/>
            <w:vAlign w:val="center"/>
          </w:tcPr>
          <w:p w14:paraId="0187F721">
            <w:pPr>
              <w:pStyle w:val="31"/>
              <w:bidi w:val="0"/>
              <w:rPr>
                <w:rFonts w:hint="eastAsia"/>
                <w:lang w:val="en-US" w:eastAsia="zh-CN"/>
              </w:rPr>
            </w:pPr>
            <w:r>
              <w:rPr>
                <w:rFonts w:hint="eastAsia"/>
                <w:lang w:val="en-US" w:eastAsia="zh-CN"/>
              </w:rPr>
              <w:t>合计</w:t>
            </w:r>
          </w:p>
        </w:tc>
        <w:tc>
          <w:tcPr>
            <w:tcW w:w="1327" w:type="pct"/>
            <w:noWrap w:val="0"/>
            <w:vAlign w:val="center"/>
          </w:tcPr>
          <w:p w14:paraId="556805C6">
            <w:pPr>
              <w:pStyle w:val="31"/>
              <w:bidi w:val="0"/>
              <w:rPr>
                <w:rFonts w:hint="eastAsia"/>
              </w:rPr>
            </w:pPr>
          </w:p>
        </w:tc>
        <w:tc>
          <w:tcPr>
            <w:tcW w:w="1072" w:type="pct"/>
            <w:noWrap w:val="0"/>
            <w:vAlign w:val="center"/>
          </w:tcPr>
          <w:p w14:paraId="7BD5A860">
            <w:pPr>
              <w:pStyle w:val="31"/>
              <w:bidi w:val="0"/>
              <w:rPr>
                <w:rFonts w:hint="eastAsia"/>
              </w:rPr>
            </w:pPr>
          </w:p>
        </w:tc>
        <w:tc>
          <w:tcPr>
            <w:tcW w:w="375" w:type="pct"/>
            <w:noWrap w:val="0"/>
            <w:vAlign w:val="center"/>
          </w:tcPr>
          <w:p w14:paraId="3B532626">
            <w:pPr>
              <w:pStyle w:val="31"/>
              <w:bidi w:val="0"/>
              <w:rPr>
                <w:rFonts w:hint="eastAsia"/>
              </w:rPr>
            </w:pPr>
          </w:p>
        </w:tc>
        <w:tc>
          <w:tcPr>
            <w:tcW w:w="290" w:type="pct"/>
            <w:noWrap w:val="0"/>
            <w:vAlign w:val="center"/>
          </w:tcPr>
          <w:p w14:paraId="410E8010">
            <w:pPr>
              <w:pStyle w:val="31"/>
              <w:bidi w:val="0"/>
              <w:rPr>
                <w:rFonts w:hint="eastAsia"/>
                <w:lang w:eastAsia="zh-CN"/>
              </w:rPr>
            </w:pPr>
          </w:p>
        </w:tc>
        <w:tc>
          <w:tcPr>
            <w:tcW w:w="273" w:type="pct"/>
            <w:noWrap w:val="0"/>
            <w:vAlign w:val="center"/>
          </w:tcPr>
          <w:p w14:paraId="582AE1D6">
            <w:pPr>
              <w:pStyle w:val="31"/>
              <w:bidi w:val="0"/>
              <w:rPr>
                <w:rFonts w:hint="eastAsia"/>
              </w:rPr>
            </w:pPr>
          </w:p>
        </w:tc>
        <w:tc>
          <w:tcPr>
            <w:tcW w:w="719" w:type="pct"/>
            <w:noWrap w:val="0"/>
            <w:vAlign w:val="center"/>
          </w:tcPr>
          <w:p w14:paraId="5DB508F7">
            <w:pPr>
              <w:pStyle w:val="31"/>
              <w:bidi w:val="0"/>
              <w:rPr>
                <w:rFonts w:hint="default"/>
                <w:lang w:val="en-US" w:eastAsia="zh-CN"/>
              </w:rPr>
            </w:pPr>
            <w:r>
              <w:rPr>
                <w:rFonts w:hint="eastAsia"/>
                <w:lang w:val="en-US" w:eastAsia="zh-CN"/>
              </w:rPr>
              <w:t>676</w:t>
            </w:r>
          </w:p>
        </w:tc>
        <w:tc>
          <w:tcPr>
            <w:tcW w:w="720" w:type="pct"/>
            <w:noWrap w:val="0"/>
            <w:vAlign w:val="center"/>
          </w:tcPr>
          <w:p w14:paraId="26D10ECE">
            <w:pPr>
              <w:pStyle w:val="31"/>
              <w:bidi w:val="0"/>
              <w:rPr>
                <w:rFonts w:hint="eastAsia"/>
                <w:lang w:val="en-US" w:eastAsia="zh-CN"/>
              </w:rPr>
            </w:pPr>
            <w:r>
              <w:rPr>
                <w:rFonts w:hint="eastAsia"/>
                <w:lang w:val="en-US" w:eastAsia="zh-CN"/>
              </w:rPr>
              <w:t>616</w:t>
            </w:r>
          </w:p>
        </w:tc>
      </w:tr>
    </w:tbl>
    <w:p w14:paraId="77B9F6E5">
      <w:pPr>
        <w:pStyle w:val="29"/>
        <w:bidi w:val="0"/>
        <w:rPr>
          <w:rFonts w:hint="default"/>
          <w:lang w:val="en-US" w:eastAsia="zh-CN"/>
        </w:rPr>
      </w:pPr>
      <w:r>
        <w:rPr>
          <w:rFonts w:hint="eastAsia"/>
          <w:lang w:val="en-US" w:eastAsia="zh-CN"/>
        </w:rPr>
        <w:t>通风系统</w:t>
      </w:r>
    </w:p>
    <w:p w14:paraId="60F4FF92">
      <w:pPr>
        <w:pStyle w:val="21"/>
        <w:numPr>
          <w:ilvl w:val="0"/>
          <w:numId w:val="18"/>
        </w:numPr>
        <w:bidi w:val="0"/>
        <w:rPr>
          <w:rFonts w:hint="default"/>
          <w:lang w:val="en-US" w:eastAsia="zh-CN"/>
        </w:rPr>
      </w:pPr>
      <w:r>
        <w:rPr>
          <w:rFonts w:hint="default"/>
          <w:lang w:val="en-US" w:eastAsia="zh-CN"/>
        </w:rPr>
        <w:t>通风方式、系统</w:t>
      </w:r>
    </w:p>
    <w:p w14:paraId="5E0424DC">
      <w:pPr>
        <w:pStyle w:val="21"/>
        <w:bidi w:val="0"/>
        <w:rPr>
          <w:rFonts w:hint="default"/>
        </w:rPr>
      </w:pPr>
      <w:r>
        <w:rPr>
          <w:rFonts w:hint="default"/>
        </w:rPr>
        <w:t>矿</w:t>
      </w:r>
      <w:r>
        <w:rPr>
          <w:rFonts w:hint="default"/>
          <w:lang w:val="en-US" w:eastAsia="zh-CN"/>
        </w:rPr>
        <w:t>井</w:t>
      </w:r>
      <w:r>
        <w:rPr>
          <w:rFonts w:hint="default"/>
        </w:rPr>
        <w:t>通风采用</w:t>
      </w:r>
      <w:r>
        <w:rPr>
          <w:rFonts w:hint="eastAsia"/>
          <w:lang w:val="en-US" w:eastAsia="zh-CN"/>
        </w:rPr>
        <w:t>对角抽出</w:t>
      </w:r>
      <w:r>
        <w:rPr>
          <w:rFonts w:hint="default"/>
        </w:rPr>
        <w:t>式通风系统。为了保证井下获得稳定的连续风流，矿井通风工作采用连续工作制。</w:t>
      </w:r>
    </w:p>
    <w:p w14:paraId="0EED3C85">
      <w:pPr>
        <w:pStyle w:val="21"/>
        <w:bidi w:val="0"/>
        <w:rPr>
          <w:rFonts w:hint="default"/>
          <w:lang w:val="en-US" w:eastAsia="zh-CN"/>
        </w:rPr>
      </w:pPr>
      <w:r>
        <w:rPr>
          <w:rFonts w:hint="eastAsia"/>
          <w:lang w:val="en-US" w:eastAsia="zh-CN"/>
        </w:rPr>
        <w:t>一期通风系统：</w:t>
      </w:r>
    </w:p>
    <w:p w14:paraId="59108094">
      <w:pPr>
        <w:pStyle w:val="21"/>
        <w:bidi w:val="0"/>
        <w:rPr>
          <w:rFonts w:hint="eastAsia"/>
          <w:lang w:val="en-US" w:eastAsia="zh-CN"/>
        </w:rPr>
      </w:pPr>
      <w:r>
        <w:rPr>
          <w:rFonts w:hint="eastAsia"/>
          <w:lang w:eastAsia="zh-CN"/>
        </w:rPr>
        <w:t>新鲜风量</w:t>
      </w:r>
      <w:r>
        <w:rPr>
          <w:rFonts w:hint="eastAsia"/>
          <w:lang w:val="en-US" w:eastAsia="zh-CN"/>
        </w:rPr>
        <w:t>主要由管缆井</w:t>
      </w:r>
      <w:r>
        <w:rPr>
          <w:rFonts w:hint="default"/>
        </w:rPr>
        <w:t>进入井下</w:t>
      </w:r>
      <w:r>
        <w:rPr>
          <w:rFonts w:hint="eastAsia"/>
          <w:lang w:eastAsia="zh-CN"/>
        </w:rPr>
        <w:t>，</w:t>
      </w:r>
      <w:r>
        <w:rPr>
          <w:rFonts w:hint="eastAsia"/>
          <w:lang w:val="en-US" w:eastAsia="zh-CN"/>
        </w:rPr>
        <w:t>斜坡道辅助入风</w:t>
      </w:r>
      <w:r>
        <w:rPr>
          <w:rFonts w:hint="eastAsia"/>
          <w:lang w:eastAsia="zh-CN"/>
        </w:rPr>
        <w:t>，</w:t>
      </w:r>
      <w:r>
        <w:rPr>
          <w:rFonts w:hint="eastAsia"/>
        </w:rPr>
        <w:t>通过石门、中段运输巷道经通风天井进入各采场内，冲洗工作面后的污风后经回风天井汇入上中段</w:t>
      </w:r>
      <w:r>
        <w:rPr>
          <w:rFonts w:hint="eastAsia"/>
          <w:lang w:val="en-US" w:eastAsia="zh-CN"/>
        </w:rPr>
        <w:t>回风</w:t>
      </w:r>
      <w:r>
        <w:rPr>
          <w:rFonts w:hint="eastAsia"/>
        </w:rPr>
        <w:t>巷道，</w:t>
      </w:r>
      <w:r>
        <w:rPr>
          <w:rFonts w:hint="eastAsia"/>
          <w:lang w:val="en-US" w:eastAsia="zh-CN"/>
        </w:rPr>
        <w:t>污风经设置在回风井的主扇排出地表。</w:t>
      </w:r>
    </w:p>
    <w:p w14:paraId="71899073">
      <w:pPr>
        <w:pStyle w:val="21"/>
        <w:bidi w:val="0"/>
        <w:rPr>
          <w:rFonts w:hint="eastAsia"/>
          <w:lang w:val="en-US" w:eastAsia="zh-CN"/>
        </w:rPr>
      </w:pPr>
      <w:r>
        <w:rPr>
          <w:rFonts w:hint="eastAsia"/>
          <w:lang w:val="en-US" w:eastAsia="zh-CN"/>
        </w:rPr>
        <w:t>二期通风系统：</w:t>
      </w:r>
    </w:p>
    <w:p w14:paraId="62B4F7CC">
      <w:pPr>
        <w:pStyle w:val="21"/>
        <w:bidi w:val="0"/>
        <w:rPr>
          <w:rFonts w:hint="default"/>
          <w:lang w:val="en-US" w:eastAsia="zh-CN"/>
        </w:rPr>
      </w:pPr>
      <w:r>
        <w:rPr>
          <w:rFonts w:hint="eastAsia"/>
          <w:lang w:eastAsia="zh-CN"/>
        </w:rPr>
        <w:t>新鲜风量</w:t>
      </w:r>
      <w:r>
        <w:rPr>
          <w:rFonts w:hint="eastAsia"/>
          <w:lang w:val="en-US" w:eastAsia="zh-CN"/>
        </w:rPr>
        <w:t>主要由管缆井</w:t>
      </w:r>
      <w:r>
        <w:rPr>
          <w:rFonts w:hint="default"/>
        </w:rPr>
        <w:t>进入井下</w:t>
      </w:r>
      <w:r>
        <w:rPr>
          <w:rFonts w:hint="eastAsia"/>
          <w:lang w:eastAsia="zh-CN"/>
        </w:rPr>
        <w:t>，</w:t>
      </w:r>
      <w:r>
        <w:rPr>
          <w:rFonts w:hint="eastAsia"/>
          <w:lang w:val="en-US" w:eastAsia="zh-CN"/>
        </w:rPr>
        <w:t>斜坡道辅助入风，在-300m中段风流通过斜坡道进入二期工程</w:t>
      </w:r>
      <w:r>
        <w:rPr>
          <w:rFonts w:hint="eastAsia"/>
          <w:lang w:eastAsia="zh-CN"/>
        </w:rPr>
        <w:t>，</w:t>
      </w:r>
      <w:r>
        <w:rPr>
          <w:rFonts w:hint="eastAsia"/>
        </w:rPr>
        <w:t>通过石门、中段运输巷道经通风天井进入各采场内，冲洗工作面后的污风后经回风天井汇入上中段</w:t>
      </w:r>
      <w:r>
        <w:rPr>
          <w:rFonts w:hint="eastAsia"/>
          <w:lang w:val="en-US" w:eastAsia="zh-CN"/>
        </w:rPr>
        <w:t>回风</w:t>
      </w:r>
      <w:r>
        <w:rPr>
          <w:rFonts w:hint="eastAsia"/>
        </w:rPr>
        <w:t>巷道，</w:t>
      </w:r>
      <w:r>
        <w:rPr>
          <w:rFonts w:hint="eastAsia"/>
          <w:lang w:val="en-US" w:eastAsia="zh-CN"/>
        </w:rPr>
        <w:t>污风通过倒段回风井，经设置在回风井的主扇排出地表。</w:t>
      </w:r>
    </w:p>
    <w:p w14:paraId="3E0030A5">
      <w:pPr>
        <w:pStyle w:val="21"/>
        <w:numPr>
          <w:ilvl w:val="0"/>
          <w:numId w:val="18"/>
        </w:numPr>
        <w:bidi w:val="0"/>
        <w:rPr>
          <w:rFonts w:hint="default"/>
          <w:lang w:val="en-US" w:eastAsia="zh-CN"/>
        </w:rPr>
      </w:pPr>
      <w:r>
        <w:rPr>
          <w:rFonts w:hint="default"/>
          <w:lang w:val="en-US" w:eastAsia="zh-CN"/>
        </w:rPr>
        <w:t>矿井通风制度</w:t>
      </w:r>
    </w:p>
    <w:p w14:paraId="5B63C869">
      <w:pPr>
        <w:pStyle w:val="21"/>
        <w:bidi w:val="0"/>
        <w:rPr>
          <w:rFonts w:hint="default"/>
          <w:lang w:val="en-US" w:eastAsia="zh-CN"/>
        </w:rPr>
      </w:pPr>
      <w:r>
        <w:rPr>
          <w:rFonts w:hint="default"/>
        </w:rPr>
        <w:t>矿井通风采用连续工作制，即</w:t>
      </w:r>
      <w:r>
        <w:rPr>
          <w:rFonts w:hint="default"/>
          <w:lang w:val="en-US" w:eastAsia="zh-CN"/>
        </w:rPr>
        <w:t>300</w:t>
      </w:r>
      <w:r>
        <w:rPr>
          <w:rFonts w:hint="default"/>
        </w:rPr>
        <w:t>d/a，3班/d，8h/班。</w:t>
      </w:r>
    </w:p>
    <w:p w14:paraId="6038D657">
      <w:pPr>
        <w:pStyle w:val="21"/>
        <w:numPr>
          <w:ilvl w:val="0"/>
          <w:numId w:val="18"/>
        </w:numPr>
        <w:bidi w:val="0"/>
        <w:rPr>
          <w:rFonts w:hint="default"/>
          <w:lang w:val="en-US" w:eastAsia="zh-CN"/>
        </w:rPr>
      </w:pPr>
      <w:r>
        <w:rPr>
          <w:rFonts w:hint="default"/>
          <w:lang w:val="en-US" w:eastAsia="zh-CN"/>
        </w:rPr>
        <w:t>矿井需风量</w:t>
      </w:r>
      <w:r>
        <w:rPr>
          <w:rFonts w:hint="eastAsia"/>
          <w:lang w:val="en-US" w:eastAsia="zh-CN"/>
        </w:rPr>
        <w:t>及通风阻力计算</w:t>
      </w:r>
    </w:p>
    <w:p w14:paraId="79BE8994">
      <w:pPr>
        <w:pStyle w:val="21"/>
        <w:bidi w:val="0"/>
        <w:rPr>
          <w:rFonts w:hint="eastAsia"/>
          <w:lang w:val="en-US" w:eastAsia="zh-CN"/>
        </w:rPr>
      </w:pPr>
      <w:r>
        <w:rPr>
          <w:rFonts w:hint="eastAsia"/>
          <w:lang w:val="en-US" w:eastAsia="zh-CN"/>
        </w:rPr>
        <w:t>《可研报告》明确矿床矿石中不含硫、放射性元素及其它有害气体，按照不低于《金属非金属矿山安全规程》规定的最低排尘风速，一期井下作业机台数按采矿60万t/a生产能力，二期按采矿30万t/a生产能力，计算的矿井需风量。</w:t>
      </w:r>
    </w:p>
    <w:p w14:paraId="1EF9DED7">
      <w:pPr>
        <w:pStyle w:val="21"/>
        <w:bidi w:val="0"/>
        <w:rPr>
          <w:rFonts w:hint="default"/>
          <w:lang w:val="en-US" w:eastAsia="zh-CN"/>
        </w:rPr>
      </w:pPr>
      <w:r>
        <w:rPr>
          <w:rFonts w:hint="eastAsia"/>
          <w:lang w:val="en-US" w:eastAsia="zh-CN"/>
        </w:rPr>
        <w:t>《可研报告》分别按工作面及硐室计算矿井需风量、按柴油设备需风量计算、</w:t>
      </w:r>
      <w:r>
        <w:rPr>
          <w:rFonts w:hint="eastAsia"/>
        </w:rPr>
        <w:t>按井下最大同时作业人数计算总需风量</w:t>
      </w:r>
      <w:r>
        <w:rPr>
          <w:rFonts w:hint="eastAsia"/>
          <w:lang w:val="en-US" w:eastAsia="zh-CN"/>
        </w:rPr>
        <w:t>，一期需风量结果分别为99m³/s、109</w:t>
      </w:r>
      <w:r>
        <w:rPr>
          <w:rFonts w:hint="default"/>
          <w:lang w:val="en-US" w:eastAsia="zh-CN"/>
        </w:rPr>
        <w:t>m³/s</w:t>
      </w:r>
      <w:r>
        <w:rPr>
          <w:rFonts w:hint="eastAsia"/>
          <w:lang w:val="en-US" w:eastAsia="zh-CN"/>
        </w:rPr>
        <w:t>、2.93</w:t>
      </w:r>
      <w:r>
        <w:rPr>
          <w:rFonts w:hint="default"/>
          <w:lang w:val="en-US" w:eastAsia="zh-CN"/>
        </w:rPr>
        <w:t>m³/s</w:t>
      </w:r>
      <w:r>
        <w:rPr>
          <w:rFonts w:hint="eastAsia"/>
          <w:lang w:val="en-US" w:eastAsia="zh-CN"/>
        </w:rPr>
        <w:t>。因此，井下需风量取最大值109m³/s</w:t>
      </w:r>
      <w:r>
        <w:rPr>
          <w:rFonts w:hint="eastAsia"/>
          <w:lang w:eastAsia="zh-CN"/>
        </w:rPr>
        <w:t>。</w:t>
      </w:r>
      <w:r>
        <w:rPr>
          <w:rFonts w:hint="eastAsia"/>
          <w:lang w:val="en-US" w:eastAsia="zh-CN"/>
        </w:rPr>
        <w:t>二期需风量结果分别为48m³/s、59</w:t>
      </w:r>
      <w:r>
        <w:rPr>
          <w:rFonts w:hint="default"/>
          <w:lang w:val="en-US" w:eastAsia="zh-CN"/>
        </w:rPr>
        <w:t>m³/s</w:t>
      </w:r>
      <w:r>
        <w:rPr>
          <w:rFonts w:hint="eastAsia"/>
          <w:lang w:val="en-US" w:eastAsia="zh-CN"/>
        </w:rPr>
        <w:t>、2.93</w:t>
      </w:r>
      <w:r>
        <w:rPr>
          <w:rFonts w:hint="default"/>
          <w:lang w:val="en-US" w:eastAsia="zh-CN"/>
        </w:rPr>
        <w:t>m³/s</w:t>
      </w:r>
      <w:r>
        <w:rPr>
          <w:rFonts w:hint="eastAsia"/>
          <w:lang w:val="en-US" w:eastAsia="zh-CN"/>
        </w:rPr>
        <w:t>。因此，井下需风量取最大值59m³/s</w:t>
      </w:r>
      <w:r>
        <w:rPr>
          <w:rFonts w:hint="eastAsia"/>
          <w:lang w:eastAsia="zh-CN"/>
        </w:rPr>
        <w:t>。</w:t>
      </w:r>
    </w:p>
    <w:p w14:paraId="7448114A">
      <w:pPr>
        <w:pStyle w:val="21"/>
        <w:bidi w:val="0"/>
        <w:rPr>
          <w:rFonts w:hint="default"/>
          <w:lang w:val="en-US" w:eastAsia="zh-CN"/>
        </w:rPr>
      </w:pPr>
      <w:r>
        <w:rPr>
          <w:rFonts w:hint="eastAsia"/>
        </w:rPr>
        <w:t>综上，</w:t>
      </w:r>
      <w:r>
        <w:rPr>
          <w:rFonts w:hint="eastAsia"/>
          <w:lang w:val="en-US" w:eastAsia="zh-CN"/>
        </w:rPr>
        <w:t>一期</w:t>
      </w:r>
      <w:r>
        <w:rPr>
          <w:rFonts w:hint="eastAsia"/>
        </w:rPr>
        <w:t>井下需风量取最大值</w:t>
      </w:r>
      <w:r>
        <w:rPr>
          <w:rFonts w:hint="eastAsia"/>
          <w:lang w:val="en-US" w:eastAsia="zh-CN"/>
        </w:rPr>
        <w:t>109m³</w:t>
      </w:r>
      <w:r>
        <w:rPr>
          <w:rFonts w:hint="eastAsia"/>
        </w:rPr>
        <w:t>/s。</w:t>
      </w:r>
      <w:r>
        <w:rPr>
          <w:rFonts w:hint="eastAsia"/>
          <w:lang w:val="en-US" w:eastAsia="zh-CN"/>
        </w:rPr>
        <w:t>其中管缆井入风99m³</w:t>
      </w:r>
      <w:r>
        <w:rPr>
          <w:rFonts w:hint="eastAsia"/>
        </w:rPr>
        <w:t>/s</w:t>
      </w:r>
      <w:r>
        <w:rPr>
          <w:rFonts w:hint="eastAsia"/>
          <w:lang w:eastAsia="zh-CN"/>
        </w:rPr>
        <w:t>，</w:t>
      </w:r>
      <w:r>
        <w:rPr>
          <w:rFonts w:hint="eastAsia"/>
          <w:lang w:val="en-US" w:eastAsia="zh-CN"/>
        </w:rPr>
        <w:t>斜坡道入风10m³</w:t>
      </w:r>
      <w:r>
        <w:rPr>
          <w:rFonts w:hint="eastAsia"/>
        </w:rPr>
        <w:t>/s</w:t>
      </w:r>
      <w:r>
        <w:rPr>
          <w:rFonts w:hint="eastAsia"/>
          <w:lang w:eastAsia="zh-CN"/>
        </w:rPr>
        <w:t>。</w:t>
      </w:r>
      <w:r>
        <w:rPr>
          <w:rFonts w:hint="eastAsia"/>
          <w:lang w:val="en-US" w:eastAsia="zh-CN"/>
        </w:rPr>
        <w:t>二期时的最大生产规模为30万t，需风量59m³</w:t>
      </w:r>
      <w:r>
        <w:rPr>
          <w:rFonts w:hint="eastAsia"/>
        </w:rPr>
        <w:t>/s</w:t>
      </w:r>
      <w:r>
        <w:rPr>
          <w:rFonts w:hint="eastAsia"/>
          <w:lang w:val="en-US" w:eastAsia="zh-CN"/>
        </w:rPr>
        <w:t>，其中管缆井入风49m³</w:t>
      </w:r>
      <w:r>
        <w:rPr>
          <w:rFonts w:hint="eastAsia"/>
        </w:rPr>
        <w:t>/s</w:t>
      </w:r>
      <w:r>
        <w:rPr>
          <w:rFonts w:hint="eastAsia"/>
          <w:lang w:eastAsia="zh-CN"/>
        </w:rPr>
        <w:t>，</w:t>
      </w:r>
      <w:r>
        <w:rPr>
          <w:rFonts w:hint="eastAsia"/>
          <w:lang w:val="en-US" w:eastAsia="zh-CN"/>
        </w:rPr>
        <w:t>斜坡道入风10m³</w:t>
      </w:r>
      <w:r>
        <w:rPr>
          <w:rFonts w:hint="eastAsia"/>
        </w:rPr>
        <w:t>/s</w:t>
      </w:r>
      <w:r>
        <w:rPr>
          <w:rFonts w:hint="eastAsia"/>
          <w:lang w:eastAsia="zh-CN"/>
        </w:rPr>
        <w:t>。</w:t>
      </w:r>
    </w:p>
    <w:p w14:paraId="40630462">
      <w:pPr>
        <w:pStyle w:val="21"/>
        <w:bidi w:val="0"/>
        <w:rPr>
          <w:rFonts w:hint="default"/>
          <w:lang w:val="en-US" w:eastAsia="zh-CN"/>
        </w:rPr>
      </w:pPr>
      <w:r>
        <w:rPr>
          <w:rFonts w:hint="eastAsia"/>
          <w:lang w:val="en-US" w:eastAsia="zh-CN"/>
        </w:rPr>
        <w:t>《可研报告》矿井通风总阻力计算是按通风最困难时期为准进行计算。由于采区出风井和进风井高差相差均不大，自然风压很小，因此设计通风阻力计算不考虑自然风压的影响。经计算，一期</w:t>
      </w:r>
      <w:r>
        <w:rPr>
          <w:rFonts w:hint="eastAsia"/>
        </w:rPr>
        <w:t>最</w:t>
      </w:r>
      <w:r>
        <w:rPr>
          <w:rFonts w:hint="eastAsia"/>
          <w:lang w:val="en-US" w:eastAsia="zh-CN"/>
        </w:rPr>
        <w:t>容易</w:t>
      </w:r>
      <w:r>
        <w:rPr>
          <w:rFonts w:hint="eastAsia"/>
        </w:rPr>
        <w:t>时期通风阻力为</w:t>
      </w:r>
      <w:r>
        <w:rPr>
          <w:rFonts w:hint="eastAsia"/>
          <w:lang w:val="en-US" w:eastAsia="zh-CN"/>
        </w:rPr>
        <w:t>294</w:t>
      </w:r>
      <w:r>
        <w:rPr>
          <w:rFonts w:hint="eastAsia"/>
        </w:rPr>
        <w:t>Pa</w:t>
      </w:r>
      <w:r>
        <w:rPr>
          <w:rFonts w:hint="eastAsia"/>
          <w:lang w:eastAsia="zh-CN"/>
        </w:rPr>
        <w:t>，</w:t>
      </w:r>
      <w:r>
        <w:rPr>
          <w:rFonts w:hint="eastAsia"/>
        </w:rPr>
        <w:t>困难时期通风阻力为</w:t>
      </w:r>
      <w:r>
        <w:rPr>
          <w:rFonts w:hint="eastAsia"/>
          <w:lang w:val="en-US" w:eastAsia="zh-CN"/>
        </w:rPr>
        <w:t>798</w:t>
      </w:r>
      <w:r>
        <w:rPr>
          <w:rFonts w:hint="eastAsia"/>
        </w:rPr>
        <w:t>Pa。</w:t>
      </w:r>
      <w:r>
        <w:rPr>
          <w:rFonts w:hint="eastAsia"/>
          <w:lang w:val="en-US" w:eastAsia="zh-CN"/>
        </w:rPr>
        <w:t>二期容易时期通风阻力为212Pa，困难时期通风阻力为257Pa</w:t>
      </w:r>
      <w:r>
        <w:rPr>
          <w:rFonts w:hint="eastAsia"/>
        </w:rPr>
        <w:t>。</w:t>
      </w:r>
    </w:p>
    <w:p w14:paraId="11439947">
      <w:pPr>
        <w:pStyle w:val="21"/>
        <w:numPr>
          <w:ilvl w:val="0"/>
          <w:numId w:val="18"/>
        </w:numPr>
        <w:bidi w:val="0"/>
        <w:rPr>
          <w:rFonts w:hint="default"/>
          <w:lang w:val="en-US" w:eastAsia="zh-CN"/>
        </w:rPr>
      </w:pPr>
      <w:r>
        <w:rPr>
          <w:rFonts w:hint="eastAsia"/>
          <w:lang w:val="en-US" w:eastAsia="zh-CN"/>
        </w:rPr>
        <w:t>主要通风设施</w:t>
      </w:r>
    </w:p>
    <w:p w14:paraId="213E1C32">
      <w:pPr>
        <w:pStyle w:val="21"/>
        <w:bidi w:val="0"/>
        <w:rPr>
          <w:rFonts w:hint="default"/>
          <w:lang w:val="en-US" w:eastAsia="zh-CN"/>
        </w:rPr>
      </w:pPr>
      <w:r>
        <w:rPr>
          <w:rFonts w:hint="default"/>
          <w:lang w:val="en-US" w:eastAsia="zh-CN"/>
        </w:rPr>
        <w:t>为了使矿井中的风流按照规定的网路和风量流动，在通风网路中设置各种控制风流的通风构筑物。根据矿井通风需要，采用密闭或自动风门来调节通风网路。主扇风机配备一台同型号的备用电机。</w:t>
      </w:r>
    </w:p>
    <w:p w14:paraId="67C5DF13">
      <w:pPr>
        <w:pStyle w:val="21"/>
        <w:bidi w:val="0"/>
        <w:rPr>
          <w:rFonts w:hint="eastAsia"/>
          <w:lang w:val="en-US" w:eastAsia="zh-CN"/>
        </w:rPr>
      </w:pPr>
      <w:r>
        <w:rPr>
          <w:rFonts w:hint="default"/>
          <w:lang w:val="en-US" w:eastAsia="zh-CN"/>
        </w:rPr>
        <w:t>矿山应在回风中段和暂未生产中段的石门处设隔断风门，避免新风流直接进入回风巷内，造成通风短路。</w:t>
      </w:r>
    </w:p>
    <w:p w14:paraId="272F7CD6">
      <w:pPr>
        <w:pStyle w:val="21"/>
        <w:numPr>
          <w:ilvl w:val="0"/>
          <w:numId w:val="18"/>
        </w:numPr>
        <w:bidi w:val="0"/>
        <w:rPr>
          <w:rFonts w:hint="default"/>
          <w:lang w:val="en-US" w:eastAsia="zh-CN"/>
        </w:rPr>
      </w:pPr>
      <w:r>
        <w:rPr>
          <w:rFonts w:hint="eastAsia"/>
          <w:lang w:val="en-US" w:eastAsia="zh-CN"/>
        </w:rPr>
        <w:t>局部通风设施</w:t>
      </w:r>
    </w:p>
    <w:p w14:paraId="325FDA7F">
      <w:pPr>
        <w:pStyle w:val="21"/>
        <w:bidi w:val="0"/>
        <w:rPr>
          <w:rFonts w:hint="default"/>
          <w:lang w:val="en-US" w:eastAsia="zh-CN"/>
        </w:rPr>
      </w:pPr>
      <w:r>
        <w:rPr>
          <w:rFonts w:hint="eastAsia"/>
        </w:rPr>
        <w:t>工作面必须进行局部通风：采用</w:t>
      </w:r>
      <w:r>
        <w:rPr>
          <w:rFonts w:hint="eastAsia"/>
          <w:lang w:val="en-US" w:eastAsia="zh-CN"/>
        </w:rPr>
        <w:t>FKNo4.5/11</w:t>
      </w:r>
      <w:r>
        <w:rPr>
          <w:rFonts w:hint="eastAsia"/>
        </w:rPr>
        <w:t>局部通风机进行通风，回采工作面</w:t>
      </w:r>
      <w:r>
        <w:rPr>
          <w:rFonts w:hint="eastAsia"/>
          <w:lang w:val="en-US" w:eastAsia="zh-CN"/>
        </w:rPr>
        <w:t>4</w:t>
      </w:r>
      <w:r>
        <w:rPr>
          <w:rFonts w:hint="eastAsia"/>
        </w:rPr>
        <w:t>个，掘进工作面</w:t>
      </w:r>
      <w:r>
        <w:rPr>
          <w:rFonts w:hint="eastAsia"/>
          <w:lang w:val="en-US" w:eastAsia="zh-CN"/>
        </w:rPr>
        <w:t>3</w:t>
      </w:r>
      <w:r>
        <w:rPr>
          <w:rFonts w:hint="eastAsia"/>
        </w:rPr>
        <w:t>个，考虑</w:t>
      </w:r>
      <w:r>
        <w:rPr>
          <w:rFonts w:hint="eastAsia"/>
          <w:lang w:val="en-US" w:eastAsia="zh-CN"/>
        </w:rPr>
        <w:t>30</w:t>
      </w:r>
      <w:r>
        <w:rPr>
          <w:rFonts w:hint="eastAsia"/>
        </w:rPr>
        <w:t>%备用量</w:t>
      </w:r>
      <w:r>
        <w:rPr>
          <w:rFonts w:hint="eastAsia"/>
          <w:lang w:eastAsia="zh-CN"/>
        </w:rPr>
        <w:t>及加强工作面通风，</w:t>
      </w:r>
      <w:r>
        <w:rPr>
          <w:rFonts w:hint="eastAsia"/>
          <w:lang w:val="en-US" w:eastAsia="zh-CN"/>
        </w:rPr>
        <w:t>FKNo4.5/11</w:t>
      </w:r>
      <w:r>
        <w:rPr>
          <w:rFonts w:hint="eastAsia"/>
        </w:rPr>
        <w:t>局部通风机取</w:t>
      </w:r>
      <w:r>
        <w:rPr>
          <w:rFonts w:hint="eastAsia"/>
          <w:lang w:val="en-US" w:eastAsia="zh-CN"/>
        </w:rPr>
        <w:t>10</w:t>
      </w:r>
      <w:r>
        <w:rPr>
          <w:rFonts w:hint="eastAsia"/>
        </w:rPr>
        <w:t>台。独头掘进工作面较长的工作面采用压、抽混合式局部通风。</w:t>
      </w:r>
      <w:r>
        <w:rPr>
          <w:rFonts w:hint="eastAsia"/>
          <w:lang w:eastAsia="zh-CN"/>
        </w:rPr>
        <w:t>风筒采用</w:t>
      </w:r>
      <w:r>
        <w:rPr>
          <w:rFonts w:hint="eastAsia"/>
          <w:lang w:val="en-US" w:eastAsia="zh-CN"/>
        </w:rPr>
        <w:t>FTZSS 450×10矿用风筒，风筒直径450mm</w:t>
      </w:r>
      <w:r>
        <w:rPr>
          <w:rFonts w:hint="eastAsia"/>
          <w:lang w:eastAsia="zh-CN"/>
        </w:rPr>
        <w:t>。</w:t>
      </w:r>
    </w:p>
    <w:p w14:paraId="00C3D5FE">
      <w:pPr>
        <w:pStyle w:val="29"/>
        <w:bidi w:val="0"/>
        <w:rPr>
          <w:rFonts w:hint="default"/>
          <w:lang w:val="en-US" w:eastAsia="zh-CN"/>
        </w:rPr>
      </w:pPr>
      <w:r>
        <w:rPr>
          <w:rFonts w:hint="default"/>
          <w:lang w:val="en-US" w:eastAsia="zh-CN"/>
        </w:rPr>
        <w:t>矿山供配电设施</w:t>
      </w:r>
    </w:p>
    <w:p w14:paraId="50E8E340">
      <w:pPr>
        <w:pStyle w:val="21"/>
        <w:numPr>
          <w:ilvl w:val="0"/>
          <w:numId w:val="19"/>
        </w:numPr>
        <w:bidi w:val="0"/>
        <w:rPr>
          <w:rFonts w:hint="default"/>
          <w:lang w:val="en-US" w:eastAsia="zh-CN"/>
        </w:rPr>
      </w:pPr>
      <w:r>
        <w:rPr>
          <w:rFonts w:hint="eastAsia"/>
          <w:lang w:val="en-US" w:eastAsia="zh-CN"/>
        </w:rPr>
        <w:t>矿区供电</w:t>
      </w:r>
    </w:p>
    <w:p w14:paraId="09C77951">
      <w:pPr>
        <w:pStyle w:val="21"/>
        <w:bidi w:val="0"/>
        <w:rPr>
          <w:rFonts w:hint="default"/>
          <w:lang w:val="en-US" w:eastAsia="zh-CN"/>
        </w:rPr>
      </w:pPr>
      <w:r>
        <w:rPr>
          <w:rFonts w:hint="eastAsia"/>
          <w:lang w:val="en-US" w:eastAsia="zh-CN"/>
        </w:rPr>
        <w:t>采用双重电源供电，10kV主供电源引自矿区内66/10kV总降压变电站，架空线路型号为LJ-150。66/10kV总降压变电站由66kV塔空乙线输电线路供电，架空线路型号为LGJ-120，电源点距矿山3.5km；另一路备用电源引自66kV山庄变电站10kV山大线，线路型号为ZC-YJLV</w:t>
      </w:r>
      <w:r>
        <w:rPr>
          <w:rFonts w:hint="eastAsia"/>
          <w:vertAlign w:val="subscript"/>
          <w:lang w:val="en-US" w:eastAsia="zh-CN"/>
        </w:rPr>
        <w:t>22</w:t>
      </w:r>
      <w:r>
        <w:rPr>
          <w:rFonts w:hint="eastAsia"/>
          <w:lang w:val="en-US" w:eastAsia="zh-CN"/>
        </w:rPr>
        <w:t>-8.7/15kV-3×150，电源点距矿山10.5km，作为一级负荷的保安电源。以上两回电源分属不同电力网络，均安全可靠且满足用电需要。</w:t>
      </w:r>
    </w:p>
    <w:p w14:paraId="28A0FDB1">
      <w:pPr>
        <w:pStyle w:val="21"/>
        <w:numPr>
          <w:ilvl w:val="0"/>
          <w:numId w:val="19"/>
        </w:numPr>
        <w:bidi w:val="0"/>
        <w:rPr>
          <w:rFonts w:hint="default"/>
          <w:lang w:val="en-US" w:eastAsia="zh-CN"/>
        </w:rPr>
      </w:pPr>
      <w:r>
        <w:rPr>
          <w:rFonts w:hint="eastAsia"/>
          <w:lang w:val="en-US" w:eastAsia="zh-CN"/>
        </w:rPr>
        <w:t>供电系统</w:t>
      </w:r>
    </w:p>
    <w:p w14:paraId="60021B29">
      <w:pPr>
        <w:pStyle w:val="21"/>
        <w:bidi w:val="0"/>
        <w:rPr>
          <w:rFonts w:hint="default"/>
          <w:lang w:val="en-US" w:eastAsia="zh-CN"/>
        </w:rPr>
      </w:pPr>
      <w:r>
        <w:rPr>
          <w:rFonts w:hint="eastAsia"/>
        </w:rPr>
        <w:t>采用放射式配电方式，向地表变电所采用架空线路的方式配电，各用电中段采用电缆的方式配电，主扇机等用电单位可采用架空线路的方式配电，架空线转电缆处设有避雷设施</w:t>
      </w:r>
      <w:r>
        <w:rPr>
          <w:rFonts w:hint="eastAsia"/>
          <w:lang w:eastAsia="zh-CN"/>
        </w:rPr>
        <w:t>。</w:t>
      </w:r>
    </w:p>
    <w:p w14:paraId="64A55664">
      <w:pPr>
        <w:pStyle w:val="21"/>
        <w:numPr>
          <w:ilvl w:val="0"/>
          <w:numId w:val="19"/>
        </w:numPr>
        <w:bidi w:val="0"/>
        <w:rPr>
          <w:rFonts w:hint="default"/>
          <w:lang w:val="en-US" w:eastAsia="zh-CN"/>
        </w:rPr>
      </w:pPr>
      <w:r>
        <w:rPr>
          <w:rFonts w:hint="eastAsia"/>
          <w:lang w:val="en-US" w:eastAsia="zh-CN"/>
        </w:rPr>
        <w:t>井上下供配电</w:t>
      </w:r>
    </w:p>
    <w:p w14:paraId="7CF92148">
      <w:pPr>
        <w:pStyle w:val="21"/>
        <w:bidi w:val="0"/>
        <w:rPr>
          <w:rFonts w:hint="default"/>
          <w:lang w:val="en-US" w:eastAsia="zh-CN"/>
        </w:rPr>
      </w:pPr>
      <w:r>
        <w:rPr>
          <w:rFonts w:hint="eastAsia"/>
          <w:lang w:val="en-US" w:eastAsia="zh-CN"/>
        </w:rPr>
        <w:t>1、地面供配电</w:t>
      </w:r>
    </w:p>
    <w:p w14:paraId="3AA5C683">
      <w:pPr>
        <w:pStyle w:val="21"/>
        <w:bidi w:val="0"/>
        <w:rPr>
          <w:rFonts w:hint="default"/>
          <w:lang w:val="en-US" w:eastAsia="zh-CN"/>
        </w:rPr>
      </w:pPr>
      <w:r>
        <w:rPr>
          <w:rFonts w:hint="eastAsia"/>
          <w:lang w:val="en-US" w:eastAsia="zh-CN"/>
        </w:rPr>
        <w:t>①</w:t>
      </w:r>
      <w:r>
        <w:rPr>
          <w:rFonts w:hint="default"/>
          <w:lang w:val="en-US" w:eastAsia="zh-CN"/>
        </w:rPr>
        <w:t>10kV地表配电所</w:t>
      </w:r>
    </w:p>
    <w:p w14:paraId="0F6C7BC9">
      <w:pPr>
        <w:pStyle w:val="21"/>
        <w:bidi w:val="0"/>
        <w:rPr>
          <w:rFonts w:hint="default"/>
          <w:lang w:val="en-US" w:eastAsia="zh-CN"/>
        </w:rPr>
      </w:pPr>
      <w:r>
        <w:rPr>
          <w:rFonts w:hint="eastAsia"/>
          <w:lang w:val="en-US" w:eastAsia="zh-CN"/>
        </w:rPr>
        <w:t>《可研报告》</w:t>
      </w:r>
      <w:r>
        <w:rPr>
          <w:rFonts w:hint="default"/>
          <w:lang w:val="en-US" w:eastAsia="zh-CN"/>
        </w:rPr>
        <w:t>设计在地表建设一10kV变配电所（具体位置见总图），内设单母线分段供电系统，两段母线的电源分别引自上级变电所，采用放射式配电方式，以10kV出线，向空压机房、风机房、充填站、-300m中段变配电所、-450m中段变配电所、采场变配电所及其他10kV配电点等用电单位配电</w:t>
      </w:r>
      <w:r>
        <w:rPr>
          <w:rFonts w:hint="eastAsia"/>
          <w:lang w:val="en-US" w:eastAsia="zh-CN"/>
        </w:rPr>
        <w:t>。</w:t>
      </w:r>
    </w:p>
    <w:p w14:paraId="0B718792">
      <w:pPr>
        <w:pStyle w:val="21"/>
        <w:bidi w:val="0"/>
        <w:rPr>
          <w:rFonts w:hint="eastAsia"/>
          <w:lang w:val="en-US" w:eastAsia="zh-CN"/>
        </w:rPr>
      </w:pPr>
      <w:r>
        <w:rPr>
          <w:rFonts w:hint="eastAsia"/>
          <w:lang w:val="en-US" w:eastAsia="zh-CN"/>
        </w:rPr>
        <w:t>②空压机房变配电所</w:t>
      </w:r>
    </w:p>
    <w:p w14:paraId="37E3B817">
      <w:pPr>
        <w:pStyle w:val="21"/>
        <w:bidi w:val="0"/>
        <w:rPr>
          <w:rFonts w:hint="default"/>
          <w:lang w:val="en-US" w:eastAsia="zh-CN"/>
        </w:rPr>
      </w:pPr>
      <w:r>
        <w:rPr>
          <w:rFonts w:hint="eastAsia"/>
          <w:lang w:val="en-US" w:eastAsia="zh-CN"/>
        </w:rPr>
        <w:t>《可研报告》在空压机房附近利用现有箱变，该箱变内设1台S13-M-500/10 10/0.4kV 500kVA变压器，中性点接地，担负空压机、潜水泵、照明及其他等低压负荷用电，满足要求。</w:t>
      </w:r>
    </w:p>
    <w:p w14:paraId="19B15C18">
      <w:pPr>
        <w:pStyle w:val="21"/>
        <w:bidi w:val="0"/>
        <w:rPr>
          <w:rFonts w:hint="eastAsia"/>
          <w:lang w:val="en-US" w:eastAsia="zh-CN"/>
        </w:rPr>
      </w:pPr>
      <w:r>
        <w:rPr>
          <w:rFonts w:hint="eastAsia"/>
          <w:lang w:val="en-US" w:eastAsia="zh-CN"/>
        </w:rPr>
        <w:t>③风机房变配电所</w:t>
      </w:r>
    </w:p>
    <w:p w14:paraId="493557B2">
      <w:pPr>
        <w:pStyle w:val="21"/>
        <w:bidi w:val="0"/>
        <w:rPr>
          <w:rFonts w:hint="default"/>
          <w:lang w:val="en-US" w:eastAsia="zh-CN"/>
        </w:rPr>
      </w:pPr>
      <w:r>
        <w:rPr>
          <w:rFonts w:hint="eastAsia"/>
          <w:lang w:val="en-US" w:eastAsia="zh-CN"/>
        </w:rPr>
        <w:t>《可研报告》</w:t>
      </w:r>
      <w:r>
        <w:rPr>
          <w:rFonts w:hint="default"/>
          <w:lang w:val="en-US" w:eastAsia="zh-CN"/>
        </w:rPr>
        <w:t>设计</w:t>
      </w:r>
      <w:r>
        <w:rPr>
          <w:rFonts w:hint="eastAsia"/>
          <w:lang w:val="en-US" w:eastAsia="zh-CN"/>
        </w:rPr>
        <w:t>毗邻风机房设变配电所，该变配电所内设1台SCB13-160/10 10/0.4kV 160kVA变压器，中性点接地，该变压器一期使用完毕后，二期继续使用。一期时该变压器担负风机辅助设备、照明及其他等低压负荷用电，满足要求，其中一期时风机为10kV高压设备；二期时该变压器担负风机及其辅助设备、照明及其他等低压负荷用电，满足要求。</w:t>
      </w:r>
    </w:p>
    <w:p w14:paraId="0B0A0CC7">
      <w:pPr>
        <w:pStyle w:val="21"/>
        <w:bidi w:val="0"/>
        <w:rPr>
          <w:rFonts w:hint="eastAsia"/>
          <w:lang w:val="en-US" w:eastAsia="zh-CN"/>
        </w:rPr>
      </w:pPr>
      <w:r>
        <w:rPr>
          <w:rFonts w:hint="eastAsia"/>
          <w:lang w:val="en-US" w:eastAsia="zh-CN"/>
        </w:rPr>
        <w:t>④充填站变配电所</w:t>
      </w:r>
    </w:p>
    <w:p w14:paraId="330317B3">
      <w:pPr>
        <w:pStyle w:val="21"/>
        <w:bidi w:val="0"/>
        <w:rPr>
          <w:rFonts w:hint="eastAsia"/>
          <w:lang w:val="en-US" w:eastAsia="zh-CN"/>
        </w:rPr>
      </w:pPr>
      <w:r>
        <w:rPr>
          <w:rFonts w:hint="eastAsia"/>
          <w:lang w:val="en-US" w:eastAsia="zh-CN"/>
        </w:rPr>
        <w:t>《可研报告》</w:t>
      </w:r>
      <w:r>
        <w:rPr>
          <w:rFonts w:hint="default"/>
          <w:lang w:val="en-US" w:eastAsia="zh-CN"/>
        </w:rPr>
        <w:t>设计</w:t>
      </w:r>
      <w:r>
        <w:rPr>
          <w:rFonts w:hint="eastAsia"/>
          <w:lang w:val="en-US" w:eastAsia="zh-CN"/>
        </w:rPr>
        <w:t>在充填站附近利用现有箱变，该箱变内设1台S13-M-630/10 10/0.4kV 630kVA变压器，中性点接地，担负充填站内设备、照明及其他等低压负荷用电，满足要求。</w:t>
      </w:r>
    </w:p>
    <w:p w14:paraId="0E9BC73D">
      <w:pPr>
        <w:pStyle w:val="21"/>
        <w:bidi w:val="0"/>
        <w:rPr>
          <w:rFonts w:hint="default"/>
          <w:lang w:val="en-US" w:eastAsia="zh-CN"/>
        </w:rPr>
      </w:pPr>
      <w:r>
        <w:rPr>
          <w:rFonts w:hint="eastAsia"/>
          <w:lang w:val="en-US" w:eastAsia="zh-CN"/>
        </w:rPr>
        <w:t>⑤空气预热房变配电所</w:t>
      </w:r>
    </w:p>
    <w:p w14:paraId="7465DCBD">
      <w:pPr>
        <w:pStyle w:val="21"/>
        <w:bidi w:val="0"/>
        <w:rPr>
          <w:rFonts w:hint="eastAsia"/>
          <w:lang w:val="en-US" w:eastAsia="zh-CN"/>
        </w:rPr>
      </w:pPr>
      <w:r>
        <w:rPr>
          <w:rFonts w:hint="eastAsia"/>
          <w:lang w:val="en-US" w:eastAsia="zh-CN"/>
        </w:rPr>
        <w:t>《可研报告》</w:t>
      </w:r>
      <w:r>
        <w:rPr>
          <w:rFonts w:hint="default"/>
          <w:lang w:val="en-US" w:eastAsia="zh-CN"/>
        </w:rPr>
        <w:t>设计</w:t>
      </w:r>
      <w:r>
        <w:rPr>
          <w:rFonts w:hint="eastAsia"/>
          <w:lang w:val="en-US" w:eastAsia="zh-CN"/>
        </w:rPr>
        <w:t>毗邻管缆井井口空气预热房和斜坡道口空气预热房新建变配电所，矿用远红外热风机组及其辅助设备为380V设备，变压器及其配电柜等由设备厂家配套提供。</w:t>
      </w:r>
    </w:p>
    <w:p w14:paraId="74FE21E5">
      <w:pPr>
        <w:pStyle w:val="21"/>
        <w:bidi w:val="0"/>
        <w:rPr>
          <w:rFonts w:hint="eastAsia"/>
          <w:lang w:val="en-US" w:eastAsia="zh-CN"/>
        </w:rPr>
      </w:pPr>
      <w:r>
        <w:rPr>
          <w:rFonts w:hint="eastAsia"/>
          <w:lang w:val="en-US" w:eastAsia="zh-CN"/>
        </w:rPr>
        <w:t>地面供配电系统无功功率采用集中补偿方式，在高、低压配电室设自动无功补偿装置，平均功率因数为0.95。</w:t>
      </w:r>
    </w:p>
    <w:p w14:paraId="57B1E784">
      <w:pPr>
        <w:pStyle w:val="21"/>
        <w:bidi w:val="0"/>
        <w:rPr>
          <w:rFonts w:hint="eastAsia"/>
          <w:lang w:val="en-US" w:eastAsia="zh-CN"/>
        </w:rPr>
      </w:pPr>
      <w:r>
        <w:rPr>
          <w:rFonts w:hint="eastAsia"/>
          <w:lang w:val="en-US" w:eastAsia="zh-CN"/>
        </w:rPr>
        <w:t>2、井下供配电</w:t>
      </w:r>
    </w:p>
    <w:p w14:paraId="70FA88EE">
      <w:pPr>
        <w:pStyle w:val="21"/>
        <w:bidi w:val="0"/>
        <w:rPr>
          <w:rFonts w:hint="eastAsia"/>
          <w:lang w:val="en-US" w:eastAsia="zh-CN"/>
        </w:rPr>
      </w:pPr>
      <w:r>
        <w:rPr>
          <w:rFonts w:hint="eastAsia"/>
          <w:lang w:val="en-US" w:eastAsia="zh-CN"/>
        </w:rPr>
        <w:t>①井下-300m中段变配电所</w:t>
      </w:r>
    </w:p>
    <w:p w14:paraId="253FB6ED">
      <w:pPr>
        <w:pStyle w:val="21"/>
        <w:bidi w:val="0"/>
        <w:rPr>
          <w:rFonts w:hint="eastAsia"/>
          <w:lang w:val="en-US" w:eastAsia="zh-CN"/>
        </w:rPr>
      </w:pPr>
      <w:r>
        <w:rPr>
          <w:rFonts w:hint="eastAsia"/>
          <w:lang w:val="en-US" w:eastAsia="zh-CN"/>
        </w:rPr>
        <w:t>设计拟在-300m中段毗邻水泵房设变配电所，两路电源分别引自地表10kV变配电所不同母线段，两段进线之间采用机械及电气互锁。采用放射式配电方式，以10kV出线，向所内变压器等用电单位配电。</w:t>
      </w:r>
    </w:p>
    <w:p w14:paraId="2985F6C0">
      <w:pPr>
        <w:pStyle w:val="21"/>
        <w:bidi w:val="0"/>
        <w:rPr>
          <w:rFonts w:hint="default"/>
          <w:lang w:val="en-US" w:eastAsia="zh-CN"/>
        </w:rPr>
      </w:pPr>
      <w:r>
        <w:rPr>
          <w:rFonts w:hint="eastAsia"/>
          <w:lang w:val="en-US" w:eastAsia="zh-CN"/>
        </w:rPr>
        <w:t>该变配电所内设2台KKSG-100/10 10/0.4kV 100kVA矿用干式变压器，中性点不接地，担负-300m中段水泵电动闸阀、水泵房内检修、照明及其他辅助设备等低压负荷用电，且该型号变压器为具有矿用安全标志产品，满足要求。其中-300m中段水泵为10kV高压设备。</w:t>
      </w:r>
    </w:p>
    <w:p w14:paraId="4B302058">
      <w:pPr>
        <w:pStyle w:val="21"/>
        <w:bidi w:val="0"/>
        <w:rPr>
          <w:rFonts w:hint="default"/>
          <w:lang w:val="en-US" w:eastAsia="zh-CN"/>
        </w:rPr>
      </w:pPr>
      <w:r>
        <w:rPr>
          <w:rFonts w:hint="eastAsia"/>
          <w:lang w:val="en-US" w:eastAsia="zh-CN"/>
        </w:rPr>
        <w:t>②井下-450m中段变配电所</w:t>
      </w:r>
    </w:p>
    <w:p w14:paraId="0322C21D">
      <w:pPr>
        <w:pStyle w:val="21"/>
        <w:bidi w:val="0"/>
        <w:rPr>
          <w:rFonts w:hint="eastAsia"/>
          <w:lang w:val="en-US" w:eastAsia="zh-CN"/>
        </w:rPr>
      </w:pPr>
      <w:r>
        <w:rPr>
          <w:rFonts w:hint="eastAsia"/>
          <w:lang w:val="en-US" w:eastAsia="zh-CN"/>
        </w:rPr>
        <w:t>设计拟在-450m中段毗邻水泵房设变配电所，两路电源分别引自地表10kV变配电所不同母线段，两段进线之间采用机械及电气互锁。采用放射式配电方式，以10kV出线，向所内变压器等用电单位配电。</w:t>
      </w:r>
    </w:p>
    <w:p w14:paraId="6C0379C7">
      <w:pPr>
        <w:pStyle w:val="21"/>
        <w:bidi w:val="0"/>
        <w:rPr>
          <w:rFonts w:hint="default"/>
          <w:lang w:val="en-US" w:eastAsia="zh-CN"/>
        </w:rPr>
      </w:pPr>
      <w:r>
        <w:rPr>
          <w:rFonts w:hint="eastAsia"/>
          <w:lang w:val="en-US" w:eastAsia="zh-CN"/>
        </w:rPr>
        <w:t>该变配电所内设2台KKSG-100/10 10/0.4kV 100kVA矿用干式变压器，中性点不接地，担负-450m中段水泵电动闸阀、水泵房内检修、照明及其他辅助设备等低压负荷用电，且该型号变压器为具有矿用安全标志产品，满足要求。其中-450m中段水泵为10kV高压设备。</w:t>
      </w:r>
    </w:p>
    <w:p w14:paraId="418B3F3F">
      <w:pPr>
        <w:pStyle w:val="21"/>
        <w:bidi w:val="0"/>
        <w:rPr>
          <w:rFonts w:hint="eastAsia"/>
          <w:lang w:val="en-US" w:eastAsia="zh-CN"/>
        </w:rPr>
      </w:pPr>
      <w:r>
        <w:rPr>
          <w:rFonts w:hint="eastAsia"/>
          <w:lang w:val="en-US" w:eastAsia="zh-CN"/>
        </w:rPr>
        <w:t>③井下采区变电所</w:t>
      </w:r>
    </w:p>
    <w:p w14:paraId="7021354B">
      <w:pPr>
        <w:pStyle w:val="21"/>
        <w:bidi w:val="0"/>
        <w:rPr>
          <w:rFonts w:hint="eastAsia"/>
          <w:lang w:val="en-US" w:eastAsia="zh-CN"/>
        </w:rPr>
      </w:pPr>
      <w:r>
        <w:rPr>
          <w:rFonts w:hint="eastAsia"/>
          <w:lang w:val="en-US" w:eastAsia="zh-CN"/>
        </w:rPr>
        <w:t>采区变电所内设1台KBSGZY-500/10 10/0.4kV 500kVA矿用隔爆型移动干式变压器，中性点不接地，担负掘进台车、采矿钻车、局扇、液压锚杆钻车、照明等其他低压负荷用电，且该型号变压器为具有矿用安全标志产品，满足要求。</w:t>
      </w:r>
    </w:p>
    <w:p w14:paraId="1873EC3D">
      <w:pPr>
        <w:pStyle w:val="21"/>
        <w:bidi w:val="0"/>
        <w:rPr>
          <w:rFonts w:hint="eastAsia"/>
          <w:lang w:val="en-US" w:eastAsia="zh-CN"/>
        </w:rPr>
      </w:pPr>
      <w:r>
        <w:rPr>
          <w:rFonts w:hint="eastAsia"/>
          <w:lang w:val="en-US" w:eastAsia="zh-CN"/>
        </w:rPr>
        <w:t>井下一级负荷为1470kW，双重电源供电，当主供电源回路停电时，备用电源为一级负荷水泵（软启动）、电动闸阀供电。</w:t>
      </w:r>
    </w:p>
    <w:p w14:paraId="2DC10C76">
      <w:pPr>
        <w:pStyle w:val="21"/>
        <w:bidi w:val="0"/>
        <w:rPr>
          <w:rFonts w:hint="eastAsia"/>
          <w:lang w:val="en-US" w:eastAsia="zh-CN"/>
        </w:rPr>
      </w:pPr>
      <w:r>
        <w:rPr>
          <w:rFonts w:hint="eastAsia"/>
          <w:lang w:val="en-US" w:eastAsia="zh-CN"/>
        </w:rPr>
        <w:t>-300m中段井下电源，由地表10kV变配电所不同母线段引出两条高压回路经管缆井井口引至-300m中段变配电所，电缆采用WD-MYJY</w:t>
      </w:r>
      <w:r>
        <w:rPr>
          <w:rFonts w:hint="eastAsia"/>
          <w:vertAlign w:val="subscript"/>
          <w:lang w:val="en-US" w:eastAsia="zh-CN"/>
        </w:rPr>
        <w:t>43</w:t>
      </w:r>
      <w:r>
        <w:rPr>
          <w:rFonts w:hint="eastAsia"/>
          <w:lang w:val="en-US" w:eastAsia="zh-CN"/>
        </w:rPr>
        <w:t>-8.7/10kV-1(3×70)mm</w:t>
      </w:r>
      <w:r>
        <w:rPr>
          <w:rFonts w:hint="eastAsia"/>
          <w:vertAlign w:val="superscript"/>
          <w:lang w:val="en-US" w:eastAsia="zh-CN"/>
        </w:rPr>
        <w:t>2</w:t>
      </w:r>
      <w:r>
        <w:rPr>
          <w:rFonts w:hint="eastAsia"/>
          <w:lang w:val="en-US" w:eastAsia="zh-CN"/>
        </w:rPr>
        <w:t>铜芯无卤低烟粗钢丝铠装电力阻燃电缆，该型号电缆为具有矿用安全标志产品，两条电缆独立敷设。</w:t>
      </w:r>
    </w:p>
    <w:p w14:paraId="057DBAB6">
      <w:pPr>
        <w:pStyle w:val="21"/>
        <w:bidi w:val="0"/>
        <w:rPr>
          <w:rFonts w:hint="eastAsia"/>
          <w:lang w:val="en-US" w:eastAsia="zh-CN"/>
        </w:rPr>
      </w:pPr>
      <w:r>
        <w:rPr>
          <w:rFonts w:hint="eastAsia"/>
          <w:lang w:val="en-US" w:eastAsia="zh-CN"/>
        </w:rPr>
        <w:t>-450m中段井下电源，由地表10kV变配电所不同母线段引出两条高压回路经管缆井井口引至-450m中段变配电所，电缆采用WD-MYJY</w:t>
      </w:r>
      <w:r>
        <w:rPr>
          <w:rFonts w:hint="eastAsia"/>
          <w:vertAlign w:val="subscript"/>
          <w:lang w:val="en-US" w:eastAsia="zh-CN"/>
        </w:rPr>
        <w:t>43</w:t>
      </w:r>
      <w:r>
        <w:rPr>
          <w:rFonts w:hint="eastAsia"/>
          <w:lang w:val="en-US" w:eastAsia="zh-CN"/>
        </w:rPr>
        <w:t>-8.7/10kV-1(3×50)mm</w:t>
      </w:r>
      <w:r>
        <w:rPr>
          <w:rFonts w:hint="eastAsia"/>
          <w:vertAlign w:val="superscript"/>
          <w:lang w:val="en-US" w:eastAsia="zh-CN"/>
        </w:rPr>
        <w:t>2</w:t>
      </w:r>
      <w:r>
        <w:rPr>
          <w:rFonts w:hint="eastAsia"/>
          <w:lang w:val="en-US" w:eastAsia="zh-CN"/>
        </w:rPr>
        <w:t>铜芯无卤低烟粗钢丝铠装电力阻燃电缆，该型号电缆为具有矿用安全标志产品，两条电缆独立敷设。</w:t>
      </w:r>
    </w:p>
    <w:p w14:paraId="1B46073E">
      <w:pPr>
        <w:pStyle w:val="21"/>
        <w:bidi w:val="0"/>
        <w:rPr>
          <w:rFonts w:hint="eastAsia"/>
          <w:lang w:val="en-US" w:eastAsia="zh-CN"/>
        </w:rPr>
      </w:pPr>
      <w:r>
        <w:rPr>
          <w:rFonts w:hint="eastAsia"/>
          <w:lang w:val="en-US" w:eastAsia="zh-CN"/>
        </w:rPr>
        <w:t>采场井下电源，由地表10kV变配电所引出一条高压回路经管缆井井口引至采场变配电所，电缆采用WD-MYJY</w:t>
      </w:r>
      <w:r>
        <w:rPr>
          <w:rFonts w:hint="eastAsia"/>
          <w:vertAlign w:val="subscript"/>
          <w:lang w:val="en-US" w:eastAsia="zh-CN"/>
        </w:rPr>
        <w:t>43</w:t>
      </w:r>
      <w:r>
        <w:rPr>
          <w:rFonts w:hint="eastAsia"/>
          <w:lang w:val="en-US" w:eastAsia="zh-CN"/>
        </w:rPr>
        <w:t>-8.7/10kV-1(3×50)mm</w:t>
      </w:r>
      <w:r>
        <w:rPr>
          <w:rFonts w:hint="eastAsia"/>
          <w:vertAlign w:val="superscript"/>
          <w:lang w:val="en-US" w:eastAsia="zh-CN"/>
        </w:rPr>
        <w:t>2</w:t>
      </w:r>
      <w:r>
        <w:rPr>
          <w:rFonts w:hint="eastAsia"/>
          <w:lang w:val="en-US" w:eastAsia="zh-CN"/>
        </w:rPr>
        <w:t>铜芯无卤低烟粗钢丝铠装电力阻燃电缆，该型号电缆为具有矿用安全标志产品。</w:t>
      </w:r>
    </w:p>
    <w:p w14:paraId="1C4AD239">
      <w:pPr>
        <w:pStyle w:val="21"/>
        <w:bidi w:val="0"/>
        <w:rPr>
          <w:rFonts w:hint="eastAsia"/>
          <w:lang w:val="en-US" w:eastAsia="zh-CN"/>
        </w:rPr>
      </w:pPr>
      <w:r>
        <w:rPr>
          <w:rFonts w:hint="eastAsia"/>
          <w:lang w:val="en-US" w:eastAsia="zh-CN"/>
        </w:rPr>
        <w:t>变配电硐室内选用GKG型矿用高压开关柜、GKD矿用低压配电柜，柜内配置性能可靠的低压电器元件及漏电保护装置。</w:t>
      </w:r>
    </w:p>
    <w:p w14:paraId="60382AE0">
      <w:pPr>
        <w:pStyle w:val="21"/>
        <w:numPr>
          <w:ilvl w:val="0"/>
          <w:numId w:val="19"/>
        </w:numPr>
        <w:bidi w:val="0"/>
        <w:rPr>
          <w:rFonts w:hint="default"/>
          <w:lang w:val="en-US" w:eastAsia="zh-CN"/>
        </w:rPr>
      </w:pPr>
      <w:r>
        <w:rPr>
          <w:rFonts w:hint="default"/>
          <w:lang w:val="en-US" w:eastAsia="zh-CN"/>
        </w:rPr>
        <w:t>继电保护及自动装置</w:t>
      </w:r>
    </w:p>
    <w:p w14:paraId="79DB36AA">
      <w:pPr>
        <w:pStyle w:val="21"/>
        <w:bidi w:val="0"/>
        <w:rPr>
          <w:rFonts w:hint="default"/>
          <w:lang w:val="en-US" w:eastAsia="zh-CN"/>
        </w:rPr>
      </w:pPr>
      <w:r>
        <w:rPr>
          <w:rFonts w:hint="eastAsia"/>
          <w:lang w:val="en-US" w:eastAsia="zh-CN"/>
        </w:rPr>
        <w:t>1、</w:t>
      </w:r>
      <w:r>
        <w:rPr>
          <w:rFonts w:hint="default"/>
          <w:lang w:val="en-US" w:eastAsia="zh-CN"/>
        </w:rPr>
        <w:t>对10kV变压器采用温度瓦斯保护，过电流及电流速断保护。</w:t>
      </w:r>
    </w:p>
    <w:p w14:paraId="6065BF48">
      <w:pPr>
        <w:pStyle w:val="21"/>
        <w:bidi w:val="0"/>
        <w:rPr>
          <w:rFonts w:hint="default"/>
          <w:lang w:val="en-US" w:eastAsia="zh-CN"/>
        </w:rPr>
      </w:pPr>
      <w:r>
        <w:rPr>
          <w:rFonts w:hint="eastAsia"/>
          <w:lang w:val="en-US" w:eastAsia="zh-CN"/>
        </w:rPr>
        <w:t>2、</w:t>
      </w:r>
      <w:r>
        <w:rPr>
          <w:rFonts w:hint="default"/>
          <w:lang w:val="en-US" w:eastAsia="zh-CN"/>
        </w:rPr>
        <w:t>对10kV线路采用过电流及电流速断保护，小电流接地保护。</w:t>
      </w:r>
    </w:p>
    <w:p w14:paraId="2BFDF042">
      <w:pPr>
        <w:pStyle w:val="21"/>
        <w:bidi w:val="0"/>
        <w:rPr>
          <w:rFonts w:hint="default"/>
          <w:lang w:val="en-US" w:eastAsia="zh-CN"/>
        </w:rPr>
      </w:pPr>
      <w:r>
        <w:rPr>
          <w:rFonts w:hint="eastAsia"/>
          <w:lang w:val="en-US" w:eastAsia="zh-CN"/>
        </w:rPr>
        <w:t>3、</w:t>
      </w:r>
      <w:r>
        <w:rPr>
          <w:rFonts w:hint="default"/>
          <w:lang w:val="en-US" w:eastAsia="zh-CN"/>
        </w:rPr>
        <w:t>对10kV电动机采用电流速断保护、过负荷保护。</w:t>
      </w:r>
    </w:p>
    <w:p w14:paraId="4015CEC1">
      <w:pPr>
        <w:pStyle w:val="21"/>
        <w:numPr>
          <w:ilvl w:val="0"/>
          <w:numId w:val="19"/>
        </w:numPr>
        <w:bidi w:val="0"/>
        <w:rPr>
          <w:rFonts w:hint="default"/>
          <w:lang w:val="en-US" w:eastAsia="zh-CN"/>
        </w:rPr>
      </w:pPr>
      <w:r>
        <w:rPr>
          <w:rFonts w:hint="eastAsia"/>
          <w:lang w:val="en-US" w:eastAsia="zh-CN"/>
        </w:rPr>
        <w:t>接地</w:t>
      </w:r>
    </w:p>
    <w:p w14:paraId="5BC02FC3">
      <w:pPr>
        <w:pStyle w:val="21"/>
        <w:bidi w:val="0"/>
        <w:rPr>
          <w:rFonts w:hint="default"/>
          <w:lang w:val="en-US" w:eastAsia="zh-CN"/>
        </w:rPr>
      </w:pPr>
      <w:r>
        <w:rPr>
          <w:rFonts w:hint="eastAsia"/>
          <w:lang w:val="en-US" w:eastAsia="zh-CN"/>
        </w:rPr>
        <w:t>1、</w:t>
      </w:r>
      <w:r>
        <w:rPr>
          <w:rFonts w:hint="default"/>
          <w:lang w:val="en-US" w:eastAsia="zh-CN"/>
        </w:rPr>
        <w:t>下接地装置的接地电阻值不大于2Ω，井下矿用变压器采用中性点绝缘系统。</w:t>
      </w:r>
    </w:p>
    <w:p w14:paraId="5A678543">
      <w:pPr>
        <w:pStyle w:val="21"/>
        <w:bidi w:val="0"/>
        <w:rPr>
          <w:rFonts w:hint="default"/>
          <w:lang w:val="en-US" w:eastAsia="zh-CN"/>
        </w:rPr>
      </w:pPr>
      <w:r>
        <w:rPr>
          <w:rFonts w:hint="eastAsia"/>
          <w:lang w:val="en-US" w:eastAsia="zh-CN"/>
        </w:rPr>
        <w:t>2、</w:t>
      </w:r>
      <w:r>
        <w:rPr>
          <w:rFonts w:hint="default"/>
          <w:lang w:val="en-US" w:eastAsia="zh-CN"/>
        </w:rPr>
        <w:t>总降压变电所主变压器及高压设备的保护接地，低压设备的接地保护，共用一组接地装置，其接地电阻值不大于4Ω。</w:t>
      </w:r>
    </w:p>
    <w:p w14:paraId="240B46B1">
      <w:pPr>
        <w:pStyle w:val="21"/>
        <w:bidi w:val="0"/>
        <w:rPr>
          <w:rFonts w:hint="default"/>
          <w:lang w:val="en-US" w:eastAsia="zh-CN"/>
        </w:rPr>
      </w:pPr>
      <w:r>
        <w:rPr>
          <w:rFonts w:hint="eastAsia"/>
          <w:lang w:val="en-US" w:eastAsia="zh-CN"/>
        </w:rPr>
        <w:t>3、</w:t>
      </w:r>
      <w:r>
        <w:rPr>
          <w:rFonts w:hint="default"/>
          <w:lang w:val="en-US" w:eastAsia="zh-CN"/>
        </w:rPr>
        <w:t>地表各用电单位、车间变压器的中性点接地，高压设备的保护接地，低压设备的接地保护，其接地电阻值均不大于4Ω。</w:t>
      </w:r>
    </w:p>
    <w:p w14:paraId="0F7BABF5">
      <w:pPr>
        <w:pStyle w:val="21"/>
        <w:bidi w:val="0"/>
        <w:rPr>
          <w:rFonts w:hint="default"/>
          <w:lang w:val="en-US" w:eastAsia="zh-CN"/>
        </w:rPr>
      </w:pPr>
      <w:r>
        <w:rPr>
          <w:rFonts w:hint="eastAsia"/>
          <w:lang w:val="en-US" w:eastAsia="zh-CN"/>
        </w:rPr>
        <w:t>4、</w:t>
      </w:r>
      <w:r>
        <w:rPr>
          <w:rFonts w:hint="default"/>
          <w:lang w:val="en-US" w:eastAsia="zh-CN"/>
        </w:rPr>
        <w:t>地表低压配电系统的接地形式，采用TN-S系统。</w:t>
      </w:r>
    </w:p>
    <w:p w14:paraId="7C404074">
      <w:pPr>
        <w:pStyle w:val="21"/>
        <w:bidi w:val="0"/>
        <w:rPr>
          <w:rFonts w:hint="default"/>
          <w:lang w:val="en-US" w:eastAsia="zh-CN"/>
        </w:rPr>
      </w:pPr>
      <w:r>
        <w:rPr>
          <w:rFonts w:hint="eastAsia"/>
          <w:lang w:val="en-US" w:eastAsia="zh-CN"/>
        </w:rPr>
        <w:t>5、</w:t>
      </w:r>
      <w:r>
        <w:rPr>
          <w:rFonts w:hint="default"/>
          <w:lang w:val="en-US" w:eastAsia="zh-CN"/>
        </w:rPr>
        <w:t>低压电源进线处的重复接地、防静电接地，其接地电阻不大于2Ω。</w:t>
      </w:r>
    </w:p>
    <w:p w14:paraId="2BFC9C78">
      <w:pPr>
        <w:pStyle w:val="21"/>
        <w:bidi w:val="0"/>
        <w:rPr>
          <w:rFonts w:hint="default"/>
          <w:lang w:val="en-US" w:eastAsia="zh-CN"/>
        </w:rPr>
      </w:pPr>
      <w:r>
        <w:rPr>
          <w:rFonts w:hint="eastAsia"/>
          <w:lang w:val="en-US" w:eastAsia="zh-CN"/>
        </w:rPr>
        <w:t>6、</w:t>
      </w:r>
      <w:r>
        <w:rPr>
          <w:rFonts w:hint="default"/>
          <w:lang w:val="en-US" w:eastAsia="zh-CN"/>
        </w:rPr>
        <w:t>防雷接地装置的冲击电阻值，不大于10Ω。</w:t>
      </w:r>
    </w:p>
    <w:p w14:paraId="0CE7F81A">
      <w:pPr>
        <w:pStyle w:val="21"/>
        <w:bidi w:val="0"/>
        <w:rPr>
          <w:rFonts w:hint="default"/>
          <w:lang w:val="en-US" w:eastAsia="zh-CN"/>
        </w:rPr>
      </w:pPr>
      <w:r>
        <w:rPr>
          <w:rFonts w:hint="eastAsia"/>
          <w:lang w:val="en-US" w:eastAsia="zh-CN"/>
        </w:rPr>
        <w:t>7、</w:t>
      </w:r>
      <w:r>
        <w:rPr>
          <w:rFonts w:hint="default"/>
          <w:lang w:val="en-US" w:eastAsia="zh-CN"/>
        </w:rPr>
        <w:t>在综合楼、食堂等低压电源进线处，设置总等电位端子箱，进行总等电位接地。</w:t>
      </w:r>
    </w:p>
    <w:p w14:paraId="3C37CA98">
      <w:pPr>
        <w:pStyle w:val="21"/>
        <w:numPr>
          <w:ilvl w:val="0"/>
          <w:numId w:val="19"/>
        </w:numPr>
        <w:bidi w:val="0"/>
        <w:rPr>
          <w:rFonts w:hint="default"/>
          <w:lang w:val="en-US" w:eastAsia="zh-CN"/>
        </w:rPr>
      </w:pPr>
      <w:r>
        <w:rPr>
          <w:rFonts w:hint="eastAsia"/>
          <w:lang w:val="en-US" w:eastAsia="zh-CN"/>
        </w:rPr>
        <w:t>照明</w:t>
      </w:r>
    </w:p>
    <w:p w14:paraId="335629AC">
      <w:pPr>
        <w:pStyle w:val="21"/>
        <w:bidi w:val="0"/>
        <w:rPr>
          <w:rFonts w:hint="eastAsia"/>
        </w:rPr>
      </w:pPr>
      <w:r>
        <w:rPr>
          <w:rFonts w:hint="eastAsia"/>
        </w:rPr>
        <w:t>在坑口变电所内的配电室、控制室、值班室等场所设置事故照明。</w:t>
      </w:r>
    </w:p>
    <w:p w14:paraId="5A5B8C73">
      <w:pPr>
        <w:pStyle w:val="21"/>
        <w:bidi w:val="0"/>
        <w:rPr>
          <w:rFonts w:hint="eastAsia"/>
        </w:rPr>
      </w:pPr>
      <w:r>
        <w:rPr>
          <w:rFonts w:hint="eastAsia"/>
        </w:rPr>
        <w:t>工业场地主要道路设路灯照明，路灯由设在低压配电室的光时控制器集中控制。</w:t>
      </w:r>
    </w:p>
    <w:p w14:paraId="41BAFB54">
      <w:pPr>
        <w:pStyle w:val="21"/>
        <w:bidi w:val="0"/>
        <w:rPr>
          <w:rFonts w:hint="eastAsia"/>
        </w:rPr>
      </w:pPr>
      <w:r>
        <w:rPr>
          <w:rFonts w:hint="eastAsia"/>
        </w:rPr>
        <w:t>井下照明选用矿用照明变压器，照明电压为220V、36V，并装设漏电保护装置。</w:t>
      </w:r>
    </w:p>
    <w:p w14:paraId="7B4476E2">
      <w:pPr>
        <w:pStyle w:val="21"/>
        <w:bidi w:val="0"/>
        <w:rPr>
          <w:rFonts w:hint="default"/>
          <w:lang w:val="en-US" w:eastAsia="zh-CN"/>
        </w:rPr>
      </w:pPr>
      <w:r>
        <w:rPr>
          <w:rFonts w:hint="eastAsia"/>
        </w:rPr>
        <w:t>井下运输巷道、井底车场照明电压为220V；采掘工作面、出矿巷道、天井和天井至回采工作面之间电压为36V；行灯电压为36V以下，照明灯具选用矿用LED灯</w:t>
      </w:r>
      <w:r>
        <w:rPr>
          <w:rFonts w:hint="default"/>
          <w:lang w:val="en-US" w:eastAsia="zh-CN"/>
        </w:rPr>
        <w:t>。</w:t>
      </w:r>
    </w:p>
    <w:p w14:paraId="3998E3F3">
      <w:pPr>
        <w:pStyle w:val="29"/>
        <w:bidi w:val="0"/>
        <w:rPr>
          <w:rFonts w:hint="default"/>
          <w:lang w:val="en-US" w:eastAsia="zh-CN"/>
        </w:rPr>
      </w:pPr>
      <w:r>
        <w:rPr>
          <w:rFonts w:hint="default"/>
          <w:lang w:val="en-US" w:eastAsia="zh-CN"/>
        </w:rPr>
        <w:t>防排水与防灭火系统</w:t>
      </w:r>
    </w:p>
    <w:p w14:paraId="3AFB6D69">
      <w:pPr>
        <w:pStyle w:val="21"/>
        <w:numPr>
          <w:ilvl w:val="0"/>
          <w:numId w:val="20"/>
        </w:numPr>
        <w:bidi w:val="0"/>
        <w:rPr>
          <w:rFonts w:hint="default"/>
          <w:lang w:val="en-US" w:eastAsia="zh-CN"/>
        </w:rPr>
      </w:pPr>
      <w:r>
        <w:rPr>
          <w:rFonts w:hint="eastAsia"/>
          <w:lang w:val="en-US" w:eastAsia="zh-CN"/>
        </w:rPr>
        <w:t>防排水</w:t>
      </w:r>
    </w:p>
    <w:p w14:paraId="0F66C985">
      <w:pPr>
        <w:pStyle w:val="21"/>
        <w:bidi w:val="0"/>
        <w:rPr>
          <w:rFonts w:hint="default"/>
          <w:lang w:val="en-US" w:eastAsia="zh-CN"/>
        </w:rPr>
      </w:pPr>
      <w:r>
        <w:rPr>
          <w:rFonts w:hint="eastAsia"/>
          <w:lang w:val="en-US" w:eastAsia="zh-CN"/>
        </w:rPr>
        <w:t>1、井下排水系统</w:t>
      </w:r>
    </w:p>
    <w:p w14:paraId="12236D2A">
      <w:pPr>
        <w:pStyle w:val="21"/>
        <w:bidi w:val="0"/>
        <w:rPr>
          <w:rFonts w:hint="eastAsia"/>
          <w:highlight w:val="none"/>
          <w:lang w:val="en-US" w:eastAsia="zh-CN"/>
        </w:rPr>
      </w:pPr>
      <w:r>
        <w:rPr>
          <w:rFonts w:hint="eastAsia"/>
          <w:lang w:val="en-US" w:eastAsia="zh-CN"/>
        </w:rPr>
        <w:t>《可研报告》</w:t>
      </w:r>
      <w:r>
        <w:rPr>
          <w:rFonts w:hint="default"/>
          <w:highlight w:val="none"/>
        </w:rPr>
        <w:t>设计采用</w:t>
      </w:r>
      <w:r>
        <w:rPr>
          <w:rFonts w:hint="eastAsia"/>
          <w:highlight w:val="none"/>
          <w:lang w:val="en-US" w:eastAsia="zh-CN"/>
        </w:rPr>
        <w:t>机械分段接力排水方式，主排水泵站设在-300m中段入风管缆井附近、-450m中段斜坡道车场附近。</w:t>
      </w:r>
    </w:p>
    <w:p w14:paraId="056F7AD2">
      <w:pPr>
        <w:pStyle w:val="21"/>
        <w:bidi w:val="0"/>
        <w:rPr>
          <w:rFonts w:hint="default"/>
          <w:lang w:val="en-US" w:eastAsia="zh-CN"/>
        </w:rPr>
      </w:pPr>
      <w:r>
        <w:rPr>
          <w:rFonts w:hint="eastAsia"/>
          <w:lang w:val="en-US" w:eastAsia="zh-CN"/>
        </w:rPr>
        <w:t>一期排水系统：</w:t>
      </w:r>
    </w:p>
    <w:p w14:paraId="51302E2D">
      <w:pPr>
        <w:pStyle w:val="21"/>
        <w:bidi w:val="0"/>
        <w:rPr>
          <w:rFonts w:hint="eastAsia"/>
        </w:rPr>
      </w:pPr>
      <w:r>
        <w:rPr>
          <w:rFonts w:hint="eastAsia"/>
          <w:lang w:val="en-US" w:eastAsia="zh-CN"/>
        </w:rPr>
        <w:t>一期井下-300m中段涌水通过</w:t>
      </w:r>
      <w:r>
        <w:rPr>
          <w:rFonts w:hint="default"/>
        </w:rPr>
        <w:t>水沟自流到本中段水仓</w:t>
      </w:r>
      <w:r>
        <w:rPr>
          <w:rFonts w:hint="eastAsia"/>
          <w:lang w:eastAsia="zh-CN"/>
        </w:rPr>
        <w:t>，</w:t>
      </w:r>
      <w:r>
        <w:rPr>
          <w:rFonts w:hint="eastAsia"/>
          <w:lang w:val="en-US" w:eastAsia="zh-CN"/>
        </w:rPr>
        <w:t>-300m以上的其他中段涌水通过泄水孔下泄至-300m中段水仓。水仓内涌水</w:t>
      </w:r>
      <w:r>
        <w:rPr>
          <w:rFonts w:hint="default"/>
        </w:rPr>
        <w:t>由水泵沿</w:t>
      </w:r>
      <w:r>
        <w:rPr>
          <w:rFonts w:hint="eastAsia"/>
          <w:lang w:val="en-US" w:eastAsia="zh-CN"/>
        </w:rPr>
        <w:t>管缆井排至地表高位水池</w:t>
      </w:r>
      <w:r>
        <w:rPr>
          <w:rFonts w:hint="eastAsia"/>
        </w:rPr>
        <w:t>，澄清后作为井下凿岩除尘和消防用水。</w:t>
      </w:r>
    </w:p>
    <w:p w14:paraId="0FB3E1B2">
      <w:pPr>
        <w:pStyle w:val="21"/>
        <w:bidi w:val="0"/>
        <w:rPr>
          <w:rFonts w:hint="eastAsia"/>
        </w:rPr>
      </w:pPr>
      <w:r>
        <w:rPr>
          <w:rFonts w:hint="eastAsia"/>
        </w:rPr>
        <w:t>排水系统由水沟、清理斜巷、水仓、配水井、吸水井、排水泵硐室、变电硐室</w:t>
      </w:r>
      <w:r>
        <w:rPr>
          <w:rFonts w:hint="eastAsia"/>
          <w:lang w:eastAsia="zh-CN"/>
        </w:rPr>
        <w:t>、</w:t>
      </w:r>
      <w:r>
        <w:rPr>
          <w:rFonts w:hint="eastAsia"/>
          <w:lang w:val="en-US" w:eastAsia="zh-CN"/>
        </w:rPr>
        <w:t>管子斜道</w:t>
      </w:r>
      <w:r>
        <w:rPr>
          <w:rFonts w:hint="eastAsia"/>
        </w:rPr>
        <w:t>等组成。</w:t>
      </w:r>
    </w:p>
    <w:p w14:paraId="0E179521">
      <w:pPr>
        <w:pStyle w:val="21"/>
        <w:bidi w:val="0"/>
        <w:rPr>
          <w:rFonts w:hint="default"/>
          <w:lang w:val="en-US" w:eastAsia="zh-CN"/>
        </w:rPr>
      </w:pPr>
      <w:r>
        <w:rPr>
          <w:rFonts w:hint="eastAsia"/>
          <w:lang w:val="en-US" w:eastAsia="zh-CN"/>
        </w:rPr>
        <w:t>井底主要泵房设置两个出口，其中一个通往井底车场；另一个用斜管子道与管缆井井筒连通，斜巷上口高出泵房地面标高7m以上，并设有踏步和扶手。泵房地面标高高出其入口处巷道底板标高0.5m。</w:t>
      </w:r>
    </w:p>
    <w:p w14:paraId="011AEEA9">
      <w:pPr>
        <w:pStyle w:val="21"/>
        <w:bidi w:val="0"/>
        <w:rPr>
          <w:rFonts w:hint="default"/>
          <w:lang w:val="en-US" w:eastAsia="zh-CN"/>
        </w:rPr>
      </w:pPr>
      <w:r>
        <w:rPr>
          <w:rFonts w:hint="eastAsia"/>
          <w:lang w:val="en-US" w:eastAsia="zh-CN"/>
        </w:rPr>
        <w:t>二期排水系统：</w:t>
      </w:r>
    </w:p>
    <w:p w14:paraId="7BB85F48">
      <w:pPr>
        <w:pStyle w:val="21"/>
        <w:bidi w:val="0"/>
        <w:rPr>
          <w:rFonts w:hint="eastAsia"/>
        </w:rPr>
      </w:pPr>
      <w:r>
        <w:rPr>
          <w:rFonts w:hint="eastAsia"/>
          <w:lang w:val="en-US" w:eastAsia="zh-CN"/>
        </w:rPr>
        <w:t>二期井下-450m中段涌水通过</w:t>
      </w:r>
      <w:r>
        <w:rPr>
          <w:rFonts w:hint="default"/>
        </w:rPr>
        <w:t>水沟自流到本中段水仓</w:t>
      </w:r>
      <w:r>
        <w:rPr>
          <w:rFonts w:hint="eastAsia"/>
          <w:lang w:eastAsia="zh-CN"/>
        </w:rPr>
        <w:t>，</w:t>
      </w:r>
      <w:r>
        <w:rPr>
          <w:rFonts w:hint="eastAsia"/>
          <w:lang w:val="en-US" w:eastAsia="zh-CN"/>
        </w:rPr>
        <w:t>-450m以上的其他中段涌水通过泄水孔下泄至-450m中段水仓。水仓内涌水</w:t>
      </w:r>
      <w:r>
        <w:rPr>
          <w:rFonts w:hint="default"/>
        </w:rPr>
        <w:t>由水泵沿</w:t>
      </w:r>
      <w:r>
        <w:rPr>
          <w:rFonts w:hint="eastAsia"/>
          <w:lang w:val="en-US" w:eastAsia="zh-CN"/>
        </w:rPr>
        <w:t>斜坡道排至-300m中段水仓</w:t>
      </w:r>
      <w:r>
        <w:rPr>
          <w:rFonts w:hint="eastAsia"/>
        </w:rPr>
        <w:t>，</w:t>
      </w:r>
      <w:r>
        <w:rPr>
          <w:rFonts w:hint="eastAsia"/>
          <w:lang w:val="en-US" w:eastAsia="zh-CN"/>
        </w:rPr>
        <w:t>然后由-300m中段水泵排至地表</w:t>
      </w:r>
      <w:r>
        <w:rPr>
          <w:rFonts w:hint="eastAsia"/>
        </w:rPr>
        <w:t>。</w:t>
      </w:r>
    </w:p>
    <w:p w14:paraId="1286535A">
      <w:pPr>
        <w:pStyle w:val="21"/>
        <w:bidi w:val="0"/>
        <w:rPr>
          <w:rFonts w:hint="eastAsia"/>
        </w:rPr>
      </w:pPr>
      <w:r>
        <w:rPr>
          <w:rFonts w:hint="eastAsia"/>
        </w:rPr>
        <w:t>排水系统由水沟、清理斜巷、水仓、配水井、吸水井、排水泵硐室、变电硐室</w:t>
      </w:r>
      <w:r>
        <w:rPr>
          <w:rFonts w:hint="eastAsia"/>
          <w:lang w:eastAsia="zh-CN"/>
        </w:rPr>
        <w:t>、</w:t>
      </w:r>
      <w:r>
        <w:rPr>
          <w:rFonts w:hint="eastAsia"/>
          <w:lang w:val="en-US" w:eastAsia="zh-CN"/>
        </w:rPr>
        <w:t>安全出口</w:t>
      </w:r>
      <w:r>
        <w:rPr>
          <w:rFonts w:hint="eastAsia"/>
        </w:rPr>
        <w:t>等组成。</w:t>
      </w:r>
    </w:p>
    <w:p w14:paraId="716C3555">
      <w:pPr>
        <w:pStyle w:val="21"/>
        <w:bidi w:val="0"/>
        <w:rPr>
          <w:rFonts w:hint="eastAsia"/>
          <w:lang w:val="en-US" w:eastAsia="zh-CN"/>
        </w:rPr>
      </w:pPr>
      <w:r>
        <w:rPr>
          <w:rFonts w:hint="eastAsia"/>
          <w:lang w:val="en-US" w:eastAsia="zh-CN"/>
        </w:rPr>
        <w:t>井底主要泵房设置两个出口，其中一个通往井底车场；另一个用安全出口与上中段连通，安全出口上口高出泵房地面标高7m以上，并设有踏步和扶手。泵房地面标高高出其入口处巷道底板标高0.5m。</w:t>
      </w:r>
    </w:p>
    <w:p w14:paraId="65C4D6B6">
      <w:pPr>
        <w:pStyle w:val="21"/>
        <w:bidi w:val="0"/>
        <w:rPr>
          <w:rFonts w:hint="default"/>
          <w:lang w:val="en-US" w:eastAsia="zh-CN"/>
        </w:rPr>
      </w:pPr>
      <w:r>
        <w:rPr>
          <w:rFonts w:hint="default"/>
          <w:lang w:val="en-US" w:eastAsia="zh-CN"/>
        </w:rPr>
        <w:t>设计水仓容积900m³，其中主水仓容积520m³，副水仓容积380m³。</w:t>
      </w:r>
    </w:p>
    <w:p w14:paraId="5B24E42D">
      <w:pPr>
        <w:pStyle w:val="21"/>
        <w:bidi w:val="0"/>
        <w:rPr>
          <w:rFonts w:hint="default"/>
          <w:lang w:val="en-US" w:eastAsia="zh-CN"/>
        </w:rPr>
      </w:pPr>
      <w:r>
        <w:rPr>
          <w:rFonts w:hint="default"/>
          <w:lang w:val="en-US" w:eastAsia="zh-CN"/>
        </w:rPr>
        <w:t>-300m中段水泵站选择MD200-50×9P型多级离心泵3台（要求具有安全标志），参数为：流量200m</w:t>
      </w:r>
      <w:r>
        <w:rPr>
          <w:rFonts w:hint="default"/>
          <w:vertAlign w:val="superscript"/>
          <w:lang w:val="en-US" w:eastAsia="zh-CN"/>
        </w:rPr>
        <w:t>3</w:t>
      </w:r>
      <w:r>
        <w:rPr>
          <w:rFonts w:hint="default"/>
          <w:lang w:val="en-US" w:eastAsia="zh-CN"/>
        </w:rPr>
        <w:t>/h，扬程468m，电机功率450kW，电压10kV。</w:t>
      </w:r>
    </w:p>
    <w:p w14:paraId="7D17D947">
      <w:pPr>
        <w:pStyle w:val="21"/>
        <w:bidi w:val="0"/>
        <w:rPr>
          <w:rFonts w:hint="default"/>
          <w:lang w:val="en-US" w:eastAsia="zh-CN"/>
        </w:rPr>
      </w:pPr>
      <w:r>
        <w:rPr>
          <w:rFonts w:hint="default"/>
          <w:lang w:val="en-US" w:eastAsia="zh-CN"/>
        </w:rPr>
        <w:t>-450m中段水泵站选择MD216-25×9P型多级离心泵3台（要求具有安全标志），参数为：流量216m</w:t>
      </w:r>
      <w:r>
        <w:rPr>
          <w:rFonts w:hint="default"/>
          <w:vertAlign w:val="superscript"/>
          <w:lang w:val="en-US" w:eastAsia="zh-CN"/>
        </w:rPr>
        <w:t>3</w:t>
      </w:r>
      <w:r>
        <w:rPr>
          <w:rFonts w:hint="default"/>
          <w:lang w:val="en-US" w:eastAsia="zh-CN"/>
        </w:rPr>
        <w:t>/h，扬程225m，电机功率250kW，电压10kV。</w:t>
      </w:r>
    </w:p>
    <w:p w14:paraId="6C35B429">
      <w:pPr>
        <w:pStyle w:val="21"/>
        <w:numPr>
          <w:ilvl w:val="0"/>
          <w:numId w:val="20"/>
        </w:numPr>
        <w:bidi w:val="0"/>
        <w:rPr>
          <w:rFonts w:hint="default"/>
          <w:lang w:val="en-US" w:eastAsia="zh-CN"/>
        </w:rPr>
      </w:pPr>
      <w:r>
        <w:rPr>
          <w:rFonts w:hint="eastAsia"/>
          <w:lang w:val="en-US" w:eastAsia="zh-CN"/>
        </w:rPr>
        <w:t>防灭火</w:t>
      </w:r>
    </w:p>
    <w:p w14:paraId="0B060CFA">
      <w:pPr>
        <w:pStyle w:val="21"/>
        <w:bidi w:val="0"/>
        <w:rPr>
          <w:rFonts w:hint="eastAsia"/>
          <w:lang w:val="en-US" w:eastAsia="zh-CN"/>
        </w:rPr>
      </w:pPr>
      <w:r>
        <w:rPr>
          <w:rFonts w:hint="eastAsia"/>
          <w:lang w:val="en-US" w:eastAsia="zh-CN"/>
        </w:rPr>
        <w:t>1、生产水源</w:t>
      </w:r>
    </w:p>
    <w:p w14:paraId="19F72875">
      <w:pPr>
        <w:pStyle w:val="21"/>
        <w:bidi w:val="0"/>
        <w:rPr>
          <w:rFonts w:hint="default"/>
          <w:lang w:val="en-US" w:eastAsia="zh-CN"/>
        </w:rPr>
      </w:pPr>
      <w:r>
        <w:rPr>
          <w:rFonts w:hint="default"/>
          <w:lang w:val="en-US" w:eastAsia="zh-CN"/>
        </w:rPr>
        <w:t>根据地下水的水质分析情况，设计拟定以采用井下涌水作为采矿生产用水。井下排出直接送入地表选厂生产水池，由其地表生产用水官网提供全矿生产、充填及消防用水。其供水干管采用无缝钢管，环状敷设。</w:t>
      </w:r>
    </w:p>
    <w:p w14:paraId="6B8E5BC9">
      <w:pPr>
        <w:pStyle w:val="21"/>
        <w:bidi w:val="0"/>
        <w:rPr>
          <w:rFonts w:hint="eastAsia"/>
          <w:lang w:val="en-US" w:eastAsia="zh-CN"/>
        </w:rPr>
      </w:pPr>
      <w:r>
        <w:rPr>
          <w:rFonts w:hint="eastAsia"/>
          <w:lang w:val="en-US" w:eastAsia="zh-CN"/>
        </w:rPr>
        <w:t>2、消防给水系统</w:t>
      </w:r>
    </w:p>
    <w:p w14:paraId="5E08FDC0">
      <w:pPr>
        <w:pStyle w:val="21"/>
        <w:bidi w:val="0"/>
        <w:rPr>
          <w:rFonts w:hint="default"/>
          <w:lang w:val="en-US" w:eastAsia="zh-CN"/>
        </w:rPr>
      </w:pPr>
      <w:r>
        <w:rPr>
          <w:rFonts w:hint="eastAsia"/>
          <w:lang w:val="en-US" w:eastAsia="zh-CN"/>
        </w:rPr>
        <w:t>①井下消防系统</w:t>
      </w:r>
    </w:p>
    <w:p w14:paraId="1B1D9173">
      <w:pPr>
        <w:pStyle w:val="21"/>
        <w:bidi w:val="0"/>
        <w:rPr>
          <w:rFonts w:hint="default"/>
          <w:lang w:val="en-US" w:eastAsia="zh-CN"/>
        </w:rPr>
      </w:pPr>
      <w:r>
        <w:rPr>
          <w:rFonts w:hint="default"/>
          <w:lang w:val="en-US" w:eastAsia="zh-CN"/>
        </w:rPr>
        <w:t>根据《建筑设计防火规范》（GB50016-2014），全矿消防用水同一时间火灾发生次数为一次，室外消防用水量为15L/s，火灾延续时间为2h，室外消防水量为108m³；室内消防用水量为10L/s，火灾延续时间为2h，室外消防水量为72m³。根据井下消防用水要求，井下消防用水量为20L/s，火灾延续时间为3h，井下消防水量为216m³。按同一时间火灾发生次数为一次，矿山消防用水量不得小于216m³。</w:t>
      </w:r>
    </w:p>
    <w:p w14:paraId="3FCF932F">
      <w:pPr>
        <w:pStyle w:val="21"/>
        <w:bidi w:val="0"/>
        <w:rPr>
          <w:rFonts w:hint="eastAsia"/>
          <w:lang w:val="en-US" w:eastAsia="zh-CN"/>
        </w:rPr>
      </w:pPr>
      <w:r>
        <w:rPr>
          <w:rFonts w:hint="eastAsia"/>
          <w:lang w:val="en-US" w:eastAsia="zh-CN"/>
        </w:rPr>
        <w:t>矿山消防用水储存在地表选厂生产水池中，由地表生产用水管网引出的供水管路，通过斜坡道向井下供水，巷道内敷设一路DN80管路，作为消防水管，井下无轨运输巷道每间隔100m设置一处消火栓。消防用水应采取不得被生产占用的措施，保证消防水量不能作为他用。</w:t>
      </w:r>
    </w:p>
    <w:p w14:paraId="604D9E6B">
      <w:pPr>
        <w:pStyle w:val="21"/>
        <w:bidi w:val="0"/>
        <w:rPr>
          <w:rFonts w:hint="eastAsia"/>
          <w:lang w:val="en-US" w:eastAsia="zh-CN"/>
        </w:rPr>
      </w:pPr>
      <w:r>
        <w:rPr>
          <w:rFonts w:hint="eastAsia"/>
          <w:lang w:val="en-US" w:eastAsia="zh-CN"/>
        </w:rPr>
        <w:t>矿区消防供水为常高压制，管网环状敷设。消火栓栓口动压力应为0.25MPa～0.5MPa，供水系统压力过大时应采取减压措施。</w:t>
      </w:r>
    </w:p>
    <w:p w14:paraId="28E83B35">
      <w:pPr>
        <w:pStyle w:val="21"/>
        <w:bidi w:val="0"/>
        <w:rPr>
          <w:rFonts w:hint="eastAsia"/>
          <w:lang w:val="en-US" w:eastAsia="zh-CN"/>
        </w:rPr>
      </w:pPr>
      <w:r>
        <w:rPr>
          <w:rFonts w:hint="eastAsia"/>
          <w:lang w:val="en-US" w:eastAsia="zh-CN"/>
        </w:rPr>
        <w:t>水池旁安装两台XBD2.5/20-100-140-11/2单级立式离心消防泵（Q=20L/s，P=0.25MPa，一用一备），为井口工业场地消防管网供水。</w:t>
      </w:r>
    </w:p>
    <w:p w14:paraId="6EFF6DFE">
      <w:pPr>
        <w:pStyle w:val="21"/>
        <w:bidi w:val="0"/>
        <w:rPr>
          <w:rFonts w:hint="default"/>
          <w:lang w:val="en-US" w:eastAsia="zh-CN"/>
        </w:rPr>
      </w:pPr>
      <w:r>
        <w:rPr>
          <w:rFonts w:hint="eastAsia"/>
          <w:lang w:val="en-US" w:eastAsia="zh-CN"/>
        </w:rPr>
        <w:t>②地面消防系统</w:t>
      </w:r>
    </w:p>
    <w:p w14:paraId="0463703D">
      <w:pPr>
        <w:pStyle w:val="21"/>
        <w:bidi w:val="0"/>
        <w:rPr>
          <w:rFonts w:hint="default"/>
          <w:lang w:val="en-US" w:eastAsia="zh-CN"/>
        </w:rPr>
      </w:pPr>
      <w:r>
        <w:rPr>
          <w:rFonts w:hint="eastAsia"/>
          <w:lang w:val="en-US" w:eastAsia="zh-CN"/>
        </w:rPr>
        <w:t>室内消防管道为镀锌钢管，其余均采用焊接钢管。在所有的矿区建筑物、构筑物内的重要部位设置手提式干粉灭火器。</w:t>
      </w:r>
    </w:p>
    <w:p w14:paraId="47C0A8D6">
      <w:pPr>
        <w:pStyle w:val="29"/>
        <w:bidi w:val="0"/>
        <w:rPr>
          <w:rFonts w:hint="default"/>
          <w:lang w:val="en-US" w:eastAsia="zh-CN"/>
        </w:rPr>
      </w:pPr>
      <w:r>
        <w:rPr>
          <w:rFonts w:hint="eastAsia"/>
          <w:lang w:val="en-US" w:eastAsia="zh-CN"/>
        </w:rPr>
        <w:t>废石场</w:t>
      </w:r>
    </w:p>
    <w:p w14:paraId="3A076079">
      <w:pPr>
        <w:pStyle w:val="21"/>
        <w:bidi w:val="0"/>
        <w:rPr>
          <w:rFonts w:hint="default"/>
          <w:lang w:val="en-US" w:eastAsia="zh-CN"/>
        </w:rPr>
      </w:pPr>
      <w:r>
        <w:rPr>
          <w:rFonts w:hint="eastAsia"/>
          <w:highlight w:val="none"/>
          <w:lang w:val="en-US" w:eastAsia="zh-CN"/>
        </w:rPr>
        <w:t>井下废石通过装载机装入自卸汽车，通过斜坡道运至地表回填地表露天坑。</w:t>
      </w:r>
    </w:p>
    <w:p w14:paraId="0B069226">
      <w:pPr>
        <w:pStyle w:val="29"/>
        <w:bidi w:val="0"/>
        <w:rPr>
          <w:rFonts w:hint="default"/>
          <w:lang w:val="en-US" w:eastAsia="zh-CN"/>
        </w:rPr>
      </w:pPr>
      <w:r>
        <w:rPr>
          <w:rFonts w:hint="default"/>
          <w:lang w:val="en-US" w:eastAsia="zh-CN"/>
        </w:rPr>
        <w:t>安全避险“六大系统”</w:t>
      </w:r>
    </w:p>
    <w:p w14:paraId="002F7035">
      <w:pPr>
        <w:pStyle w:val="21"/>
        <w:numPr>
          <w:ilvl w:val="0"/>
          <w:numId w:val="21"/>
        </w:numPr>
        <w:bidi w:val="0"/>
        <w:rPr>
          <w:rFonts w:hint="default"/>
          <w:lang w:val="en-US" w:eastAsia="zh-CN"/>
        </w:rPr>
      </w:pPr>
      <w:r>
        <w:rPr>
          <w:rFonts w:hint="eastAsia"/>
          <w:lang w:val="en-US" w:eastAsia="zh-CN"/>
        </w:rPr>
        <w:t>监测监控系统</w:t>
      </w:r>
    </w:p>
    <w:p w14:paraId="7318710C">
      <w:pPr>
        <w:pStyle w:val="21"/>
        <w:bidi w:val="0"/>
        <w:rPr>
          <w:rFonts w:hint="eastAsia"/>
          <w:lang w:val="en-US" w:eastAsia="zh-CN"/>
        </w:rPr>
      </w:pPr>
      <w:r>
        <w:rPr>
          <w:rFonts w:hint="eastAsia"/>
          <w:lang w:val="en-US" w:eastAsia="zh-CN"/>
        </w:rPr>
        <w:t>1、有毒有害气体监（检）测</w:t>
      </w:r>
    </w:p>
    <w:p w14:paraId="0F0D9CEA">
      <w:pPr>
        <w:pStyle w:val="21"/>
        <w:bidi w:val="0"/>
        <w:rPr>
          <w:rFonts w:hint="eastAsia"/>
        </w:rPr>
      </w:pPr>
      <w:r>
        <w:rPr>
          <w:rFonts w:hint="eastAsia"/>
        </w:rPr>
        <w:t>设计井下CO有毒有害气体建立在线监测系统，同时建立检测系统作为辅助系统，实现有毒有害气体的控制。</w:t>
      </w:r>
    </w:p>
    <w:p w14:paraId="46F52E86">
      <w:pPr>
        <w:pStyle w:val="21"/>
        <w:bidi w:val="0"/>
        <w:rPr>
          <w:rFonts w:hint="eastAsia"/>
        </w:rPr>
      </w:pPr>
      <w:r>
        <w:rPr>
          <w:rFonts w:hint="eastAsia"/>
        </w:rPr>
        <w:t>井下设CO监测系统，在井下</w:t>
      </w:r>
      <w:r>
        <w:rPr>
          <w:rFonts w:hint="eastAsia"/>
          <w:lang w:val="en-US" w:eastAsia="zh-CN"/>
        </w:rPr>
        <w:t>生产</w:t>
      </w:r>
      <w:r>
        <w:rPr>
          <w:rFonts w:hint="eastAsia"/>
        </w:rPr>
        <w:t>中段的进、回风巷靠近采场位置应设置CO传感器，对CO的浓度实时监测。</w:t>
      </w:r>
    </w:p>
    <w:p w14:paraId="6BCC8067">
      <w:pPr>
        <w:pStyle w:val="21"/>
        <w:bidi w:val="0"/>
        <w:rPr>
          <w:rFonts w:hint="eastAsia"/>
        </w:rPr>
      </w:pPr>
      <w:r>
        <w:rPr>
          <w:rFonts w:hint="eastAsia"/>
        </w:rPr>
        <w:t>在基建开拓和新中段开拓时为独头巷道掘进，掘进通风采用压入式通风时，设计在距离回风出口5～10m回风流中设置CO传感器；采用抽出式和混合式通风时，设计在风筒出风口后10～15m处设置CO传感器。</w:t>
      </w:r>
    </w:p>
    <w:p w14:paraId="0CB3A167">
      <w:pPr>
        <w:pStyle w:val="21"/>
        <w:bidi w:val="0"/>
        <w:rPr>
          <w:rFonts w:hint="eastAsia"/>
        </w:rPr>
      </w:pPr>
      <w:r>
        <w:rPr>
          <w:rFonts w:hint="eastAsia"/>
        </w:rPr>
        <w:t>传感器安装时应采用垂直悬挂方式，与巷道壁距离大于0.2m，CO传感器与顶板距离小于0.3m。</w:t>
      </w:r>
    </w:p>
    <w:p w14:paraId="7DCB6A6D">
      <w:pPr>
        <w:pStyle w:val="21"/>
        <w:bidi w:val="0"/>
        <w:rPr>
          <w:rFonts w:hint="eastAsia"/>
        </w:rPr>
      </w:pPr>
      <w:r>
        <w:rPr>
          <w:rFonts w:hint="eastAsia"/>
        </w:rPr>
        <w:t>矿山根据自己实际生产具体情况配置足够的，具有报警参数设置和声光报警功能，测量CO、O</w:t>
      </w:r>
      <w:r>
        <w:rPr>
          <w:rFonts w:hint="eastAsia"/>
          <w:vertAlign w:val="subscript"/>
        </w:rPr>
        <w:t>2</w:t>
      </w:r>
      <w:r>
        <w:rPr>
          <w:rFonts w:hint="eastAsia"/>
        </w:rPr>
        <w:t>和NO</w:t>
      </w:r>
      <w:r>
        <w:rPr>
          <w:rFonts w:hint="eastAsia"/>
          <w:vertAlign w:val="subscript"/>
        </w:rPr>
        <w:t>2</w:t>
      </w:r>
      <w:r>
        <w:rPr>
          <w:rFonts w:hint="eastAsia"/>
        </w:rPr>
        <w:t>浓度的便携式气体检测报警仪，下井工段长、带班长、安全员等人员随身携带。</w:t>
      </w:r>
    </w:p>
    <w:p w14:paraId="15FF81EE">
      <w:pPr>
        <w:pStyle w:val="21"/>
        <w:bidi w:val="0"/>
        <w:rPr>
          <w:rFonts w:hint="eastAsia"/>
        </w:rPr>
      </w:pPr>
      <w:r>
        <w:rPr>
          <w:rFonts w:hint="eastAsia"/>
        </w:rPr>
        <w:t>下井作业人员进入独头掘进工作面和通风不良的采场之前，开动局扇进行通风，确保空气质量满足作业要求；人员进入采掘工作面时，应携带便携式气体检测报警仪从进风侧进入，一旦报警应立即撤离。</w:t>
      </w:r>
    </w:p>
    <w:p w14:paraId="37548F05">
      <w:pPr>
        <w:pStyle w:val="21"/>
        <w:bidi w:val="0"/>
        <w:rPr>
          <w:rFonts w:hint="default"/>
          <w:lang w:val="en-US" w:eastAsia="zh-CN"/>
        </w:rPr>
      </w:pPr>
      <w:r>
        <w:rPr>
          <w:rFonts w:hint="eastAsia"/>
        </w:rPr>
        <w:t>气体检测报警仪和监测传感器，CO报警浓度设置小于24ppm，NO</w:t>
      </w:r>
      <w:r>
        <w:rPr>
          <w:rFonts w:hint="eastAsia"/>
          <w:vertAlign w:val="subscript"/>
        </w:rPr>
        <w:t>2</w:t>
      </w:r>
      <w:r>
        <w:rPr>
          <w:rFonts w:hint="eastAsia"/>
        </w:rPr>
        <w:t>报警浓度设置小于2.5ppm。</w:t>
      </w:r>
    </w:p>
    <w:p w14:paraId="11C5526F">
      <w:pPr>
        <w:pStyle w:val="21"/>
        <w:bidi w:val="0"/>
        <w:rPr>
          <w:rFonts w:hint="eastAsia"/>
          <w:lang w:val="en-US" w:eastAsia="zh-CN"/>
        </w:rPr>
      </w:pPr>
      <w:r>
        <w:rPr>
          <w:rFonts w:hint="eastAsia"/>
          <w:lang w:val="en-US" w:eastAsia="zh-CN"/>
        </w:rPr>
        <w:t>2、通风系统监测</w:t>
      </w:r>
    </w:p>
    <w:p w14:paraId="46A364F2">
      <w:pPr>
        <w:pStyle w:val="21"/>
        <w:bidi w:val="0"/>
        <w:rPr>
          <w:rFonts w:hint="eastAsia"/>
        </w:rPr>
      </w:pPr>
      <w:r>
        <w:rPr>
          <w:rFonts w:hint="eastAsia"/>
          <w:lang w:val="en-US" w:eastAsia="zh-CN"/>
        </w:rPr>
        <w:t>①</w:t>
      </w:r>
      <w:r>
        <w:rPr>
          <w:rFonts w:hint="eastAsia"/>
        </w:rPr>
        <w:t>风速监测</w:t>
      </w:r>
    </w:p>
    <w:p w14:paraId="4BA9EA33">
      <w:pPr>
        <w:pStyle w:val="21"/>
        <w:bidi w:val="0"/>
        <w:rPr>
          <w:rFonts w:hint="eastAsia"/>
        </w:rPr>
      </w:pPr>
      <w:r>
        <w:rPr>
          <w:rFonts w:hint="eastAsia"/>
        </w:rPr>
        <w:t>井下设计对风速进行在线监测。</w:t>
      </w:r>
      <w:r>
        <w:rPr>
          <w:rFonts w:hint="eastAsia"/>
          <w:lang w:val="en-US" w:eastAsia="zh-CN"/>
        </w:rPr>
        <w:t>生产</w:t>
      </w:r>
      <w:r>
        <w:rPr>
          <w:rFonts w:hint="eastAsia"/>
        </w:rPr>
        <w:t>中段靠近风井回风段</w:t>
      </w:r>
      <w:r>
        <w:rPr>
          <w:rFonts w:hint="eastAsia"/>
          <w:lang w:val="en-US" w:eastAsia="zh-CN"/>
        </w:rPr>
        <w:t>以及总回风巷</w:t>
      </w:r>
      <w:r>
        <w:rPr>
          <w:rFonts w:hint="eastAsia"/>
        </w:rPr>
        <w:t>内设置风速传感器用以监测井下风量。随着矿山生产中段逐步形成后，相应在靠近回风段内设置风速传感器用以监测井下风量。风速传感器安装在能准确计算风量的地点。风速传感器安装在能准确计算风量的地点。</w:t>
      </w:r>
    </w:p>
    <w:p w14:paraId="3E9D73ED">
      <w:pPr>
        <w:pStyle w:val="21"/>
        <w:bidi w:val="0"/>
        <w:rPr>
          <w:rFonts w:hint="eastAsia"/>
        </w:rPr>
      </w:pPr>
      <w:r>
        <w:rPr>
          <w:rFonts w:hint="eastAsia"/>
          <w:lang w:val="en-US" w:eastAsia="zh-CN"/>
        </w:rPr>
        <w:t>②</w:t>
      </w:r>
      <w:r>
        <w:rPr>
          <w:rFonts w:hint="eastAsia"/>
        </w:rPr>
        <w:t>风压监测</w:t>
      </w:r>
    </w:p>
    <w:p w14:paraId="564064D2">
      <w:pPr>
        <w:pStyle w:val="21"/>
        <w:bidi w:val="0"/>
        <w:rPr>
          <w:rFonts w:hint="eastAsia"/>
        </w:rPr>
      </w:pPr>
      <w:r>
        <w:rPr>
          <w:rFonts w:hint="eastAsia"/>
        </w:rPr>
        <w:t>设计在主通风机</w:t>
      </w:r>
      <w:r>
        <w:rPr>
          <w:rFonts w:hint="eastAsia"/>
          <w:lang w:val="en-US" w:eastAsia="zh-CN"/>
        </w:rPr>
        <w:t>房</w:t>
      </w:r>
      <w:r>
        <w:rPr>
          <w:rFonts w:hint="eastAsia"/>
        </w:rPr>
        <w:t>设开停传感器和风压传感器实时在线监测。局部通风机设开停传感器。</w:t>
      </w:r>
    </w:p>
    <w:p w14:paraId="240AF3BB">
      <w:pPr>
        <w:pStyle w:val="21"/>
        <w:bidi w:val="0"/>
        <w:rPr>
          <w:rFonts w:hint="default"/>
          <w:lang w:val="en-US" w:eastAsia="zh-CN"/>
        </w:rPr>
      </w:pPr>
      <w:r>
        <w:rPr>
          <w:rFonts w:hint="eastAsia"/>
        </w:rPr>
        <w:t>风压传感器设置在风机入风口和风机（或扩散器）出风口截面处。生产过程中对主扇风机安装开停传感器，实时监控工作运行状态，风机房内设测量风压、风量、电流、电压和轴承温度等的仪表。主扇风机实现远程控制，在调度室内可对风机实施开停、正反转操作</w:t>
      </w:r>
      <w:r>
        <w:rPr>
          <w:rFonts w:hint="eastAsia"/>
          <w:lang w:val="en-US" w:eastAsia="zh-CN"/>
        </w:rPr>
        <w:t>。</w:t>
      </w:r>
    </w:p>
    <w:p w14:paraId="50295D45">
      <w:pPr>
        <w:pStyle w:val="21"/>
        <w:bidi w:val="0"/>
        <w:rPr>
          <w:rFonts w:hint="default"/>
          <w:lang w:val="en-US" w:eastAsia="zh-CN"/>
        </w:rPr>
      </w:pPr>
      <w:r>
        <w:rPr>
          <w:rFonts w:hint="eastAsia"/>
          <w:lang w:val="en-US" w:eastAsia="zh-CN"/>
        </w:rPr>
        <w:t>3、视频监控</w:t>
      </w:r>
    </w:p>
    <w:p w14:paraId="733DE176">
      <w:pPr>
        <w:pStyle w:val="21"/>
        <w:bidi w:val="0"/>
        <w:rPr>
          <w:rFonts w:hint="eastAsia"/>
          <w:lang w:eastAsia="zh-CN"/>
        </w:rPr>
      </w:pPr>
      <w:r>
        <w:rPr>
          <w:rFonts w:hint="eastAsia"/>
          <w:lang w:eastAsia="zh-CN"/>
        </w:rPr>
        <w:t>设计矿山在</w:t>
      </w:r>
      <w:r>
        <w:rPr>
          <w:rFonts w:hint="eastAsia"/>
          <w:lang w:val="en-US" w:eastAsia="zh-CN"/>
        </w:rPr>
        <w:t>斜坡道</w:t>
      </w:r>
      <w:r>
        <w:rPr>
          <w:rFonts w:hint="eastAsia"/>
        </w:rPr>
        <w:t>、</w:t>
      </w:r>
      <w:r>
        <w:rPr>
          <w:rFonts w:hint="eastAsia"/>
          <w:lang w:val="en-US" w:eastAsia="zh-CN"/>
        </w:rPr>
        <w:t>管缆井、回风井井口</w:t>
      </w:r>
      <w:r>
        <w:rPr>
          <w:rFonts w:hint="eastAsia"/>
        </w:rPr>
        <w:t>、井下各生产中段、</w:t>
      </w:r>
      <w:r>
        <w:rPr>
          <w:rFonts w:hint="eastAsia"/>
          <w:lang w:val="en-US" w:eastAsia="zh-CN"/>
        </w:rPr>
        <w:t>各</w:t>
      </w:r>
      <w:r>
        <w:rPr>
          <w:rFonts w:hint="eastAsia"/>
        </w:rPr>
        <w:t>水泵房、各变配电电硐室</w:t>
      </w:r>
      <w:r>
        <w:rPr>
          <w:rFonts w:hint="eastAsia"/>
          <w:lang w:eastAsia="zh-CN"/>
        </w:rPr>
        <w:t>等重要场所设视频监控。</w:t>
      </w:r>
    </w:p>
    <w:p w14:paraId="66EA392D">
      <w:pPr>
        <w:pStyle w:val="21"/>
        <w:bidi w:val="0"/>
        <w:rPr>
          <w:rFonts w:hint="eastAsia"/>
          <w:lang w:eastAsia="zh-CN"/>
        </w:rPr>
      </w:pPr>
      <w:r>
        <w:rPr>
          <w:rFonts w:hint="eastAsia"/>
          <w:lang w:val="en-US" w:eastAsia="zh-CN"/>
        </w:rPr>
        <w:t>地表调度中心</w:t>
      </w:r>
      <w:r>
        <w:rPr>
          <w:rFonts w:hint="eastAsia"/>
          <w:lang w:eastAsia="zh-CN"/>
        </w:rPr>
        <w:t>设有视频监控显示终端，用于显示井口、调车场等场所的视频监控图像。视频监控的功能与性能设计、设备选型与设置、传输方式、供电等应符合GB50395-2007的规定。视频监控图像质量的性能指标应符合GB50198-1994的规定。</w:t>
      </w:r>
    </w:p>
    <w:p w14:paraId="41FD7983">
      <w:pPr>
        <w:pStyle w:val="21"/>
        <w:bidi w:val="0"/>
      </w:pPr>
      <w:r>
        <w:rPr>
          <w:rFonts w:hint="eastAsia"/>
          <w:lang w:val="en-US" w:eastAsia="zh-CN"/>
        </w:rPr>
        <w:t>4、</w:t>
      </w:r>
      <w:r>
        <w:t>地表变形及沉降监测</w:t>
      </w:r>
    </w:p>
    <w:p w14:paraId="63852273">
      <w:pPr>
        <w:pStyle w:val="21"/>
        <w:bidi w:val="0"/>
      </w:pPr>
      <w:r>
        <w:rPr>
          <w:rFonts w:hint="eastAsia"/>
          <w:lang w:eastAsia="zh-CN"/>
        </w:rPr>
        <w:t>①</w:t>
      </w:r>
      <w:r>
        <w:t>监测点及基准点</w:t>
      </w:r>
    </w:p>
    <w:p w14:paraId="704A44B0">
      <w:pPr>
        <w:pStyle w:val="21"/>
        <w:bidi w:val="0"/>
        <w:rPr>
          <w:rFonts w:hint="eastAsia"/>
          <w:lang w:val="en-US" w:eastAsia="zh-CN"/>
        </w:rPr>
      </w:pPr>
      <w:r>
        <w:rPr>
          <w:rFonts w:hint="eastAsia"/>
        </w:rPr>
        <w:t>地表变形观测重点应放在周围有重要设施区域，包括</w:t>
      </w:r>
      <w:r>
        <w:rPr>
          <w:rFonts w:hint="eastAsia"/>
          <w:lang w:val="en-US" w:eastAsia="zh-CN"/>
        </w:rPr>
        <w:t>地表移动监测范围等变形观测。</w:t>
      </w:r>
      <w:r>
        <w:rPr>
          <w:rFonts w:hint="eastAsia"/>
        </w:rPr>
        <w:t>地表变形监测系统主要对地表变形特征、</w:t>
      </w:r>
      <w:r>
        <w:rPr>
          <w:rFonts w:hint="eastAsia"/>
          <w:lang w:val="en-US" w:eastAsia="zh-CN"/>
        </w:rPr>
        <w:t>移动监测范围</w:t>
      </w:r>
      <w:r>
        <w:rPr>
          <w:rFonts w:hint="eastAsia"/>
        </w:rPr>
        <w:t>、沉降等进行观测和数据整理。</w:t>
      </w:r>
      <w:r>
        <w:rPr>
          <w:rFonts w:hint="eastAsia"/>
          <w:lang w:val="en-US" w:eastAsia="zh-CN"/>
        </w:rPr>
        <w:t>本次设计共圈定1个岩石移动监测范围，按照设计圈定的岩石移动监测范围共设置监测点4个，基准点3个，本次设计圈定的岩石移动监测范围内无重要设施区域，故主要沿设计圈定岩石移动监测范围边缘布设（布设点位详见总平面布置图），有效监测位移形变数据。</w:t>
      </w:r>
    </w:p>
    <w:p w14:paraId="15A151DD">
      <w:pPr>
        <w:pStyle w:val="21"/>
        <w:bidi w:val="0"/>
      </w:pPr>
      <w:r>
        <w:rPr>
          <w:rFonts w:hint="eastAsia"/>
        </w:rPr>
        <w:t>②</w:t>
      </w:r>
      <w:r>
        <w:t>地表监测点的埋设</w:t>
      </w:r>
    </w:p>
    <w:p w14:paraId="042B2DAF">
      <w:pPr>
        <w:pStyle w:val="21"/>
        <w:bidi w:val="0"/>
      </w:pPr>
      <w:r>
        <w:t>基准点与监测点均采用混凝土浇灌，对埋点的基本要求是：便于进行高程与平面测量，能够可靠保存，并和土石牢固结合。</w:t>
      </w:r>
    </w:p>
    <w:p w14:paraId="73AB9CBC">
      <w:pPr>
        <w:pStyle w:val="21"/>
        <w:bidi w:val="0"/>
      </w:pPr>
      <w:r>
        <w:t>埋点时，如地面为土层，先挖一直径0.3m、深度不小于1.0m的坑，将直径不小于</w:t>
      </w:r>
      <w:r>
        <w:rPr>
          <w:rFonts w:hint="eastAsia"/>
          <w:lang w:val="en-US" w:eastAsia="zh-CN"/>
        </w:rPr>
        <w:t>16mm</w:t>
      </w:r>
      <w:r>
        <w:t>的钢筋放入坑内再浇灌混凝土，浇灌深度不小于0.8m，钢筋顶端应刻一十字丝，以便于十字中心对点观测。</w:t>
      </w:r>
    </w:p>
    <w:p w14:paraId="00348060">
      <w:pPr>
        <w:pStyle w:val="21"/>
        <w:bidi w:val="0"/>
      </w:pPr>
      <w:r>
        <w:rPr>
          <w:rFonts w:hint="eastAsia"/>
        </w:rPr>
        <w:t>③</w:t>
      </w:r>
      <w:r>
        <w:t>观测方法</w:t>
      </w:r>
    </w:p>
    <w:p w14:paraId="07F6B31E">
      <w:pPr>
        <w:pStyle w:val="21"/>
        <w:bidi w:val="0"/>
      </w:pPr>
      <w:r>
        <w:t>选用矿区的两个E级GPS控制点作为基准点，定期进行对上述</w:t>
      </w:r>
      <w:r>
        <w:rPr>
          <w:rFonts w:hint="eastAsia"/>
          <w:lang w:val="en-US" w:eastAsia="zh-CN"/>
        </w:rPr>
        <w:t>3</w:t>
      </w:r>
      <w:r>
        <w:t>个工作基点进行联测，作业时通过三角高程测量将工作基点的平面坐标和高程引测到各个监测点上，得到监测点的平面坐标和高程。根据监测点各个观测周期所测得数据之差即可知道监测点的相对位移变化量。</w:t>
      </w:r>
    </w:p>
    <w:p w14:paraId="78FBADEC">
      <w:pPr>
        <w:pStyle w:val="21"/>
        <w:bidi w:val="0"/>
      </w:pPr>
      <w:r>
        <w:rPr>
          <w:rFonts w:hint="eastAsia"/>
        </w:rPr>
        <w:t>④</w:t>
      </w:r>
      <w:r>
        <w:t>监测方法及监测周期</w:t>
      </w:r>
    </w:p>
    <w:p w14:paraId="4B19D0D7">
      <w:pPr>
        <w:pStyle w:val="21"/>
        <w:bidi w:val="0"/>
      </w:pPr>
      <w:r>
        <w:t>水平位移观测方法：</w:t>
      </w:r>
      <w:r>
        <w:rPr>
          <w:rFonts w:hint="eastAsia"/>
          <w:lang w:val="en-US" w:eastAsia="zh-CN"/>
        </w:rPr>
        <w:t>3</w:t>
      </w:r>
      <w:r>
        <w:t>个工作基点通过GPS引用矿区两个E级控制点进行联测，每个工作基点观测两个时段，每个时段为60分钟，最终工作基点的平面坐标取两次观测的平均值。变形监测采用全站仪进行测量，在各个工作基点上设站，采用极坐标方法取得监测点的坐标和高程值，并测算工作点到监测点的距离，必要时通过支点进行观测。不同周期测量监测的水平位移的相对变化值，初始值的测量读取应进行2-3次的校核，以确保其准确性。</w:t>
      </w:r>
    </w:p>
    <w:p w14:paraId="50B5B4A0">
      <w:pPr>
        <w:pStyle w:val="21"/>
        <w:bidi w:val="0"/>
      </w:pPr>
      <w:r>
        <w:rPr>
          <w:rFonts w:hint="eastAsia"/>
        </w:rPr>
        <w:t>⑤</w:t>
      </w:r>
      <w:r>
        <w:t>沉降观测方法</w:t>
      </w:r>
    </w:p>
    <w:p w14:paraId="07F493D8">
      <w:pPr>
        <w:pStyle w:val="21"/>
        <w:bidi w:val="0"/>
      </w:pPr>
      <w:r>
        <w:t>由于矿区的地势高低水平，起伏比较大，水准测量的工作大，因而工作基点和监测点的高程采用三角高程测量方法，工作基点的高程也是和E级控制点引测得到，各个监测点的高程利用工作基点的高程，采用三角高程测量的方法进行变形监测点的沉降观测。全站仪测站和监测点之间的距离保持在50m之内，避免大气影响，取数时要进行2～3次的校核。</w:t>
      </w:r>
    </w:p>
    <w:p w14:paraId="407DC682">
      <w:pPr>
        <w:pStyle w:val="21"/>
        <w:bidi w:val="0"/>
      </w:pPr>
      <w:r>
        <w:t>在监测点埋设7天后进行第一次观测，一般的监测周期如下：</w:t>
      </w:r>
    </w:p>
    <w:p w14:paraId="3D304E44">
      <w:pPr>
        <w:pStyle w:val="21"/>
        <w:bidi w:val="0"/>
      </w:pPr>
      <w:r>
        <w:rPr>
          <w:rFonts w:hint="eastAsia"/>
        </w:rPr>
        <w:t>ⅰ</w:t>
      </w:r>
      <w:r>
        <w:t>.沉降观测每月进行一次；</w:t>
      </w:r>
    </w:p>
    <w:p w14:paraId="5D897C10">
      <w:pPr>
        <w:pStyle w:val="21"/>
        <w:bidi w:val="0"/>
      </w:pPr>
      <w:r>
        <w:rPr>
          <w:rFonts w:hint="eastAsia"/>
        </w:rPr>
        <w:t>ⅱ</w:t>
      </w:r>
      <w:r>
        <w:t>.水平移动测量每月进行一次；</w:t>
      </w:r>
    </w:p>
    <w:p w14:paraId="40A50D6D">
      <w:pPr>
        <w:pStyle w:val="21"/>
        <w:bidi w:val="0"/>
      </w:pPr>
      <w:r>
        <w:rPr>
          <w:rFonts w:hint="eastAsia"/>
        </w:rPr>
        <w:t>ⅲ</w:t>
      </w:r>
      <w:r>
        <w:t>.工作基点每半年进行一次校核。</w:t>
      </w:r>
    </w:p>
    <w:p w14:paraId="32167DF4">
      <w:pPr>
        <w:pStyle w:val="21"/>
        <w:bidi w:val="0"/>
      </w:pPr>
      <w:r>
        <w:rPr>
          <w:rFonts w:hint="eastAsia"/>
        </w:rPr>
        <w:t>⑥</w:t>
      </w:r>
      <w:r>
        <w:t>监测成果整理</w:t>
      </w:r>
    </w:p>
    <w:p w14:paraId="75B5490E">
      <w:pPr>
        <w:pStyle w:val="21"/>
        <w:bidi w:val="0"/>
      </w:pPr>
      <w:r>
        <w:t>每次观测完毕后，应及时对观测数据进行数据处理。在平差计算前，应核对和复查外业观测成果与起算数据的正确性，验算各项限差，在确认全部符合规定要求后，方可进行计算。把计算所得数据与上一次及首次观测的数据进行比较整理成表格，每次变形观测成果报表表格采用如下表格格式：</w:t>
      </w:r>
    </w:p>
    <w:p w14:paraId="6271BE32">
      <w:pPr>
        <w:pStyle w:val="30"/>
        <w:bidi w:val="0"/>
        <w:rPr>
          <w:rFonts w:hint="default"/>
          <w:lang w:val="en-US" w:eastAsia="zh-CN"/>
        </w:rPr>
      </w:pPr>
      <w:r>
        <w:t>表</w:t>
      </w:r>
      <w:r>
        <w:rPr>
          <w:rFonts w:hint="eastAsia"/>
          <w:lang w:val="en-US" w:eastAsia="zh-CN"/>
        </w:rPr>
        <w:t xml:space="preserve">2.4-6  </w:t>
      </w:r>
      <w:r>
        <w:t>沉降位移观测成果报表</w:t>
      </w: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5"/>
        <w:gridCol w:w="1065"/>
        <w:gridCol w:w="1066"/>
        <w:gridCol w:w="1067"/>
        <w:gridCol w:w="1066"/>
        <w:gridCol w:w="1066"/>
        <w:gridCol w:w="1067"/>
        <w:gridCol w:w="1066"/>
      </w:tblGrid>
      <w:tr w14:paraId="448D5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noWrap w:val="0"/>
            <w:vAlign w:val="center"/>
          </w:tcPr>
          <w:p w14:paraId="74B6CB80">
            <w:pPr>
              <w:pStyle w:val="31"/>
              <w:bidi w:val="0"/>
            </w:pPr>
            <w:r>
              <w:t>观测点编号</w:t>
            </w:r>
          </w:p>
        </w:tc>
        <w:tc>
          <w:tcPr>
            <w:tcW w:w="1065" w:type="dxa"/>
            <w:noWrap w:val="0"/>
            <w:vAlign w:val="center"/>
          </w:tcPr>
          <w:p w14:paraId="5BD6E1BF">
            <w:pPr>
              <w:pStyle w:val="31"/>
              <w:bidi w:val="0"/>
            </w:pPr>
            <w:r>
              <w:t>初始值（m）</w:t>
            </w:r>
          </w:p>
        </w:tc>
        <w:tc>
          <w:tcPr>
            <w:tcW w:w="1066" w:type="dxa"/>
            <w:noWrap w:val="0"/>
            <w:vAlign w:val="center"/>
          </w:tcPr>
          <w:p w14:paraId="3F8B0081">
            <w:pPr>
              <w:pStyle w:val="31"/>
              <w:bidi w:val="0"/>
            </w:pPr>
            <w:r>
              <w:t>上次观测值（m）</w:t>
            </w:r>
          </w:p>
        </w:tc>
        <w:tc>
          <w:tcPr>
            <w:tcW w:w="1067" w:type="dxa"/>
            <w:noWrap w:val="0"/>
            <w:vAlign w:val="center"/>
          </w:tcPr>
          <w:p w14:paraId="2F11455D">
            <w:pPr>
              <w:pStyle w:val="31"/>
              <w:bidi w:val="0"/>
            </w:pPr>
            <w:r>
              <w:t>本次观测值（m）</w:t>
            </w:r>
          </w:p>
        </w:tc>
        <w:tc>
          <w:tcPr>
            <w:tcW w:w="1066" w:type="dxa"/>
            <w:noWrap w:val="0"/>
            <w:vAlign w:val="center"/>
          </w:tcPr>
          <w:p w14:paraId="54C6C5F2">
            <w:pPr>
              <w:pStyle w:val="31"/>
              <w:bidi w:val="0"/>
            </w:pPr>
            <w:r>
              <w:t>沉降值（mm）</w:t>
            </w:r>
          </w:p>
        </w:tc>
        <w:tc>
          <w:tcPr>
            <w:tcW w:w="1066" w:type="dxa"/>
            <w:noWrap w:val="0"/>
            <w:vAlign w:val="center"/>
          </w:tcPr>
          <w:p w14:paraId="5E768062">
            <w:pPr>
              <w:pStyle w:val="31"/>
              <w:bidi w:val="0"/>
            </w:pPr>
            <w:r>
              <w:t>累计沉降值（mm）</w:t>
            </w:r>
          </w:p>
        </w:tc>
        <w:tc>
          <w:tcPr>
            <w:tcW w:w="1067" w:type="dxa"/>
            <w:noWrap w:val="0"/>
            <w:vAlign w:val="center"/>
          </w:tcPr>
          <w:p w14:paraId="39AAFA08">
            <w:pPr>
              <w:pStyle w:val="31"/>
              <w:bidi w:val="0"/>
            </w:pPr>
            <w:r>
              <w:t>速率（mm/d）</w:t>
            </w:r>
          </w:p>
        </w:tc>
        <w:tc>
          <w:tcPr>
            <w:tcW w:w="1066" w:type="dxa"/>
            <w:noWrap w:val="0"/>
            <w:vAlign w:val="center"/>
          </w:tcPr>
          <w:p w14:paraId="2A666475">
            <w:pPr>
              <w:pStyle w:val="31"/>
              <w:bidi w:val="0"/>
            </w:pPr>
            <w:r>
              <w:t>备注</w:t>
            </w:r>
          </w:p>
        </w:tc>
      </w:tr>
      <w:tr w14:paraId="1E87C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noWrap w:val="0"/>
            <w:vAlign w:val="center"/>
          </w:tcPr>
          <w:p w14:paraId="321FA8AA">
            <w:pPr>
              <w:pStyle w:val="31"/>
              <w:bidi w:val="0"/>
            </w:pPr>
            <w:r>
              <w:t>/</w:t>
            </w:r>
          </w:p>
        </w:tc>
        <w:tc>
          <w:tcPr>
            <w:tcW w:w="1065" w:type="dxa"/>
            <w:noWrap w:val="0"/>
            <w:vAlign w:val="center"/>
          </w:tcPr>
          <w:p w14:paraId="1DE2F94C">
            <w:pPr>
              <w:pStyle w:val="31"/>
              <w:bidi w:val="0"/>
            </w:pPr>
            <w:r>
              <w:t>/</w:t>
            </w:r>
          </w:p>
        </w:tc>
        <w:tc>
          <w:tcPr>
            <w:tcW w:w="1066" w:type="dxa"/>
            <w:noWrap w:val="0"/>
            <w:vAlign w:val="center"/>
          </w:tcPr>
          <w:p w14:paraId="0F1F21ED">
            <w:pPr>
              <w:pStyle w:val="31"/>
              <w:bidi w:val="0"/>
            </w:pPr>
            <w:r>
              <w:t>/</w:t>
            </w:r>
          </w:p>
        </w:tc>
        <w:tc>
          <w:tcPr>
            <w:tcW w:w="1067" w:type="dxa"/>
            <w:noWrap w:val="0"/>
            <w:vAlign w:val="center"/>
          </w:tcPr>
          <w:p w14:paraId="5526DFB7">
            <w:pPr>
              <w:pStyle w:val="31"/>
              <w:bidi w:val="0"/>
            </w:pPr>
            <w:r>
              <w:t>/</w:t>
            </w:r>
          </w:p>
        </w:tc>
        <w:tc>
          <w:tcPr>
            <w:tcW w:w="1066" w:type="dxa"/>
            <w:noWrap w:val="0"/>
            <w:vAlign w:val="center"/>
          </w:tcPr>
          <w:p w14:paraId="6D178C0B">
            <w:pPr>
              <w:pStyle w:val="31"/>
              <w:bidi w:val="0"/>
            </w:pPr>
            <w:r>
              <w:t>/</w:t>
            </w:r>
          </w:p>
        </w:tc>
        <w:tc>
          <w:tcPr>
            <w:tcW w:w="1066" w:type="dxa"/>
            <w:noWrap w:val="0"/>
            <w:vAlign w:val="center"/>
          </w:tcPr>
          <w:p w14:paraId="2667627B">
            <w:pPr>
              <w:pStyle w:val="31"/>
              <w:bidi w:val="0"/>
            </w:pPr>
            <w:r>
              <w:t>/</w:t>
            </w:r>
          </w:p>
        </w:tc>
        <w:tc>
          <w:tcPr>
            <w:tcW w:w="1067" w:type="dxa"/>
            <w:noWrap w:val="0"/>
            <w:vAlign w:val="center"/>
          </w:tcPr>
          <w:p w14:paraId="51334E3B">
            <w:pPr>
              <w:pStyle w:val="31"/>
              <w:bidi w:val="0"/>
            </w:pPr>
            <w:r>
              <w:t>/</w:t>
            </w:r>
          </w:p>
        </w:tc>
        <w:tc>
          <w:tcPr>
            <w:tcW w:w="1066" w:type="dxa"/>
            <w:noWrap w:val="0"/>
            <w:vAlign w:val="center"/>
          </w:tcPr>
          <w:p w14:paraId="16ACF604">
            <w:pPr>
              <w:pStyle w:val="31"/>
              <w:bidi w:val="0"/>
            </w:pPr>
            <w:r>
              <w:t>/</w:t>
            </w:r>
          </w:p>
        </w:tc>
      </w:tr>
      <w:tr w14:paraId="61066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8" w:type="dxa"/>
            <w:gridSpan w:val="8"/>
            <w:noWrap w:val="0"/>
            <w:vAlign w:val="top"/>
          </w:tcPr>
          <w:p w14:paraId="33112267">
            <w:pPr>
              <w:pStyle w:val="31"/>
              <w:bidi w:val="0"/>
            </w:pPr>
            <w:r>
              <w:t>说明：首次观测时间x年x月x日；上次观测时间x年x月x日；本次观测时间x年x月x日。</w:t>
            </w:r>
          </w:p>
        </w:tc>
      </w:tr>
    </w:tbl>
    <w:p w14:paraId="534B0BF7">
      <w:pPr>
        <w:pStyle w:val="21"/>
        <w:bidi w:val="0"/>
      </w:pPr>
      <w:r>
        <w:rPr>
          <w:rFonts w:hint="default"/>
        </w:rPr>
        <w:t>视频监控系统设备</w:t>
      </w:r>
      <w:r>
        <w:t>根据各变形观测点变形量绘制成变形量曲线图、变形速率曲线图，当变形量时间曲线趋于平缓时，可选取合适的函数进行回归分析,预测最大沉降位移量。</w:t>
      </w:r>
    </w:p>
    <w:p w14:paraId="103B0230">
      <w:pPr>
        <w:pStyle w:val="21"/>
        <w:bidi w:val="0"/>
        <w:rPr>
          <w:rFonts w:hint="default"/>
          <w:lang w:val="en-US"/>
        </w:rPr>
      </w:pPr>
      <w:r>
        <w:rPr>
          <w:rFonts w:hint="eastAsia"/>
          <w:lang w:val="en-US" w:eastAsia="zh-CN"/>
        </w:rPr>
        <w:t>⑦预警值设定</w:t>
      </w:r>
    </w:p>
    <w:p w14:paraId="5917A4C7">
      <w:pPr>
        <w:pStyle w:val="21"/>
        <w:bidi w:val="0"/>
        <w:rPr>
          <w:rFonts w:hint="eastAsia"/>
          <w:lang w:val="en-US" w:eastAsia="zh-CN"/>
        </w:rPr>
      </w:pPr>
      <w:r>
        <w:rPr>
          <w:rFonts w:hint="eastAsia"/>
        </w:rPr>
        <w:t>根据</w:t>
      </w:r>
      <w:r>
        <w:rPr>
          <w:rFonts w:hint="eastAsia"/>
          <w:lang w:val="en-US" w:eastAsia="zh-CN"/>
        </w:rPr>
        <w:t>《建筑物、水体、铁路及主要井巷煤柱留设与压煤开采规范》（2017年5月）及《有色金属采矿设计规范》（GB50771-2012）等相关规范要求，以倾斜度3mm/m，弯曲度0.2×10-3/m，水平变形±2mm/m</w:t>
      </w:r>
      <w:r>
        <w:rPr>
          <w:rFonts w:hint="eastAsia"/>
        </w:rPr>
        <w:t>作为</w:t>
      </w:r>
      <w:r>
        <w:rPr>
          <w:rFonts w:hint="eastAsia"/>
          <w:lang w:val="en-US" w:eastAsia="zh-CN"/>
        </w:rPr>
        <w:t>地表变形预警值。监测点位移超出该预警值时，应立即停止生产，并上报主管矿长，分析原因后及时进行处理。</w:t>
      </w:r>
    </w:p>
    <w:p w14:paraId="5A146CCA">
      <w:pPr>
        <w:pStyle w:val="21"/>
        <w:bidi w:val="0"/>
        <w:rPr>
          <w:rFonts w:hint="eastAsia"/>
          <w:lang w:eastAsia="zh-CN"/>
        </w:rPr>
      </w:pPr>
      <w:r>
        <w:rPr>
          <w:rFonts w:hint="eastAsia"/>
          <w:lang w:val="en-US" w:eastAsia="zh-CN"/>
        </w:rPr>
        <w:t>5、地压</w:t>
      </w:r>
      <w:r>
        <w:rPr>
          <w:rFonts w:hint="eastAsia"/>
        </w:rPr>
        <w:t>监测</w:t>
      </w:r>
      <w:r>
        <w:rPr>
          <w:rFonts w:hint="eastAsia"/>
          <w:lang w:val="en-US" w:eastAsia="zh-CN"/>
        </w:rPr>
        <w:t>系统</w:t>
      </w:r>
    </w:p>
    <w:p w14:paraId="634655CE">
      <w:pPr>
        <w:pStyle w:val="21"/>
        <w:bidi w:val="0"/>
        <w:rPr>
          <w:rFonts w:hint="eastAsia"/>
        </w:rPr>
      </w:pPr>
      <w:r>
        <w:rPr>
          <w:rFonts w:hint="eastAsia"/>
          <w:lang w:val="en-US" w:eastAsia="zh-CN"/>
        </w:rPr>
        <w:t>①</w:t>
      </w:r>
      <w:r>
        <w:rPr>
          <w:rFonts w:hint="eastAsia"/>
        </w:rPr>
        <w:t>监测的目的和内容</w:t>
      </w:r>
    </w:p>
    <w:p w14:paraId="554007DB">
      <w:pPr>
        <w:pStyle w:val="21"/>
        <w:bidi w:val="0"/>
        <w:rPr>
          <w:rFonts w:hint="eastAsia"/>
        </w:rPr>
      </w:pPr>
      <w:r>
        <w:rPr>
          <w:rFonts w:hint="eastAsia"/>
        </w:rPr>
        <w:t>监测的目的主要是：根据采场地压活动的一般规律，在矿体回采过程中，对空区上部顶板和两侧的矿岩及矿体内应力大小及变化情况，形成一套完整的监测系统，及时准确掌握空区周边围岩变化情况及井下地压变化情况，完善矿山地压安全监测控制技术，避免灾害事故，确保安全生产。</w:t>
      </w:r>
    </w:p>
    <w:p w14:paraId="1E4038AA">
      <w:pPr>
        <w:pStyle w:val="21"/>
        <w:bidi w:val="0"/>
        <w:rPr>
          <w:rFonts w:hint="eastAsia"/>
        </w:rPr>
      </w:pPr>
      <w:r>
        <w:rPr>
          <w:rFonts w:hint="eastAsia"/>
        </w:rPr>
        <w:t>监测的主要内容：一、监测空区周边围岩的应力变化情况；二、监测回采分段的应力变化情况。</w:t>
      </w:r>
    </w:p>
    <w:p w14:paraId="2CB41839">
      <w:pPr>
        <w:pStyle w:val="21"/>
        <w:bidi w:val="0"/>
        <w:rPr>
          <w:rFonts w:hint="eastAsia"/>
        </w:rPr>
      </w:pPr>
      <w:r>
        <w:rPr>
          <w:rFonts w:hint="eastAsia"/>
          <w:lang w:eastAsia="zh-CN"/>
        </w:rPr>
        <w:t>②</w:t>
      </w:r>
      <w:r>
        <w:rPr>
          <w:rFonts w:hint="eastAsia"/>
        </w:rPr>
        <w:t>地压监测网布设的基本原则</w:t>
      </w:r>
    </w:p>
    <w:p w14:paraId="7A040774">
      <w:pPr>
        <w:pStyle w:val="21"/>
        <w:bidi w:val="0"/>
        <w:rPr>
          <w:rFonts w:hint="eastAsia"/>
        </w:rPr>
      </w:pPr>
      <w:r>
        <w:rPr>
          <w:rFonts w:hint="eastAsia"/>
        </w:rPr>
        <w:t>1）地压监测是一个长期的过程，布设的监测网应与矿山开采现状相结合，考虑矿山长、短期的监测布置；</w:t>
      </w:r>
    </w:p>
    <w:p w14:paraId="4EA4953E">
      <w:pPr>
        <w:pStyle w:val="21"/>
        <w:bidi w:val="0"/>
        <w:rPr>
          <w:rFonts w:hint="eastAsia"/>
        </w:rPr>
      </w:pPr>
      <w:r>
        <w:rPr>
          <w:rFonts w:hint="eastAsia"/>
        </w:rPr>
        <w:t xml:space="preserve">2）地压监测网的布设与矿山的生产紧密结合，对开采区域实行重点监测，以保障开采区域的安全，立足矿山的现有开采条件； </w:t>
      </w:r>
    </w:p>
    <w:p w14:paraId="0A63C4AA">
      <w:pPr>
        <w:pStyle w:val="21"/>
        <w:bidi w:val="0"/>
        <w:rPr>
          <w:rFonts w:hint="eastAsia"/>
        </w:rPr>
      </w:pPr>
      <w:r>
        <w:rPr>
          <w:rFonts w:hint="eastAsia"/>
        </w:rPr>
        <w:t>3）地压监测网内的观测手段多样化。同时采用压力监测、位移监测、岩体声发射监测等多种地压监测手段。</w:t>
      </w:r>
    </w:p>
    <w:p w14:paraId="47BED3FF">
      <w:pPr>
        <w:pStyle w:val="21"/>
        <w:bidi w:val="0"/>
        <w:rPr>
          <w:rFonts w:hint="eastAsia"/>
        </w:rPr>
      </w:pPr>
      <w:r>
        <w:rPr>
          <w:rFonts w:hint="eastAsia"/>
        </w:rPr>
        <w:t xml:space="preserve">4）根据矿山矿区地质条件和采矿方法，矿山的地压规律、岩体类型及其物理力学性质等设定观测网和网内测点的分布。 </w:t>
      </w:r>
    </w:p>
    <w:p w14:paraId="637B7578">
      <w:pPr>
        <w:pStyle w:val="21"/>
        <w:bidi w:val="0"/>
        <w:rPr>
          <w:rFonts w:hint="eastAsia"/>
        </w:rPr>
      </w:pPr>
      <w:r>
        <w:rPr>
          <w:rFonts w:hint="eastAsia"/>
        </w:rPr>
        <w:t>5）根据现场实际和适用性，恰当地选择地压观测仪器的种类、规格型号及其埋设方式。</w:t>
      </w:r>
    </w:p>
    <w:p w14:paraId="2823A1AF">
      <w:pPr>
        <w:pStyle w:val="21"/>
        <w:bidi w:val="0"/>
        <w:rPr>
          <w:rFonts w:hint="eastAsia"/>
        </w:rPr>
      </w:pPr>
      <w:r>
        <w:rPr>
          <w:rFonts w:hint="eastAsia"/>
          <w:lang w:eastAsia="zh-CN"/>
        </w:rPr>
        <w:t>③</w:t>
      </w:r>
      <w:r>
        <w:rPr>
          <w:rFonts w:hint="eastAsia"/>
        </w:rPr>
        <w:t>监测方法和监测设备选择的准则</w:t>
      </w:r>
    </w:p>
    <w:p w14:paraId="2FAC1FFC">
      <w:pPr>
        <w:pStyle w:val="21"/>
        <w:bidi w:val="0"/>
        <w:rPr>
          <w:rFonts w:hint="eastAsia"/>
        </w:rPr>
      </w:pPr>
      <w:r>
        <w:rPr>
          <w:rFonts w:hint="eastAsia"/>
        </w:rPr>
        <w:t>一个完善可靠的矿山地压监视系统应包括：及时的符合实际需要的网点布置、正确的监测方法、可靠的监测技术、设备和科学的分析手段，因此，准确选择好监测方法和监测设备是监测工作成功的关键。</w:t>
      </w:r>
    </w:p>
    <w:p w14:paraId="2D0B5E6D">
      <w:pPr>
        <w:pStyle w:val="21"/>
        <w:bidi w:val="0"/>
        <w:rPr>
          <w:rFonts w:hint="eastAsia"/>
        </w:rPr>
      </w:pPr>
      <w:r>
        <w:rPr>
          <w:rFonts w:hint="eastAsia"/>
          <w:lang w:val="en-US" w:eastAsia="zh-CN"/>
        </w:rPr>
        <w:t>1）</w:t>
      </w:r>
      <w:r>
        <w:rPr>
          <w:rFonts w:hint="eastAsia"/>
        </w:rPr>
        <w:t>监测方法的选择</w:t>
      </w:r>
    </w:p>
    <w:p w14:paraId="2516C65A">
      <w:pPr>
        <w:pStyle w:val="21"/>
        <w:bidi w:val="0"/>
        <w:rPr>
          <w:rFonts w:hint="eastAsia"/>
        </w:rPr>
      </w:pPr>
      <w:r>
        <w:rPr>
          <w:rFonts w:hint="eastAsia"/>
        </w:rPr>
        <w:t>根据各种地下工程体应力（压力）产生的机理及表现形式，目前国内外各种地下工程岩体的监测大致分为：原岩应力及应力（压力）变化测量、变形位移测量、外观形态和内部微破坏的监测三种形式。常用的监测方法有：水准测量、沉降测量、围岩体内部位移测量、开挖空间的收敛测量、围岩体内应力测量、围岩体内破坏状况测量、围岩体内破坏过程的声频测量等。各种监测方法有其一定的监测适用范围，在选择监测方法时应依据具体的监测目的和要求、测量的精度要求、地下工程体的环境状况、围岩体的力学特性等进行针对性的选择。</w:t>
      </w:r>
    </w:p>
    <w:p w14:paraId="2F1E1F8F">
      <w:pPr>
        <w:pStyle w:val="21"/>
        <w:bidi w:val="0"/>
        <w:rPr>
          <w:rFonts w:hint="eastAsia"/>
        </w:rPr>
      </w:pPr>
      <w:r>
        <w:rPr>
          <w:rFonts w:hint="eastAsia"/>
          <w:lang w:val="en-US" w:eastAsia="zh-CN"/>
        </w:rPr>
        <w:t>2）</w:t>
      </w:r>
      <w:r>
        <w:rPr>
          <w:rFonts w:hint="eastAsia"/>
        </w:rPr>
        <w:t>监测设备的类别</w:t>
      </w:r>
    </w:p>
    <w:p w14:paraId="35BE766E">
      <w:pPr>
        <w:pStyle w:val="21"/>
        <w:bidi w:val="0"/>
        <w:rPr>
          <w:rFonts w:hint="eastAsia"/>
        </w:rPr>
      </w:pPr>
      <w:r>
        <w:rPr>
          <w:rFonts w:hint="eastAsia"/>
        </w:rPr>
        <w:t>在地下工程体的监测中，根据监测方法的不同使用的监测设备不同，在同一种监测方法中，依据监测设备使用的位置、监测的对象、监测目的的不同使用的仪器设备也不相同，总体来说，根据上述监测分类，各类中常用的监测设备有：</w:t>
      </w:r>
    </w:p>
    <w:p w14:paraId="1A3E57AD">
      <w:pPr>
        <w:pStyle w:val="21"/>
        <w:bidi w:val="0"/>
        <w:rPr>
          <w:rFonts w:hint="eastAsia"/>
        </w:rPr>
      </w:pPr>
      <w:r>
        <w:rPr>
          <w:rFonts w:hint="eastAsia"/>
          <w:lang w:val="en-US" w:eastAsia="zh-CN"/>
        </w:rPr>
        <w:t>1.</w:t>
      </w:r>
      <w:r>
        <w:rPr>
          <w:rFonts w:hint="eastAsia"/>
        </w:rPr>
        <w:t>应力（压力）变化测量设备有：空芯包体应力计(压力计)、压磁应力计、钻孔应力计、压力盒、测力计、应变计、液压计、光弹应力计等；</w:t>
      </w:r>
    </w:p>
    <w:p w14:paraId="6494D046">
      <w:pPr>
        <w:pStyle w:val="21"/>
        <w:bidi w:val="0"/>
        <w:rPr>
          <w:rFonts w:hint="eastAsia"/>
        </w:rPr>
      </w:pPr>
      <w:r>
        <w:rPr>
          <w:rFonts w:hint="eastAsia"/>
          <w:lang w:val="en-US" w:eastAsia="zh-CN"/>
        </w:rPr>
        <w:t>2.</w:t>
      </w:r>
      <w:r>
        <w:rPr>
          <w:rFonts w:hint="eastAsia"/>
        </w:rPr>
        <w:t>内部微破坏的监测设备有：声波仪、声发射仪等。</w:t>
      </w:r>
    </w:p>
    <w:p w14:paraId="2950AEE4">
      <w:pPr>
        <w:pStyle w:val="21"/>
        <w:bidi w:val="0"/>
        <w:rPr>
          <w:rFonts w:hint="eastAsia"/>
          <w:lang w:val="en-US" w:eastAsia="zh-CN"/>
        </w:rPr>
      </w:pPr>
      <w:r>
        <w:rPr>
          <w:rFonts w:hint="eastAsia"/>
          <w:lang w:val="en-US" w:eastAsia="zh-CN"/>
        </w:rPr>
        <w:t>④监测系统构成</w:t>
      </w:r>
    </w:p>
    <w:p w14:paraId="4747BA97">
      <w:pPr>
        <w:pStyle w:val="21"/>
        <w:bidi w:val="0"/>
        <w:rPr>
          <w:rFonts w:hint="eastAsia"/>
          <w:lang w:val="en-US" w:eastAsia="zh-CN"/>
        </w:rPr>
      </w:pPr>
      <w:r>
        <w:rPr>
          <w:rFonts w:hint="eastAsia"/>
          <w:lang w:val="en-US" w:eastAsia="zh-CN"/>
        </w:rPr>
        <w:t>选择国内成熟的矿用地压监测系统。</w:t>
      </w:r>
    </w:p>
    <w:p w14:paraId="359ECB8D">
      <w:pPr>
        <w:pStyle w:val="21"/>
        <w:bidi w:val="0"/>
        <w:rPr>
          <w:rFonts w:hint="eastAsia"/>
          <w:lang w:val="en-US" w:eastAsia="zh-CN"/>
        </w:rPr>
      </w:pPr>
      <w:r>
        <w:rPr>
          <w:rFonts w:hint="eastAsia"/>
          <w:lang w:val="en-US" w:eastAsia="zh-CN"/>
        </w:rPr>
        <w:t>本系统通过对矿井下岩层内部应力变化的监测，巷道顶板和围岩的松动离层量，顶底板间的移近量、移近速度的变化监测等参数，根据监测数据整理、绘制岩体内部应力变化，围岩里层变化，顶底板移近量变化，曲线，预测、预报岩体内支承压力变化规律，分析预测地压未来趋势，为制定预防地压措施和处理方案提供科学依据，可有效地降低地压造成的危害。</w:t>
      </w:r>
    </w:p>
    <w:p w14:paraId="0CB71703">
      <w:pPr>
        <w:pStyle w:val="21"/>
        <w:bidi w:val="0"/>
        <w:rPr>
          <w:rFonts w:hint="eastAsia"/>
          <w:lang w:val="en-US" w:eastAsia="zh-CN"/>
        </w:rPr>
      </w:pPr>
      <w:r>
        <w:rPr>
          <w:rFonts w:hint="eastAsia"/>
          <w:lang w:val="en-US" w:eastAsia="zh-CN"/>
        </w:rPr>
        <w:t>1）产品组成</w:t>
      </w:r>
    </w:p>
    <w:p w14:paraId="232A6D48">
      <w:pPr>
        <w:pStyle w:val="21"/>
        <w:bidi w:val="0"/>
        <w:rPr>
          <w:rFonts w:hint="eastAsia"/>
          <w:lang w:val="en-US" w:eastAsia="zh-CN"/>
        </w:rPr>
      </w:pPr>
      <w:r>
        <w:rPr>
          <w:rFonts w:hint="eastAsia"/>
          <w:lang w:val="en-US" w:eastAsia="zh-CN"/>
        </w:rPr>
        <w:t>该系统由计算机、打印机、UPS电源、矿用信息传输接口、矿用本安型监测主站、矿用本安型无线传输分站、矿用本安型无线顶板离层监测仪、矿用本安型顶底板移近量动态监测仪、矿用本安型可定向钻孔应力计、矿用隔爆兼本安型直流稳压电源、矿用通信电缆组成。</w:t>
      </w:r>
    </w:p>
    <w:p w14:paraId="70897156">
      <w:pPr>
        <w:pStyle w:val="21"/>
        <w:bidi w:val="0"/>
        <w:rPr>
          <w:rFonts w:hint="eastAsia"/>
          <w:lang w:val="en-US" w:eastAsia="zh-CN"/>
        </w:rPr>
      </w:pPr>
      <w:r>
        <w:rPr>
          <w:rFonts w:hint="eastAsia"/>
          <w:lang w:val="en-US" w:eastAsia="zh-CN"/>
        </w:rPr>
        <w:t>2）系统功能</w:t>
      </w:r>
    </w:p>
    <w:p w14:paraId="27EDFE3C">
      <w:pPr>
        <w:pStyle w:val="21"/>
        <w:bidi w:val="0"/>
        <w:rPr>
          <w:rFonts w:hint="eastAsia"/>
          <w:lang w:val="en-US" w:eastAsia="zh-CN"/>
        </w:rPr>
      </w:pPr>
      <w:r>
        <w:rPr>
          <w:rFonts w:hint="eastAsia"/>
          <w:lang w:val="en-US" w:eastAsia="zh-CN"/>
        </w:rPr>
        <w:t>监测矿山井下岩层内部应力变化，并能够现场显示和超限报警；</w:t>
      </w:r>
    </w:p>
    <w:p w14:paraId="5E76133E">
      <w:pPr>
        <w:pStyle w:val="21"/>
        <w:bidi w:val="0"/>
        <w:rPr>
          <w:rFonts w:hint="eastAsia"/>
          <w:lang w:val="en-US" w:eastAsia="zh-CN"/>
        </w:rPr>
      </w:pPr>
      <w:r>
        <w:rPr>
          <w:rFonts w:hint="eastAsia"/>
          <w:lang w:val="en-US" w:eastAsia="zh-CN"/>
        </w:rPr>
        <w:t>监测矿山巷道顶板及围岩离层位移和速度，并能够现场显示和超限报警；</w:t>
      </w:r>
    </w:p>
    <w:p w14:paraId="359701B5">
      <w:pPr>
        <w:pStyle w:val="21"/>
        <w:bidi w:val="0"/>
        <w:rPr>
          <w:rFonts w:hint="eastAsia"/>
          <w:lang w:val="en-US" w:eastAsia="zh-CN"/>
        </w:rPr>
      </w:pPr>
      <w:r>
        <w:rPr>
          <w:rFonts w:hint="eastAsia"/>
          <w:lang w:val="en-US" w:eastAsia="zh-CN"/>
        </w:rPr>
        <w:t>监测矿山巷道顶底板间的移近量、移近速度的变化，并能够现场显示和超限报警；</w:t>
      </w:r>
    </w:p>
    <w:p w14:paraId="2A072499">
      <w:pPr>
        <w:pStyle w:val="21"/>
        <w:bidi w:val="0"/>
        <w:rPr>
          <w:rFonts w:hint="eastAsia"/>
          <w:lang w:val="en-US" w:eastAsia="zh-CN"/>
        </w:rPr>
      </w:pPr>
      <w:r>
        <w:rPr>
          <w:rFonts w:hint="eastAsia"/>
          <w:lang w:val="en-US" w:eastAsia="zh-CN"/>
        </w:rPr>
        <w:t>井上计算机实时动态显示监测参数，出现异常可以实时报警；</w:t>
      </w:r>
    </w:p>
    <w:p w14:paraId="758E63DB">
      <w:pPr>
        <w:pStyle w:val="21"/>
        <w:bidi w:val="0"/>
        <w:rPr>
          <w:rFonts w:hint="eastAsia"/>
          <w:lang w:val="en-US" w:eastAsia="zh-CN"/>
        </w:rPr>
      </w:pPr>
      <w:r>
        <w:rPr>
          <w:rFonts w:hint="eastAsia"/>
          <w:lang w:val="en-US" w:eastAsia="zh-CN"/>
        </w:rPr>
        <w:t>井上计算机自动记录存储监测数据；</w:t>
      </w:r>
    </w:p>
    <w:p w14:paraId="0FC7F4ED">
      <w:pPr>
        <w:pStyle w:val="21"/>
        <w:bidi w:val="0"/>
        <w:rPr>
          <w:rFonts w:hint="eastAsia"/>
          <w:lang w:val="en-US" w:eastAsia="zh-CN"/>
        </w:rPr>
      </w:pPr>
      <w:r>
        <w:rPr>
          <w:rFonts w:hint="eastAsia"/>
          <w:lang w:val="en-US" w:eastAsia="zh-CN"/>
        </w:rPr>
        <w:t>连续监测曲线显示、分析；</w:t>
      </w:r>
    </w:p>
    <w:p w14:paraId="16CAAAE6">
      <w:pPr>
        <w:pStyle w:val="21"/>
        <w:bidi w:val="0"/>
        <w:rPr>
          <w:rFonts w:hint="eastAsia"/>
          <w:lang w:val="en-US" w:eastAsia="zh-CN"/>
        </w:rPr>
      </w:pPr>
      <w:r>
        <w:rPr>
          <w:rFonts w:hint="eastAsia"/>
          <w:lang w:val="en-US" w:eastAsia="zh-CN"/>
        </w:rPr>
        <w:t>历史数据、报警记录等分类查询以及报表输出；</w:t>
      </w:r>
    </w:p>
    <w:p w14:paraId="4462958A">
      <w:pPr>
        <w:pStyle w:val="21"/>
        <w:bidi w:val="0"/>
        <w:rPr>
          <w:rFonts w:hint="eastAsia"/>
          <w:lang w:val="en-US" w:eastAsia="zh-CN"/>
        </w:rPr>
      </w:pPr>
      <w:r>
        <w:rPr>
          <w:rFonts w:hint="eastAsia"/>
          <w:lang w:val="en-US" w:eastAsia="zh-CN"/>
        </w:rPr>
        <w:t>监测数据实时曲线和历史曲线分析、显示、打印；</w:t>
      </w:r>
    </w:p>
    <w:p w14:paraId="3E0AAC11">
      <w:pPr>
        <w:pStyle w:val="21"/>
        <w:bidi w:val="0"/>
        <w:rPr>
          <w:rFonts w:hint="eastAsia"/>
          <w:lang w:val="en-US" w:eastAsia="zh-CN"/>
        </w:rPr>
      </w:pPr>
      <w:r>
        <w:rPr>
          <w:rFonts w:hint="eastAsia"/>
          <w:lang w:val="en-US" w:eastAsia="zh-CN"/>
        </w:rPr>
        <w:t>监测数据综合分析；</w:t>
      </w:r>
    </w:p>
    <w:p w14:paraId="7C70B5BD">
      <w:pPr>
        <w:pStyle w:val="21"/>
        <w:bidi w:val="0"/>
        <w:rPr>
          <w:rFonts w:hint="eastAsia"/>
          <w:lang w:val="en-US" w:eastAsia="zh-CN"/>
        </w:rPr>
      </w:pPr>
      <w:r>
        <w:rPr>
          <w:rFonts w:hint="eastAsia"/>
          <w:lang w:val="en-US" w:eastAsia="zh-CN"/>
        </w:rPr>
        <w:t>网络用户web访问模式在线动态监测；</w:t>
      </w:r>
    </w:p>
    <w:p w14:paraId="1EAE274C">
      <w:pPr>
        <w:pStyle w:val="21"/>
        <w:bidi w:val="0"/>
        <w:rPr>
          <w:rFonts w:hint="eastAsia"/>
          <w:lang w:val="en-US" w:eastAsia="zh-CN"/>
        </w:rPr>
      </w:pPr>
      <w:r>
        <w:rPr>
          <w:rFonts w:hint="eastAsia"/>
          <w:lang w:val="en-US" w:eastAsia="zh-CN"/>
        </w:rPr>
        <w:t>数据库数据信息共享；</w:t>
      </w:r>
    </w:p>
    <w:p w14:paraId="019DB6AB">
      <w:pPr>
        <w:pStyle w:val="21"/>
        <w:bidi w:val="0"/>
        <w:rPr>
          <w:rFonts w:hint="eastAsia"/>
          <w:lang w:val="en-US" w:eastAsia="zh-CN"/>
        </w:rPr>
      </w:pPr>
      <w:r>
        <w:rPr>
          <w:rFonts w:hint="eastAsia"/>
          <w:lang w:val="en-US" w:eastAsia="zh-CN"/>
        </w:rPr>
        <w:t>系统简单故障自诊断，并支持系统故障上传；</w:t>
      </w:r>
    </w:p>
    <w:p w14:paraId="7FCD06BB">
      <w:pPr>
        <w:pStyle w:val="21"/>
        <w:bidi w:val="0"/>
        <w:rPr>
          <w:rFonts w:hint="eastAsia"/>
          <w:lang w:val="en-US" w:eastAsia="zh-CN"/>
        </w:rPr>
      </w:pPr>
      <w:r>
        <w:rPr>
          <w:rFonts w:hint="eastAsia"/>
          <w:lang w:val="en-US" w:eastAsia="zh-CN"/>
        </w:rPr>
        <w:t>监测曲线实时动态显示；</w:t>
      </w:r>
    </w:p>
    <w:p w14:paraId="42610DA5">
      <w:pPr>
        <w:pStyle w:val="21"/>
        <w:bidi w:val="0"/>
        <w:rPr>
          <w:rFonts w:hint="eastAsia"/>
          <w:lang w:val="en-US" w:eastAsia="zh-CN"/>
        </w:rPr>
      </w:pPr>
      <w:r>
        <w:rPr>
          <w:rFonts w:hint="eastAsia"/>
          <w:lang w:val="en-US" w:eastAsia="zh-CN"/>
        </w:rPr>
        <w:t>重要事件的GPRS短信寻呼功能；</w:t>
      </w:r>
    </w:p>
    <w:p w14:paraId="0F73E87F">
      <w:pPr>
        <w:pStyle w:val="21"/>
        <w:bidi w:val="0"/>
        <w:rPr>
          <w:rFonts w:hint="eastAsia"/>
          <w:lang w:val="en-US" w:eastAsia="zh-CN"/>
        </w:rPr>
      </w:pPr>
      <w:r>
        <w:rPr>
          <w:rFonts w:hint="eastAsia"/>
          <w:lang w:val="en-US" w:eastAsia="zh-CN"/>
        </w:rPr>
        <w:t>采用先进灵活的通讯技术手段，支持多种传输介质的数据通讯；</w:t>
      </w:r>
    </w:p>
    <w:p w14:paraId="5AB33A83">
      <w:pPr>
        <w:pStyle w:val="21"/>
        <w:bidi w:val="0"/>
        <w:rPr>
          <w:rFonts w:hint="eastAsia"/>
          <w:lang w:val="en-US" w:eastAsia="zh-CN"/>
        </w:rPr>
      </w:pPr>
      <w:r>
        <w:rPr>
          <w:rFonts w:hint="eastAsia"/>
          <w:lang w:val="en-US" w:eastAsia="zh-CN"/>
        </w:rPr>
        <w:t>网络版监测软件支持多用户端在线监测和信息共享；</w:t>
      </w:r>
    </w:p>
    <w:p w14:paraId="0B151165">
      <w:pPr>
        <w:pStyle w:val="21"/>
        <w:bidi w:val="0"/>
        <w:rPr>
          <w:rFonts w:hint="eastAsia"/>
          <w:lang w:val="en-US" w:eastAsia="zh-CN"/>
        </w:rPr>
      </w:pPr>
      <w:r>
        <w:rPr>
          <w:rFonts w:hint="eastAsia"/>
          <w:lang w:val="en-US" w:eastAsia="zh-CN"/>
        </w:rPr>
        <w:t>支持无人值守和多种数据备份功能；</w:t>
      </w:r>
    </w:p>
    <w:p w14:paraId="5AD3EE58">
      <w:pPr>
        <w:pStyle w:val="21"/>
        <w:bidi w:val="0"/>
        <w:rPr>
          <w:rFonts w:hint="eastAsia"/>
          <w:lang w:val="en-US" w:eastAsia="zh-CN"/>
        </w:rPr>
      </w:pPr>
      <w:r>
        <w:rPr>
          <w:rFonts w:hint="eastAsia"/>
          <w:lang w:val="en-US" w:eastAsia="zh-CN"/>
        </w:rPr>
        <w:t>支持主站操作查询各分站实时监测数据，减小了工作人员的工作强度。</w:t>
      </w:r>
    </w:p>
    <w:p w14:paraId="37D2E0D9">
      <w:pPr>
        <w:pStyle w:val="21"/>
        <w:bidi w:val="0"/>
        <w:rPr>
          <w:rFonts w:hint="default"/>
          <w:lang w:val="en-US" w:eastAsia="zh-CN"/>
        </w:rPr>
      </w:pPr>
      <w:r>
        <w:rPr>
          <w:rFonts w:hint="eastAsia"/>
          <w:lang w:val="en-US" w:eastAsia="zh-CN"/>
        </w:rPr>
        <w:t>系统主机应双机备份，并具有手动切换功能或自动切换功能。从工作主机故障到备用主机投入正常工作时间应不大于5min。</w:t>
      </w:r>
    </w:p>
    <w:p w14:paraId="334AC142">
      <w:pPr>
        <w:pStyle w:val="21"/>
        <w:keepNext w:val="0"/>
        <w:keepLines w:val="0"/>
        <w:pageBreakBefore w:val="0"/>
        <w:widowControl/>
        <w:numPr>
          <w:ilvl w:val="0"/>
          <w:numId w:val="21"/>
        </w:numPr>
        <w:kinsoku/>
        <w:wordWrap/>
        <w:overflowPunct/>
        <w:topLinePunct w:val="0"/>
        <w:autoSpaceDE/>
        <w:autoSpaceDN/>
        <w:bidi w:val="0"/>
        <w:adjustRightInd w:val="0"/>
        <w:snapToGrid w:val="0"/>
        <w:spacing w:before="157" w:beforeLines="50"/>
        <w:textAlignment w:val="auto"/>
        <w:rPr>
          <w:rFonts w:hint="default"/>
          <w:lang w:val="en-US" w:eastAsia="zh-CN"/>
        </w:rPr>
      </w:pPr>
      <w:r>
        <w:rPr>
          <w:rFonts w:hint="eastAsia"/>
          <w:lang w:val="en-US" w:eastAsia="zh-CN"/>
        </w:rPr>
        <w:t>人员定位系统</w:t>
      </w:r>
    </w:p>
    <w:p w14:paraId="0D869DB5">
      <w:pPr>
        <w:pStyle w:val="21"/>
        <w:bidi w:val="0"/>
        <w:rPr>
          <w:rFonts w:hint="default"/>
          <w:lang w:val="en-US" w:eastAsia="zh-CN"/>
        </w:rPr>
      </w:pPr>
      <w:r>
        <w:rPr>
          <w:rFonts w:hint="default"/>
          <w:lang w:val="en-US" w:eastAsia="zh-CN"/>
        </w:rPr>
        <w:t>本项目全矿最大总下井作业人员数135人，最大单班下井作业人数51人。根据《国家矿山安全监察局关于印发&lt;关于加强非煤矿山安全生产工作的指导意见&gt;的通知》（矿安〔2022〕4号）文件要求，本项目新建人员定位系统。</w:t>
      </w:r>
    </w:p>
    <w:p w14:paraId="31F3F31E">
      <w:pPr>
        <w:pStyle w:val="21"/>
        <w:bidi w:val="0"/>
        <w:rPr>
          <w:rFonts w:hint="default"/>
          <w:lang w:val="en-US" w:eastAsia="zh-CN"/>
        </w:rPr>
      </w:pPr>
      <w:r>
        <w:rPr>
          <w:rFonts w:hint="default"/>
          <w:lang w:val="en-US" w:eastAsia="zh-CN"/>
        </w:rPr>
        <w:t>人员定位运用矿井人员管理系统，该系统采用最先进的射频技术，结构先进、稳定可靠，便于安装与维护。且具备容量大、读卡速度快、识别卡携带方便、软件功能齐全、查询统计、考勤管理、人员管理等特点。</w:t>
      </w:r>
    </w:p>
    <w:p w14:paraId="1CAEB048">
      <w:pPr>
        <w:pStyle w:val="21"/>
        <w:bidi w:val="0"/>
        <w:rPr>
          <w:rFonts w:hint="default"/>
        </w:rPr>
      </w:pPr>
      <w:r>
        <w:rPr>
          <w:rFonts w:hint="eastAsia"/>
          <w:lang w:val="en-US" w:eastAsia="zh-CN"/>
        </w:rPr>
        <w:t>1、</w:t>
      </w:r>
      <w:r>
        <w:rPr>
          <w:rFonts w:hint="default"/>
          <w:lang w:val="en-US" w:eastAsia="zh-CN"/>
        </w:rPr>
        <w:t>人员定位系统的构成</w:t>
      </w:r>
    </w:p>
    <w:p w14:paraId="194FBE5E">
      <w:pPr>
        <w:pStyle w:val="21"/>
        <w:bidi w:val="0"/>
        <w:rPr>
          <w:rFonts w:hint="eastAsia"/>
          <w:lang w:val="en-US" w:eastAsia="zh-CN"/>
        </w:rPr>
      </w:pPr>
      <w:r>
        <w:rPr>
          <w:rFonts w:hint="eastAsia"/>
          <w:lang w:val="en-US" w:eastAsia="zh-CN"/>
        </w:rPr>
        <w:t>系统主要由如下部分组成：安装于井下作业区的重要设备设施、监控计算机、系统软件、人员定位传输基站、人员定位分站、无线定位发射器等。</w:t>
      </w:r>
    </w:p>
    <w:p w14:paraId="1D0347D6">
      <w:pPr>
        <w:pStyle w:val="21"/>
        <w:bidi w:val="0"/>
        <w:rPr>
          <w:rFonts w:hint="eastAsia"/>
          <w:lang w:val="en-US" w:eastAsia="zh-CN"/>
        </w:rPr>
      </w:pPr>
      <w:r>
        <w:rPr>
          <w:rFonts w:hint="eastAsia"/>
          <w:lang w:val="en-US" w:eastAsia="zh-CN"/>
        </w:rPr>
        <w:t>①监控主机：负责整个系统设备及人员检测数据的管理、分站实时数据通讯、统计存储、屏幕显示、查询打印、画面编辑、网络通讯等任务；</w:t>
      </w:r>
    </w:p>
    <w:p w14:paraId="324B3ED7">
      <w:pPr>
        <w:pStyle w:val="21"/>
        <w:bidi w:val="0"/>
        <w:rPr>
          <w:rFonts w:hint="eastAsia"/>
          <w:lang w:val="en-US" w:eastAsia="zh-CN"/>
        </w:rPr>
      </w:pPr>
      <w:r>
        <w:rPr>
          <w:rFonts w:hint="eastAsia"/>
          <w:lang w:val="en-US" w:eastAsia="zh-CN"/>
        </w:rPr>
        <w:t>②系统软件：完成人员信息编码采集、识别、加工、显示、存储、查询和报表打印；</w:t>
      </w:r>
    </w:p>
    <w:p w14:paraId="43E6B104">
      <w:pPr>
        <w:pStyle w:val="21"/>
        <w:bidi w:val="0"/>
        <w:rPr>
          <w:rFonts w:hint="eastAsia"/>
          <w:lang w:val="en-US" w:eastAsia="zh-CN"/>
        </w:rPr>
      </w:pPr>
      <w:bookmarkStart w:id="22" w:name="_Toc628"/>
      <w:r>
        <w:rPr>
          <w:rFonts w:hint="eastAsia"/>
          <w:lang w:val="en-US" w:eastAsia="zh-CN"/>
        </w:rPr>
        <w:t>③网络交换机：用于人员定位分站与监控主机之间的通讯；</w:t>
      </w:r>
      <w:bookmarkEnd w:id="22"/>
    </w:p>
    <w:p w14:paraId="751C1D32">
      <w:pPr>
        <w:pStyle w:val="21"/>
        <w:bidi w:val="0"/>
        <w:rPr>
          <w:rFonts w:hint="eastAsia"/>
          <w:lang w:val="en-US" w:eastAsia="zh-CN"/>
        </w:rPr>
      </w:pPr>
      <w:r>
        <w:rPr>
          <w:rFonts w:hint="eastAsia"/>
          <w:lang w:val="en-US" w:eastAsia="zh-CN"/>
        </w:rPr>
        <w:t>④人员定位传输分站：通过与无线编码接收器的有线通讯，实时获取人员编码数据（可本地显示）；</w:t>
      </w:r>
    </w:p>
    <w:p w14:paraId="3B9B24E4">
      <w:pPr>
        <w:pStyle w:val="21"/>
        <w:bidi w:val="0"/>
        <w:rPr>
          <w:rFonts w:hint="eastAsia"/>
          <w:lang w:val="en-US" w:eastAsia="zh-CN"/>
        </w:rPr>
      </w:pPr>
      <w:bookmarkStart w:id="23" w:name="_Toc5178"/>
      <w:r>
        <w:rPr>
          <w:rFonts w:hint="eastAsia"/>
          <w:lang w:val="en-US" w:eastAsia="zh-CN"/>
        </w:rPr>
        <w:t>⑤人员定位分站（读卡器）：接收识别卡发出的无线定位信号；</w:t>
      </w:r>
      <w:bookmarkEnd w:id="23"/>
    </w:p>
    <w:p w14:paraId="6B48AEF2">
      <w:pPr>
        <w:pStyle w:val="21"/>
        <w:bidi w:val="0"/>
        <w:rPr>
          <w:rFonts w:hint="eastAsia"/>
          <w:lang w:val="en-US" w:eastAsia="zh-CN"/>
        </w:rPr>
      </w:pPr>
      <w:r>
        <w:rPr>
          <w:rFonts w:hint="eastAsia"/>
          <w:lang w:val="en-US" w:eastAsia="zh-CN"/>
        </w:rPr>
        <w:t>⑥无线定位发射器（识别卡）：承载唯一的人员编码信息，当被无线信号激活后，将编码数据发送给接收器。</w:t>
      </w:r>
    </w:p>
    <w:p w14:paraId="7753E698">
      <w:pPr>
        <w:pStyle w:val="21"/>
        <w:bidi w:val="0"/>
        <w:rPr>
          <w:rFonts w:hint="eastAsia"/>
          <w:lang w:val="en-US" w:eastAsia="zh-CN"/>
        </w:rPr>
      </w:pPr>
      <w:r>
        <w:rPr>
          <w:rFonts w:hint="eastAsia"/>
          <w:lang w:val="en-US" w:eastAsia="zh-CN"/>
        </w:rPr>
        <w:t>人员定位系统应满足监测及管理功能，主机应安装在地面，并双机备份，且应在矿山生产调度室设置显示终端。人员出入井口和重点区域进出口等地点应安装读卡器。</w:t>
      </w:r>
    </w:p>
    <w:p w14:paraId="40C6A86C">
      <w:pPr>
        <w:pStyle w:val="21"/>
        <w:bidi w:val="0"/>
        <w:rPr>
          <w:rFonts w:hint="default"/>
        </w:rPr>
      </w:pPr>
      <w:r>
        <w:rPr>
          <w:rFonts w:hint="eastAsia"/>
          <w:lang w:val="en-US" w:eastAsia="zh-CN"/>
        </w:rPr>
        <w:t>读卡器应安装在便于读卡、观察、调试、检验，且围岩稳固、支护良好、无淋水、无杂物、不容易受到损害的位置。主机及读卡器的备用电源应能保证连续工作2h以上。识别卡应专人专卡，并配备不少于经常下井人员总数10%的备用卡，根据劳动组织确定识别卡数量150张。</w:t>
      </w:r>
    </w:p>
    <w:p w14:paraId="726D55AE">
      <w:pPr>
        <w:pStyle w:val="21"/>
        <w:bidi w:val="0"/>
        <w:rPr>
          <w:rFonts w:hint="default"/>
        </w:rPr>
      </w:pPr>
      <w:r>
        <w:rPr>
          <w:rFonts w:hint="eastAsia"/>
          <w:lang w:val="en-US" w:eastAsia="zh-CN"/>
        </w:rPr>
        <w:t>2、</w:t>
      </w:r>
      <w:r>
        <w:rPr>
          <w:rFonts w:hint="default"/>
          <w:lang w:val="en-US" w:eastAsia="zh-CN"/>
        </w:rPr>
        <w:t>分站（读卡器）设置</w:t>
      </w:r>
    </w:p>
    <w:p w14:paraId="12013016">
      <w:pPr>
        <w:pStyle w:val="21"/>
        <w:bidi w:val="0"/>
        <w:rPr>
          <w:rFonts w:hint="eastAsia"/>
          <w:lang w:val="en-US" w:eastAsia="zh-CN"/>
        </w:rPr>
      </w:pPr>
      <w:bookmarkStart w:id="24" w:name="_Toc14369"/>
      <w:r>
        <w:rPr>
          <w:rFonts w:hint="eastAsia"/>
          <w:lang w:val="en-US" w:eastAsia="zh-CN"/>
        </w:rPr>
        <w:t>①矿井人员定位分站（读卡器）具体设置位置：</w:t>
      </w:r>
      <w:bookmarkEnd w:id="24"/>
    </w:p>
    <w:p w14:paraId="6CA6B8B6">
      <w:pPr>
        <w:pStyle w:val="21"/>
        <w:bidi w:val="0"/>
        <w:rPr>
          <w:rFonts w:hint="eastAsia"/>
          <w:lang w:val="en-US" w:eastAsia="zh-CN"/>
        </w:rPr>
      </w:pPr>
      <w:r>
        <w:rPr>
          <w:rFonts w:hint="eastAsia"/>
          <w:lang w:val="en-US" w:eastAsia="zh-CN"/>
        </w:rPr>
        <w:t>有人员出入的井口、重点区域出入口、限制区域等设置读卡分站。</w:t>
      </w:r>
    </w:p>
    <w:p w14:paraId="54FBAFC8">
      <w:pPr>
        <w:pStyle w:val="21"/>
        <w:bidi w:val="0"/>
        <w:rPr>
          <w:rFonts w:hint="eastAsia"/>
          <w:lang w:val="en-US" w:eastAsia="zh-CN"/>
        </w:rPr>
      </w:pPr>
      <w:bookmarkStart w:id="25" w:name="_Toc11691"/>
      <w:r>
        <w:rPr>
          <w:rFonts w:hint="eastAsia"/>
          <w:lang w:val="en-US" w:eastAsia="zh-CN"/>
        </w:rPr>
        <w:t>②人员定位分站的数量</w:t>
      </w:r>
      <w:bookmarkEnd w:id="25"/>
    </w:p>
    <w:p w14:paraId="5A82BCE7">
      <w:pPr>
        <w:pStyle w:val="21"/>
        <w:bidi w:val="0"/>
        <w:rPr>
          <w:rFonts w:hint="default"/>
        </w:rPr>
      </w:pPr>
      <w:r>
        <w:rPr>
          <w:rFonts w:hint="eastAsia"/>
          <w:lang w:val="en-US" w:eastAsia="zh-CN"/>
        </w:rPr>
        <w:t>设计设置18台，另备用1台，共计19台人员定位分站。人员定位分站可重复利用上部开采完毕中段设备。</w:t>
      </w:r>
    </w:p>
    <w:p w14:paraId="7B49298D">
      <w:pPr>
        <w:pStyle w:val="21"/>
        <w:bidi w:val="0"/>
        <w:rPr>
          <w:rFonts w:hint="eastAsia" w:eastAsia="宋体"/>
          <w:lang w:val="en-US" w:eastAsia="zh-CN"/>
        </w:rPr>
      </w:pPr>
      <w:r>
        <w:rPr>
          <w:rFonts w:hint="default"/>
        </w:rPr>
        <w:t>具体安装位置见</w:t>
      </w:r>
      <w:r>
        <w:rPr>
          <w:rFonts w:hint="eastAsia"/>
          <w:lang w:val="en-US" w:eastAsia="zh-CN"/>
        </w:rPr>
        <w:t>下表。</w:t>
      </w:r>
    </w:p>
    <w:p w14:paraId="37EFC422">
      <w:pPr>
        <w:pStyle w:val="30"/>
        <w:bidi w:val="0"/>
        <w:rPr>
          <w:rFonts w:hint="default"/>
          <w:lang w:val="en-US" w:eastAsia="zh-CN"/>
        </w:rPr>
      </w:pPr>
      <w:r>
        <w:rPr>
          <w:rFonts w:hint="eastAsia"/>
          <w:lang w:val="en-US" w:eastAsia="zh-CN"/>
        </w:rPr>
        <w:t xml:space="preserve">表2.4-7  </w:t>
      </w:r>
      <w:r>
        <w:rPr>
          <w:rFonts w:hint="default"/>
        </w:rPr>
        <w:t>人员定位分站（读卡器）安装位置</w:t>
      </w:r>
    </w:p>
    <w:tbl>
      <w:tblPr>
        <w:tblStyle w:val="25"/>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89"/>
        <w:gridCol w:w="5122"/>
        <w:gridCol w:w="1886"/>
      </w:tblGrid>
      <w:tr w14:paraId="64FF6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71" w:type="pct"/>
            <w:noWrap w:val="0"/>
            <w:vAlign w:val="center"/>
          </w:tcPr>
          <w:p w14:paraId="46152AFE">
            <w:pPr>
              <w:pStyle w:val="31"/>
              <w:widowControl w:val="0"/>
              <w:bidi w:val="0"/>
              <w:rPr>
                <w:rFonts w:hint="eastAsia"/>
                <w:lang w:val="en-US" w:eastAsia="zh-CN"/>
              </w:rPr>
            </w:pPr>
            <w:r>
              <w:rPr>
                <w:rFonts w:hint="eastAsia"/>
                <w:lang w:val="en-US" w:eastAsia="zh-CN"/>
              </w:rPr>
              <w:t>位置</w:t>
            </w:r>
          </w:p>
        </w:tc>
        <w:tc>
          <w:tcPr>
            <w:tcW w:w="2725" w:type="pct"/>
            <w:noWrap w:val="0"/>
            <w:vAlign w:val="center"/>
          </w:tcPr>
          <w:p w14:paraId="0420EF7F">
            <w:pPr>
              <w:pStyle w:val="31"/>
              <w:widowControl w:val="0"/>
              <w:bidi w:val="0"/>
              <w:rPr>
                <w:rFonts w:hint="eastAsia"/>
                <w:lang w:val="en-US" w:eastAsia="zh-CN"/>
              </w:rPr>
            </w:pPr>
            <w:r>
              <w:rPr>
                <w:rFonts w:hint="eastAsia"/>
                <w:lang w:val="en-US" w:eastAsia="zh-CN"/>
              </w:rPr>
              <w:t>安装地点</w:t>
            </w:r>
          </w:p>
        </w:tc>
        <w:tc>
          <w:tcPr>
            <w:tcW w:w="1003" w:type="pct"/>
            <w:noWrap w:val="0"/>
            <w:vAlign w:val="center"/>
          </w:tcPr>
          <w:p w14:paraId="25B99EB4">
            <w:pPr>
              <w:pStyle w:val="31"/>
              <w:widowControl w:val="0"/>
              <w:bidi w:val="0"/>
              <w:rPr>
                <w:rFonts w:hint="eastAsia"/>
                <w:lang w:val="en-US" w:eastAsia="zh-CN"/>
              </w:rPr>
            </w:pPr>
            <w:r>
              <w:rPr>
                <w:rFonts w:hint="eastAsia"/>
                <w:lang w:val="en-US" w:eastAsia="zh-CN"/>
              </w:rPr>
              <w:t>安装数量</w:t>
            </w:r>
          </w:p>
        </w:tc>
      </w:tr>
      <w:tr w14:paraId="5C595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71" w:type="pct"/>
            <w:vMerge w:val="restart"/>
            <w:noWrap w:val="0"/>
            <w:vAlign w:val="center"/>
          </w:tcPr>
          <w:p w14:paraId="59A76CD3">
            <w:pPr>
              <w:pStyle w:val="31"/>
              <w:widowControl w:val="0"/>
              <w:bidi w:val="0"/>
              <w:rPr>
                <w:rFonts w:hint="eastAsia"/>
                <w:lang w:val="en-US" w:eastAsia="zh-CN"/>
              </w:rPr>
            </w:pPr>
            <w:r>
              <w:rPr>
                <w:rFonts w:hint="eastAsia"/>
                <w:lang w:val="en-US" w:eastAsia="zh-CN"/>
              </w:rPr>
              <w:t>地表</w:t>
            </w:r>
          </w:p>
        </w:tc>
        <w:tc>
          <w:tcPr>
            <w:tcW w:w="2725" w:type="pct"/>
            <w:noWrap w:val="0"/>
            <w:vAlign w:val="center"/>
          </w:tcPr>
          <w:p w14:paraId="54138945">
            <w:pPr>
              <w:pStyle w:val="31"/>
              <w:widowControl w:val="0"/>
              <w:bidi w:val="0"/>
              <w:rPr>
                <w:rFonts w:hint="eastAsia"/>
                <w:lang w:val="en-US" w:eastAsia="zh-CN"/>
              </w:rPr>
            </w:pPr>
            <w:r>
              <w:rPr>
                <w:rFonts w:hint="eastAsia"/>
                <w:lang w:val="en-US" w:eastAsia="zh-CN"/>
              </w:rPr>
              <w:t>斜坡道硐口</w:t>
            </w:r>
          </w:p>
        </w:tc>
        <w:tc>
          <w:tcPr>
            <w:tcW w:w="1003" w:type="pct"/>
            <w:noWrap w:val="0"/>
            <w:vAlign w:val="center"/>
          </w:tcPr>
          <w:p w14:paraId="0D8DD56E">
            <w:pPr>
              <w:pStyle w:val="31"/>
              <w:widowControl w:val="0"/>
              <w:bidi w:val="0"/>
              <w:rPr>
                <w:rFonts w:hint="eastAsia"/>
                <w:lang w:val="en-US" w:eastAsia="zh-CN"/>
              </w:rPr>
            </w:pPr>
            <w:r>
              <w:rPr>
                <w:rFonts w:hint="eastAsia"/>
                <w:lang w:val="en-US" w:eastAsia="zh-CN"/>
              </w:rPr>
              <w:t>1</w:t>
            </w:r>
          </w:p>
        </w:tc>
      </w:tr>
      <w:tr w14:paraId="1E42A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71" w:type="pct"/>
            <w:vMerge w:val="continue"/>
            <w:noWrap w:val="0"/>
            <w:vAlign w:val="center"/>
          </w:tcPr>
          <w:p w14:paraId="6F41D8FD">
            <w:pPr>
              <w:pStyle w:val="31"/>
              <w:widowControl w:val="0"/>
              <w:bidi w:val="0"/>
              <w:rPr>
                <w:rFonts w:hint="eastAsia"/>
                <w:lang w:val="en-US" w:eastAsia="zh-CN"/>
              </w:rPr>
            </w:pPr>
          </w:p>
        </w:tc>
        <w:tc>
          <w:tcPr>
            <w:tcW w:w="2725" w:type="pct"/>
            <w:shd w:val="clear" w:color="auto" w:fill="auto"/>
            <w:noWrap w:val="0"/>
            <w:vAlign w:val="center"/>
          </w:tcPr>
          <w:p w14:paraId="09B93E1C">
            <w:pPr>
              <w:pStyle w:val="31"/>
              <w:widowControl w:val="0"/>
              <w:bidi w:val="0"/>
              <w:rPr>
                <w:rFonts w:hint="eastAsia"/>
                <w:lang w:val="en-US" w:eastAsia="zh-CN"/>
              </w:rPr>
            </w:pPr>
            <w:r>
              <w:rPr>
                <w:rFonts w:hint="eastAsia"/>
                <w:lang w:val="en-US" w:eastAsia="zh-CN"/>
              </w:rPr>
              <w:t>管缆井口</w:t>
            </w:r>
          </w:p>
        </w:tc>
        <w:tc>
          <w:tcPr>
            <w:tcW w:w="1003" w:type="pct"/>
            <w:shd w:val="clear" w:color="auto" w:fill="auto"/>
            <w:noWrap w:val="0"/>
            <w:vAlign w:val="center"/>
          </w:tcPr>
          <w:p w14:paraId="3F7B07C3">
            <w:pPr>
              <w:pStyle w:val="31"/>
              <w:widowControl w:val="0"/>
              <w:bidi w:val="0"/>
              <w:rPr>
                <w:rFonts w:hint="default"/>
                <w:lang w:val="en-US" w:eastAsia="zh-CN"/>
              </w:rPr>
            </w:pPr>
            <w:r>
              <w:rPr>
                <w:rFonts w:hint="eastAsia"/>
                <w:lang w:val="en-US" w:eastAsia="zh-CN"/>
              </w:rPr>
              <w:t>1</w:t>
            </w:r>
          </w:p>
        </w:tc>
      </w:tr>
      <w:tr w14:paraId="0C45D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71" w:type="pct"/>
            <w:vMerge w:val="continue"/>
            <w:noWrap w:val="0"/>
            <w:vAlign w:val="center"/>
          </w:tcPr>
          <w:p w14:paraId="7ACF1760">
            <w:pPr>
              <w:pStyle w:val="31"/>
              <w:widowControl w:val="0"/>
              <w:bidi w:val="0"/>
              <w:rPr>
                <w:rFonts w:hint="eastAsia"/>
                <w:lang w:val="en-US" w:eastAsia="zh-CN"/>
              </w:rPr>
            </w:pPr>
          </w:p>
        </w:tc>
        <w:tc>
          <w:tcPr>
            <w:tcW w:w="2725" w:type="pct"/>
            <w:shd w:val="clear" w:color="auto" w:fill="auto"/>
            <w:noWrap w:val="0"/>
            <w:vAlign w:val="center"/>
          </w:tcPr>
          <w:p w14:paraId="596F9CFA">
            <w:pPr>
              <w:pStyle w:val="31"/>
              <w:widowControl w:val="0"/>
              <w:bidi w:val="0"/>
              <w:rPr>
                <w:rFonts w:hint="default"/>
                <w:lang w:val="en-US" w:eastAsia="zh-CN"/>
              </w:rPr>
            </w:pPr>
            <w:r>
              <w:rPr>
                <w:rFonts w:hint="eastAsia"/>
                <w:lang w:val="en-US" w:eastAsia="zh-CN"/>
              </w:rPr>
              <w:t>回风井井口</w:t>
            </w:r>
          </w:p>
        </w:tc>
        <w:tc>
          <w:tcPr>
            <w:tcW w:w="1003" w:type="pct"/>
            <w:shd w:val="clear" w:color="auto" w:fill="auto"/>
            <w:noWrap w:val="0"/>
            <w:vAlign w:val="center"/>
          </w:tcPr>
          <w:p w14:paraId="1DC41FE7">
            <w:pPr>
              <w:pStyle w:val="31"/>
              <w:widowControl w:val="0"/>
              <w:bidi w:val="0"/>
              <w:rPr>
                <w:rFonts w:hint="default"/>
                <w:lang w:val="en-US" w:eastAsia="zh-CN"/>
              </w:rPr>
            </w:pPr>
            <w:r>
              <w:rPr>
                <w:rFonts w:hint="eastAsia"/>
                <w:lang w:val="en-US" w:eastAsia="zh-CN"/>
              </w:rPr>
              <w:t>1</w:t>
            </w:r>
          </w:p>
        </w:tc>
      </w:tr>
      <w:tr w14:paraId="0E8023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71" w:type="pct"/>
            <w:noWrap w:val="0"/>
            <w:vAlign w:val="center"/>
          </w:tcPr>
          <w:p w14:paraId="4DECB301">
            <w:pPr>
              <w:pStyle w:val="31"/>
              <w:widowControl w:val="0"/>
              <w:bidi w:val="0"/>
              <w:rPr>
                <w:rFonts w:hint="default"/>
                <w:lang w:val="en-US" w:eastAsia="zh-CN"/>
              </w:rPr>
            </w:pPr>
            <w:r>
              <w:rPr>
                <w:rFonts w:hint="eastAsia"/>
                <w:lang w:val="en-US" w:eastAsia="zh-CN"/>
              </w:rPr>
              <w:t>回风中段</w:t>
            </w:r>
          </w:p>
        </w:tc>
        <w:tc>
          <w:tcPr>
            <w:tcW w:w="2725" w:type="pct"/>
            <w:noWrap w:val="0"/>
            <w:vAlign w:val="center"/>
          </w:tcPr>
          <w:p w14:paraId="55B6FB8F">
            <w:pPr>
              <w:pStyle w:val="31"/>
              <w:widowControl w:val="0"/>
              <w:bidi w:val="0"/>
              <w:rPr>
                <w:rFonts w:hint="eastAsia"/>
                <w:lang w:val="en-US" w:eastAsia="zh-CN"/>
              </w:rPr>
            </w:pPr>
            <w:r>
              <w:rPr>
                <w:rFonts w:hint="eastAsia"/>
                <w:lang w:val="en-US" w:eastAsia="zh-CN"/>
              </w:rPr>
              <w:t>斜坡道石门、回风侧</w:t>
            </w:r>
          </w:p>
        </w:tc>
        <w:tc>
          <w:tcPr>
            <w:tcW w:w="1003" w:type="pct"/>
            <w:noWrap w:val="0"/>
            <w:vAlign w:val="center"/>
          </w:tcPr>
          <w:p w14:paraId="45E532F5">
            <w:pPr>
              <w:pStyle w:val="31"/>
              <w:widowControl w:val="0"/>
              <w:bidi w:val="0"/>
              <w:rPr>
                <w:rFonts w:hint="default"/>
                <w:lang w:val="en-US" w:eastAsia="zh-CN"/>
              </w:rPr>
            </w:pPr>
            <w:r>
              <w:rPr>
                <w:rFonts w:hint="eastAsia"/>
                <w:lang w:val="en-US" w:eastAsia="zh-CN"/>
              </w:rPr>
              <w:t>2</w:t>
            </w:r>
          </w:p>
        </w:tc>
      </w:tr>
      <w:tr w14:paraId="3716F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71" w:type="pct"/>
            <w:noWrap w:val="0"/>
            <w:vAlign w:val="center"/>
          </w:tcPr>
          <w:p w14:paraId="1889EFDF">
            <w:pPr>
              <w:pStyle w:val="31"/>
              <w:widowControl w:val="0"/>
              <w:bidi w:val="0"/>
              <w:rPr>
                <w:rFonts w:hint="eastAsia"/>
                <w:lang w:val="en-US" w:eastAsia="zh-CN"/>
              </w:rPr>
            </w:pPr>
            <w:r>
              <w:rPr>
                <w:rFonts w:hint="eastAsia"/>
                <w:lang w:val="en-US" w:eastAsia="zh-CN"/>
              </w:rPr>
              <w:t>生产中段</w:t>
            </w:r>
          </w:p>
        </w:tc>
        <w:tc>
          <w:tcPr>
            <w:tcW w:w="2725" w:type="pct"/>
            <w:noWrap w:val="0"/>
            <w:vAlign w:val="center"/>
          </w:tcPr>
          <w:p w14:paraId="09767BF0">
            <w:pPr>
              <w:pStyle w:val="31"/>
              <w:widowControl w:val="0"/>
              <w:bidi w:val="0"/>
              <w:rPr>
                <w:rFonts w:hint="default"/>
                <w:lang w:val="en-US" w:eastAsia="zh-CN"/>
              </w:rPr>
            </w:pPr>
            <w:r>
              <w:rPr>
                <w:rFonts w:hint="eastAsia"/>
                <w:lang w:val="en-US" w:eastAsia="zh-CN"/>
              </w:rPr>
              <w:t>斜坡道石门、管缆井石门、人员作业集中地点、回风侧</w:t>
            </w:r>
          </w:p>
        </w:tc>
        <w:tc>
          <w:tcPr>
            <w:tcW w:w="1003" w:type="pct"/>
            <w:noWrap w:val="0"/>
            <w:vAlign w:val="center"/>
          </w:tcPr>
          <w:p w14:paraId="4D4A60C2">
            <w:pPr>
              <w:pStyle w:val="31"/>
              <w:widowControl w:val="0"/>
              <w:bidi w:val="0"/>
              <w:rPr>
                <w:rFonts w:hint="default"/>
                <w:lang w:val="en-US" w:eastAsia="zh-CN"/>
              </w:rPr>
            </w:pPr>
            <w:r>
              <w:rPr>
                <w:rFonts w:hint="eastAsia"/>
                <w:lang w:val="en-US" w:eastAsia="zh-CN"/>
              </w:rPr>
              <w:t>9</w:t>
            </w:r>
          </w:p>
        </w:tc>
      </w:tr>
      <w:tr w14:paraId="5ADA7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71" w:type="pct"/>
            <w:shd w:val="clear" w:color="auto" w:fill="auto"/>
            <w:noWrap w:val="0"/>
            <w:vAlign w:val="center"/>
          </w:tcPr>
          <w:p w14:paraId="15A1BA44">
            <w:pPr>
              <w:pStyle w:val="31"/>
              <w:widowControl w:val="0"/>
              <w:bidi w:val="0"/>
              <w:rPr>
                <w:rFonts w:hint="eastAsia"/>
                <w:lang w:val="en-US" w:eastAsia="zh-CN"/>
              </w:rPr>
            </w:pPr>
            <w:r>
              <w:rPr>
                <w:rFonts w:hint="eastAsia"/>
                <w:lang w:val="en-US" w:eastAsia="zh-CN"/>
              </w:rPr>
              <w:t>0m中段</w:t>
            </w:r>
          </w:p>
        </w:tc>
        <w:tc>
          <w:tcPr>
            <w:tcW w:w="2725" w:type="pct"/>
            <w:shd w:val="clear" w:color="auto" w:fill="auto"/>
            <w:noWrap w:val="0"/>
            <w:vAlign w:val="center"/>
          </w:tcPr>
          <w:p w14:paraId="192D5173">
            <w:pPr>
              <w:pStyle w:val="31"/>
              <w:widowControl w:val="0"/>
              <w:bidi w:val="0"/>
              <w:rPr>
                <w:rFonts w:hint="default"/>
                <w:lang w:val="en-US" w:eastAsia="zh-CN"/>
              </w:rPr>
            </w:pPr>
            <w:r>
              <w:rPr>
                <w:rFonts w:hint="eastAsia"/>
                <w:lang w:val="en-US" w:eastAsia="zh-CN"/>
              </w:rPr>
              <w:t>水泵站、中央变电硐室</w:t>
            </w:r>
          </w:p>
        </w:tc>
        <w:tc>
          <w:tcPr>
            <w:tcW w:w="1003" w:type="pct"/>
            <w:shd w:val="clear" w:color="auto" w:fill="auto"/>
            <w:noWrap w:val="0"/>
            <w:vAlign w:val="center"/>
          </w:tcPr>
          <w:p w14:paraId="6F3E32AC">
            <w:pPr>
              <w:pStyle w:val="31"/>
              <w:widowControl w:val="0"/>
              <w:bidi w:val="0"/>
              <w:rPr>
                <w:rFonts w:hint="default"/>
                <w:lang w:val="en-US" w:eastAsia="zh-CN"/>
              </w:rPr>
            </w:pPr>
            <w:r>
              <w:rPr>
                <w:rFonts w:hint="eastAsia"/>
                <w:lang w:val="en-US" w:eastAsia="zh-CN"/>
              </w:rPr>
              <w:t>1</w:t>
            </w:r>
          </w:p>
        </w:tc>
      </w:tr>
      <w:tr w14:paraId="605E5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71" w:type="pct"/>
            <w:shd w:val="clear" w:color="auto" w:fill="auto"/>
            <w:noWrap w:val="0"/>
            <w:vAlign w:val="center"/>
          </w:tcPr>
          <w:p w14:paraId="0CEFE366">
            <w:pPr>
              <w:pStyle w:val="31"/>
              <w:widowControl w:val="0"/>
              <w:bidi w:val="0"/>
              <w:rPr>
                <w:rFonts w:hint="default"/>
                <w:lang w:val="en-US" w:eastAsia="zh-CN"/>
              </w:rPr>
            </w:pPr>
            <w:r>
              <w:rPr>
                <w:rFonts w:hint="eastAsia"/>
                <w:lang w:val="en-US" w:eastAsia="zh-CN"/>
              </w:rPr>
              <w:t>合计</w:t>
            </w:r>
          </w:p>
        </w:tc>
        <w:tc>
          <w:tcPr>
            <w:tcW w:w="2725" w:type="pct"/>
            <w:shd w:val="clear" w:color="auto" w:fill="auto"/>
            <w:noWrap w:val="0"/>
            <w:vAlign w:val="center"/>
          </w:tcPr>
          <w:p w14:paraId="141F24BB">
            <w:pPr>
              <w:pStyle w:val="31"/>
              <w:widowControl w:val="0"/>
              <w:bidi w:val="0"/>
              <w:rPr>
                <w:rFonts w:hint="eastAsia"/>
                <w:lang w:val="en-US" w:eastAsia="zh-CN"/>
              </w:rPr>
            </w:pPr>
          </w:p>
        </w:tc>
        <w:tc>
          <w:tcPr>
            <w:tcW w:w="1003" w:type="pct"/>
            <w:shd w:val="clear" w:color="auto" w:fill="auto"/>
            <w:noWrap w:val="0"/>
            <w:vAlign w:val="center"/>
          </w:tcPr>
          <w:p w14:paraId="4AE3A5E0">
            <w:pPr>
              <w:pStyle w:val="31"/>
              <w:widowControl w:val="0"/>
              <w:bidi w:val="0"/>
              <w:rPr>
                <w:rFonts w:hint="eastAsia"/>
                <w:lang w:val="en-US" w:eastAsia="zh-CN"/>
              </w:rPr>
            </w:pPr>
            <w:r>
              <w:rPr>
                <w:rFonts w:hint="eastAsia"/>
                <w:lang w:val="en-US" w:eastAsia="zh-CN"/>
              </w:rPr>
              <w:fldChar w:fldCharType="begin"/>
            </w:r>
            <w:r>
              <w:rPr>
                <w:rFonts w:hint="eastAsia"/>
                <w:lang w:val="en-US" w:eastAsia="zh-CN"/>
              </w:rPr>
              <w:instrText xml:space="preserve"> = sum(C2:C7) \* MERGEFORMAT </w:instrText>
            </w:r>
            <w:r>
              <w:rPr>
                <w:rFonts w:hint="eastAsia"/>
                <w:lang w:val="en-US" w:eastAsia="zh-CN"/>
              </w:rPr>
              <w:fldChar w:fldCharType="separate"/>
            </w:r>
            <w:r>
              <w:rPr>
                <w:rFonts w:hint="eastAsia"/>
                <w:lang w:val="en-US" w:eastAsia="zh-CN"/>
              </w:rPr>
              <w:t>15</w:t>
            </w:r>
            <w:r>
              <w:rPr>
                <w:rFonts w:hint="eastAsia"/>
                <w:lang w:val="en-US" w:eastAsia="zh-CN"/>
              </w:rPr>
              <w:fldChar w:fldCharType="end"/>
            </w:r>
          </w:p>
        </w:tc>
      </w:tr>
    </w:tbl>
    <w:p w14:paraId="1B443055">
      <w:pPr>
        <w:pStyle w:val="21"/>
        <w:bidi w:val="0"/>
        <w:rPr>
          <w:rFonts w:hint="eastAsia"/>
          <w:lang w:val="en-US" w:eastAsia="zh-CN"/>
        </w:rPr>
      </w:pPr>
      <w:r>
        <w:rPr>
          <w:rFonts w:hint="eastAsia"/>
          <w:lang w:eastAsia="zh-CN"/>
        </w:rPr>
        <w:t>设计</w:t>
      </w:r>
      <w:r>
        <w:rPr>
          <w:rFonts w:hint="eastAsia"/>
          <w:lang w:val="en-US" w:eastAsia="zh-CN"/>
        </w:rPr>
        <w:t>人员定位</w:t>
      </w:r>
      <w:r>
        <w:rPr>
          <w:rFonts w:hint="eastAsia"/>
          <w:lang w:eastAsia="zh-CN"/>
        </w:rPr>
        <w:t>系统主机安装在调度室内并双机备份，且在生产调度室设置显示终端。设计人员定位系统设可靠的防雷和接地保护装置。</w:t>
      </w:r>
    </w:p>
    <w:p w14:paraId="1B419948">
      <w:pPr>
        <w:pStyle w:val="21"/>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default"/>
        </w:rPr>
      </w:pPr>
      <w:r>
        <w:rPr>
          <w:rFonts w:hint="eastAsia"/>
          <w:lang w:val="en-US" w:eastAsia="zh-CN"/>
        </w:rPr>
        <w:t>3</w:t>
      </w:r>
      <w:r>
        <w:rPr>
          <w:rFonts w:hint="eastAsia"/>
          <w:lang w:eastAsia="zh-CN"/>
        </w:rPr>
        <w:t>、</w:t>
      </w:r>
      <w:r>
        <w:rPr>
          <w:rFonts w:hint="default"/>
        </w:rPr>
        <w:t>人员定位系统设备材料清单</w:t>
      </w:r>
    </w:p>
    <w:p w14:paraId="76B370EA">
      <w:pPr>
        <w:pStyle w:val="21"/>
        <w:bidi w:val="0"/>
        <w:rPr>
          <w:rFonts w:hint="default"/>
        </w:rPr>
      </w:pPr>
      <w:r>
        <w:rPr>
          <w:rFonts w:hint="default"/>
        </w:rPr>
        <w:t>人员定位系统设备配备见</w:t>
      </w:r>
      <w:r>
        <w:rPr>
          <w:rFonts w:hint="eastAsia"/>
          <w:lang w:val="en-US" w:eastAsia="zh-CN"/>
        </w:rPr>
        <w:t>下表</w:t>
      </w:r>
      <w:r>
        <w:rPr>
          <w:rFonts w:hint="default"/>
        </w:rPr>
        <w:t>。</w:t>
      </w:r>
    </w:p>
    <w:p w14:paraId="7920A98A">
      <w:pPr>
        <w:pStyle w:val="30"/>
        <w:bidi w:val="0"/>
        <w:rPr>
          <w:rFonts w:hint="default"/>
        </w:rPr>
      </w:pPr>
      <w:r>
        <w:rPr>
          <w:rFonts w:hint="eastAsia"/>
          <w:lang w:val="en-US" w:eastAsia="zh-CN"/>
        </w:rPr>
        <w:t xml:space="preserve">表2.4-8  </w:t>
      </w:r>
      <w:r>
        <w:rPr>
          <w:rFonts w:hint="default"/>
        </w:rPr>
        <w:t>人员定位系统设备配备表</w:t>
      </w:r>
    </w:p>
    <w:tbl>
      <w:tblPr>
        <w:tblStyle w:val="2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9"/>
        <w:gridCol w:w="3209"/>
        <w:gridCol w:w="1273"/>
        <w:gridCol w:w="1275"/>
        <w:gridCol w:w="2671"/>
      </w:tblGrid>
      <w:tr w14:paraId="26D1B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trPr>
        <w:tc>
          <w:tcPr>
            <w:tcW w:w="516" w:type="pct"/>
            <w:tcBorders>
              <w:top w:val="single" w:color="auto" w:sz="4" w:space="0"/>
            </w:tcBorders>
            <w:noWrap w:val="0"/>
            <w:vAlign w:val="center"/>
          </w:tcPr>
          <w:p w14:paraId="17835595">
            <w:pPr>
              <w:pStyle w:val="31"/>
              <w:bidi w:val="0"/>
              <w:rPr>
                <w:rFonts w:hint="eastAsia"/>
              </w:rPr>
            </w:pPr>
            <w:r>
              <w:rPr>
                <w:rFonts w:hint="eastAsia"/>
              </w:rPr>
              <w:t>序号</w:t>
            </w:r>
          </w:p>
        </w:tc>
        <w:tc>
          <w:tcPr>
            <w:tcW w:w="1707" w:type="pct"/>
            <w:tcBorders>
              <w:top w:val="single" w:color="auto" w:sz="4" w:space="0"/>
            </w:tcBorders>
            <w:noWrap w:val="0"/>
            <w:vAlign w:val="center"/>
          </w:tcPr>
          <w:p w14:paraId="41852FAA">
            <w:pPr>
              <w:pStyle w:val="31"/>
              <w:bidi w:val="0"/>
              <w:rPr>
                <w:rFonts w:hint="eastAsia"/>
              </w:rPr>
            </w:pPr>
            <w:r>
              <w:rPr>
                <w:rFonts w:hint="eastAsia"/>
              </w:rPr>
              <w:t>名称</w:t>
            </w:r>
          </w:p>
        </w:tc>
        <w:tc>
          <w:tcPr>
            <w:tcW w:w="677" w:type="pct"/>
            <w:tcBorders>
              <w:top w:val="single" w:color="auto" w:sz="4" w:space="0"/>
            </w:tcBorders>
            <w:noWrap w:val="0"/>
            <w:vAlign w:val="center"/>
          </w:tcPr>
          <w:p w14:paraId="2E4CC037">
            <w:pPr>
              <w:pStyle w:val="31"/>
              <w:bidi w:val="0"/>
              <w:rPr>
                <w:rFonts w:hint="eastAsia"/>
              </w:rPr>
            </w:pPr>
            <w:r>
              <w:rPr>
                <w:rFonts w:hint="eastAsia"/>
              </w:rPr>
              <w:t>单位</w:t>
            </w:r>
          </w:p>
        </w:tc>
        <w:tc>
          <w:tcPr>
            <w:tcW w:w="678" w:type="pct"/>
            <w:tcBorders>
              <w:top w:val="single" w:color="auto" w:sz="4" w:space="0"/>
            </w:tcBorders>
            <w:noWrap w:val="0"/>
            <w:vAlign w:val="center"/>
          </w:tcPr>
          <w:p w14:paraId="592955DC">
            <w:pPr>
              <w:pStyle w:val="31"/>
              <w:bidi w:val="0"/>
              <w:rPr>
                <w:rFonts w:hint="eastAsia"/>
              </w:rPr>
            </w:pPr>
            <w:r>
              <w:rPr>
                <w:rFonts w:hint="eastAsia"/>
              </w:rPr>
              <w:t>数量</w:t>
            </w:r>
          </w:p>
        </w:tc>
        <w:tc>
          <w:tcPr>
            <w:tcW w:w="1421" w:type="pct"/>
            <w:tcBorders>
              <w:top w:val="single" w:color="auto" w:sz="4" w:space="0"/>
            </w:tcBorders>
            <w:noWrap w:val="0"/>
            <w:vAlign w:val="center"/>
          </w:tcPr>
          <w:p w14:paraId="230ADDBF">
            <w:pPr>
              <w:pStyle w:val="31"/>
              <w:bidi w:val="0"/>
              <w:rPr>
                <w:rFonts w:hint="eastAsia"/>
              </w:rPr>
            </w:pPr>
            <w:r>
              <w:rPr>
                <w:rFonts w:hint="eastAsia"/>
              </w:rPr>
              <w:t>备注</w:t>
            </w:r>
          </w:p>
        </w:tc>
      </w:tr>
      <w:tr w14:paraId="78A48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16" w:type="pct"/>
            <w:noWrap w:val="0"/>
            <w:vAlign w:val="center"/>
          </w:tcPr>
          <w:p w14:paraId="244DDC41">
            <w:pPr>
              <w:pStyle w:val="31"/>
              <w:bidi w:val="0"/>
              <w:rPr>
                <w:rFonts w:hint="eastAsia"/>
              </w:rPr>
            </w:pPr>
            <w:r>
              <w:rPr>
                <w:rFonts w:hint="eastAsia"/>
              </w:rPr>
              <w:t>1</w:t>
            </w:r>
          </w:p>
        </w:tc>
        <w:tc>
          <w:tcPr>
            <w:tcW w:w="1707" w:type="pct"/>
            <w:noWrap w:val="0"/>
            <w:vAlign w:val="center"/>
          </w:tcPr>
          <w:p w14:paraId="5DEF1AD0">
            <w:pPr>
              <w:pStyle w:val="31"/>
              <w:bidi w:val="0"/>
              <w:rPr>
                <w:rFonts w:hint="eastAsia"/>
              </w:rPr>
            </w:pPr>
            <w:r>
              <w:rPr>
                <w:rFonts w:hint="eastAsia"/>
              </w:rPr>
              <w:t>工控机</w:t>
            </w:r>
          </w:p>
        </w:tc>
        <w:tc>
          <w:tcPr>
            <w:tcW w:w="677" w:type="pct"/>
            <w:noWrap w:val="0"/>
            <w:vAlign w:val="center"/>
          </w:tcPr>
          <w:p w14:paraId="6F47CA8A">
            <w:pPr>
              <w:pStyle w:val="31"/>
              <w:bidi w:val="0"/>
              <w:rPr>
                <w:rFonts w:hint="eastAsia"/>
              </w:rPr>
            </w:pPr>
            <w:r>
              <w:rPr>
                <w:rFonts w:hint="eastAsia"/>
              </w:rPr>
              <w:t>台</w:t>
            </w:r>
          </w:p>
        </w:tc>
        <w:tc>
          <w:tcPr>
            <w:tcW w:w="678" w:type="pct"/>
            <w:noWrap w:val="0"/>
            <w:vAlign w:val="center"/>
          </w:tcPr>
          <w:p w14:paraId="6171C843">
            <w:pPr>
              <w:pStyle w:val="31"/>
              <w:bidi w:val="0"/>
              <w:rPr>
                <w:rFonts w:hint="eastAsia"/>
                <w:lang w:eastAsia="zh-CN"/>
              </w:rPr>
            </w:pPr>
            <w:r>
              <w:rPr>
                <w:rFonts w:hint="eastAsia"/>
                <w:lang w:val="en-US" w:eastAsia="zh-CN"/>
              </w:rPr>
              <w:t>1</w:t>
            </w:r>
          </w:p>
        </w:tc>
        <w:tc>
          <w:tcPr>
            <w:tcW w:w="1421" w:type="pct"/>
            <w:noWrap w:val="0"/>
            <w:vAlign w:val="center"/>
          </w:tcPr>
          <w:p w14:paraId="2B6CDC1F">
            <w:pPr>
              <w:pStyle w:val="31"/>
              <w:bidi w:val="0"/>
              <w:rPr>
                <w:rFonts w:hint="eastAsia"/>
              </w:rPr>
            </w:pPr>
            <w:r>
              <w:rPr>
                <w:rFonts w:hint="eastAsia"/>
              </w:rPr>
              <w:t>和安全监控共用</w:t>
            </w:r>
          </w:p>
        </w:tc>
      </w:tr>
      <w:tr w14:paraId="5F116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16" w:type="pct"/>
            <w:noWrap w:val="0"/>
            <w:vAlign w:val="center"/>
          </w:tcPr>
          <w:p w14:paraId="079559AE">
            <w:pPr>
              <w:pStyle w:val="31"/>
              <w:bidi w:val="0"/>
              <w:rPr>
                <w:rFonts w:hint="eastAsia"/>
              </w:rPr>
            </w:pPr>
            <w:r>
              <w:rPr>
                <w:rFonts w:hint="eastAsia"/>
              </w:rPr>
              <w:t>2</w:t>
            </w:r>
          </w:p>
        </w:tc>
        <w:tc>
          <w:tcPr>
            <w:tcW w:w="1707" w:type="pct"/>
            <w:noWrap w:val="0"/>
            <w:vAlign w:val="center"/>
          </w:tcPr>
          <w:p w14:paraId="145D8BAA">
            <w:pPr>
              <w:pStyle w:val="31"/>
              <w:bidi w:val="0"/>
              <w:rPr>
                <w:rFonts w:hint="eastAsia"/>
              </w:rPr>
            </w:pPr>
            <w:r>
              <w:rPr>
                <w:rFonts w:hint="eastAsia"/>
              </w:rPr>
              <w:t>显示器</w:t>
            </w:r>
          </w:p>
        </w:tc>
        <w:tc>
          <w:tcPr>
            <w:tcW w:w="677" w:type="pct"/>
            <w:noWrap w:val="0"/>
            <w:vAlign w:val="center"/>
          </w:tcPr>
          <w:p w14:paraId="05F79B07">
            <w:pPr>
              <w:pStyle w:val="31"/>
              <w:bidi w:val="0"/>
              <w:rPr>
                <w:rFonts w:hint="eastAsia"/>
              </w:rPr>
            </w:pPr>
            <w:r>
              <w:rPr>
                <w:rFonts w:hint="eastAsia"/>
              </w:rPr>
              <w:t>台</w:t>
            </w:r>
          </w:p>
        </w:tc>
        <w:tc>
          <w:tcPr>
            <w:tcW w:w="678" w:type="pct"/>
            <w:noWrap w:val="0"/>
            <w:vAlign w:val="center"/>
          </w:tcPr>
          <w:p w14:paraId="64CD3E5F">
            <w:pPr>
              <w:pStyle w:val="31"/>
              <w:bidi w:val="0"/>
              <w:rPr>
                <w:rFonts w:hint="eastAsia"/>
                <w:lang w:eastAsia="zh-CN"/>
              </w:rPr>
            </w:pPr>
            <w:r>
              <w:rPr>
                <w:rFonts w:hint="eastAsia"/>
                <w:lang w:val="en-US" w:eastAsia="zh-CN"/>
              </w:rPr>
              <w:t>1</w:t>
            </w:r>
          </w:p>
        </w:tc>
        <w:tc>
          <w:tcPr>
            <w:tcW w:w="1421" w:type="pct"/>
            <w:noWrap w:val="0"/>
            <w:vAlign w:val="center"/>
          </w:tcPr>
          <w:p w14:paraId="09E87AEF">
            <w:pPr>
              <w:pStyle w:val="31"/>
              <w:bidi w:val="0"/>
              <w:rPr>
                <w:rFonts w:hint="eastAsia"/>
              </w:rPr>
            </w:pPr>
            <w:r>
              <w:rPr>
                <w:rFonts w:hint="eastAsia"/>
              </w:rPr>
              <w:t>和安全监控共用</w:t>
            </w:r>
          </w:p>
        </w:tc>
      </w:tr>
      <w:tr w14:paraId="4613D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16" w:type="pct"/>
            <w:noWrap w:val="0"/>
            <w:vAlign w:val="center"/>
          </w:tcPr>
          <w:p w14:paraId="45705232">
            <w:pPr>
              <w:pStyle w:val="31"/>
              <w:bidi w:val="0"/>
              <w:rPr>
                <w:rFonts w:hint="eastAsia"/>
              </w:rPr>
            </w:pPr>
            <w:r>
              <w:rPr>
                <w:rFonts w:hint="eastAsia"/>
              </w:rPr>
              <w:t>3</w:t>
            </w:r>
          </w:p>
        </w:tc>
        <w:tc>
          <w:tcPr>
            <w:tcW w:w="1707" w:type="pct"/>
            <w:noWrap w:val="0"/>
            <w:vAlign w:val="center"/>
          </w:tcPr>
          <w:p w14:paraId="2565AAD6">
            <w:pPr>
              <w:pStyle w:val="31"/>
              <w:bidi w:val="0"/>
              <w:rPr>
                <w:rFonts w:hint="eastAsia"/>
              </w:rPr>
            </w:pPr>
            <w:r>
              <w:rPr>
                <w:rFonts w:hint="eastAsia"/>
              </w:rPr>
              <w:t>人员定位系统软件</w:t>
            </w:r>
          </w:p>
        </w:tc>
        <w:tc>
          <w:tcPr>
            <w:tcW w:w="677" w:type="pct"/>
            <w:noWrap w:val="0"/>
            <w:vAlign w:val="center"/>
          </w:tcPr>
          <w:p w14:paraId="62DBF6F9">
            <w:pPr>
              <w:pStyle w:val="31"/>
              <w:bidi w:val="0"/>
              <w:rPr>
                <w:rFonts w:hint="eastAsia"/>
              </w:rPr>
            </w:pPr>
            <w:r>
              <w:rPr>
                <w:rFonts w:hint="eastAsia"/>
              </w:rPr>
              <w:t>套</w:t>
            </w:r>
          </w:p>
        </w:tc>
        <w:tc>
          <w:tcPr>
            <w:tcW w:w="678" w:type="pct"/>
            <w:noWrap w:val="0"/>
            <w:vAlign w:val="center"/>
          </w:tcPr>
          <w:p w14:paraId="6CFEF1FF">
            <w:pPr>
              <w:pStyle w:val="31"/>
              <w:bidi w:val="0"/>
              <w:rPr>
                <w:rFonts w:hint="eastAsia"/>
              </w:rPr>
            </w:pPr>
            <w:r>
              <w:rPr>
                <w:rFonts w:hint="eastAsia"/>
              </w:rPr>
              <w:t>1</w:t>
            </w:r>
          </w:p>
        </w:tc>
        <w:tc>
          <w:tcPr>
            <w:tcW w:w="1421" w:type="pct"/>
            <w:noWrap w:val="0"/>
            <w:vAlign w:val="center"/>
          </w:tcPr>
          <w:p w14:paraId="67AFD416">
            <w:pPr>
              <w:pStyle w:val="31"/>
              <w:bidi w:val="0"/>
              <w:rPr>
                <w:rFonts w:hint="eastAsia"/>
              </w:rPr>
            </w:pPr>
          </w:p>
        </w:tc>
      </w:tr>
      <w:tr w14:paraId="7932F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16" w:type="pct"/>
            <w:noWrap w:val="0"/>
            <w:vAlign w:val="center"/>
          </w:tcPr>
          <w:p w14:paraId="29B6D582">
            <w:pPr>
              <w:pStyle w:val="31"/>
              <w:bidi w:val="0"/>
              <w:rPr>
                <w:rFonts w:hint="eastAsia"/>
              </w:rPr>
            </w:pPr>
            <w:r>
              <w:rPr>
                <w:rFonts w:hint="eastAsia"/>
              </w:rPr>
              <w:t>4</w:t>
            </w:r>
          </w:p>
        </w:tc>
        <w:tc>
          <w:tcPr>
            <w:tcW w:w="1707" w:type="pct"/>
            <w:noWrap w:val="0"/>
            <w:vAlign w:val="center"/>
          </w:tcPr>
          <w:p w14:paraId="485E9F33">
            <w:pPr>
              <w:pStyle w:val="31"/>
              <w:bidi w:val="0"/>
              <w:rPr>
                <w:rFonts w:hint="eastAsia"/>
              </w:rPr>
            </w:pPr>
            <w:r>
              <w:rPr>
                <w:rFonts w:hint="eastAsia"/>
              </w:rPr>
              <w:t>定位传输基站</w:t>
            </w:r>
          </w:p>
        </w:tc>
        <w:tc>
          <w:tcPr>
            <w:tcW w:w="677" w:type="pct"/>
            <w:noWrap w:val="0"/>
            <w:vAlign w:val="center"/>
          </w:tcPr>
          <w:p w14:paraId="45A62936">
            <w:pPr>
              <w:pStyle w:val="31"/>
              <w:bidi w:val="0"/>
              <w:rPr>
                <w:rFonts w:hint="eastAsia"/>
              </w:rPr>
            </w:pPr>
            <w:r>
              <w:rPr>
                <w:rFonts w:hint="eastAsia"/>
              </w:rPr>
              <w:t>套</w:t>
            </w:r>
          </w:p>
        </w:tc>
        <w:tc>
          <w:tcPr>
            <w:tcW w:w="678" w:type="pct"/>
            <w:noWrap w:val="0"/>
            <w:vAlign w:val="center"/>
          </w:tcPr>
          <w:p w14:paraId="65DE48AF">
            <w:pPr>
              <w:pStyle w:val="31"/>
              <w:bidi w:val="0"/>
              <w:rPr>
                <w:rFonts w:hint="eastAsia"/>
                <w:lang w:val="en-US" w:eastAsia="zh-CN"/>
              </w:rPr>
            </w:pPr>
            <w:r>
              <w:rPr>
                <w:rFonts w:hint="eastAsia"/>
                <w:lang w:val="en-US" w:eastAsia="zh-CN"/>
              </w:rPr>
              <w:t>1</w:t>
            </w:r>
          </w:p>
        </w:tc>
        <w:tc>
          <w:tcPr>
            <w:tcW w:w="1421" w:type="pct"/>
            <w:noWrap w:val="0"/>
            <w:vAlign w:val="center"/>
          </w:tcPr>
          <w:p w14:paraId="2CAFBD72">
            <w:pPr>
              <w:pStyle w:val="31"/>
              <w:bidi w:val="0"/>
              <w:rPr>
                <w:rFonts w:hint="eastAsia"/>
              </w:rPr>
            </w:pPr>
            <w:r>
              <w:rPr>
                <w:rFonts w:hint="eastAsia"/>
              </w:rPr>
              <w:t>含电源</w:t>
            </w:r>
          </w:p>
        </w:tc>
      </w:tr>
      <w:tr w14:paraId="11C9E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16" w:type="pct"/>
            <w:noWrap w:val="0"/>
            <w:vAlign w:val="center"/>
          </w:tcPr>
          <w:p w14:paraId="5322617E">
            <w:pPr>
              <w:pStyle w:val="31"/>
              <w:bidi w:val="0"/>
              <w:rPr>
                <w:rFonts w:hint="eastAsia"/>
              </w:rPr>
            </w:pPr>
            <w:r>
              <w:rPr>
                <w:rFonts w:hint="eastAsia"/>
              </w:rPr>
              <w:t>5</w:t>
            </w:r>
          </w:p>
        </w:tc>
        <w:tc>
          <w:tcPr>
            <w:tcW w:w="1707" w:type="pct"/>
            <w:noWrap w:val="0"/>
            <w:vAlign w:val="center"/>
          </w:tcPr>
          <w:p w14:paraId="240B4206">
            <w:pPr>
              <w:pStyle w:val="31"/>
              <w:bidi w:val="0"/>
              <w:rPr>
                <w:rFonts w:hint="eastAsia"/>
              </w:rPr>
            </w:pPr>
            <w:r>
              <w:rPr>
                <w:rFonts w:hint="eastAsia"/>
              </w:rPr>
              <w:t>主传输光缆</w:t>
            </w:r>
          </w:p>
        </w:tc>
        <w:tc>
          <w:tcPr>
            <w:tcW w:w="677" w:type="pct"/>
            <w:noWrap w:val="0"/>
            <w:vAlign w:val="center"/>
          </w:tcPr>
          <w:p w14:paraId="04641C98">
            <w:pPr>
              <w:pStyle w:val="31"/>
              <w:bidi w:val="0"/>
              <w:rPr>
                <w:rFonts w:hint="eastAsia"/>
                <w:lang w:val="en-US" w:eastAsia="zh-CN"/>
              </w:rPr>
            </w:pPr>
            <w:r>
              <w:rPr>
                <w:rFonts w:hint="eastAsia"/>
                <w:lang w:val="en-US" w:eastAsia="zh-CN"/>
              </w:rPr>
              <w:t>m</w:t>
            </w:r>
          </w:p>
        </w:tc>
        <w:tc>
          <w:tcPr>
            <w:tcW w:w="678" w:type="pct"/>
            <w:noWrap w:val="0"/>
            <w:vAlign w:val="center"/>
          </w:tcPr>
          <w:p w14:paraId="35E310F9">
            <w:pPr>
              <w:pStyle w:val="31"/>
              <w:bidi w:val="0"/>
              <w:rPr>
                <w:rFonts w:hint="eastAsia"/>
                <w:lang w:val="en-US"/>
              </w:rPr>
            </w:pPr>
            <w:r>
              <w:rPr>
                <w:rFonts w:hint="eastAsia"/>
                <w:lang w:val="en-US" w:eastAsia="zh-CN"/>
              </w:rPr>
              <w:t>5000</w:t>
            </w:r>
          </w:p>
        </w:tc>
        <w:tc>
          <w:tcPr>
            <w:tcW w:w="1421" w:type="pct"/>
            <w:noWrap w:val="0"/>
            <w:vAlign w:val="center"/>
          </w:tcPr>
          <w:p w14:paraId="1AC3F38E">
            <w:pPr>
              <w:pStyle w:val="31"/>
              <w:bidi w:val="0"/>
              <w:rPr>
                <w:rFonts w:hint="eastAsia"/>
              </w:rPr>
            </w:pPr>
            <w:r>
              <w:rPr>
                <w:rFonts w:hint="eastAsia"/>
              </w:rPr>
              <w:t>和安全监控共用</w:t>
            </w:r>
          </w:p>
        </w:tc>
      </w:tr>
      <w:tr w14:paraId="1A528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16" w:type="pct"/>
            <w:noWrap w:val="0"/>
            <w:vAlign w:val="center"/>
          </w:tcPr>
          <w:p w14:paraId="0E8934E2">
            <w:pPr>
              <w:pStyle w:val="31"/>
              <w:bidi w:val="0"/>
              <w:rPr>
                <w:rFonts w:hint="eastAsia"/>
              </w:rPr>
            </w:pPr>
            <w:r>
              <w:rPr>
                <w:rFonts w:hint="eastAsia"/>
              </w:rPr>
              <w:t>6</w:t>
            </w:r>
          </w:p>
        </w:tc>
        <w:tc>
          <w:tcPr>
            <w:tcW w:w="1707" w:type="pct"/>
            <w:noWrap w:val="0"/>
            <w:vAlign w:val="center"/>
          </w:tcPr>
          <w:p w14:paraId="4859BC31">
            <w:pPr>
              <w:pStyle w:val="31"/>
              <w:bidi w:val="0"/>
              <w:rPr>
                <w:rFonts w:hint="eastAsia"/>
              </w:rPr>
            </w:pPr>
            <w:r>
              <w:rPr>
                <w:rFonts w:hint="eastAsia"/>
              </w:rPr>
              <w:t>矿用信号传输电缆</w:t>
            </w:r>
          </w:p>
        </w:tc>
        <w:tc>
          <w:tcPr>
            <w:tcW w:w="677" w:type="pct"/>
            <w:noWrap w:val="0"/>
            <w:vAlign w:val="center"/>
          </w:tcPr>
          <w:p w14:paraId="542242D6">
            <w:pPr>
              <w:pStyle w:val="31"/>
              <w:bidi w:val="0"/>
              <w:rPr>
                <w:rFonts w:hint="eastAsia"/>
                <w:lang w:eastAsia="zh-CN"/>
              </w:rPr>
            </w:pPr>
            <w:r>
              <w:rPr>
                <w:rFonts w:hint="eastAsia"/>
                <w:lang w:val="en-US" w:eastAsia="zh-CN"/>
              </w:rPr>
              <w:t>m</w:t>
            </w:r>
          </w:p>
        </w:tc>
        <w:tc>
          <w:tcPr>
            <w:tcW w:w="678" w:type="pct"/>
            <w:noWrap w:val="0"/>
            <w:vAlign w:val="center"/>
          </w:tcPr>
          <w:p w14:paraId="73130686">
            <w:pPr>
              <w:pStyle w:val="31"/>
              <w:bidi w:val="0"/>
              <w:rPr>
                <w:rFonts w:hint="eastAsia"/>
                <w:lang w:val="en-US"/>
              </w:rPr>
            </w:pPr>
            <w:r>
              <w:rPr>
                <w:rFonts w:hint="eastAsia"/>
                <w:lang w:val="en-US" w:eastAsia="zh-CN"/>
              </w:rPr>
              <w:t>5000</w:t>
            </w:r>
          </w:p>
        </w:tc>
        <w:tc>
          <w:tcPr>
            <w:tcW w:w="1421" w:type="pct"/>
            <w:noWrap w:val="0"/>
            <w:vAlign w:val="center"/>
          </w:tcPr>
          <w:p w14:paraId="6D841B05">
            <w:pPr>
              <w:pStyle w:val="31"/>
              <w:bidi w:val="0"/>
              <w:rPr>
                <w:rFonts w:hint="eastAsia"/>
              </w:rPr>
            </w:pPr>
          </w:p>
        </w:tc>
      </w:tr>
      <w:tr w14:paraId="164FA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16" w:type="pct"/>
            <w:noWrap w:val="0"/>
            <w:vAlign w:val="center"/>
          </w:tcPr>
          <w:p w14:paraId="51D9D466">
            <w:pPr>
              <w:pStyle w:val="31"/>
              <w:bidi w:val="0"/>
              <w:rPr>
                <w:rFonts w:hint="eastAsia"/>
              </w:rPr>
            </w:pPr>
            <w:r>
              <w:rPr>
                <w:rFonts w:hint="eastAsia"/>
              </w:rPr>
              <w:t>7</w:t>
            </w:r>
          </w:p>
        </w:tc>
        <w:tc>
          <w:tcPr>
            <w:tcW w:w="1707" w:type="pct"/>
            <w:noWrap w:val="0"/>
            <w:vAlign w:val="center"/>
          </w:tcPr>
          <w:p w14:paraId="616A5446">
            <w:pPr>
              <w:pStyle w:val="31"/>
              <w:bidi w:val="0"/>
              <w:rPr>
                <w:rFonts w:hint="eastAsia"/>
              </w:rPr>
            </w:pPr>
            <w:r>
              <w:rPr>
                <w:rFonts w:hint="eastAsia"/>
              </w:rPr>
              <w:t>矿用本安电路接线盒</w:t>
            </w:r>
          </w:p>
        </w:tc>
        <w:tc>
          <w:tcPr>
            <w:tcW w:w="677" w:type="pct"/>
            <w:noWrap w:val="0"/>
            <w:vAlign w:val="center"/>
          </w:tcPr>
          <w:p w14:paraId="188B35A3">
            <w:pPr>
              <w:pStyle w:val="31"/>
              <w:bidi w:val="0"/>
              <w:rPr>
                <w:rFonts w:hint="eastAsia"/>
              </w:rPr>
            </w:pPr>
            <w:r>
              <w:rPr>
                <w:rFonts w:hint="eastAsia"/>
              </w:rPr>
              <w:t>个</w:t>
            </w:r>
          </w:p>
        </w:tc>
        <w:tc>
          <w:tcPr>
            <w:tcW w:w="678" w:type="pct"/>
            <w:noWrap w:val="0"/>
            <w:vAlign w:val="center"/>
          </w:tcPr>
          <w:p w14:paraId="4A248F65">
            <w:pPr>
              <w:pStyle w:val="31"/>
              <w:bidi w:val="0"/>
              <w:rPr>
                <w:rFonts w:hint="default"/>
                <w:lang w:val="en-US" w:eastAsia="zh-CN"/>
              </w:rPr>
            </w:pPr>
            <w:r>
              <w:rPr>
                <w:rFonts w:hint="eastAsia"/>
                <w:lang w:val="en-US" w:eastAsia="zh-CN"/>
              </w:rPr>
              <w:t>18</w:t>
            </w:r>
          </w:p>
        </w:tc>
        <w:tc>
          <w:tcPr>
            <w:tcW w:w="1421" w:type="pct"/>
            <w:noWrap w:val="0"/>
            <w:vAlign w:val="center"/>
          </w:tcPr>
          <w:p w14:paraId="024BEB61">
            <w:pPr>
              <w:pStyle w:val="31"/>
              <w:bidi w:val="0"/>
              <w:rPr>
                <w:rFonts w:hint="eastAsia"/>
                <w:lang w:val="en-US"/>
              </w:rPr>
            </w:pPr>
          </w:p>
        </w:tc>
      </w:tr>
      <w:tr w14:paraId="1FCAB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16" w:type="pct"/>
            <w:noWrap w:val="0"/>
            <w:vAlign w:val="center"/>
          </w:tcPr>
          <w:p w14:paraId="57304050">
            <w:pPr>
              <w:pStyle w:val="31"/>
              <w:bidi w:val="0"/>
              <w:rPr>
                <w:rFonts w:hint="eastAsia"/>
              </w:rPr>
            </w:pPr>
            <w:r>
              <w:rPr>
                <w:rFonts w:hint="eastAsia"/>
              </w:rPr>
              <w:t>8</w:t>
            </w:r>
          </w:p>
        </w:tc>
        <w:tc>
          <w:tcPr>
            <w:tcW w:w="1707" w:type="pct"/>
            <w:noWrap w:val="0"/>
            <w:vAlign w:val="center"/>
          </w:tcPr>
          <w:p w14:paraId="009C0954">
            <w:pPr>
              <w:pStyle w:val="31"/>
              <w:bidi w:val="0"/>
              <w:rPr>
                <w:rFonts w:hint="eastAsia"/>
              </w:rPr>
            </w:pPr>
            <w:r>
              <w:rPr>
                <w:rFonts w:hint="eastAsia"/>
              </w:rPr>
              <w:t>矿用本安电路接线盒</w:t>
            </w:r>
          </w:p>
        </w:tc>
        <w:tc>
          <w:tcPr>
            <w:tcW w:w="677" w:type="pct"/>
            <w:noWrap w:val="0"/>
            <w:vAlign w:val="center"/>
          </w:tcPr>
          <w:p w14:paraId="1E495819">
            <w:pPr>
              <w:pStyle w:val="31"/>
              <w:bidi w:val="0"/>
              <w:rPr>
                <w:rFonts w:hint="eastAsia"/>
              </w:rPr>
            </w:pPr>
            <w:r>
              <w:rPr>
                <w:rFonts w:hint="eastAsia"/>
              </w:rPr>
              <w:t>个</w:t>
            </w:r>
          </w:p>
        </w:tc>
        <w:tc>
          <w:tcPr>
            <w:tcW w:w="678" w:type="pct"/>
            <w:noWrap w:val="0"/>
            <w:vAlign w:val="center"/>
          </w:tcPr>
          <w:p w14:paraId="4CBF187F">
            <w:pPr>
              <w:pStyle w:val="31"/>
              <w:bidi w:val="0"/>
              <w:rPr>
                <w:rFonts w:hint="default"/>
                <w:lang w:val="en-US" w:eastAsia="zh-CN"/>
              </w:rPr>
            </w:pPr>
            <w:r>
              <w:rPr>
                <w:rFonts w:hint="eastAsia"/>
                <w:lang w:val="en-US" w:eastAsia="zh-CN"/>
              </w:rPr>
              <w:t>18</w:t>
            </w:r>
          </w:p>
        </w:tc>
        <w:tc>
          <w:tcPr>
            <w:tcW w:w="1421" w:type="pct"/>
            <w:noWrap w:val="0"/>
            <w:vAlign w:val="center"/>
          </w:tcPr>
          <w:p w14:paraId="49E97087">
            <w:pPr>
              <w:pStyle w:val="31"/>
              <w:bidi w:val="0"/>
              <w:rPr>
                <w:rFonts w:hint="eastAsia"/>
              </w:rPr>
            </w:pPr>
          </w:p>
        </w:tc>
      </w:tr>
      <w:tr w14:paraId="2962A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16" w:type="pct"/>
            <w:noWrap w:val="0"/>
            <w:vAlign w:val="center"/>
          </w:tcPr>
          <w:p w14:paraId="66B031BE">
            <w:pPr>
              <w:pStyle w:val="31"/>
              <w:bidi w:val="0"/>
              <w:rPr>
                <w:rFonts w:hint="eastAsia"/>
              </w:rPr>
            </w:pPr>
            <w:r>
              <w:rPr>
                <w:rFonts w:hint="eastAsia"/>
              </w:rPr>
              <w:t>9</w:t>
            </w:r>
          </w:p>
        </w:tc>
        <w:tc>
          <w:tcPr>
            <w:tcW w:w="1707" w:type="pct"/>
            <w:noWrap w:val="0"/>
            <w:vAlign w:val="center"/>
          </w:tcPr>
          <w:p w14:paraId="4B7C34CC">
            <w:pPr>
              <w:pStyle w:val="31"/>
              <w:bidi w:val="0"/>
              <w:rPr>
                <w:rFonts w:hint="eastAsia"/>
              </w:rPr>
            </w:pPr>
            <w:r>
              <w:rPr>
                <w:rFonts w:hint="eastAsia"/>
              </w:rPr>
              <w:t>人员定位分站</w:t>
            </w:r>
          </w:p>
        </w:tc>
        <w:tc>
          <w:tcPr>
            <w:tcW w:w="677" w:type="pct"/>
            <w:noWrap w:val="0"/>
            <w:vAlign w:val="center"/>
          </w:tcPr>
          <w:p w14:paraId="7B48BDAC">
            <w:pPr>
              <w:pStyle w:val="31"/>
              <w:bidi w:val="0"/>
              <w:rPr>
                <w:rFonts w:hint="eastAsia"/>
              </w:rPr>
            </w:pPr>
            <w:r>
              <w:rPr>
                <w:rFonts w:hint="eastAsia"/>
              </w:rPr>
              <w:t>台</w:t>
            </w:r>
          </w:p>
        </w:tc>
        <w:tc>
          <w:tcPr>
            <w:tcW w:w="678" w:type="pct"/>
            <w:noWrap w:val="0"/>
            <w:vAlign w:val="center"/>
          </w:tcPr>
          <w:p w14:paraId="1F9BB8BE">
            <w:pPr>
              <w:pStyle w:val="31"/>
              <w:bidi w:val="0"/>
              <w:rPr>
                <w:rFonts w:hint="default"/>
                <w:lang w:val="en-US" w:eastAsia="zh-CN"/>
              </w:rPr>
            </w:pPr>
            <w:r>
              <w:rPr>
                <w:rFonts w:hint="eastAsia"/>
                <w:lang w:val="en-US" w:eastAsia="zh-CN"/>
              </w:rPr>
              <w:t>15</w:t>
            </w:r>
          </w:p>
        </w:tc>
        <w:tc>
          <w:tcPr>
            <w:tcW w:w="1421" w:type="pct"/>
            <w:noWrap w:val="0"/>
            <w:vAlign w:val="center"/>
          </w:tcPr>
          <w:p w14:paraId="0DC7ECC4">
            <w:pPr>
              <w:pStyle w:val="31"/>
              <w:bidi w:val="0"/>
              <w:rPr>
                <w:rFonts w:hint="eastAsia"/>
              </w:rPr>
            </w:pPr>
            <w:r>
              <w:rPr>
                <w:rFonts w:hint="eastAsia"/>
              </w:rPr>
              <w:t>可重复使用</w:t>
            </w:r>
          </w:p>
        </w:tc>
      </w:tr>
      <w:tr w14:paraId="50A76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16" w:type="pct"/>
            <w:noWrap w:val="0"/>
            <w:vAlign w:val="center"/>
          </w:tcPr>
          <w:p w14:paraId="36BEDD8C">
            <w:pPr>
              <w:pStyle w:val="31"/>
              <w:bidi w:val="0"/>
              <w:rPr>
                <w:rFonts w:hint="eastAsia"/>
              </w:rPr>
            </w:pPr>
            <w:r>
              <w:rPr>
                <w:rFonts w:hint="eastAsia"/>
              </w:rPr>
              <w:t>10</w:t>
            </w:r>
          </w:p>
        </w:tc>
        <w:tc>
          <w:tcPr>
            <w:tcW w:w="1707" w:type="pct"/>
            <w:noWrap w:val="0"/>
            <w:vAlign w:val="center"/>
          </w:tcPr>
          <w:p w14:paraId="6478B00E">
            <w:pPr>
              <w:pStyle w:val="31"/>
              <w:bidi w:val="0"/>
              <w:rPr>
                <w:rFonts w:hint="eastAsia"/>
              </w:rPr>
            </w:pPr>
            <w:r>
              <w:rPr>
                <w:rFonts w:hint="eastAsia"/>
              </w:rPr>
              <w:t>无线定位发射器</w:t>
            </w:r>
          </w:p>
        </w:tc>
        <w:tc>
          <w:tcPr>
            <w:tcW w:w="677" w:type="pct"/>
            <w:noWrap w:val="0"/>
            <w:vAlign w:val="center"/>
          </w:tcPr>
          <w:p w14:paraId="0BBFF1C4">
            <w:pPr>
              <w:pStyle w:val="31"/>
              <w:bidi w:val="0"/>
              <w:rPr>
                <w:rFonts w:hint="eastAsia"/>
              </w:rPr>
            </w:pPr>
            <w:r>
              <w:rPr>
                <w:rFonts w:hint="eastAsia"/>
              </w:rPr>
              <w:t>个</w:t>
            </w:r>
          </w:p>
        </w:tc>
        <w:tc>
          <w:tcPr>
            <w:tcW w:w="678" w:type="pct"/>
            <w:noWrap w:val="0"/>
            <w:vAlign w:val="center"/>
          </w:tcPr>
          <w:p w14:paraId="1111AA00">
            <w:pPr>
              <w:pStyle w:val="31"/>
              <w:bidi w:val="0"/>
              <w:rPr>
                <w:rFonts w:hint="default"/>
                <w:lang w:val="en-US" w:eastAsia="zh-CN"/>
              </w:rPr>
            </w:pPr>
            <w:r>
              <w:rPr>
                <w:rFonts w:hint="eastAsia"/>
                <w:lang w:val="en-US" w:eastAsia="zh-CN"/>
              </w:rPr>
              <w:t>150</w:t>
            </w:r>
          </w:p>
        </w:tc>
        <w:tc>
          <w:tcPr>
            <w:tcW w:w="1421" w:type="pct"/>
            <w:noWrap w:val="0"/>
            <w:vAlign w:val="center"/>
          </w:tcPr>
          <w:p w14:paraId="7BA20CB1">
            <w:pPr>
              <w:pStyle w:val="31"/>
              <w:bidi w:val="0"/>
              <w:rPr>
                <w:rFonts w:hint="eastAsia"/>
              </w:rPr>
            </w:pPr>
          </w:p>
        </w:tc>
      </w:tr>
    </w:tbl>
    <w:p w14:paraId="0BF3DB17">
      <w:pPr>
        <w:pStyle w:val="21"/>
        <w:keepNext w:val="0"/>
        <w:keepLines w:val="0"/>
        <w:pageBreakBefore w:val="0"/>
        <w:widowControl/>
        <w:numPr>
          <w:ilvl w:val="0"/>
          <w:numId w:val="21"/>
        </w:numPr>
        <w:kinsoku/>
        <w:wordWrap/>
        <w:overflowPunct/>
        <w:topLinePunct w:val="0"/>
        <w:autoSpaceDE/>
        <w:autoSpaceDN/>
        <w:bidi w:val="0"/>
        <w:adjustRightInd w:val="0"/>
        <w:snapToGrid w:val="0"/>
        <w:spacing w:before="157" w:beforeLines="50"/>
        <w:textAlignment w:val="auto"/>
        <w:rPr>
          <w:rFonts w:hint="default"/>
          <w:lang w:val="en-US" w:eastAsia="zh-CN"/>
        </w:rPr>
      </w:pPr>
      <w:r>
        <w:rPr>
          <w:rFonts w:hint="eastAsia"/>
          <w:lang w:val="en-US" w:eastAsia="zh-CN"/>
        </w:rPr>
        <w:t>紧急避险系统</w:t>
      </w:r>
    </w:p>
    <w:p w14:paraId="2B64740C">
      <w:pPr>
        <w:pStyle w:val="21"/>
        <w:bidi w:val="0"/>
        <w:rPr>
          <w:rFonts w:hint="eastAsia"/>
        </w:rPr>
      </w:pPr>
      <w:r>
        <w:rPr>
          <w:rFonts w:hint="eastAsia"/>
          <w:lang w:val="en-US" w:eastAsia="zh-CN"/>
        </w:rPr>
        <w:t>1、</w:t>
      </w:r>
      <w:r>
        <w:rPr>
          <w:rFonts w:hint="eastAsia"/>
        </w:rPr>
        <w:t>紧急避险基本原则</w:t>
      </w:r>
    </w:p>
    <w:p w14:paraId="7129CFEF">
      <w:pPr>
        <w:pStyle w:val="21"/>
        <w:bidi w:val="0"/>
        <w:rPr>
          <w:rFonts w:hint="eastAsia"/>
          <w:lang w:val="en-US" w:eastAsia="zh-CN"/>
        </w:rPr>
      </w:pPr>
      <w:r>
        <w:rPr>
          <w:rFonts w:hint="eastAsia"/>
          <w:lang w:val="en-US" w:eastAsia="zh-CN"/>
        </w:rPr>
        <w:t>矿山井下紧急避险系统由避灾路线、避灾设施组成的系统，在井下发生紧急情况下，为遇险人员安全避险提供生命保障的有机整体。</w:t>
      </w:r>
    </w:p>
    <w:p w14:paraId="49E4E8C7">
      <w:pPr>
        <w:pStyle w:val="21"/>
        <w:bidi w:val="0"/>
        <w:rPr>
          <w:rFonts w:hint="default"/>
        </w:rPr>
      </w:pPr>
      <w:r>
        <w:rPr>
          <w:rFonts w:hint="eastAsia"/>
          <w:lang w:val="en-US" w:eastAsia="zh-CN"/>
        </w:rPr>
        <w:t>①</w:t>
      </w:r>
      <w:r>
        <w:rPr>
          <w:rFonts w:hint="default"/>
        </w:rPr>
        <w:t>紧急避险遵循</w:t>
      </w:r>
      <w:r>
        <w:rPr>
          <w:rFonts w:hint="default"/>
          <w:lang w:eastAsia="zh-CN"/>
        </w:rPr>
        <w:t>“</w:t>
      </w:r>
      <w:r>
        <w:rPr>
          <w:rFonts w:hint="default"/>
        </w:rPr>
        <w:t>撤离优先，避险就近</w:t>
      </w:r>
      <w:r>
        <w:rPr>
          <w:rFonts w:hint="default"/>
          <w:lang w:eastAsia="zh-CN"/>
        </w:rPr>
        <w:t>”</w:t>
      </w:r>
      <w:r>
        <w:rPr>
          <w:rFonts w:hint="default"/>
        </w:rPr>
        <w:t>的原则。矿山根据井下生产作业实际，建立健全生产安全事故应急预案，明确不同事故条件下不同作业区域人员的紧急避险原则、方法、路线和应急处理措施。</w:t>
      </w:r>
    </w:p>
    <w:p w14:paraId="0E93909E">
      <w:pPr>
        <w:pStyle w:val="21"/>
        <w:bidi w:val="0"/>
        <w:rPr>
          <w:rFonts w:hint="default"/>
        </w:rPr>
      </w:pPr>
      <w:r>
        <w:rPr>
          <w:rFonts w:hint="eastAsia"/>
          <w:lang w:val="en-US" w:eastAsia="zh-CN"/>
        </w:rPr>
        <w:t>②</w:t>
      </w:r>
      <w:r>
        <w:rPr>
          <w:rFonts w:hint="default"/>
        </w:rPr>
        <w:t>矿山规定做好应急预案的培训和演练工作，确保井下作业人员熟练掌握紧急避险原则、线路和现场应急处理措施。</w:t>
      </w:r>
    </w:p>
    <w:p w14:paraId="69B1386B">
      <w:pPr>
        <w:pStyle w:val="21"/>
        <w:bidi w:val="0"/>
        <w:rPr>
          <w:rFonts w:hint="default"/>
        </w:rPr>
      </w:pPr>
      <w:r>
        <w:rPr>
          <w:rFonts w:hint="eastAsia"/>
          <w:lang w:val="en-US" w:eastAsia="zh-CN"/>
        </w:rPr>
        <w:t>③</w:t>
      </w:r>
      <w:r>
        <w:rPr>
          <w:rFonts w:hint="default"/>
        </w:rPr>
        <w:t>避险路线选择安全条件好最好、距离最短的行动路线，当距离较长时，在途中设置中继站，并配备自救器。</w:t>
      </w:r>
    </w:p>
    <w:p w14:paraId="13CA5BD8">
      <w:pPr>
        <w:pStyle w:val="21"/>
        <w:bidi w:val="0"/>
        <w:rPr>
          <w:rFonts w:hint="default"/>
        </w:rPr>
      </w:pPr>
      <w:r>
        <w:rPr>
          <w:rFonts w:hint="eastAsia"/>
          <w:lang w:val="en-US" w:eastAsia="zh-CN"/>
        </w:rPr>
        <w:t>④</w:t>
      </w:r>
      <w:r>
        <w:rPr>
          <w:rFonts w:hint="default"/>
        </w:rPr>
        <w:t>矿山按照GB14161的规定，做好井下避灾路线的标识，并定期检查维护避灾路线，保持其通畅。</w:t>
      </w:r>
    </w:p>
    <w:p w14:paraId="71F3C02D">
      <w:pPr>
        <w:pStyle w:val="21"/>
        <w:bidi w:val="0"/>
        <w:rPr>
          <w:rFonts w:hint="default"/>
        </w:rPr>
      </w:pPr>
      <w:r>
        <w:rPr>
          <w:rFonts w:hint="eastAsia"/>
          <w:lang w:val="en-US" w:eastAsia="zh-CN"/>
        </w:rPr>
        <w:t>⑤</w:t>
      </w:r>
      <w:r>
        <w:rPr>
          <w:rFonts w:hint="default"/>
        </w:rPr>
        <w:t>事故发生时，遇险人员迅速判定事故地点、类型，并按照现场应急处置措施的要求，正确撤离或避险。</w:t>
      </w:r>
    </w:p>
    <w:p w14:paraId="6A614167">
      <w:pPr>
        <w:pStyle w:val="21"/>
        <w:bidi w:val="0"/>
        <w:rPr>
          <w:rFonts w:hint="eastAsia"/>
        </w:rPr>
      </w:pPr>
      <w:r>
        <w:rPr>
          <w:rFonts w:hint="eastAsia"/>
          <w:lang w:val="en-US" w:eastAsia="zh-CN"/>
        </w:rPr>
        <w:t>2、</w:t>
      </w:r>
      <w:r>
        <w:rPr>
          <w:rFonts w:hint="eastAsia"/>
        </w:rPr>
        <w:t>避灾路线</w:t>
      </w:r>
    </w:p>
    <w:p w14:paraId="44A196C1">
      <w:pPr>
        <w:pStyle w:val="21"/>
        <w:bidi w:val="0"/>
        <w:rPr>
          <w:rFonts w:hint="eastAsia"/>
          <w:lang w:val="en-US" w:eastAsia="zh-CN"/>
        </w:rPr>
      </w:pPr>
      <w:r>
        <w:rPr>
          <w:rFonts w:hint="eastAsia"/>
          <w:lang w:val="en-US" w:eastAsia="zh-CN"/>
        </w:rPr>
        <w:t>①避灾路线设计原则</w:t>
      </w:r>
    </w:p>
    <w:p w14:paraId="46194893">
      <w:pPr>
        <w:pStyle w:val="21"/>
        <w:bidi w:val="0"/>
        <w:rPr>
          <w:rFonts w:hint="eastAsia"/>
          <w:lang w:val="en-US" w:eastAsia="zh-CN"/>
        </w:rPr>
      </w:pPr>
      <w:r>
        <w:rPr>
          <w:rFonts w:hint="eastAsia"/>
          <w:lang w:val="en-US" w:eastAsia="zh-CN"/>
        </w:rPr>
        <w:t>避灾路线是指井下人员由所处现场撤离到安全地点的路线。从矿井通风网路而言，是寻求网路图中某两点间的通路。最佳的避灾路线，不仅要安全可靠，还要求路径最短。灾变时期的避灾路线选择必须遵守以下原则：</w:t>
      </w:r>
    </w:p>
    <w:p w14:paraId="35AC00BF">
      <w:pPr>
        <w:pStyle w:val="21"/>
        <w:bidi w:val="0"/>
        <w:rPr>
          <w:rFonts w:hint="eastAsia"/>
          <w:lang w:val="en-US" w:eastAsia="zh-CN"/>
        </w:rPr>
      </w:pPr>
      <w:r>
        <w:rPr>
          <w:rFonts w:hint="eastAsia"/>
          <w:lang w:val="en-US" w:eastAsia="zh-CN"/>
        </w:rPr>
        <w:t>正确判定发生灾变的地点，并分析灾变可能影响的区域，迅速组织、指挥人员的安全撤离；</w:t>
      </w:r>
    </w:p>
    <w:p w14:paraId="00AAF553">
      <w:pPr>
        <w:pStyle w:val="21"/>
        <w:bidi w:val="0"/>
        <w:rPr>
          <w:rFonts w:hint="eastAsia"/>
          <w:lang w:val="en-US" w:eastAsia="zh-CN"/>
        </w:rPr>
      </w:pPr>
      <w:r>
        <w:rPr>
          <w:rFonts w:hint="eastAsia"/>
          <w:lang w:val="en-US" w:eastAsia="zh-CN"/>
        </w:rPr>
        <w:t>正确确定人员所在位置、人员撤退的目的地；井下发生灾变时，将升井避灾作为避灾路线首选目的地，当不能直接撤出至地面时，应首先让人员撤到合适的避灾地点，同时提供必要地避灾条件和积极组织抢救；</w:t>
      </w:r>
    </w:p>
    <w:p w14:paraId="137DD609">
      <w:pPr>
        <w:pStyle w:val="21"/>
        <w:bidi w:val="0"/>
        <w:rPr>
          <w:rFonts w:hint="eastAsia"/>
          <w:lang w:val="en-US" w:eastAsia="zh-CN"/>
        </w:rPr>
      </w:pPr>
      <w:r>
        <w:rPr>
          <w:rFonts w:hint="eastAsia"/>
          <w:lang w:val="en-US" w:eastAsia="zh-CN"/>
        </w:rPr>
        <w:t>避险路线应选择安全条件最好、距离最短的行动路线；对于可能发生灾变的地点，在矿井灾变事故预防和处理计划中应提供明确的避灾路线，并让该区域的人员牢记于心；</w:t>
      </w:r>
    </w:p>
    <w:p w14:paraId="20D42E3D">
      <w:pPr>
        <w:pStyle w:val="21"/>
        <w:bidi w:val="0"/>
        <w:rPr>
          <w:rFonts w:hint="eastAsia"/>
          <w:lang w:val="en-US" w:eastAsia="zh-CN"/>
        </w:rPr>
      </w:pPr>
      <w:r>
        <w:rPr>
          <w:rFonts w:hint="eastAsia"/>
          <w:lang w:val="en-US" w:eastAsia="zh-CN"/>
        </w:rPr>
        <w:t>确定了避灾路线后，在事故发生时，应采取一切措施保持避灾路线的通畅，不到万不得已，不能随意变更避灾路线；</w:t>
      </w:r>
    </w:p>
    <w:p w14:paraId="05037F3E">
      <w:pPr>
        <w:pStyle w:val="21"/>
        <w:bidi w:val="0"/>
        <w:rPr>
          <w:rFonts w:hint="eastAsia"/>
          <w:lang w:val="en-US" w:eastAsia="zh-CN"/>
        </w:rPr>
      </w:pPr>
      <w:r>
        <w:rPr>
          <w:rFonts w:hint="eastAsia"/>
          <w:lang w:val="en-US" w:eastAsia="zh-CN"/>
        </w:rPr>
        <w:t>对井下人员进行必要地安全避灾知识的教育，使其熟悉所在工作区域的避灾系统及避灾路线，并配备自救器等防护用具。</w:t>
      </w:r>
    </w:p>
    <w:p w14:paraId="4250AD86">
      <w:pPr>
        <w:pStyle w:val="21"/>
        <w:bidi w:val="0"/>
        <w:rPr>
          <w:rFonts w:hint="eastAsia"/>
          <w:lang w:val="en-US" w:eastAsia="zh-CN"/>
        </w:rPr>
      </w:pPr>
      <w:r>
        <w:rPr>
          <w:rFonts w:hint="eastAsia"/>
          <w:lang w:val="en-US" w:eastAsia="zh-CN"/>
        </w:rPr>
        <w:t>②避灾路线类别</w:t>
      </w:r>
    </w:p>
    <w:p w14:paraId="7C2C6AF7">
      <w:pPr>
        <w:pStyle w:val="21"/>
        <w:bidi w:val="0"/>
        <w:rPr>
          <w:rFonts w:hint="eastAsia"/>
          <w:lang w:val="en-US" w:eastAsia="zh-CN"/>
        </w:rPr>
      </w:pPr>
      <w:r>
        <w:rPr>
          <w:rFonts w:hint="eastAsia"/>
          <w:lang w:val="en-US" w:eastAsia="zh-CN"/>
        </w:rPr>
        <w:t>矿山井下可能会出现各种意外情况，为使出现意外情况时，井下人员能够安全撤出，矿山应在灾害预防和处理计划中规定各类事故的避灾路线。</w:t>
      </w:r>
    </w:p>
    <w:p w14:paraId="299D7AF2">
      <w:pPr>
        <w:pStyle w:val="21"/>
        <w:bidi w:val="0"/>
        <w:rPr>
          <w:rFonts w:hint="eastAsia"/>
          <w:lang w:val="en-US" w:eastAsia="zh-CN"/>
        </w:rPr>
      </w:pPr>
      <w:r>
        <w:rPr>
          <w:rFonts w:hint="eastAsia"/>
          <w:lang w:val="en-US" w:eastAsia="zh-CN"/>
        </w:rPr>
        <w:t>③避灾路线的设置</w:t>
      </w:r>
    </w:p>
    <w:p w14:paraId="62F35B25">
      <w:pPr>
        <w:pStyle w:val="21"/>
        <w:bidi w:val="0"/>
        <w:rPr>
          <w:rFonts w:hint="eastAsia"/>
          <w:lang w:val="en-US" w:eastAsia="zh-CN"/>
        </w:rPr>
      </w:pPr>
      <w:r>
        <w:rPr>
          <w:rFonts w:hint="eastAsia"/>
          <w:lang w:val="en-US" w:eastAsia="zh-CN"/>
        </w:rPr>
        <w:t>避灾路线确定后，按不同灾变事故类别标注各自避灾路线，并附必要地文字说明。</w:t>
      </w:r>
    </w:p>
    <w:p w14:paraId="18524AC5">
      <w:pPr>
        <w:pStyle w:val="21"/>
        <w:bidi w:val="0"/>
        <w:rPr>
          <w:rFonts w:hint="eastAsia"/>
          <w:lang w:val="en-US" w:eastAsia="zh-CN"/>
        </w:rPr>
      </w:pPr>
      <w:r>
        <w:rPr>
          <w:rFonts w:hint="eastAsia"/>
          <w:lang w:val="en-US" w:eastAsia="zh-CN"/>
        </w:rPr>
        <w:t>矿井避灾路线要设置醒目的反光显示标牌，以示标牌，以示避灾人员安全、快捷的到达避灾目的地。</w:t>
      </w:r>
    </w:p>
    <w:p w14:paraId="3EE81087">
      <w:pPr>
        <w:pStyle w:val="21"/>
        <w:bidi w:val="0"/>
        <w:rPr>
          <w:rFonts w:hint="eastAsia"/>
          <w:lang w:val="en-US" w:eastAsia="zh-CN"/>
        </w:rPr>
      </w:pPr>
      <w:r>
        <w:rPr>
          <w:rFonts w:hint="eastAsia"/>
          <w:lang w:val="en-US" w:eastAsia="zh-CN"/>
        </w:rPr>
        <w:t>矿山要将矿井避灾路线图存入微机，当井下发生灾变时，矿山管理人员要及时调出矿井避灾路线图，根据灾变的类型和地点，求解出安全最短撤退时间的最佳撤退路线，指挥井下作业人员快速、有序撤离灾变现场，使人员伤亡事故降至最低限度。</w:t>
      </w:r>
    </w:p>
    <w:p w14:paraId="179BE226">
      <w:pPr>
        <w:pStyle w:val="21"/>
        <w:bidi w:val="0"/>
        <w:rPr>
          <w:rFonts w:hint="default"/>
        </w:rPr>
      </w:pPr>
      <w:r>
        <w:rPr>
          <w:rFonts w:hint="eastAsia"/>
          <w:lang w:val="en-US" w:eastAsia="zh-CN"/>
        </w:rPr>
        <w:t>3、</w:t>
      </w:r>
      <w:r>
        <w:rPr>
          <w:rFonts w:hint="default"/>
        </w:rPr>
        <w:t>自救器</w:t>
      </w:r>
      <w:r>
        <w:rPr>
          <w:rFonts w:hint="eastAsia"/>
          <w:highlight w:val="none"/>
        </w:rPr>
        <w:t>及便携式气体检测仪</w:t>
      </w:r>
    </w:p>
    <w:p w14:paraId="5516C3E2">
      <w:pPr>
        <w:pStyle w:val="21"/>
        <w:bidi w:val="0"/>
        <w:rPr>
          <w:rFonts w:hint="eastAsia"/>
          <w:lang w:val="en-US" w:eastAsia="zh-CN"/>
        </w:rPr>
      </w:pPr>
      <w:r>
        <w:rPr>
          <w:rFonts w:hint="eastAsia"/>
          <w:lang w:val="en-US" w:eastAsia="zh-CN"/>
        </w:rPr>
        <w:t>矿山全矿总下井人员数量共计114人，按全矿总入井人数配备额定防护时间不低于30分钟的自救器114台；最大班作业人员44人，井下紧急避险地点按最大班作业人员1.2倍配备额定防护时间不低于45分钟自救器53台。企业应按总数的10%配备备用自救器，17台备用。</w:t>
      </w:r>
    </w:p>
    <w:p w14:paraId="7023D8CC">
      <w:pPr>
        <w:pStyle w:val="21"/>
        <w:bidi w:val="0"/>
        <w:rPr>
          <w:rFonts w:hint="eastAsia"/>
          <w:lang w:val="en-US" w:eastAsia="zh-CN"/>
        </w:rPr>
      </w:pPr>
      <w:r>
        <w:rPr>
          <w:rFonts w:hint="eastAsia"/>
          <w:lang w:val="en-US" w:eastAsia="zh-CN"/>
        </w:rPr>
        <w:t>设计选用便携式气体检测仪10台，</w:t>
      </w:r>
      <w:r>
        <w:rPr>
          <w:rFonts w:hint="eastAsia"/>
        </w:rPr>
        <w:t>下井工段长、带班长、安全员等人员随身携带</w:t>
      </w:r>
      <w:r>
        <w:rPr>
          <w:rFonts w:hint="eastAsia"/>
          <w:lang w:val="en-US" w:eastAsia="zh-CN"/>
        </w:rPr>
        <w:t>气体检测仪。</w:t>
      </w:r>
    </w:p>
    <w:p w14:paraId="60261559">
      <w:pPr>
        <w:pStyle w:val="21"/>
        <w:bidi w:val="0"/>
        <w:rPr>
          <w:rFonts w:hint="default"/>
        </w:rPr>
      </w:pPr>
      <w:r>
        <w:rPr>
          <w:rFonts w:hint="eastAsia"/>
          <w:lang w:val="en-US" w:eastAsia="zh-CN"/>
        </w:rPr>
        <w:t>人员进入独头掘进工作面和通风不良的采场之前，应开动局部通风设备通风，确保空气质量满足作业要求；人员进入采掘工作面时，应携带便携式气体检测报警仪从进风侧进入，一旦报警应立即撤离。</w:t>
      </w:r>
    </w:p>
    <w:p w14:paraId="35E39001">
      <w:pPr>
        <w:pStyle w:val="21"/>
        <w:bidi w:val="0"/>
        <w:rPr>
          <w:rFonts w:hint="default"/>
        </w:rPr>
      </w:pPr>
      <w:r>
        <w:rPr>
          <w:rFonts w:hint="eastAsia"/>
          <w:lang w:val="en-US" w:eastAsia="zh-CN"/>
        </w:rPr>
        <w:t>4、</w:t>
      </w:r>
      <w:r>
        <w:rPr>
          <w:rFonts w:hint="default"/>
        </w:rPr>
        <w:t>紧急避险系统设置</w:t>
      </w:r>
    </w:p>
    <w:p w14:paraId="32E40E4F">
      <w:pPr>
        <w:pStyle w:val="21"/>
        <w:bidi w:val="0"/>
        <w:rPr>
          <w:rFonts w:hint="default"/>
          <w:lang w:val="en-US" w:eastAsia="zh-CN"/>
        </w:rPr>
      </w:pPr>
      <w:r>
        <w:rPr>
          <w:rFonts w:hint="default"/>
          <w:lang w:eastAsia="zh-CN"/>
        </w:rPr>
        <w:t>根据《金属非金属地下矿山紧急避险系统建设规范》（AQ/T2033-2023）,该矿山矿山水文地质条件简单；矿山地面最低安全出口为斜坡道，井口标高6</w:t>
      </w:r>
      <w:r>
        <w:rPr>
          <w:rFonts w:hint="eastAsia"/>
          <w:lang w:val="en-US" w:eastAsia="zh-CN"/>
        </w:rPr>
        <w:t>3</w:t>
      </w:r>
      <w:r>
        <w:rPr>
          <w:rFonts w:hint="default"/>
          <w:lang w:eastAsia="zh-CN"/>
        </w:rPr>
        <w:t>m。-450m中段与最低安全出口垂直距离超过500m，设计在最低采矿生产中段设置普通型紧急避险硐室。</w:t>
      </w:r>
    </w:p>
    <w:p w14:paraId="6BE71B22">
      <w:pPr>
        <w:pStyle w:val="21"/>
        <w:bidi w:val="0"/>
        <w:rPr>
          <w:rFonts w:hint="eastAsia"/>
          <w:lang w:val="en-US" w:eastAsia="zh-CN"/>
        </w:rPr>
      </w:pPr>
      <w:r>
        <w:rPr>
          <w:rFonts w:hint="eastAsia"/>
          <w:lang w:val="en-US" w:eastAsia="zh-CN"/>
        </w:rPr>
        <w:t>①避灾硐室概述</w:t>
      </w:r>
    </w:p>
    <w:p w14:paraId="3ED2EB7E">
      <w:pPr>
        <w:pStyle w:val="21"/>
        <w:bidi w:val="0"/>
        <w:rPr>
          <w:rFonts w:hint="default"/>
          <w:lang w:val="en-US" w:eastAsia="zh-CN"/>
        </w:rPr>
      </w:pPr>
      <w:r>
        <w:rPr>
          <w:rFonts w:hint="eastAsia"/>
          <w:lang w:val="en-US" w:eastAsia="zh-CN"/>
        </w:rPr>
        <w:t>在矿山井下发生火灾、中毒窒息或坍塌等事故时，为避灾人员安全避险提供生命保障的密闭空间，具有安全防护、通信、照明等基本功能。本次设计采用普通型紧急避险硐室。</w:t>
      </w:r>
    </w:p>
    <w:p w14:paraId="6F0E427B">
      <w:pPr>
        <w:pStyle w:val="21"/>
        <w:bidi w:val="0"/>
        <w:rPr>
          <w:rFonts w:hint="eastAsia"/>
          <w:lang w:val="en-US" w:eastAsia="zh-CN"/>
        </w:rPr>
      </w:pPr>
      <w:r>
        <w:rPr>
          <w:rFonts w:hint="eastAsia"/>
          <w:lang w:val="en-US" w:eastAsia="zh-CN"/>
        </w:rPr>
        <w:t>②避灾硐室的选择</w:t>
      </w:r>
    </w:p>
    <w:p w14:paraId="75DBFF97">
      <w:pPr>
        <w:pStyle w:val="21"/>
        <w:bidi w:val="0"/>
        <w:rPr>
          <w:rFonts w:hint="eastAsia"/>
          <w:lang w:val="en-US" w:eastAsia="zh-CN"/>
        </w:rPr>
      </w:pPr>
      <w:r>
        <w:rPr>
          <w:rFonts w:hint="eastAsia"/>
          <w:lang w:val="en-US" w:eastAsia="zh-CN"/>
        </w:rPr>
        <w:t>在避灾硐室入口处设置指示灯和发声装置，以指明避灾硐室的位置，这些装置安装在避灾硐室外部，但能由内部控制。</w:t>
      </w:r>
    </w:p>
    <w:p w14:paraId="359578BB">
      <w:pPr>
        <w:pStyle w:val="21"/>
        <w:bidi w:val="0"/>
        <w:rPr>
          <w:rFonts w:hint="eastAsia"/>
          <w:lang w:val="en-US" w:eastAsia="zh-CN"/>
        </w:rPr>
      </w:pPr>
      <w:r>
        <w:rPr>
          <w:rFonts w:hint="eastAsia"/>
          <w:lang w:val="en-US" w:eastAsia="zh-CN"/>
        </w:rPr>
        <w:t>避灾硐室硐室周边无异常应力、顶板完整、支护完好，根据矿井避灾路线，同时考虑自救器的有效使用时间，在确保井下灾变时受困人员安全到达的前提下，另行选择合适的位置，确保避灾硐室安全可靠。</w:t>
      </w:r>
    </w:p>
    <w:p w14:paraId="15A9F8CE">
      <w:pPr>
        <w:pStyle w:val="21"/>
        <w:bidi w:val="0"/>
        <w:rPr>
          <w:rFonts w:hint="eastAsia"/>
          <w:lang w:val="en-US" w:eastAsia="zh-CN"/>
        </w:rPr>
      </w:pPr>
      <w:r>
        <w:rPr>
          <w:rFonts w:hint="eastAsia"/>
          <w:lang w:val="en-US" w:eastAsia="zh-CN"/>
        </w:rPr>
        <w:t>③避灾硐室技术要求</w:t>
      </w:r>
    </w:p>
    <w:p w14:paraId="357FCD27">
      <w:pPr>
        <w:pStyle w:val="21"/>
        <w:bidi w:val="0"/>
        <w:rPr>
          <w:rFonts w:hint="eastAsia"/>
          <w:lang w:val="en-US" w:eastAsia="zh-CN"/>
        </w:rPr>
      </w:pPr>
      <w:r>
        <w:rPr>
          <w:rFonts w:hint="eastAsia"/>
          <w:lang w:val="en-US" w:eastAsia="zh-CN"/>
        </w:rPr>
        <w:t>1）净高度应不低于2.0m，每人应有不低于1.0m²的有效使用面积；</w:t>
      </w:r>
    </w:p>
    <w:p w14:paraId="2E9F52A1">
      <w:pPr>
        <w:pStyle w:val="21"/>
        <w:bidi w:val="0"/>
        <w:rPr>
          <w:rFonts w:hint="default"/>
          <w:lang w:val="en-US" w:eastAsia="zh-CN"/>
        </w:rPr>
      </w:pPr>
      <w:r>
        <w:rPr>
          <w:rFonts w:hint="eastAsia"/>
          <w:lang w:val="en-US" w:eastAsia="zh-CN"/>
        </w:rPr>
        <w:t>2）应有不少于额定人数休息的坐凳；</w:t>
      </w:r>
    </w:p>
    <w:p w14:paraId="7248A5BC">
      <w:pPr>
        <w:pStyle w:val="21"/>
        <w:bidi w:val="0"/>
        <w:rPr>
          <w:rFonts w:hint="default"/>
          <w:lang w:val="en-US" w:eastAsia="zh-CN"/>
        </w:rPr>
      </w:pPr>
      <w:r>
        <w:rPr>
          <w:rFonts w:hint="eastAsia"/>
          <w:lang w:val="en-US" w:eastAsia="zh-CN"/>
        </w:rPr>
        <w:t>3）进出口应至少有一道防火门，防火门应向外开启；</w:t>
      </w:r>
    </w:p>
    <w:p w14:paraId="76F0EC38">
      <w:pPr>
        <w:pStyle w:val="21"/>
        <w:bidi w:val="0"/>
        <w:rPr>
          <w:rFonts w:hint="default"/>
          <w:lang w:val="en-US" w:eastAsia="zh-CN"/>
        </w:rPr>
      </w:pPr>
      <w:r>
        <w:rPr>
          <w:rFonts w:hint="eastAsia"/>
          <w:lang w:val="en-US" w:eastAsia="zh-CN"/>
        </w:rPr>
        <w:t>4）应有与矿调度室直通的电话；</w:t>
      </w:r>
    </w:p>
    <w:p w14:paraId="365D80EF">
      <w:pPr>
        <w:pStyle w:val="21"/>
        <w:bidi w:val="0"/>
        <w:rPr>
          <w:rFonts w:hint="default"/>
          <w:lang w:val="en-US" w:eastAsia="zh-CN"/>
        </w:rPr>
      </w:pPr>
      <w:r>
        <w:rPr>
          <w:rFonts w:hint="eastAsia"/>
          <w:lang w:val="en-US" w:eastAsia="zh-CN"/>
        </w:rPr>
        <w:t>5）应有持续时间不少于8h的应急照明；</w:t>
      </w:r>
    </w:p>
    <w:p w14:paraId="2195D1BF">
      <w:pPr>
        <w:pStyle w:val="21"/>
        <w:bidi w:val="0"/>
        <w:rPr>
          <w:rFonts w:hint="default"/>
          <w:lang w:val="en-US" w:eastAsia="zh-CN"/>
        </w:rPr>
      </w:pPr>
      <w:r>
        <w:rPr>
          <w:rFonts w:hint="eastAsia"/>
          <w:lang w:val="en-US" w:eastAsia="zh-CN"/>
        </w:rPr>
        <w:t>6）应有额定人数生存不低于8h所需要的应急食品和饮用水；</w:t>
      </w:r>
    </w:p>
    <w:p w14:paraId="24F49739">
      <w:pPr>
        <w:pStyle w:val="21"/>
        <w:bidi w:val="0"/>
        <w:rPr>
          <w:rFonts w:hint="default"/>
          <w:lang w:val="en-US" w:eastAsia="zh-CN"/>
        </w:rPr>
      </w:pPr>
      <w:r>
        <w:rPr>
          <w:rFonts w:hint="eastAsia"/>
          <w:lang w:val="en-US" w:eastAsia="zh-CN"/>
        </w:rPr>
        <w:t>7）应有急救箱、工具箱、人体排泄物收集处理装置等设施设备；</w:t>
      </w:r>
    </w:p>
    <w:p w14:paraId="013A7773">
      <w:pPr>
        <w:pStyle w:val="21"/>
        <w:bidi w:val="0"/>
        <w:rPr>
          <w:rFonts w:hint="default"/>
          <w:lang w:val="en-US" w:eastAsia="zh-CN"/>
        </w:rPr>
      </w:pPr>
      <w:r>
        <w:rPr>
          <w:rFonts w:hint="eastAsia"/>
          <w:lang w:val="en-US" w:eastAsia="zh-CN"/>
        </w:rPr>
        <w:t>8）应有使用操作说明。</w:t>
      </w:r>
    </w:p>
    <w:p w14:paraId="282CAE68">
      <w:pPr>
        <w:pStyle w:val="21"/>
        <w:bidi w:val="0"/>
        <w:rPr>
          <w:rFonts w:hint="eastAsia"/>
          <w:lang w:val="en-US" w:eastAsia="zh-CN"/>
        </w:rPr>
      </w:pPr>
      <w:r>
        <w:rPr>
          <w:rFonts w:hint="eastAsia"/>
          <w:lang w:val="en-US" w:eastAsia="zh-CN"/>
        </w:rPr>
        <w:t>④硐室结构及尺寸确定</w:t>
      </w:r>
    </w:p>
    <w:p w14:paraId="7BC7652F">
      <w:pPr>
        <w:pStyle w:val="21"/>
        <w:bidi w:val="0"/>
        <w:rPr>
          <w:rFonts w:hint="eastAsia"/>
          <w:lang w:val="en-US" w:eastAsia="zh-CN"/>
        </w:rPr>
      </w:pPr>
      <w:r>
        <w:rPr>
          <w:rFonts w:hint="eastAsia"/>
          <w:lang w:val="en-US" w:eastAsia="zh-CN"/>
        </w:rPr>
        <w:t>硐室与主运输巷道之间设置8m长的通道，通道内设置一道向外开启的防火闭门。</w:t>
      </w:r>
    </w:p>
    <w:p w14:paraId="02EB2A33">
      <w:pPr>
        <w:pStyle w:val="21"/>
        <w:bidi w:val="0"/>
        <w:rPr>
          <w:rFonts w:hint="eastAsia"/>
        </w:rPr>
      </w:pPr>
      <w:r>
        <w:rPr>
          <w:rFonts w:hint="eastAsia"/>
          <w:lang w:val="en-US" w:eastAsia="zh-CN"/>
        </w:rPr>
        <w:t>该矿额定最大避灾人数为44人，依据相关文件按额定避灾人数不低于1m²的有效使用面积计算，避灾硐室有效使用面积不得小于44人×1m²/人＝44m²。考虑5%的富余系数，避灾硐室尺寸定为：10m×5m×3.0m（长×宽×墙净高）。</w:t>
      </w:r>
    </w:p>
    <w:p w14:paraId="01CB25F7">
      <w:pPr>
        <w:pStyle w:val="21"/>
        <w:bidi w:val="0"/>
        <w:rPr>
          <w:rFonts w:hint="eastAsia"/>
          <w:lang w:val="en-US" w:eastAsia="zh-CN"/>
        </w:rPr>
      </w:pPr>
      <w:r>
        <w:rPr>
          <w:rFonts w:hint="eastAsia"/>
          <w:lang w:val="en-US" w:eastAsia="zh-CN"/>
        </w:rPr>
        <w:t>避灾硐室顶板安装防水设施，硐室地面高于外部巷道底板0.5m以上。</w:t>
      </w:r>
    </w:p>
    <w:p w14:paraId="65CF7BFF">
      <w:pPr>
        <w:pStyle w:val="21"/>
        <w:bidi w:val="0"/>
        <w:rPr>
          <w:rFonts w:hint="eastAsia"/>
          <w:lang w:val="en-US" w:eastAsia="zh-CN"/>
        </w:rPr>
      </w:pPr>
      <w:r>
        <w:rPr>
          <w:rFonts w:hint="eastAsia"/>
          <w:lang w:val="en-US" w:eastAsia="zh-CN"/>
        </w:rPr>
        <w:t>⑤避灾硐室断面形状及支护形式</w:t>
      </w:r>
    </w:p>
    <w:p w14:paraId="33966D94">
      <w:pPr>
        <w:pStyle w:val="21"/>
        <w:bidi w:val="0"/>
        <w:rPr>
          <w:rFonts w:hint="eastAsia"/>
          <w:lang w:val="en-US" w:eastAsia="zh-CN"/>
        </w:rPr>
      </w:pPr>
      <w:r>
        <w:rPr>
          <w:rFonts w:hint="eastAsia"/>
          <w:lang w:val="en-US" w:eastAsia="zh-CN"/>
        </w:rPr>
        <w:t>1）硐室断面形状</w:t>
      </w:r>
    </w:p>
    <w:p w14:paraId="1AE31D5A">
      <w:pPr>
        <w:pStyle w:val="21"/>
        <w:bidi w:val="0"/>
        <w:rPr>
          <w:rFonts w:hint="eastAsia"/>
          <w:lang w:val="en-US" w:eastAsia="zh-CN"/>
        </w:rPr>
      </w:pPr>
      <w:r>
        <w:rPr>
          <w:rFonts w:hint="eastAsia"/>
          <w:lang w:val="en-US" w:eastAsia="zh-CN"/>
        </w:rPr>
        <w:t>根据硐室的尺寸，结合围岩条件及地压情况，同时考虑空间的有效利用程度，避灾硐室的开凿形状采用圆形拱。</w:t>
      </w:r>
    </w:p>
    <w:p w14:paraId="67A71FDA">
      <w:pPr>
        <w:pStyle w:val="21"/>
        <w:bidi w:val="0"/>
        <w:rPr>
          <w:rFonts w:hint="eastAsia"/>
          <w:lang w:val="en-US" w:eastAsia="zh-CN"/>
        </w:rPr>
      </w:pPr>
      <w:r>
        <w:rPr>
          <w:rFonts w:hint="eastAsia"/>
          <w:lang w:val="en-US" w:eastAsia="zh-CN"/>
        </w:rPr>
        <w:t>2）硐室支护方式及材料</w:t>
      </w:r>
    </w:p>
    <w:p w14:paraId="16F8AE5A">
      <w:pPr>
        <w:pStyle w:val="21"/>
        <w:bidi w:val="0"/>
        <w:rPr>
          <w:rFonts w:hint="eastAsia"/>
          <w:lang w:val="en-US" w:eastAsia="zh-CN"/>
        </w:rPr>
      </w:pPr>
      <w:r>
        <w:rPr>
          <w:rFonts w:hint="eastAsia"/>
          <w:lang w:val="en-US" w:eastAsia="zh-CN"/>
        </w:rPr>
        <w:t>硐室采用锚喷支护，支护材料应满足强度要求，其具有阻燃、抗静电、耐高温、耐腐蚀。</w:t>
      </w:r>
    </w:p>
    <w:p w14:paraId="1DC21EB4">
      <w:pPr>
        <w:pStyle w:val="21"/>
        <w:bidi w:val="0"/>
        <w:rPr>
          <w:rFonts w:hint="eastAsia"/>
          <w:lang w:val="en-US" w:eastAsia="zh-CN"/>
        </w:rPr>
      </w:pPr>
      <w:r>
        <w:rPr>
          <w:rFonts w:hint="eastAsia"/>
          <w:lang w:val="en-US" w:eastAsia="zh-CN"/>
        </w:rPr>
        <w:t>围岩稳固性较差时，可采用钢筋混凝土砌碹。混凝土砌碹或钢筋混凝土支护时，其混凝土强度不低于C30。硐室顶板和墙壁的颜色宜为浅色，以减轻受困人员的心理压力。</w:t>
      </w:r>
    </w:p>
    <w:p w14:paraId="614F4820">
      <w:pPr>
        <w:pStyle w:val="21"/>
        <w:bidi w:val="0"/>
        <w:rPr>
          <w:rFonts w:hint="eastAsia"/>
          <w:lang w:val="en-US" w:eastAsia="zh-CN"/>
        </w:rPr>
      </w:pPr>
      <w:r>
        <w:rPr>
          <w:rFonts w:hint="eastAsia"/>
          <w:lang w:val="en-US" w:eastAsia="zh-CN"/>
        </w:rPr>
        <w:t>⑥避灾硐室内设施</w:t>
      </w:r>
    </w:p>
    <w:p w14:paraId="6642D05C">
      <w:pPr>
        <w:pStyle w:val="21"/>
        <w:bidi w:val="0"/>
        <w:rPr>
          <w:rFonts w:hint="eastAsia"/>
          <w:lang w:val="en-US" w:eastAsia="zh-CN"/>
        </w:rPr>
      </w:pPr>
      <w:r>
        <w:rPr>
          <w:rFonts w:hint="eastAsia"/>
          <w:lang w:val="en-US" w:eastAsia="zh-CN"/>
        </w:rPr>
        <w:t>避灾硐室内按额定避难人数配备8h生存所需的压缩干粮13kg（热量：20992KJ/kg，保质期4年）、8h生存所需的矿泉水77L（保质期1年）。上述食品均符合食品卫生有关规定。</w:t>
      </w:r>
    </w:p>
    <w:p w14:paraId="2E5FEE0F">
      <w:pPr>
        <w:pStyle w:val="21"/>
        <w:bidi w:val="0"/>
        <w:rPr>
          <w:rFonts w:hint="eastAsia"/>
          <w:lang w:val="en-US" w:eastAsia="zh-CN"/>
        </w:rPr>
      </w:pPr>
      <w:r>
        <w:rPr>
          <w:rFonts w:hint="eastAsia"/>
          <w:lang w:val="en-US" w:eastAsia="zh-CN"/>
        </w:rPr>
        <w:t>避灾硐室内设置矿用荧光灯4盏，备用2盏，持续照明时间不少于8h。</w:t>
      </w:r>
    </w:p>
    <w:p w14:paraId="70E3C099">
      <w:pPr>
        <w:pStyle w:val="21"/>
        <w:numPr>
          <w:ilvl w:val="0"/>
          <w:numId w:val="21"/>
        </w:numPr>
        <w:bidi w:val="0"/>
        <w:rPr>
          <w:rFonts w:hint="default"/>
          <w:lang w:val="en-US" w:eastAsia="zh-CN"/>
        </w:rPr>
      </w:pPr>
      <w:r>
        <w:rPr>
          <w:rFonts w:hint="default"/>
          <w:lang w:val="en-US" w:eastAsia="zh-CN"/>
        </w:rPr>
        <w:t>压风自救系统</w:t>
      </w:r>
    </w:p>
    <w:p w14:paraId="284640B6">
      <w:pPr>
        <w:pStyle w:val="21"/>
        <w:bidi w:val="0"/>
        <w:rPr>
          <w:rFonts w:hint="default"/>
          <w:lang w:val="en-US" w:eastAsia="zh-CN"/>
        </w:rPr>
      </w:pPr>
      <w:r>
        <w:rPr>
          <w:rFonts w:hint="eastAsia"/>
          <w:lang w:val="en-US" w:eastAsia="zh-CN"/>
        </w:rPr>
        <w:t>1、</w:t>
      </w:r>
      <w:r>
        <w:rPr>
          <w:rFonts w:hint="default"/>
          <w:lang w:val="en-US" w:eastAsia="zh-CN"/>
        </w:rPr>
        <w:t>系统构成</w:t>
      </w:r>
    </w:p>
    <w:p w14:paraId="09DBECED">
      <w:pPr>
        <w:pStyle w:val="21"/>
        <w:bidi w:val="0"/>
        <w:rPr>
          <w:rFonts w:hint="default"/>
          <w:lang w:val="en-US" w:eastAsia="zh-CN"/>
        </w:rPr>
      </w:pPr>
      <w:r>
        <w:rPr>
          <w:rFonts w:hint="eastAsia"/>
        </w:rPr>
        <w:t>压风自救系统是在矿山发生灾变时，为井下提供新鲜风流的系统，包括空气压缩机、送气管路、</w:t>
      </w:r>
      <w:r>
        <w:rPr>
          <w:rFonts w:hint="eastAsia"/>
          <w:lang w:val="en-US" w:eastAsia="zh-CN"/>
        </w:rPr>
        <w:t>供气</w:t>
      </w:r>
      <w:r>
        <w:rPr>
          <w:rFonts w:hint="eastAsia"/>
        </w:rPr>
        <w:t>阀门、油水分离器、压风自救装置等。压风自救系统与生产压风系统共用。</w:t>
      </w:r>
    </w:p>
    <w:p w14:paraId="2B6FEBB4">
      <w:pPr>
        <w:pStyle w:val="21"/>
        <w:bidi w:val="0"/>
        <w:rPr>
          <w:rFonts w:hint="eastAsia"/>
          <w:lang w:val="en-US" w:eastAsia="zh-CN"/>
        </w:rPr>
      </w:pPr>
      <w:r>
        <w:rPr>
          <w:rFonts w:hint="eastAsia"/>
          <w:lang w:val="en-US" w:eastAsia="zh-CN"/>
        </w:rPr>
        <w:t>2、空压机、压风自救装置及管道</w:t>
      </w:r>
    </w:p>
    <w:p w14:paraId="3A583D80">
      <w:pPr>
        <w:pStyle w:val="21"/>
        <w:bidi w:val="0"/>
        <w:rPr>
          <w:rFonts w:hint="eastAsia"/>
          <w:lang w:val="en-US" w:eastAsia="zh-CN"/>
        </w:rPr>
      </w:pPr>
      <w:r>
        <w:rPr>
          <w:rFonts w:hint="eastAsia"/>
          <w:lang w:val="en-US" w:eastAsia="zh-CN"/>
        </w:rPr>
        <w:t>①空压机</w:t>
      </w:r>
    </w:p>
    <w:p w14:paraId="4D42CA72">
      <w:pPr>
        <w:pStyle w:val="21"/>
        <w:bidi w:val="0"/>
        <w:rPr>
          <w:rFonts w:hint="eastAsia"/>
        </w:rPr>
      </w:pPr>
      <w:r>
        <w:rPr>
          <w:rFonts w:hint="eastAsia"/>
        </w:rPr>
        <w:t>空压机采用生产用空压机，并能在10min内启动，空压机的风量满足紧急避险要求。每人每分钟需风量为0.3m³（按避险硐室的供风量计算）。根据单班入井最多人数44人计，空压机的风量应大于15.84m³/min。</w:t>
      </w:r>
    </w:p>
    <w:p w14:paraId="48B678E5">
      <w:pPr>
        <w:pStyle w:val="21"/>
        <w:bidi w:val="0"/>
        <w:rPr>
          <w:rFonts w:hint="eastAsia"/>
          <w:lang w:val="en-US" w:eastAsia="zh-CN"/>
        </w:rPr>
      </w:pPr>
      <w:r>
        <w:rPr>
          <w:rFonts w:hint="eastAsia"/>
          <w:lang w:val="en-US" w:eastAsia="zh-CN"/>
        </w:rPr>
        <w:t>设计现有1台SA200A/10螺杆空气压缩机工作，新增1台SA75螺杆空气压缩机备用。总排气量为30.2m³/min，满足要求。</w:t>
      </w:r>
    </w:p>
    <w:p w14:paraId="7B028E06">
      <w:pPr>
        <w:pStyle w:val="21"/>
        <w:bidi w:val="0"/>
        <w:rPr>
          <w:rFonts w:hint="eastAsia"/>
          <w:lang w:val="en-US" w:eastAsia="zh-CN"/>
        </w:rPr>
      </w:pPr>
      <w:r>
        <w:rPr>
          <w:rFonts w:hint="eastAsia"/>
          <w:lang w:val="en-US" w:eastAsia="zh-CN"/>
        </w:rPr>
        <w:t>②压风自救装置</w:t>
      </w:r>
    </w:p>
    <w:p w14:paraId="41C72F08">
      <w:pPr>
        <w:pStyle w:val="21"/>
        <w:bidi w:val="0"/>
        <w:rPr>
          <w:rFonts w:hint="eastAsia"/>
          <w:lang w:val="en-US" w:eastAsia="zh-CN"/>
        </w:rPr>
      </w:pPr>
      <w:r>
        <w:rPr>
          <w:rFonts w:hint="eastAsia"/>
        </w:rPr>
        <w:t>压风自救装置一组有6个出口，可供6人同时使用，产品符合《矿井压风自救装置技术条件》（MT390－1995）标准的要求，装置具有减压、节流、消噪声、过滤和开关等功能。压力调节范围：0.05～0.1MPa，消噪能力：＜85dB（A），防护方法：半面罩。</w:t>
      </w:r>
    </w:p>
    <w:p w14:paraId="4EE6BE75">
      <w:pPr>
        <w:pStyle w:val="21"/>
        <w:bidi w:val="0"/>
        <w:rPr>
          <w:rFonts w:hint="default"/>
        </w:rPr>
      </w:pPr>
      <w:r>
        <w:rPr>
          <w:rFonts w:hint="eastAsia"/>
          <w:lang w:val="en-US" w:eastAsia="zh-CN"/>
        </w:rPr>
        <w:t>③</w:t>
      </w:r>
      <w:r>
        <w:rPr>
          <w:rFonts w:hint="default"/>
        </w:rPr>
        <w:t>压风管道</w:t>
      </w:r>
    </w:p>
    <w:p w14:paraId="179353F9">
      <w:pPr>
        <w:pStyle w:val="21"/>
        <w:bidi w:val="0"/>
        <w:rPr>
          <w:rFonts w:hint="default"/>
          <w:lang w:eastAsia="zh-CN"/>
        </w:rPr>
      </w:pPr>
      <w:r>
        <w:rPr>
          <w:rFonts w:hint="eastAsia"/>
          <w:lang w:eastAsia="zh-CN"/>
        </w:rPr>
        <w:t>设计压风管道与现生产供风管道共用，压风管道</w:t>
      </w:r>
      <w:r>
        <w:rPr>
          <w:rFonts w:hint="eastAsia"/>
          <w:lang w:val="en-US" w:eastAsia="zh-CN"/>
        </w:rPr>
        <w:t>通</w:t>
      </w:r>
      <w:r>
        <w:rPr>
          <w:rFonts w:hint="eastAsia"/>
          <w:lang w:eastAsia="zh-CN"/>
        </w:rPr>
        <w:t>压风自救装置的连接可采用高压阻燃软管。</w:t>
      </w:r>
    </w:p>
    <w:p w14:paraId="20E93B39">
      <w:pPr>
        <w:pStyle w:val="21"/>
        <w:keepNext w:val="0"/>
        <w:keepLines w:val="0"/>
        <w:pageBreakBefore w:val="0"/>
        <w:widowControl w:val="0"/>
        <w:kinsoku/>
        <w:wordWrap/>
        <w:overflowPunct/>
        <w:topLinePunct w:val="0"/>
        <w:autoSpaceDE/>
        <w:autoSpaceDN/>
        <w:bidi w:val="0"/>
        <w:adjustRightInd w:val="0"/>
        <w:snapToGrid w:val="0"/>
        <w:textAlignment w:val="auto"/>
        <w:rPr>
          <w:rFonts w:hint="eastAsia"/>
          <w:lang w:val="en-US" w:eastAsia="zh-CN"/>
        </w:rPr>
      </w:pPr>
      <w:r>
        <w:rPr>
          <w:rFonts w:hint="eastAsia"/>
          <w:lang w:val="en-US" w:eastAsia="zh-CN"/>
        </w:rPr>
        <w:t>3、供气阀门、压风自救装置安装位置</w:t>
      </w:r>
    </w:p>
    <w:p w14:paraId="552087BF">
      <w:pPr>
        <w:pStyle w:val="21"/>
        <w:bidi w:val="0"/>
        <w:rPr>
          <w:rFonts w:hint="eastAsia"/>
          <w:lang w:val="en-US" w:eastAsia="zh-CN"/>
        </w:rPr>
      </w:pPr>
      <w:r>
        <w:rPr>
          <w:rFonts w:hint="eastAsia"/>
          <w:lang w:val="en-US" w:eastAsia="zh-CN"/>
        </w:rPr>
        <w:t>①压风管道敷设应牢固平直，并延伸到井下采掘作业场所、紧急避险设施、爆破时撤离人员集中地点等主要地点。</w:t>
      </w:r>
    </w:p>
    <w:p w14:paraId="4343A62B">
      <w:pPr>
        <w:pStyle w:val="21"/>
        <w:bidi w:val="0"/>
        <w:rPr>
          <w:rFonts w:hint="eastAsia"/>
          <w:lang w:val="en-US" w:eastAsia="zh-CN"/>
        </w:rPr>
      </w:pPr>
      <w:r>
        <w:rPr>
          <w:rFonts w:hint="eastAsia"/>
          <w:lang w:val="en-US" w:eastAsia="zh-CN"/>
        </w:rPr>
        <w:t>②各主要生产中段和分段进风巷道的压风管路上设施的供气阀门，中段和分段间隔应不大于200m。</w:t>
      </w:r>
    </w:p>
    <w:p w14:paraId="348C05BE">
      <w:pPr>
        <w:pStyle w:val="21"/>
        <w:bidi w:val="0"/>
        <w:rPr>
          <w:rFonts w:hint="eastAsia"/>
          <w:lang w:val="en-US" w:eastAsia="zh-CN"/>
        </w:rPr>
      </w:pPr>
      <w:r>
        <w:rPr>
          <w:rFonts w:hint="eastAsia"/>
          <w:lang w:val="en-US" w:eastAsia="zh-CN"/>
        </w:rPr>
        <w:t>③独头掘进巷道距掘进工作面不大于100m处的压风管道上应安设一组供气阀门，相邻两组供气阀门安设间距应不大于200m。每组压风自救装置应可供5人～8人使用，平均每人空气供给量应不小于0.1m³/min。</w:t>
      </w:r>
    </w:p>
    <w:p w14:paraId="7D346E17">
      <w:pPr>
        <w:pStyle w:val="21"/>
        <w:bidi w:val="0"/>
        <w:rPr>
          <w:rFonts w:hint="eastAsia"/>
          <w:lang w:val="en-US" w:eastAsia="zh-CN"/>
        </w:rPr>
      </w:pPr>
      <w:r>
        <w:rPr>
          <w:rFonts w:hint="eastAsia"/>
          <w:lang w:val="en-US" w:eastAsia="zh-CN"/>
        </w:rPr>
        <w:t>④爆破时撤离人员集中地点的压风管道上应安设一组供气阀门。</w:t>
      </w:r>
    </w:p>
    <w:p w14:paraId="62D8239A">
      <w:pPr>
        <w:pStyle w:val="21"/>
        <w:bidi w:val="0"/>
        <w:rPr>
          <w:rFonts w:hint="eastAsia"/>
          <w:lang w:val="en-US" w:eastAsia="zh-CN"/>
        </w:rPr>
      </w:pPr>
      <w:r>
        <w:rPr>
          <w:rFonts w:hint="eastAsia"/>
          <w:lang w:val="en-US" w:eastAsia="zh-CN"/>
        </w:rPr>
        <w:t>⑤压风管道应接入紧急避险设施内，并设施供气阀门，接入的矿井压风管路应设减压、消音、过滤装置和控制阀，压风出口压力应为0.1MPa，供风量每人应不小于0.3m³/min，连续噪声应不大于70dB(A)。</w:t>
      </w:r>
    </w:p>
    <w:p w14:paraId="6BD34447">
      <w:pPr>
        <w:pStyle w:val="21"/>
        <w:bidi w:val="0"/>
        <w:rPr>
          <w:rFonts w:hint="eastAsia"/>
          <w:lang w:val="en-US" w:eastAsia="zh-CN"/>
        </w:rPr>
      </w:pPr>
      <w:r>
        <w:rPr>
          <w:rFonts w:hint="eastAsia"/>
          <w:lang w:val="en-US" w:eastAsia="zh-CN"/>
        </w:rPr>
        <w:t>⑥压风自救装置、供气阀门安装地点应宽敞、稳固，安装位置应便于避灾人员使用；阀门应开关灵活。</w:t>
      </w:r>
    </w:p>
    <w:p w14:paraId="4D1E6820">
      <w:pPr>
        <w:pStyle w:val="21"/>
        <w:bidi w:val="0"/>
        <w:rPr>
          <w:rFonts w:hint="eastAsia"/>
          <w:lang w:val="en-US" w:eastAsia="zh-CN"/>
        </w:rPr>
      </w:pPr>
      <w:r>
        <w:rPr>
          <w:rFonts w:hint="eastAsia"/>
          <w:lang w:val="en-US" w:eastAsia="zh-CN"/>
        </w:rPr>
        <w:t>⑦主压风管道中应安装油水分离器。</w:t>
      </w:r>
    </w:p>
    <w:p w14:paraId="4CB60733">
      <w:pPr>
        <w:pStyle w:val="21"/>
        <w:bidi w:val="0"/>
        <w:rPr>
          <w:rFonts w:hint="eastAsia"/>
          <w:lang w:val="en-US" w:eastAsia="zh-CN"/>
        </w:rPr>
      </w:pPr>
      <w:r>
        <w:rPr>
          <w:rFonts w:hint="eastAsia"/>
          <w:lang w:val="en-US" w:eastAsia="zh-CN"/>
        </w:rPr>
        <w:t>⑧压风自救系统管道颜色应符合GB7231的规定。</w:t>
      </w:r>
    </w:p>
    <w:p w14:paraId="539C6878">
      <w:pPr>
        <w:pStyle w:val="21"/>
        <w:bidi w:val="0"/>
        <w:rPr>
          <w:rFonts w:hint="eastAsia"/>
          <w:lang w:val="en-US" w:eastAsia="zh-CN"/>
        </w:rPr>
      </w:pPr>
      <w:r>
        <w:rPr>
          <w:rFonts w:hint="eastAsia"/>
          <w:lang w:val="en-US" w:eastAsia="zh-CN"/>
        </w:rPr>
        <w:t>⑨压风自救系统安装完毕，经验收合格后方可投入使用。</w:t>
      </w:r>
    </w:p>
    <w:p w14:paraId="795E1C17">
      <w:pPr>
        <w:pStyle w:val="21"/>
        <w:keepNext w:val="0"/>
        <w:keepLines w:val="0"/>
        <w:pageBreakBefore w:val="0"/>
        <w:widowControl w:val="0"/>
        <w:kinsoku/>
        <w:wordWrap/>
        <w:overflowPunct/>
        <w:topLinePunct w:val="0"/>
        <w:autoSpaceDE/>
        <w:autoSpaceDN/>
        <w:bidi w:val="0"/>
        <w:adjustRightInd w:val="0"/>
        <w:snapToGrid w:val="0"/>
        <w:textAlignment w:val="auto"/>
        <w:rPr>
          <w:rFonts w:hint="eastAsia"/>
          <w:lang w:val="en-US" w:eastAsia="zh-CN"/>
        </w:rPr>
      </w:pPr>
      <w:r>
        <w:rPr>
          <w:rFonts w:hint="eastAsia"/>
          <w:lang w:val="en-US" w:eastAsia="zh-CN"/>
        </w:rPr>
        <w:t>4、油水分离器安装位置及使用要求</w:t>
      </w:r>
    </w:p>
    <w:p w14:paraId="3DDD4B4D">
      <w:pPr>
        <w:pStyle w:val="21"/>
        <w:bidi w:val="0"/>
        <w:rPr>
          <w:rFonts w:hint="eastAsia"/>
          <w:lang w:val="en-US" w:eastAsia="zh-CN"/>
        </w:rPr>
      </w:pPr>
      <w:r>
        <w:rPr>
          <w:rFonts w:hint="eastAsia"/>
          <w:lang w:val="en-US" w:eastAsia="zh-CN"/>
        </w:rPr>
        <w:t>在压风管道的主管道上安装油水分离器，油水分离器的安装、维护、检修按说明书、规范操作。具体注意以下几点：</w:t>
      </w:r>
    </w:p>
    <w:p w14:paraId="68C09717">
      <w:pPr>
        <w:pStyle w:val="21"/>
        <w:bidi w:val="0"/>
        <w:rPr>
          <w:rFonts w:hint="eastAsia"/>
          <w:lang w:val="en-US" w:eastAsia="zh-CN"/>
        </w:rPr>
      </w:pPr>
      <w:r>
        <w:rPr>
          <w:rFonts w:hint="eastAsia"/>
          <w:lang w:val="en-US" w:eastAsia="zh-CN"/>
        </w:rPr>
        <w:t xml:space="preserve">①装置要正确安装，并要有资质的操作工按照操作指南进行调试和维护，才能使其安全运行； </w:t>
      </w:r>
    </w:p>
    <w:p w14:paraId="39234F21">
      <w:pPr>
        <w:pStyle w:val="21"/>
        <w:bidi w:val="0"/>
        <w:rPr>
          <w:rFonts w:hint="eastAsia"/>
          <w:lang w:val="en-US" w:eastAsia="zh-CN"/>
        </w:rPr>
      </w:pPr>
      <w:r>
        <w:rPr>
          <w:rFonts w:hint="eastAsia"/>
          <w:lang w:val="en-US" w:eastAsia="zh-CN"/>
        </w:rPr>
        <w:t xml:space="preserve">②安装维修时不关闭隔离阀将对系统的部件造成损害，对人体造成伤害，确保隔离阀关闭，避免系统的冲击； </w:t>
      </w:r>
    </w:p>
    <w:p w14:paraId="03795927">
      <w:pPr>
        <w:pStyle w:val="21"/>
        <w:bidi w:val="0"/>
        <w:rPr>
          <w:rFonts w:hint="eastAsia"/>
          <w:lang w:val="en-US" w:eastAsia="zh-CN"/>
        </w:rPr>
      </w:pPr>
      <w:r>
        <w:rPr>
          <w:rFonts w:hint="eastAsia"/>
          <w:lang w:val="en-US" w:eastAsia="zh-CN"/>
        </w:rPr>
        <w:t>③压力：维护维修时要考虑油水分离器管道中是否有介质，要确保压力介质已被隔离并且安全气道已通向大气，即使压力表指示为零也不要认为系统以排空；</w:t>
      </w:r>
    </w:p>
    <w:p w14:paraId="6506CA3C">
      <w:pPr>
        <w:pStyle w:val="21"/>
        <w:bidi w:val="0"/>
        <w:rPr>
          <w:rFonts w:hint="eastAsia"/>
          <w:lang w:val="en-US" w:eastAsia="zh-CN"/>
        </w:rPr>
      </w:pPr>
      <w:r>
        <w:rPr>
          <w:rFonts w:hint="eastAsia"/>
          <w:lang w:val="en-US" w:eastAsia="zh-CN"/>
        </w:rPr>
        <w:t>④温度：关闭隔离阀后要有一段时间，使操作部位接近常温，避免烫伤；</w:t>
      </w:r>
    </w:p>
    <w:p w14:paraId="7FFF8977">
      <w:pPr>
        <w:pStyle w:val="21"/>
        <w:bidi w:val="0"/>
        <w:rPr>
          <w:rFonts w:hint="eastAsia"/>
          <w:lang w:val="en-US" w:eastAsia="zh-CN"/>
        </w:rPr>
      </w:pPr>
      <w:r>
        <w:rPr>
          <w:rFonts w:hint="eastAsia"/>
          <w:lang w:val="en-US" w:eastAsia="zh-CN"/>
        </w:rPr>
        <w:t>⑤定期排放油水分离器中的油和水。</w:t>
      </w:r>
    </w:p>
    <w:p w14:paraId="67069BB6">
      <w:pPr>
        <w:pStyle w:val="30"/>
        <w:bidi w:val="0"/>
        <w:rPr>
          <w:rFonts w:hint="default"/>
        </w:rPr>
      </w:pPr>
      <w:r>
        <w:rPr>
          <w:rFonts w:hint="eastAsia"/>
          <w:lang w:val="en-US" w:eastAsia="zh-CN"/>
        </w:rPr>
        <w:t xml:space="preserve">表2.4-9  </w:t>
      </w:r>
      <w:r>
        <w:rPr>
          <w:rFonts w:hint="default"/>
        </w:rPr>
        <w:t>压风自救系统</w:t>
      </w:r>
    </w:p>
    <w:tbl>
      <w:tblPr>
        <w:tblStyle w:val="24"/>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1"/>
        <w:gridCol w:w="2401"/>
        <w:gridCol w:w="3088"/>
        <w:gridCol w:w="1011"/>
        <w:gridCol w:w="1011"/>
      </w:tblGrid>
      <w:tr w14:paraId="4561E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1" w:type="dxa"/>
            <w:shd w:val="clear" w:color="auto" w:fill="auto"/>
            <w:vAlign w:val="center"/>
          </w:tcPr>
          <w:p w14:paraId="316C58AA">
            <w:pPr>
              <w:pStyle w:val="31"/>
              <w:bidi w:val="0"/>
              <w:rPr>
                <w:rFonts w:hint="eastAsia"/>
              </w:rPr>
            </w:pPr>
            <w:r>
              <w:rPr>
                <w:rFonts w:hint="eastAsia"/>
              </w:rPr>
              <w:t>序号</w:t>
            </w:r>
          </w:p>
        </w:tc>
        <w:tc>
          <w:tcPr>
            <w:tcW w:w="2401" w:type="dxa"/>
            <w:shd w:val="clear" w:color="auto" w:fill="auto"/>
            <w:vAlign w:val="center"/>
          </w:tcPr>
          <w:p w14:paraId="297511F9">
            <w:pPr>
              <w:pStyle w:val="31"/>
              <w:bidi w:val="0"/>
              <w:rPr>
                <w:rFonts w:hint="eastAsia"/>
              </w:rPr>
            </w:pPr>
            <w:r>
              <w:rPr>
                <w:rFonts w:hint="eastAsia"/>
              </w:rPr>
              <w:t>名称</w:t>
            </w:r>
          </w:p>
        </w:tc>
        <w:tc>
          <w:tcPr>
            <w:tcW w:w="3088" w:type="dxa"/>
            <w:shd w:val="clear" w:color="auto" w:fill="auto"/>
            <w:vAlign w:val="center"/>
          </w:tcPr>
          <w:p w14:paraId="552AF7B1">
            <w:pPr>
              <w:pStyle w:val="31"/>
              <w:bidi w:val="0"/>
              <w:rPr>
                <w:rFonts w:hint="eastAsia"/>
              </w:rPr>
            </w:pPr>
            <w:r>
              <w:rPr>
                <w:rFonts w:hint="eastAsia"/>
              </w:rPr>
              <w:t>型　号</w:t>
            </w:r>
          </w:p>
        </w:tc>
        <w:tc>
          <w:tcPr>
            <w:tcW w:w="1011" w:type="dxa"/>
            <w:shd w:val="clear" w:color="auto" w:fill="auto"/>
            <w:vAlign w:val="center"/>
          </w:tcPr>
          <w:p w14:paraId="4E650EB7">
            <w:pPr>
              <w:pStyle w:val="31"/>
              <w:bidi w:val="0"/>
              <w:rPr>
                <w:rFonts w:hint="eastAsia"/>
              </w:rPr>
            </w:pPr>
            <w:r>
              <w:rPr>
                <w:rFonts w:hint="eastAsia"/>
              </w:rPr>
              <w:t>数量</w:t>
            </w:r>
          </w:p>
        </w:tc>
        <w:tc>
          <w:tcPr>
            <w:tcW w:w="1011" w:type="dxa"/>
            <w:shd w:val="clear" w:color="auto" w:fill="auto"/>
            <w:vAlign w:val="center"/>
          </w:tcPr>
          <w:p w14:paraId="43E20B20">
            <w:pPr>
              <w:pStyle w:val="31"/>
              <w:bidi w:val="0"/>
              <w:rPr>
                <w:rFonts w:hint="eastAsia"/>
              </w:rPr>
            </w:pPr>
            <w:r>
              <w:rPr>
                <w:rFonts w:hint="eastAsia"/>
              </w:rPr>
              <w:t>单位</w:t>
            </w:r>
          </w:p>
        </w:tc>
      </w:tr>
      <w:tr w14:paraId="01EC4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trPr>
        <w:tc>
          <w:tcPr>
            <w:tcW w:w="1011" w:type="dxa"/>
            <w:vMerge w:val="restart"/>
            <w:shd w:val="clear" w:color="auto" w:fill="auto"/>
            <w:vAlign w:val="center"/>
          </w:tcPr>
          <w:p w14:paraId="56244D9C">
            <w:pPr>
              <w:pStyle w:val="31"/>
              <w:bidi w:val="0"/>
              <w:rPr>
                <w:rFonts w:hint="eastAsia"/>
              </w:rPr>
            </w:pPr>
            <w:r>
              <w:rPr>
                <w:rFonts w:hint="eastAsia"/>
              </w:rPr>
              <w:t>1</w:t>
            </w:r>
          </w:p>
        </w:tc>
        <w:tc>
          <w:tcPr>
            <w:tcW w:w="2401" w:type="dxa"/>
            <w:vMerge w:val="restart"/>
            <w:shd w:val="clear" w:color="auto" w:fill="auto"/>
            <w:vAlign w:val="center"/>
          </w:tcPr>
          <w:p w14:paraId="0FF0706E">
            <w:pPr>
              <w:pStyle w:val="31"/>
              <w:bidi w:val="0"/>
              <w:rPr>
                <w:rFonts w:hint="eastAsia"/>
              </w:rPr>
            </w:pPr>
            <w:r>
              <w:rPr>
                <w:rFonts w:hint="eastAsia"/>
              </w:rPr>
              <w:t>空压机</w:t>
            </w:r>
          </w:p>
        </w:tc>
        <w:tc>
          <w:tcPr>
            <w:tcW w:w="3088" w:type="dxa"/>
            <w:shd w:val="clear" w:color="auto" w:fill="auto"/>
            <w:vAlign w:val="center"/>
          </w:tcPr>
          <w:p w14:paraId="7D253955">
            <w:pPr>
              <w:pStyle w:val="31"/>
              <w:bidi w:val="0"/>
              <w:rPr>
                <w:rFonts w:hint="eastAsia"/>
                <w:lang w:val="en-US" w:eastAsia="zh-CN"/>
              </w:rPr>
            </w:pPr>
            <w:r>
              <w:rPr>
                <w:rFonts w:hint="eastAsia"/>
                <w:lang w:val="en-US" w:eastAsia="zh-CN"/>
              </w:rPr>
              <w:t>SA200A/10</w:t>
            </w:r>
          </w:p>
        </w:tc>
        <w:tc>
          <w:tcPr>
            <w:tcW w:w="1011" w:type="dxa"/>
            <w:shd w:val="clear" w:color="auto" w:fill="auto"/>
            <w:vAlign w:val="center"/>
          </w:tcPr>
          <w:p w14:paraId="009DEE10">
            <w:pPr>
              <w:pStyle w:val="31"/>
              <w:bidi w:val="0"/>
              <w:rPr>
                <w:rFonts w:hint="default"/>
                <w:lang w:val="en-US" w:eastAsia="zh-CN"/>
              </w:rPr>
            </w:pPr>
            <w:r>
              <w:rPr>
                <w:rFonts w:hint="eastAsia"/>
                <w:lang w:val="en-US" w:eastAsia="zh-CN"/>
              </w:rPr>
              <w:t>1</w:t>
            </w:r>
          </w:p>
        </w:tc>
        <w:tc>
          <w:tcPr>
            <w:tcW w:w="1011" w:type="dxa"/>
            <w:shd w:val="clear" w:color="auto" w:fill="auto"/>
            <w:vAlign w:val="center"/>
          </w:tcPr>
          <w:p w14:paraId="2ECAC9AD">
            <w:pPr>
              <w:pStyle w:val="31"/>
              <w:bidi w:val="0"/>
              <w:rPr>
                <w:rFonts w:hint="eastAsia"/>
                <w:lang w:val="en-US" w:eastAsia="zh-CN"/>
              </w:rPr>
            </w:pPr>
            <w:r>
              <w:rPr>
                <w:rFonts w:hint="eastAsia"/>
                <w:lang w:val="en-US" w:eastAsia="zh-CN"/>
              </w:rPr>
              <w:t>台</w:t>
            </w:r>
          </w:p>
        </w:tc>
      </w:tr>
      <w:tr w14:paraId="21038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011" w:type="dxa"/>
            <w:vMerge w:val="continue"/>
            <w:shd w:val="clear" w:color="auto" w:fill="auto"/>
            <w:vAlign w:val="center"/>
          </w:tcPr>
          <w:p w14:paraId="58F20119">
            <w:pPr>
              <w:pStyle w:val="31"/>
              <w:bidi w:val="0"/>
              <w:rPr>
                <w:rFonts w:hint="eastAsia"/>
              </w:rPr>
            </w:pPr>
          </w:p>
        </w:tc>
        <w:tc>
          <w:tcPr>
            <w:tcW w:w="2401" w:type="dxa"/>
            <w:vMerge w:val="continue"/>
            <w:shd w:val="clear" w:color="auto" w:fill="auto"/>
            <w:vAlign w:val="center"/>
          </w:tcPr>
          <w:p w14:paraId="78357B92">
            <w:pPr>
              <w:pStyle w:val="31"/>
              <w:bidi w:val="0"/>
              <w:rPr>
                <w:rFonts w:hint="eastAsia"/>
              </w:rPr>
            </w:pPr>
          </w:p>
        </w:tc>
        <w:tc>
          <w:tcPr>
            <w:tcW w:w="3088" w:type="dxa"/>
            <w:shd w:val="clear" w:color="auto" w:fill="auto"/>
            <w:vAlign w:val="center"/>
          </w:tcPr>
          <w:p w14:paraId="1BE14792">
            <w:pPr>
              <w:pStyle w:val="31"/>
              <w:bidi w:val="0"/>
              <w:rPr>
                <w:rFonts w:hint="eastAsia"/>
                <w:lang w:val="en-US" w:eastAsia="zh-CN"/>
              </w:rPr>
            </w:pPr>
            <w:r>
              <w:rPr>
                <w:rFonts w:hint="eastAsia"/>
                <w:lang w:val="en-US" w:eastAsia="zh-CN"/>
              </w:rPr>
              <w:t>SA75</w:t>
            </w:r>
          </w:p>
        </w:tc>
        <w:tc>
          <w:tcPr>
            <w:tcW w:w="1011" w:type="dxa"/>
            <w:shd w:val="clear" w:color="auto" w:fill="auto"/>
            <w:vAlign w:val="center"/>
          </w:tcPr>
          <w:p w14:paraId="06945B80">
            <w:pPr>
              <w:pStyle w:val="31"/>
              <w:bidi w:val="0"/>
              <w:rPr>
                <w:rFonts w:hint="eastAsia"/>
                <w:lang w:val="en-US" w:eastAsia="zh-CN"/>
              </w:rPr>
            </w:pPr>
            <w:r>
              <w:rPr>
                <w:rFonts w:hint="eastAsia"/>
                <w:lang w:val="en-US" w:eastAsia="zh-CN"/>
              </w:rPr>
              <w:t>1</w:t>
            </w:r>
          </w:p>
        </w:tc>
        <w:tc>
          <w:tcPr>
            <w:tcW w:w="1011" w:type="dxa"/>
            <w:shd w:val="clear" w:color="auto" w:fill="auto"/>
            <w:vAlign w:val="center"/>
          </w:tcPr>
          <w:p w14:paraId="01A0809C">
            <w:pPr>
              <w:pStyle w:val="31"/>
              <w:bidi w:val="0"/>
              <w:rPr>
                <w:rFonts w:hint="eastAsia"/>
                <w:lang w:val="en-US" w:eastAsia="zh-CN"/>
              </w:rPr>
            </w:pPr>
            <w:r>
              <w:rPr>
                <w:rFonts w:hint="eastAsia"/>
                <w:lang w:val="en-US" w:eastAsia="zh-CN"/>
              </w:rPr>
              <w:t>台</w:t>
            </w:r>
          </w:p>
        </w:tc>
      </w:tr>
      <w:tr w14:paraId="2D379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1" w:type="dxa"/>
            <w:shd w:val="clear" w:color="auto" w:fill="auto"/>
            <w:vAlign w:val="center"/>
          </w:tcPr>
          <w:p w14:paraId="76DAEB3A">
            <w:pPr>
              <w:pStyle w:val="31"/>
              <w:bidi w:val="0"/>
              <w:rPr>
                <w:rFonts w:hint="eastAsia"/>
              </w:rPr>
            </w:pPr>
            <w:r>
              <w:rPr>
                <w:rFonts w:hint="eastAsia"/>
              </w:rPr>
              <w:t>2</w:t>
            </w:r>
          </w:p>
        </w:tc>
        <w:tc>
          <w:tcPr>
            <w:tcW w:w="2401" w:type="dxa"/>
            <w:shd w:val="clear" w:color="auto" w:fill="auto"/>
            <w:vAlign w:val="center"/>
          </w:tcPr>
          <w:p w14:paraId="6A7AEE19">
            <w:pPr>
              <w:pStyle w:val="31"/>
              <w:bidi w:val="0"/>
              <w:rPr>
                <w:rFonts w:hint="eastAsia"/>
              </w:rPr>
            </w:pPr>
            <w:r>
              <w:rPr>
                <w:rFonts w:hint="eastAsia"/>
              </w:rPr>
              <w:t>油水分离器</w:t>
            </w:r>
          </w:p>
        </w:tc>
        <w:tc>
          <w:tcPr>
            <w:tcW w:w="3088" w:type="dxa"/>
            <w:shd w:val="clear" w:color="auto" w:fill="auto"/>
            <w:vAlign w:val="center"/>
          </w:tcPr>
          <w:p w14:paraId="7CDDD0E1">
            <w:pPr>
              <w:pStyle w:val="31"/>
              <w:bidi w:val="0"/>
              <w:rPr>
                <w:rFonts w:hint="eastAsia"/>
              </w:rPr>
            </w:pPr>
          </w:p>
        </w:tc>
        <w:tc>
          <w:tcPr>
            <w:tcW w:w="1011" w:type="dxa"/>
            <w:shd w:val="clear" w:color="auto" w:fill="auto"/>
            <w:vAlign w:val="center"/>
          </w:tcPr>
          <w:p w14:paraId="42508CE1">
            <w:pPr>
              <w:pStyle w:val="31"/>
              <w:bidi w:val="0"/>
              <w:rPr>
                <w:rFonts w:hint="eastAsia"/>
                <w:lang w:eastAsia="zh-CN"/>
              </w:rPr>
            </w:pPr>
            <w:r>
              <w:rPr>
                <w:rFonts w:hint="eastAsia"/>
                <w:lang w:val="en-US" w:eastAsia="zh-CN"/>
              </w:rPr>
              <w:t>6</w:t>
            </w:r>
          </w:p>
        </w:tc>
        <w:tc>
          <w:tcPr>
            <w:tcW w:w="1011" w:type="dxa"/>
            <w:shd w:val="clear" w:color="auto" w:fill="auto"/>
            <w:vAlign w:val="center"/>
          </w:tcPr>
          <w:p w14:paraId="29B3335B">
            <w:pPr>
              <w:pStyle w:val="31"/>
              <w:bidi w:val="0"/>
              <w:rPr>
                <w:rFonts w:hint="eastAsia"/>
              </w:rPr>
            </w:pPr>
            <w:r>
              <w:rPr>
                <w:rFonts w:hint="eastAsia"/>
              </w:rPr>
              <w:t>台</w:t>
            </w:r>
          </w:p>
        </w:tc>
      </w:tr>
      <w:tr w14:paraId="17EAD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trPr>
        <w:tc>
          <w:tcPr>
            <w:tcW w:w="1011" w:type="dxa"/>
            <w:shd w:val="clear" w:color="auto" w:fill="auto"/>
            <w:vAlign w:val="center"/>
          </w:tcPr>
          <w:p w14:paraId="7D0329C9">
            <w:pPr>
              <w:pStyle w:val="31"/>
              <w:bidi w:val="0"/>
              <w:rPr>
                <w:rFonts w:hint="eastAsia"/>
                <w:lang w:eastAsia="zh-CN"/>
              </w:rPr>
            </w:pPr>
            <w:r>
              <w:rPr>
                <w:rFonts w:hint="eastAsia"/>
                <w:lang w:val="en-US" w:eastAsia="zh-CN"/>
              </w:rPr>
              <w:t>3</w:t>
            </w:r>
          </w:p>
        </w:tc>
        <w:tc>
          <w:tcPr>
            <w:tcW w:w="2401" w:type="dxa"/>
            <w:shd w:val="clear" w:color="auto" w:fill="auto"/>
            <w:vAlign w:val="center"/>
          </w:tcPr>
          <w:p w14:paraId="6F50B6B2">
            <w:pPr>
              <w:pStyle w:val="31"/>
              <w:bidi w:val="0"/>
              <w:rPr>
                <w:rFonts w:hint="eastAsia"/>
              </w:rPr>
            </w:pPr>
            <w:r>
              <w:rPr>
                <w:rFonts w:hint="eastAsia"/>
                <w:lang w:val="en-US" w:eastAsia="zh-CN"/>
              </w:rPr>
              <w:t>供气</w:t>
            </w:r>
            <w:r>
              <w:rPr>
                <w:rFonts w:hint="eastAsia"/>
              </w:rPr>
              <w:t>阀门</w:t>
            </w:r>
          </w:p>
        </w:tc>
        <w:tc>
          <w:tcPr>
            <w:tcW w:w="3088" w:type="dxa"/>
            <w:shd w:val="clear" w:color="auto" w:fill="auto"/>
            <w:vAlign w:val="center"/>
          </w:tcPr>
          <w:p w14:paraId="1F452EF6">
            <w:pPr>
              <w:pStyle w:val="31"/>
              <w:bidi w:val="0"/>
              <w:rPr>
                <w:rFonts w:hint="eastAsia"/>
              </w:rPr>
            </w:pPr>
          </w:p>
        </w:tc>
        <w:tc>
          <w:tcPr>
            <w:tcW w:w="1011" w:type="dxa"/>
            <w:shd w:val="clear" w:color="auto" w:fill="auto"/>
            <w:vAlign w:val="center"/>
          </w:tcPr>
          <w:p w14:paraId="4E2AB1A8">
            <w:pPr>
              <w:pStyle w:val="31"/>
              <w:bidi w:val="0"/>
              <w:rPr>
                <w:rFonts w:hint="default"/>
                <w:lang w:val="en-US" w:eastAsia="zh-CN"/>
              </w:rPr>
            </w:pPr>
            <w:r>
              <w:rPr>
                <w:rFonts w:hint="eastAsia"/>
                <w:lang w:val="en-US" w:eastAsia="zh-CN"/>
              </w:rPr>
              <w:t>6</w:t>
            </w:r>
          </w:p>
        </w:tc>
        <w:tc>
          <w:tcPr>
            <w:tcW w:w="1011" w:type="dxa"/>
            <w:shd w:val="clear" w:color="auto" w:fill="auto"/>
            <w:vAlign w:val="center"/>
          </w:tcPr>
          <w:p w14:paraId="0F52C5D5">
            <w:pPr>
              <w:pStyle w:val="31"/>
              <w:bidi w:val="0"/>
              <w:rPr>
                <w:rFonts w:hint="eastAsia"/>
                <w:lang w:eastAsia="zh-CN"/>
              </w:rPr>
            </w:pPr>
            <w:r>
              <w:rPr>
                <w:rFonts w:hint="eastAsia"/>
                <w:lang w:val="en-US" w:eastAsia="zh-CN"/>
              </w:rPr>
              <w:t>组</w:t>
            </w:r>
          </w:p>
        </w:tc>
      </w:tr>
      <w:tr w14:paraId="24E4C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1" w:type="dxa"/>
            <w:shd w:val="clear" w:color="auto" w:fill="auto"/>
            <w:vAlign w:val="center"/>
          </w:tcPr>
          <w:p w14:paraId="63A0967F">
            <w:pPr>
              <w:pStyle w:val="31"/>
              <w:bidi w:val="0"/>
              <w:rPr>
                <w:rFonts w:hint="eastAsia"/>
                <w:lang w:eastAsia="zh-CN"/>
              </w:rPr>
            </w:pPr>
            <w:r>
              <w:rPr>
                <w:rFonts w:hint="eastAsia"/>
                <w:lang w:val="en-US" w:eastAsia="zh-CN"/>
              </w:rPr>
              <w:t>4</w:t>
            </w:r>
          </w:p>
        </w:tc>
        <w:tc>
          <w:tcPr>
            <w:tcW w:w="2401" w:type="dxa"/>
            <w:shd w:val="clear" w:color="auto" w:fill="auto"/>
            <w:vAlign w:val="center"/>
          </w:tcPr>
          <w:p w14:paraId="08C6ADD3">
            <w:pPr>
              <w:pStyle w:val="31"/>
              <w:bidi w:val="0"/>
              <w:rPr>
                <w:rFonts w:hint="eastAsia"/>
              </w:rPr>
            </w:pPr>
            <w:r>
              <w:rPr>
                <w:rFonts w:hint="eastAsia"/>
              </w:rPr>
              <w:t>压风自救装置</w:t>
            </w:r>
          </w:p>
        </w:tc>
        <w:tc>
          <w:tcPr>
            <w:tcW w:w="3088" w:type="dxa"/>
            <w:shd w:val="clear" w:color="auto" w:fill="auto"/>
            <w:noWrap/>
            <w:vAlign w:val="center"/>
          </w:tcPr>
          <w:p w14:paraId="6D2970D0">
            <w:pPr>
              <w:pStyle w:val="31"/>
              <w:bidi w:val="0"/>
              <w:rPr>
                <w:rFonts w:hint="eastAsia"/>
              </w:rPr>
            </w:pPr>
          </w:p>
        </w:tc>
        <w:tc>
          <w:tcPr>
            <w:tcW w:w="1011" w:type="dxa"/>
            <w:shd w:val="clear" w:color="auto" w:fill="auto"/>
            <w:vAlign w:val="center"/>
          </w:tcPr>
          <w:p w14:paraId="1A11E3A9">
            <w:pPr>
              <w:pStyle w:val="31"/>
              <w:bidi w:val="0"/>
              <w:rPr>
                <w:rFonts w:hint="default"/>
                <w:lang w:val="en-US" w:eastAsia="zh-CN"/>
              </w:rPr>
            </w:pPr>
            <w:r>
              <w:rPr>
                <w:rFonts w:hint="eastAsia"/>
                <w:lang w:val="en-US" w:eastAsia="zh-CN"/>
              </w:rPr>
              <w:t>6</w:t>
            </w:r>
          </w:p>
        </w:tc>
        <w:tc>
          <w:tcPr>
            <w:tcW w:w="1011" w:type="dxa"/>
            <w:shd w:val="clear" w:color="auto" w:fill="auto"/>
            <w:vAlign w:val="center"/>
          </w:tcPr>
          <w:p w14:paraId="0C0DFC6B">
            <w:pPr>
              <w:pStyle w:val="31"/>
              <w:bidi w:val="0"/>
              <w:rPr>
                <w:rFonts w:hint="eastAsia"/>
                <w:lang w:eastAsia="zh-CN"/>
              </w:rPr>
            </w:pPr>
            <w:r>
              <w:rPr>
                <w:rFonts w:hint="eastAsia"/>
                <w:lang w:val="en-US" w:eastAsia="zh-CN"/>
              </w:rPr>
              <w:t>组</w:t>
            </w:r>
          </w:p>
        </w:tc>
      </w:tr>
    </w:tbl>
    <w:p w14:paraId="4FF52B9A">
      <w:pPr>
        <w:pStyle w:val="21"/>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eastAsia"/>
          <w:lang w:val="en-US" w:eastAsia="zh-CN"/>
        </w:rPr>
      </w:pPr>
      <w:r>
        <w:rPr>
          <w:rFonts w:hint="eastAsia"/>
          <w:lang w:val="en-US" w:eastAsia="zh-CN"/>
        </w:rPr>
        <w:t>5、压风自救系统安全设施概述</w:t>
      </w:r>
    </w:p>
    <w:p w14:paraId="1119A1E2">
      <w:pPr>
        <w:pStyle w:val="21"/>
        <w:bidi w:val="0"/>
        <w:rPr>
          <w:rFonts w:hint="eastAsia"/>
        </w:rPr>
      </w:pPr>
      <w:r>
        <w:rPr>
          <w:rFonts w:hint="eastAsia"/>
        </w:rPr>
        <w:t>压风自救系统是在矿山发生灾变时，为井下提供新鲜风流的系统，包括空气压缩机、送气管路、</w:t>
      </w:r>
      <w:r>
        <w:rPr>
          <w:rFonts w:hint="eastAsia"/>
          <w:lang w:val="en-US" w:eastAsia="zh-CN"/>
        </w:rPr>
        <w:t>供气</w:t>
      </w:r>
      <w:r>
        <w:rPr>
          <w:rFonts w:hint="eastAsia"/>
        </w:rPr>
        <w:t>阀门、油水分离器、压风自救装置等。</w:t>
      </w:r>
    </w:p>
    <w:p w14:paraId="6A321225">
      <w:pPr>
        <w:pStyle w:val="21"/>
        <w:bidi w:val="0"/>
        <w:rPr>
          <w:rFonts w:hint="eastAsia"/>
        </w:rPr>
      </w:pPr>
      <w:r>
        <w:rPr>
          <w:rFonts w:hint="eastAsia"/>
        </w:rPr>
        <w:t>根据规范要求，本次设计采用压风自救系统与生产压风系统共用的方案，井下供风量每人不低于0.3</w:t>
      </w:r>
      <w:r>
        <w:rPr>
          <w:rFonts w:hint="eastAsia"/>
          <w:lang w:val="en-US" w:eastAsia="zh-CN"/>
        </w:rPr>
        <w:t>m³</w:t>
      </w:r>
      <w:r>
        <w:rPr>
          <w:rFonts w:hint="eastAsia"/>
        </w:rPr>
        <w:t>/min。</w:t>
      </w:r>
    </w:p>
    <w:p w14:paraId="5995CC4C">
      <w:pPr>
        <w:pStyle w:val="21"/>
        <w:numPr>
          <w:ilvl w:val="0"/>
          <w:numId w:val="21"/>
        </w:numPr>
        <w:bidi w:val="0"/>
        <w:rPr>
          <w:rFonts w:hint="default"/>
          <w:lang w:val="en-US" w:eastAsia="zh-CN"/>
        </w:rPr>
      </w:pPr>
      <w:r>
        <w:rPr>
          <w:rFonts w:hint="default"/>
          <w:lang w:val="en-US" w:eastAsia="zh-CN"/>
        </w:rPr>
        <w:t>供水施救系统</w:t>
      </w:r>
    </w:p>
    <w:p w14:paraId="4A56264F">
      <w:pPr>
        <w:pStyle w:val="21"/>
        <w:bidi w:val="0"/>
        <w:rPr>
          <w:rFonts w:hint="eastAsia"/>
          <w:lang w:val="en-US" w:eastAsia="zh-CN"/>
        </w:rPr>
      </w:pPr>
      <w:r>
        <w:rPr>
          <w:rFonts w:hint="eastAsia"/>
          <w:lang w:val="en-US" w:eastAsia="zh-CN"/>
        </w:rPr>
        <w:t>1、系统构成</w:t>
      </w:r>
    </w:p>
    <w:p w14:paraId="3C6EA865">
      <w:pPr>
        <w:pStyle w:val="21"/>
        <w:bidi w:val="0"/>
        <w:rPr>
          <w:rFonts w:hint="eastAsia"/>
          <w:lang w:val="en-US" w:eastAsia="zh-CN"/>
        </w:rPr>
      </w:pPr>
      <w:r>
        <w:rPr>
          <w:rFonts w:hint="eastAsia"/>
          <w:lang w:val="en-US" w:eastAsia="zh-CN"/>
        </w:rPr>
        <w:t>供水施救系统是在矿山发生灾变时，为井下提供生活饮用水的系统，包括水源、过滤装置、供水管路、供水阀门等。供水施救管道利用原有生产、消防供水管道。</w:t>
      </w:r>
    </w:p>
    <w:p w14:paraId="4B7E4858">
      <w:pPr>
        <w:pStyle w:val="21"/>
        <w:bidi w:val="0"/>
        <w:rPr>
          <w:rFonts w:hint="eastAsia"/>
          <w:lang w:val="en-US" w:eastAsia="zh-CN"/>
        </w:rPr>
      </w:pPr>
      <w:r>
        <w:rPr>
          <w:rFonts w:hint="eastAsia"/>
          <w:lang w:val="en-US" w:eastAsia="zh-CN"/>
        </w:rPr>
        <w:t>2、水源、管道、减压阀的选择</w:t>
      </w:r>
    </w:p>
    <w:p w14:paraId="452AC2D7">
      <w:pPr>
        <w:pStyle w:val="21"/>
        <w:bidi w:val="0"/>
        <w:rPr>
          <w:rFonts w:hint="eastAsia"/>
          <w:lang w:val="en-US" w:eastAsia="zh-CN"/>
        </w:rPr>
      </w:pPr>
      <w:r>
        <w:rPr>
          <w:rFonts w:hint="eastAsia"/>
          <w:lang w:val="en-US" w:eastAsia="zh-CN"/>
        </w:rPr>
        <w:t>水源</w:t>
      </w:r>
      <w:r>
        <w:rPr>
          <w:rFonts w:hint="eastAsia"/>
        </w:rPr>
        <w:t>由矿区深水井提供，采用恒压供水至生活高位</w:t>
      </w:r>
      <w:r>
        <w:rPr>
          <w:rFonts w:hint="eastAsia"/>
          <w:lang w:val="en-US" w:eastAsia="zh-CN"/>
        </w:rPr>
        <w:t>水池</w:t>
      </w:r>
      <w:r>
        <w:rPr>
          <w:rFonts w:hint="eastAsia"/>
        </w:rPr>
        <w:t>，再从高位</w:t>
      </w:r>
      <w:r>
        <w:rPr>
          <w:rFonts w:hint="eastAsia"/>
          <w:lang w:val="en-US" w:eastAsia="zh-CN"/>
        </w:rPr>
        <w:t>水池</w:t>
      </w:r>
      <w:r>
        <w:rPr>
          <w:rFonts w:hint="eastAsia"/>
        </w:rPr>
        <w:t>接配水管网。</w:t>
      </w:r>
      <w:r>
        <w:rPr>
          <w:rFonts w:hint="eastAsia"/>
          <w:lang w:val="en-US" w:eastAsia="zh-CN"/>
        </w:rPr>
        <w:t>供水施救系统可以与生产供水系统共用，施救时水源应满足GB5749-2022中4.2的要求。</w:t>
      </w:r>
    </w:p>
    <w:p w14:paraId="31337154">
      <w:pPr>
        <w:pStyle w:val="21"/>
        <w:bidi w:val="0"/>
        <w:rPr>
          <w:rFonts w:hint="default"/>
          <w:lang w:val="en-US" w:eastAsia="zh-CN"/>
        </w:rPr>
      </w:pPr>
      <w:r>
        <w:rPr>
          <w:rFonts w:hint="eastAsia"/>
          <w:lang w:val="en-US" w:eastAsia="zh-CN"/>
        </w:rPr>
        <w:t>生产用水不符合生活用水要求时，供水施救系统中还应建设辅助水池用于储备生活饮用水，容量应不小于20m³。辅助水池应采取封闭保护措施，防止异物污染，每年应对辅助水池进行一次全面清洗、消毒，并对水质进行检验。</w:t>
      </w:r>
    </w:p>
    <w:p w14:paraId="148E292B">
      <w:pPr>
        <w:pStyle w:val="21"/>
        <w:bidi w:val="0"/>
        <w:rPr>
          <w:rFonts w:hint="eastAsia"/>
          <w:lang w:val="en-US" w:eastAsia="zh-CN"/>
        </w:rPr>
      </w:pPr>
      <w:r>
        <w:rPr>
          <w:rFonts w:hint="eastAsia"/>
        </w:rPr>
        <w:t>采用现有钢管接到作业场所，采用静压供水至作业场所。当井下需要供水施救时打开</w:t>
      </w:r>
      <w:r>
        <w:rPr>
          <w:rFonts w:hint="eastAsia"/>
          <w:lang w:val="en-US" w:eastAsia="zh-CN"/>
        </w:rPr>
        <w:t>供水阀门</w:t>
      </w:r>
      <w:r>
        <w:rPr>
          <w:rFonts w:hint="eastAsia"/>
        </w:rPr>
        <w:t>接通供水施救系统。日常管理中及时检查维护供水施救系统，正常情况下供水施救系统处于关闭状态，灾害需要时及时打开，要确保供水施救系统能够随时正常使用</w:t>
      </w:r>
      <w:r>
        <w:rPr>
          <w:rFonts w:hint="eastAsia"/>
          <w:lang w:val="en-US" w:eastAsia="zh-CN"/>
        </w:rPr>
        <w:t>。</w:t>
      </w:r>
    </w:p>
    <w:p w14:paraId="64278874">
      <w:pPr>
        <w:pStyle w:val="21"/>
        <w:bidi w:val="0"/>
        <w:rPr>
          <w:rFonts w:hint="eastAsia"/>
          <w:lang w:val="en-US" w:eastAsia="zh-CN"/>
        </w:rPr>
      </w:pPr>
      <w:r>
        <w:rPr>
          <w:rFonts w:hint="eastAsia"/>
          <w:lang w:val="en-US" w:eastAsia="zh-CN"/>
        </w:rPr>
        <w:t>3、供水阀门、供水施救装置安装地点</w:t>
      </w:r>
    </w:p>
    <w:p w14:paraId="645C5258">
      <w:pPr>
        <w:pStyle w:val="21"/>
        <w:bidi w:val="0"/>
        <w:rPr>
          <w:rFonts w:hint="default"/>
          <w:lang w:val="en-US" w:eastAsia="zh-CN"/>
        </w:rPr>
      </w:pPr>
      <w:r>
        <w:rPr>
          <w:rFonts w:hint="eastAsia"/>
          <w:lang w:val="en-US" w:eastAsia="zh-CN"/>
        </w:rPr>
        <w:t>各主要生产中段和分段进风巷道的供水管道上安设的供水阀门，中段和分段间隔应不大于200m。</w:t>
      </w:r>
    </w:p>
    <w:p w14:paraId="5E441C18">
      <w:pPr>
        <w:pStyle w:val="21"/>
        <w:bidi w:val="0"/>
        <w:rPr>
          <w:rFonts w:hint="default"/>
          <w:lang w:val="en-US" w:eastAsia="zh-CN"/>
        </w:rPr>
      </w:pPr>
      <w:r>
        <w:rPr>
          <w:rFonts w:hint="eastAsia"/>
          <w:lang w:val="en-US" w:eastAsia="zh-CN"/>
        </w:rPr>
        <w:t>独头巷道距掘进工作面不大于100m处的供水管道上应安设一组供水阀门，相邻两组供水阀门安设间距应不大于200m。</w:t>
      </w:r>
    </w:p>
    <w:p w14:paraId="41893E7E">
      <w:pPr>
        <w:pStyle w:val="21"/>
        <w:bidi w:val="0"/>
        <w:rPr>
          <w:rFonts w:hint="eastAsia"/>
        </w:rPr>
      </w:pPr>
      <w:r>
        <w:rPr>
          <w:rFonts w:hint="eastAsia"/>
        </w:rPr>
        <w:t>爆破时撤离人员集中地点的</w:t>
      </w:r>
      <w:r>
        <w:rPr>
          <w:rFonts w:hint="eastAsia"/>
          <w:lang w:val="en-US" w:eastAsia="zh-CN"/>
        </w:rPr>
        <w:t>供水</w:t>
      </w:r>
      <w:r>
        <w:rPr>
          <w:rFonts w:hint="eastAsia"/>
        </w:rPr>
        <w:t>管道上应安设一组</w:t>
      </w:r>
      <w:r>
        <w:rPr>
          <w:rFonts w:hint="eastAsia"/>
          <w:lang w:val="en-US" w:eastAsia="zh-CN"/>
        </w:rPr>
        <w:t>供水</w:t>
      </w:r>
      <w:r>
        <w:rPr>
          <w:rFonts w:hint="eastAsia"/>
        </w:rPr>
        <w:t>阀门。</w:t>
      </w:r>
    </w:p>
    <w:p w14:paraId="411C99D9">
      <w:pPr>
        <w:pStyle w:val="21"/>
        <w:bidi w:val="0"/>
        <w:rPr>
          <w:rFonts w:hint="default"/>
          <w:lang w:val="en-US" w:eastAsia="zh-CN"/>
        </w:rPr>
      </w:pPr>
      <w:r>
        <w:rPr>
          <w:rFonts w:hint="eastAsia"/>
          <w:lang w:val="en-US" w:eastAsia="zh-CN"/>
        </w:rPr>
        <w:t>供水管道应接入紧急避险设施内，并安设阀门及过滤装置，水量和水压满足额定人员避灾时的需要。</w:t>
      </w:r>
    </w:p>
    <w:p w14:paraId="5FDD6D01">
      <w:pPr>
        <w:pStyle w:val="21"/>
        <w:bidi w:val="0"/>
        <w:rPr>
          <w:rFonts w:hint="eastAsia"/>
          <w:lang w:val="en-US" w:eastAsia="zh-CN"/>
        </w:rPr>
      </w:pPr>
      <w:r>
        <w:rPr>
          <w:rFonts w:hint="eastAsia"/>
          <w:lang w:val="en-US" w:eastAsia="zh-CN"/>
        </w:rPr>
        <w:t>4、供水阀门数量配备表</w:t>
      </w:r>
    </w:p>
    <w:p w14:paraId="2689B275">
      <w:pPr>
        <w:pStyle w:val="21"/>
        <w:bidi w:val="0"/>
        <w:rPr>
          <w:rFonts w:hint="default"/>
        </w:rPr>
      </w:pPr>
      <w:r>
        <w:rPr>
          <w:rFonts w:hint="default"/>
          <w:lang w:val="en-US" w:eastAsia="zh-CN"/>
        </w:rPr>
        <w:t>供水</w:t>
      </w:r>
      <w:r>
        <w:rPr>
          <w:rFonts w:hint="default"/>
        </w:rPr>
        <w:t>阀门数量配备见</w:t>
      </w:r>
      <w:r>
        <w:rPr>
          <w:rFonts w:hint="eastAsia"/>
          <w:lang w:val="en-US" w:eastAsia="zh-CN"/>
        </w:rPr>
        <w:t>下表</w:t>
      </w:r>
      <w:r>
        <w:rPr>
          <w:rFonts w:hint="default"/>
        </w:rPr>
        <w:t>。</w:t>
      </w:r>
    </w:p>
    <w:p w14:paraId="522006FC">
      <w:pPr>
        <w:pStyle w:val="30"/>
        <w:bidi w:val="0"/>
        <w:rPr>
          <w:rFonts w:hint="default"/>
          <w:lang w:val="en-US" w:eastAsia="zh-CN"/>
        </w:rPr>
      </w:pPr>
      <w:r>
        <w:rPr>
          <w:rFonts w:hint="eastAsia"/>
          <w:lang w:val="en-US" w:eastAsia="zh-CN"/>
        </w:rPr>
        <w:t xml:space="preserve">表2.4-10  </w:t>
      </w:r>
      <w:r>
        <w:rPr>
          <w:rFonts w:hint="default"/>
          <w:lang w:val="en-US" w:eastAsia="zh-CN"/>
        </w:rPr>
        <w:t>供水施救系统</w:t>
      </w:r>
      <w:r>
        <w:rPr>
          <w:rFonts w:hint="default"/>
        </w:rPr>
        <w:t>专用安全设施</w:t>
      </w:r>
      <w:r>
        <w:rPr>
          <w:rFonts w:hint="default"/>
          <w:lang w:val="en-US" w:eastAsia="zh-CN"/>
        </w:rPr>
        <w:t>表</w:t>
      </w:r>
    </w:p>
    <w:tbl>
      <w:tblPr>
        <w:tblStyle w:val="24"/>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4"/>
        <w:gridCol w:w="1658"/>
        <w:gridCol w:w="1910"/>
        <w:gridCol w:w="694"/>
        <w:gridCol w:w="694"/>
        <w:gridCol w:w="2872"/>
      </w:tblGrid>
      <w:tr w14:paraId="24FD3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694" w:type="dxa"/>
            <w:tcBorders>
              <w:top w:val="single" w:color="auto" w:sz="4" w:space="0"/>
            </w:tcBorders>
            <w:shd w:val="clear" w:color="auto" w:fill="auto"/>
            <w:vAlign w:val="center"/>
          </w:tcPr>
          <w:p w14:paraId="18BB88F2">
            <w:pPr>
              <w:pStyle w:val="31"/>
              <w:bidi w:val="0"/>
              <w:rPr>
                <w:rFonts w:hint="eastAsia"/>
              </w:rPr>
            </w:pPr>
            <w:r>
              <w:rPr>
                <w:rFonts w:hint="eastAsia"/>
              </w:rPr>
              <w:t>序号</w:t>
            </w:r>
          </w:p>
        </w:tc>
        <w:tc>
          <w:tcPr>
            <w:tcW w:w="1658" w:type="dxa"/>
            <w:tcBorders>
              <w:top w:val="single" w:color="auto" w:sz="4" w:space="0"/>
            </w:tcBorders>
            <w:shd w:val="clear" w:color="auto" w:fill="auto"/>
            <w:vAlign w:val="center"/>
          </w:tcPr>
          <w:p w14:paraId="2AA744E7">
            <w:pPr>
              <w:pStyle w:val="31"/>
              <w:bidi w:val="0"/>
              <w:rPr>
                <w:rFonts w:hint="eastAsia"/>
              </w:rPr>
            </w:pPr>
            <w:r>
              <w:rPr>
                <w:rFonts w:hint="eastAsia"/>
              </w:rPr>
              <w:t>名　称</w:t>
            </w:r>
          </w:p>
        </w:tc>
        <w:tc>
          <w:tcPr>
            <w:tcW w:w="1910" w:type="dxa"/>
            <w:tcBorders>
              <w:top w:val="single" w:color="auto" w:sz="4" w:space="0"/>
            </w:tcBorders>
            <w:shd w:val="clear" w:color="auto" w:fill="auto"/>
            <w:vAlign w:val="center"/>
          </w:tcPr>
          <w:p w14:paraId="7F19CBF5">
            <w:pPr>
              <w:pStyle w:val="31"/>
              <w:bidi w:val="0"/>
              <w:rPr>
                <w:rFonts w:hint="eastAsia"/>
              </w:rPr>
            </w:pPr>
            <w:r>
              <w:rPr>
                <w:rFonts w:hint="eastAsia"/>
              </w:rPr>
              <w:t>型　号</w:t>
            </w:r>
          </w:p>
        </w:tc>
        <w:tc>
          <w:tcPr>
            <w:tcW w:w="694" w:type="dxa"/>
            <w:tcBorders>
              <w:top w:val="single" w:color="auto" w:sz="4" w:space="0"/>
            </w:tcBorders>
            <w:shd w:val="clear" w:color="auto" w:fill="auto"/>
            <w:vAlign w:val="center"/>
          </w:tcPr>
          <w:p w14:paraId="36DFA0C9">
            <w:pPr>
              <w:pStyle w:val="31"/>
              <w:bidi w:val="0"/>
              <w:rPr>
                <w:rFonts w:hint="eastAsia"/>
              </w:rPr>
            </w:pPr>
            <w:r>
              <w:rPr>
                <w:rFonts w:hint="eastAsia"/>
              </w:rPr>
              <w:t>数量</w:t>
            </w:r>
          </w:p>
        </w:tc>
        <w:tc>
          <w:tcPr>
            <w:tcW w:w="694" w:type="dxa"/>
            <w:tcBorders>
              <w:top w:val="single" w:color="auto" w:sz="4" w:space="0"/>
            </w:tcBorders>
            <w:shd w:val="clear" w:color="auto" w:fill="auto"/>
            <w:vAlign w:val="center"/>
          </w:tcPr>
          <w:p w14:paraId="4E29ED9A">
            <w:pPr>
              <w:pStyle w:val="31"/>
              <w:bidi w:val="0"/>
              <w:rPr>
                <w:rFonts w:hint="eastAsia"/>
              </w:rPr>
            </w:pPr>
            <w:r>
              <w:rPr>
                <w:rFonts w:hint="eastAsia"/>
              </w:rPr>
              <w:t>单位</w:t>
            </w:r>
          </w:p>
        </w:tc>
        <w:tc>
          <w:tcPr>
            <w:tcW w:w="2872" w:type="dxa"/>
            <w:tcBorders>
              <w:top w:val="single" w:color="auto" w:sz="4" w:space="0"/>
            </w:tcBorders>
            <w:shd w:val="clear" w:color="auto" w:fill="auto"/>
            <w:vAlign w:val="center"/>
          </w:tcPr>
          <w:p w14:paraId="0E37A1E9">
            <w:pPr>
              <w:pStyle w:val="31"/>
              <w:bidi w:val="0"/>
              <w:rPr>
                <w:rFonts w:hint="eastAsia"/>
              </w:rPr>
            </w:pPr>
            <w:r>
              <w:rPr>
                <w:rFonts w:hint="eastAsia"/>
              </w:rPr>
              <w:t>备注</w:t>
            </w:r>
          </w:p>
        </w:tc>
      </w:tr>
      <w:tr w14:paraId="44168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4" w:type="dxa"/>
            <w:shd w:val="clear" w:color="auto" w:fill="auto"/>
            <w:vAlign w:val="center"/>
          </w:tcPr>
          <w:p w14:paraId="06430280">
            <w:pPr>
              <w:pStyle w:val="31"/>
              <w:bidi w:val="0"/>
              <w:rPr>
                <w:rFonts w:hint="eastAsia"/>
              </w:rPr>
            </w:pPr>
            <w:r>
              <w:rPr>
                <w:rFonts w:hint="eastAsia"/>
              </w:rPr>
              <w:t>1</w:t>
            </w:r>
          </w:p>
        </w:tc>
        <w:tc>
          <w:tcPr>
            <w:tcW w:w="1658" w:type="dxa"/>
            <w:shd w:val="clear" w:color="auto" w:fill="auto"/>
            <w:vAlign w:val="center"/>
          </w:tcPr>
          <w:p w14:paraId="1210FEF8">
            <w:pPr>
              <w:pStyle w:val="31"/>
              <w:bidi w:val="0"/>
              <w:rPr>
                <w:rFonts w:hint="eastAsia"/>
              </w:rPr>
            </w:pPr>
            <w:r>
              <w:rPr>
                <w:rFonts w:hint="eastAsia"/>
              </w:rPr>
              <w:t>水　源</w:t>
            </w:r>
          </w:p>
        </w:tc>
        <w:tc>
          <w:tcPr>
            <w:tcW w:w="1910" w:type="dxa"/>
            <w:shd w:val="clear" w:color="auto" w:fill="auto"/>
            <w:vAlign w:val="center"/>
          </w:tcPr>
          <w:p w14:paraId="02A7FD65">
            <w:pPr>
              <w:pStyle w:val="31"/>
              <w:bidi w:val="0"/>
              <w:rPr>
                <w:rFonts w:hint="default"/>
                <w:lang w:val="en-US" w:eastAsia="zh-CN"/>
              </w:rPr>
            </w:pPr>
            <w:r>
              <w:rPr>
                <w:rFonts w:hint="eastAsia"/>
              </w:rPr>
              <w:t>地面</w:t>
            </w:r>
            <w:r>
              <w:rPr>
                <w:rFonts w:hint="eastAsia"/>
                <w:lang w:val="en-US" w:eastAsia="zh-CN"/>
              </w:rPr>
              <w:t>生活用水水池</w:t>
            </w:r>
          </w:p>
        </w:tc>
        <w:tc>
          <w:tcPr>
            <w:tcW w:w="694" w:type="dxa"/>
            <w:shd w:val="clear" w:color="auto" w:fill="auto"/>
            <w:vAlign w:val="center"/>
          </w:tcPr>
          <w:p w14:paraId="2A3D055F">
            <w:pPr>
              <w:pStyle w:val="31"/>
              <w:bidi w:val="0"/>
              <w:rPr>
                <w:rFonts w:hint="eastAsia"/>
                <w:lang w:eastAsia="zh-CN"/>
              </w:rPr>
            </w:pPr>
            <w:r>
              <w:rPr>
                <w:rFonts w:hint="eastAsia"/>
                <w:lang w:val="en-US" w:eastAsia="zh-CN"/>
              </w:rPr>
              <w:t>1</w:t>
            </w:r>
          </w:p>
        </w:tc>
        <w:tc>
          <w:tcPr>
            <w:tcW w:w="694" w:type="dxa"/>
            <w:shd w:val="clear" w:color="auto" w:fill="auto"/>
            <w:vAlign w:val="center"/>
          </w:tcPr>
          <w:p w14:paraId="7F0DFEB2">
            <w:pPr>
              <w:pStyle w:val="31"/>
              <w:bidi w:val="0"/>
              <w:rPr>
                <w:rFonts w:hint="eastAsia"/>
              </w:rPr>
            </w:pPr>
            <w:r>
              <w:rPr>
                <w:rFonts w:hint="eastAsia"/>
              </w:rPr>
              <w:t>个</w:t>
            </w:r>
          </w:p>
        </w:tc>
        <w:tc>
          <w:tcPr>
            <w:tcW w:w="2872" w:type="dxa"/>
            <w:shd w:val="clear" w:color="auto" w:fill="auto"/>
            <w:vAlign w:val="center"/>
          </w:tcPr>
          <w:p w14:paraId="3ED33D4D">
            <w:pPr>
              <w:pStyle w:val="31"/>
              <w:bidi w:val="0"/>
              <w:rPr>
                <w:rFonts w:hint="eastAsia"/>
              </w:rPr>
            </w:pPr>
            <w:r>
              <w:rPr>
                <w:rFonts w:hint="eastAsia"/>
              </w:rPr>
              <w:t>要求水质应能供人饮用</w:t>
            </w:r>
          </w:p>
        </w:tc>
      </w:tr>
      <w:tr w14:paraId="19B0E0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4" w:type="dxa"/>
            <w:shd w:val="clear" w:color="auto" w:fill="auto"/>
            <w:vAlign w:val="center"/>
          </w:tcPr>
          <w:p w14:paraId="2A58D7E4">
            <w:pPr>
              <w:pStyle w:val="31"/>
              <w:bidi w:val="0"/>
              <w:rPr>
                <w:rFonts w:hint="eastAsia"/>
              </w:rPr>
            </w:pPr>
            <w:r>
              <w:rPr>
                <w:rFonts w:hint="eastAsia"/>
              </w:rPr>
              <w:t>2</w:t>
            </w:r>
          </w:p>
        </w:tc>
        <w:tc>
          <w:tcPr>
            <w:tcW w:w="1658" w:type="dxa"/>
            <w:shd w:val="clear" w:color="auto" w:fill="auto"/>
            <w:vAlign w:val="center"/>
          </w:tcPr>
          <w:p w14:paraId="4DC2CA34">
            <w:pPr>
              <w:pStyle w:val="31"/>
              <w:bidi w:val="0"/>
              <w:rPr>
                <w:rFonts w:hint="eastAsia"/>
              </w:rPr>
            </w:pPr>
            <w:r>
              <w:rPr>
                <w:rFonts w:hint="eastAsia"/>
              </w:rPr>
              <w:t>中段主巷</w:t>
            </w:r>
          </w:p>
          <w:p w14:paraId="1314A606">
            <w:pPr>
              <w:pStyle w:val="31"/>
              <w:bidi w:val="0"/>
              <w:rPr>
                <w:rFonts w:hint="eastAsia"/>
              </w:rPr>
            </w:pPr>
            <w:r>
              <w:rPr>
                <w:rFonts w:hint="eastAsia"/>
              </w:rPr>
              <w:t>供水管路</w:t>
            </w:r>
          </w:p>
        </w:tc>
        <w:tc>
          <w:tcPr>
            <w:tcW w:w="1910" w:type="dxa"/>
            <w:shd w:val="clear" w:color="auto" w:fill="auto"/>
            <w:vAlign w:val="center"/>
          </w:tcPr>
          <w:p w14:paraId="2F2EA502">
            <w:pPr>
              <w:pStyle w:val="31"/>
              <w:bidi w:val="0"/>
              <w:rPr>
                <w:rFonts w:hint="eastAsia"/>
              </w:rPr>
            </w:pPr>
            <w:r>
              <w:rPr>
                <w:rFonts w:hint="eastAsia"/>
                <w:lang w:val="en-US" w:eastAsia="zh-CN"/>
              </w:rPr>
              <w:t>DN80无缝钢管</w:t>
            </w:r>
          </w:p>
        </w:tc>
        <w:tc>
          <w:tcPr>
            <w:tcW w:w="694" w:type="dxa"/>
            <w:shd w:val="clear" w:color="auto" w:fill="auto"/>
            <w:vAlign w:val="center"/>
          </w:tcPr>
          <w:p w14:paraId="43C50D5C">
            <w:pPr>
              <w:pStyle w:val="31"/>
              <w:bidi w:val="0"/>
              <w:rPr>
                <w:rFonts w:hint="eastAsia"/>
              </w:rPr>
            </w:pPr>
          </w:p>
        </w:tc>
        <w:tc>
          <w:tcPr>
            <w:tcW w:w="694" w:type="dxa"/>
            <w:shd w:val="clear" w:color="auto" w:fill="auto"/>
            <w:vAlign w:val="center"/>
          </w:tcPr>
          <w:p w14:paraId="681871AC">
            <w:pPr>
              <w:pStyle w:val="31"/>
              <w:bidi w:val="0"/>
              <w:rPr>
                <w:rFonts w:hint="eastAsia"/>
              </w:rPr>
            </w:pPr>
          </w:p>
        </w:tc>
        <w:tc>
          <w:tcPr>
            <w:tcW w:w="2872" w:type="dxa"/>
            <w:shd w:val="clear" w:color="auto" w:fill="auto"/>
            <w:vAlign w:val="center"/>
          </w:tcPr>
          <w:p w14:paraId="4603B0D6">
            <w:pPr>
              <w:pStyle w:val="31"/>
              <w:bidi w:val="0"/>
              <w:rPr>
                <w:rFonts w:hint="eastAsia"/>
              </w:rPr>
            </w:pPr>
            <w:r>
              <w:rPr>
                <w:rFonts w:hint="eastAsia"/>
              </w:rPr>
              <w:t>根据需要采用现供水管路</w:t>
            </w:r>
          </w:p>
          <w:p w14:paraId="61F9F95E">
            <w:pPr>
              <w:pStyle w:val="31"/>
              <w:bidi w:val="0"/>
              <w:rPr>
                <w:rFonts w:hint="eastAsia"/>
              </w:rPr>
            </w:pPr>
            <w:r>
              <w:rPr>
                <w:rFonts w:hint="eastAsia"/>
              </w:rPr>
              <w:t>设相应</w:t>
            </w:r>
            <w:r>
              <w:rPr>
                <w:rFonts w:hint="eastAsia"/>
                <w:lang w:val="en-US" w:eastAsia="zh-CN"/>
              </w:rPr>
              <w:t>供水阀门</w:t>
            </w:r>
            <w:r>
              <w:rPr>
                <w:rFonts w:hint="eastAsia"/>
              </w:rPr>
              <w:t>等共用</w:t>
            </w:r>
          </w:p>
        </w:tc>
      </w:tr>
      <w:tr w14:paraId="72C58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694" w:type="dxa"/>
            <w:shd w:val="clear" w:color="auto" w:fill="auto"/>
            <w:vAlign w:val="center"/>
          </w:tcPr>
          <w:p w14:paraId="04276196">
            <w:pPr>
              <w:pStyle w:val="31"/>
              <w:bidi w:val="0"/>
              <w:rPr>
                <w:rFonts w:hint="eastAsia"/>
              </w:rPr>
            </w:pPr>
            <w:r>
              <w:rPr>
                <w:rFonts w:hint="eastAsia"/>
              </w:rPr>
              <w:t>3</w:t>
            </w:r>
          </w:p>
        </w:tc>
        <w:tc>
          <w:tcPr>
            <w:tcW w:w="1658" w:type="dxa"/>
            <w:shd w:val="clear" w:color="auto" w:fill="auto"/>
            <w:vAlign w:val="center"/>
          </w:tcPr>
          <w:p w14:paraId="490AC937">
            <w:pPr>
              <w:pStyle w:val="31"/>
              <w:bidi w:val="0"/>
              <w:rPr>
                <w:rFonts w:hint="eastAsia"/>
              </w:rPr>
            </w:pPr>
            <w:r>
              <w:rPr>
                <w:rFonts w:hint="eastAsia"/>
                <w:lang w:val="en-US" w:eastAsia="zh-CN"/>
              </w:rPr>
              <w:t>供水</w:t>
            </w:r>
            <w:r>
              <w:rPr>
                <w:rFonts w:hint="eastAsia"/>
              </w:rPr>
              <w:t>阀门</w:t>
            </w:r>
          </w:p>
        </w:tc>
        <w:tc>
          <w:tcPr>
            <w:tcW w:w="1910" w:type="dxa"/>
            <w:shd w:val="clear" w:color="auto" w:fill="auto"/>
            <w:vAlign w:val="center"/>
          </w:tcPr>
          <w:p w14:paraId="2FA0AAC6">
            <w:pPr>
              <w:pStyle w:val="31"/>
              <w:bidi w:val="0"/>
              <w:rPr>
                <w:rFonts w:hint="eastAsia"/>
              </w:rPr>
            </w:pPr>
          </w:p>
        </w:tc>
        <w:tc>
          <w:tcPr>
            <w:tcW w:w="694" w:type="dxa"/>
            <w:shd w:val="clear" w:color="auto" w:fill="auto"/>
            <w:vAlign w:val="center"/>
          </w:tcPr>
          <w:p w14:paraId="530291A1">
            <w:pPr>
              <w:pStyle w:val="31"/>
              <w:bidi w:val="0"/>
              <w:rPr>
                <w:rFonts w:hint="default"/>
                <w:lang w:val="en-US" w:eastAsia="zh-CN"/>
              </w:rPr>
            </w:pPr>
            <w:r>
              <w:rPr>
                <w:rFonts w:hint="eastAsia"/>
                <w:lang w:val="en-US" w:eastAsia="zh-CN"/>
              </w:rPr>
              <w:t>6</w:t>
            </w:r>
          </w:p>
        </w:tc>
        <w:tc>
          <w:tcPr>
            <w:tcW w:w="694" w:type="dxa"/>
            <w:shd w:val="clear" w:color="auto" w:fill="auto"/>
            <w:vAlign w:val="center"/>
          </w:tcPr>
          <w:p w14:paraId="14EAB014">
            <w:pPr>
              <w:pStyle w:val="31"/>
              <w:bidi w:val="0"/>
              <w:rPr>
                <w:rFonts w:hint="eastAsia"/>
                <w:lang w:eastAsia="zh-CN"/>
              </w:rPr>
            </w:pPr>
            <w:r>
              <w:rPr>
                <w:rFonts w:hint="eastAsia"/>
                <w:lang w:val="en-US" w:eastAsia="zh-CN"/>
              </w:rPr>
              <w:t>组</w:t>
            </w:r>
          </w:p>
        </w:tc>
        <w:tc>
          <w:tcPr>
            <w:tcW w:w="2872" w:type="dxa"/>
            <w:shd w:val="clear" w:color="auto" w:fill="auto"/>
            <w:vAlign w:val="center"/>
          </w:tcPr>
          <w:p w14:paraId="3D137E59">
            <w:pPr>
              <w:pStyle w:val="31"/>
              <w:bidi w:val="0"/>
              <w:rPr>
                <w:rFonts w:hint="eastAsia"/>
              </w:rPr>
            </w:pPr>
          </w:p>
        </w:tc>
      </w:tr>
      <w:tr w14:paraId="51B65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4" w:type="dxa"/>
            <w:shd w:val="clear" w:color="auto" w:fill="auto"/>
            <w:vAlign w:val="center"/>
          </w:tcPr>
          <w:p w14:paraId="265147E5">
            <w:pPr>
              <w:pStyle w:val="31"/>
              <w:bidi w:val="0"/>
              <w:rPr>
                <w:rFonts w:hint="eastAsia"/>
              </w:rPr>
            </w:pPr>
            <w:r>
              <w:rPr>
                <w:rFonts w:hint="eastAsia"/>
              </w:rPr>
              <w:t>4</w:t>
            </w:r>
          </w:p>
        </w:tc>
        <w:tc>
          <w:tcPr>
            <w:tcW w:w="1658" w:type="dxa"/>
            <w:shd w:val="clear" w:color="auto" w:fill="auto"/>
            <w:vAlign w:val="center"/>
          </w:tcPr>
          <w:p w14:paraId="6242CE5F">
            <w:pPr>
              <w:pStyle w:val="31"/>
              <w:bidi w:val="0"/>
              <w:rPr>
                <w:rFonts w:hint="eastAsia"/>
              </w:rPr>
            </w:pPr>
            <w:r>
              <w:rPr>
                <w:rFonts w:hint="eastAsia"/>
              </w:rPr>
              <w:t>供水施救装置</w:t>
            </w:r>
          </w:p>
        </w:tc>
        <w:tc>
          <w:tcPr>
            <w:tcW w:w="1910" w:type="dxa"/>
            <w:shd w:val="clear" w:color="auto" w:fill="auto"/>
            <w:vAlign w:val="center"/>
          </w:tcPr>
          <w:p w14:paraId="348F12DC">
            <w:pPr>
              <w:pStyle w:val="31"/>
              <w:bidi w:val="0"/>
              <w:rPr>
                <w:rFonts w:hint="eastAsia"/>
              </w:rPr>
            </w:pPr>
          </w:p>
        </w:tc>
        <w:tc>
          <w:tcPr>
            <w:tcW w:w="694" w:type="dxa"/>
            <w:shd w:val="clear" w:color="auto" w:fill="auto"/>
            <w:vAlign w:val="center"/>
          </w:tcPr>
          <w:p w14:paraId="42811993">
            <w:pPr>
              <w:pStyle w:val="31"/>
              <w:bidi w:val="0"/>
              <w:rPr>
                <w:rFonts w:hint="default"/>
                <w:lang w:val="en-US" w:eastAsia="zh-CN"/>
              </w:rPr>
            </w:pPr>
            <w:r>
              <w:rPr>
                <w:rFonts w:hint="eastAsia"/>
                <w:lang w:val="en-US" w:eastAsia="zh-CN"/>
              </w:rPr>
              <w:t>6</w:t>
            </w:r>
          </w:p>
        </w:tc>
        <w:tc>
          <w:tcPr>
            <w:tcW w:w="694" w:type="dxa"/>
            <w:shd w:val="clear" w:color="auto" w:fill="auto"/>
            <w:vAlign w:val="center"/>
          </w:tcPr>
          <w:p w14:paraId="713DDDDF">
            <w:pPr>
              <w:pStyle w:val="31"/>
              <w:bidi w:val="0"/>
              <w:rPr>
                <w:rFonts w:hint="eastAsia"/>
                <w:lang w:eastAsia="zh-CN"/>
              </w:rPr>
            </w:pPr>
            <w:r>
              <w:rPr>
                <w:rFonts w:hint="eastAsia"/>
                <w:lang w:val="en-US" w:eastAsia="zh-CN"/>
              </w:rPr>
              <w:t>组</w:t>
            </w:r>
          </w:p>
        </w:tc>
        <w:tc>
          <w:tcPr>
            <w:tcW w:w="2872" w:type="dxa"/>
            <w:shd w:val="clear" w:color="auto" w:fill="auto"/>
            <w:vAlign w:val="center"/>
          </w:tcPr>
          <w:p w14:paraId="69EDEF21">
            <w:pPr>
              <w:pStyle w:val="31"/>
              <w:bidi w:val="0"/>
              <w:rPr>
                <w:rFonts w:hint="eastAsia"/>
              </w:rPr>
            </w:pPr>
          </w:p>
        </w:tc>
      </w:tr>
    </w:tbl>
    <w:p w14:paraId="7816D58E">
      <w:pPr>
        <w:pStyle w:val="21"/>
        <w:bidi w:val="0"/>
        <w:rPr>
          <w:rFonts w:hint="default"/>
          <w:lang w:val="en-US" w:eastAsia="zh-CN"/>
        </w:rPr>
      </w:pPr>
      <w:r>
        <w:rPr>
          <w:rFonts w:hint="default"/>
          <w:lang w:val="en-US" w:eastAsia="zh-CN"/>
        </w:rPr>
        <w:t>可重复利用生产结束中段供水施救设备，必要时需购买新设备。</w:t>
      </w:r>
    </w:p>
    <w:p w14:paraId="12345DC1">
      <w:pPr>
        <w:pStyle w:val="21"/>
        <w:numPr>
          <w:ilvl w:val="0"/>
          <w:numId w:val="21"/>
        </w:numPr>
        <w:bidi w:val="0"/>
        <w:rPr>
          <w:rFonts w:hint="default"/>
          <w:lang w:val="en-US" w:eastAsia="zh-CN"/>
        </w:rPr>
      </w:pPr>
      <w:r>
        <w:rPr>
          <w:rFonts w:hint="default"/>
          <w:lang w:val="en-US" w:eastAsia="zh-CN"/>
        </w:rPr>
        <w:t>通信联络系统</w:t>
      </w:r>
    </w:p>
    <w:p w14:paraId="3D76C2EE">
      <w:pPr>
        <w:pStyle w:val="21"/>
        <w:bidi w:val="0"/>
        <w:rPr>
          <w:rFonts w:hint="eastAsia"/>
          <w:lang w:val="en-US" w:eastAsia="zh-CN"/>
        </w:rPr>
      </w:pPr>
      <w:r>
        <w:rPr>
          <w:rFonts w:hint="eastAsia"/>
          <w:lang w:val="en-US" w:eastAsia="zh-CN"/>
        </w:rPr>
        <w:t>1、系统构成</w:t>
      </w:r>
    </w:p>
    <w:p w14:paraId="75177526">
      <w:pPr>
        <w:pStyle w:val="21"/>
        <w:bidi w:val="0"/>
        <w:rPr>
          <w:rFonts w:hint="eastAsia"/>
          <w:lang w:val="en-US" w:eastAsia="zh-CN"/>
        </w:rPr>
      </w:pPr>
      <w:r>
        <w:rPr>
          <w:rFonts w:hint="eastAsia"/>
          <w:lang w:val="en-US" w:eastAsia="zh-CN"/>
        </w:rPr>
        <w:t>在生产、调度、管理、救援等各环节中，通过发送和接收通信信号实现通信及联络的系统，有线通信联络系统由控制中心、终端、线缆等组成。本设计主要针对有线通信系统，地面井下共用一个控制中心，总机设在矿本部。矿区外部通信采用光缆传输，接入当地通讯网络，由此可实现语音、图像及数据传送。</w:t>
      </w:r>
    </w:p>
    <w:p w14:paraId="189B858E">
      <w:pPr>
        <w:pStyle w:val="21"/>
        <w:bidi w:val="0"/>
        <w:rPr>
          <w:rFonts w:hint="eastAsia"/>
          <w:lang w:val="en-US" w:eastAsia="zh-CN"/>
        </w:rPr>
      </w:pPr>
      <w:r>
        <w:rPr>
          <w:rFonts w:hint="eastAsia"/>
          <w:lang w:val="en-US" w:eastAsia="zh-CN"/>
        </w:rPr>
        <w:t>2、设计配备</w:t>
      </w:r>
    </w:p>
    <w:p w14:paraId="23234BC8">
      <w:pPr>
        <w:pStyle w:val="21"/>
        <w:bidi w:val="0"/>
        <w:rPr>
          <w:rFonts w:hint="eastAsia"/>
          <w:lang w:val="en-US" w:eastAsia="zh-CN"/>
        </w:rPr>
      </w:pPr>
      <w:r>
        <w:rPr>
          <w:rFonts w:hint="eastAsia"/>
          <w:lang w:val="en-US" w:eastAsia="zh-CN"/>
        </w:rPr>
        <w:t>系统主要由通讯联络主机、调度台、矿用电话等构成。通信线缆设置两条，分别从三号斜井和一号斜井进入井下，当其中任何一条通信线缆发生故障时，另外一条线缆完成井下各通信终端的通信任务。严禁利用大地作为井下通信线路的回路。</w:t>
      </w:r>
    </w:p>
    <w:p w14:paraId="6D9CF2AE">
      <w:pPr>
        <w:pStyle w:val="21"/>
        <w:bidi w:val="0"/>
        <w:rPr>
          <w:rFonts w:hint="default"/>
          <w:lang w:val="en-US" w:eastAsia="zh-CN"/>
        </w:rPr>
      </w:pPr>
      <w:r>
        <w:rPr>
          <w:rFonts w:hint="eastAsia"/>
          <w:lang w:val="en-US" w:eastAsia="zh-CN"/>
        </w:rPr>
        <w:t>3、</w:t>
      </w:r>
      <w:r>
        <w:rPr>
          <w:rFonts w:hint="default"/>
          <w:lang w:val="en-US" w:eastAsia="zh-CN"/>
        </w:rPr>
        <w:t>通讯终端配备表</w:t>
      </w:r>
    </w:p>
    <w:p w14:paraId="5DA1F31E">
      <w:pPr>
        <w:pStyle w:val="21"/>
        <w:bidi w:val="0"/>
        <w:rPr>
          <w:rFonts w:hint="default"/>
          <w:lang w:val="en-US" w:eastAsia="zh-CN"/>
        </w:rPr>
      </w:pPr>
      <w:r>
        <w:rPr>
          <w:rFonts w:hint="eastAsia" w:ascii="仿宋" w:hAnsi="仿宋" w:eastAsia="仿宋" w:cs="仿宋"/>
          <w:color w:val="auto"/>
          <w:highlight w:val="none"/>
          <w:lang w:val="en-US" w:eastAsia="zh-CN"/>
        </w:rPr>
        <w:t>井下、地面中端配置表，通信联络系统共设置</w:t>
      </w:r>
      <w:r>
        <w:rPr>
          <w:rFonts w:hint="eastAsia" w:cs="仿宋"/>
          <w:color w:val="auto"/>
          <w:highlight w:val="none"/>
          <w:lang w:val="en-US" w:eastAsia="zh-CN"/>
        </w:rPr>
        <w:t>23</w:t>
      </w:r>
      <w:r>
        <w:rPr>
          <w:rFonts w:hint="eastAsia" w:ascii="仿宋" w:hAnsi="仿宋" w:eastAsia="仿宋" w:cs="仿宋"/>
          <w:color w:val="auto"/>
          <w:highlight w:val="none"/>
          <w:lang w:val="en-US" w:eastAsia="zh-CN"/>
        </w:rPr>
        <w:t>个电话终端。井下</w:t>
      </w:r>
      <w:r>
        <w:rPr>
          <w:rFonts w:hint="eastAsia" w:cs="仿宋"/>
          <w:color w:val="auto"/>
          <w:highlight w:val="none"/>
          <w:lang w:val="en-US" w:eastAsia="zh-CN"/>
        </w:rPr>
        <w:t>18</w:t>
      </w:r>
      <w:r>
        <w:rPr>
          <w:rFonts w:hint="eastAsia" w:ascii="仿宋" w:hAnsi="仿宋" w:eastAsia="仿宋" w:cs="仿宋"/>
          <w:color w:val="auto"/>
          <w:highlight w:val="none"/>
          <w:lang w:val="en-US" w:eastAsia="zh-CN"/>
        </w:rPr>
        <w:t>部电话，地面</w:t>
      </w:r>
      <w:r>
        <w:rPr>
          <w:rFonts w:hint="eastAsia" w:cs="仿宋"/>
          <w:color w:val="auto"/>
          <w:highlight w:val="none"/>
          <w:lang w:val="en-US" w:eastAsia="zh-CN"/>
        </w:rPr>
        <w:t>5</w:t>
      </w:r>
      <w:r>
        <w:rPr>
          <w:rFonts w:hint="eastAsia" w:ascii="仿宋" w:hAnsi="仿宋" w:eastAsia="仿宋" w:cs="仿宋"/>
          <w:color w:val="auto"/>
          <w:highlight w:val="none"/>
          <w:lang w:val="en-US" w:eastAsia="zh-CN"/>
        </w:rPr>
        <w:t>部。</w:t>
      </w:r>
    </w:p>
    <w:p w14:paraId="22378612">
      <w:pPr>
        <w:pStyle w:val="30"/>
        <w:bidi w:val="0"/>
        <w:rPr>
          <w:rFonts w:hint="default"/>
          <w:lang w:val="en-US" w:eastAsia="zh-CN"/>
        </w:rPr>
      </w:pPr>
      <w:r>
        <w:rPr>
          <w:rFonts w:hint="eastAsia"/>
          <w:lang w:val="en-US" w:eastAsia="zh-CN"/>
        </w:rPr>
        <w:t xml:space="preserve">表2.4-11  </w:t>
      </w:r>
      <w:r>
        <w:rPr>
          <w:rFonts w:hint="default"/>
          <w:lang w:val="en-US" w:eastAsia="zh-CN"/>
        </w:rPr>
        <w:t>井下终端配备表</w:t>
      </w:r>
    </w:p>
    <w:tbl>
      <w:tblPr>
        <w:tblStyle w:val="2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07"/>
        <w:gridCol w:w="4464"/>
        <w:gridCol w:w="1425"/>
        <w:gridCol w:w="1901"/>
      </w:tblGrid>
      <w:tr w14:paraId="4B0ED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blHeader/>
        </w:trPr>
        <w:tc>
          <w:tcPr>
            <w:tcW w:w="855" w:type="pct"/>
            <w:tcBorders>
              <w:top w:val="single" w:color="auto" w:sz="4" w:space="0"/>
            </w:tcBorders>
            <w:noWrap w:val="0"/>
            <w:vAlign w:val="center"/>
          </w:tcPr>
          <w:p w14:paraId="0DD5FE34">
            <w:pPr>
              <w:pStyle w:val="31"/>
              <w:bidi w:val="0"/>
              <w:rPr>
                <w:rFonts w:hint="eastAsia"/>
              </w:rPr>
            </w:pPr>
            <w:r>
              <w:rPr>
                <w:rFonts w:hint="eastAsia"/>
              </w:rPr>
              <w:t>中段标高</w:t>
            </w:r>
          </w:p>
        </w:tc>
        <w:tc>
          <w:tcPr>
            <w:tcW w:w="2374" w:type="pct"/>
            <w:tcBorders>
              <w:top w:val="single" w:color="auto" w:sz="4" w:space="0"/>
            </w:tcBorders>
            <w:noWrap w:val="0"/>
            <w:vAlign w:val="center"/>
          </w:tcPr>
          <w:p w14:paraId="2AEC9291">
            <w:pPr>
              <w:pStyle w:val="31"/>
              <w:bidi w:val="0"/>
              <w:rPr>
                <w:rFonts w:hint="eastAsia"/>
              </w:rPr>
            </w:pPr>
            <w:r>
              <w:rPr>
                <w:rFonts w:hint="eastAsia"/>
              </w:rPr>
              <w:t>安装地点</w:t>
            </w:r>
          </w:p>
        </w:tc>
        <w:tc>
          <w:tcPr>
            <w:tcW w:w="758" w:type="pct"/>
            <w:tcBorders>
              <w:top w:val="single" w:color="auto" w:sz="4" w:space="0"/>
            </w:tcBorders>
            <w:noWrap w:val="0"/>
            <w:vAlign w:val="center"/>
          </w:tcPr>
          <w:p w14:paraId="533D6FAF">
            <w:pPr>
              <w:pStyle w:val="31"/>
              <w:bidi w:val="0"/>
              <w:rPr>
                <w:rFonts w:hint="eastAsia"/>
              </w:rPr>
            </w:pPr>
            <w:r>
              <w:rPr>
                <w:rFonts w:hint="eastAsia"/>
              </w:rPr>
              <w:t>安装数量</w:t>
            </w:r>
          </w:p>
        </w:tc>
        <w:tc>
          <w:tcPr>
            <w:tcW w:w="1011" w:type="pct"/>
            <w:tcBorders>
              <w:top w:val="single" w:color="auto" w:sz="4" w:space="0"/>
            </w:tcBorders>
            <w:noWrap w:val="0"/>
            <w:vAlign w:val="center"/>
          </w:tcPr>
          <w:p w14:paraId="5D60F7C1">
            <w:pPr>
              <w:pStyle w:val="31"/>
              <w:bidi w:val="0"/>
              <w:rPr>
                <w:rFonts w:hint="eastAsia"/>
              </w:rPr>
            </w:pPr>
            <w:r>
              <w:rPr>
                <w:rFonts w:hint="eastAsia"/>
              </w:rPr>
              <w:t>备　注</w:t>
            </w:r>
          </w:p>
        </w:tc>
      </w:tr>
      <w:tr w14:paraId="39341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55" w:type="pct"/>
            <w:vMerge w:val="restart"/>
            <w:noWrap w:val="0"/>
            <w:vAlign w:val="center"/>
          </w:tcPr>
          <w:p w14:paraId="2F5E68C6">
            <w:pPr>
              <w:pStyle w:val="31"/>
              <w:bidi w:val="0"/>
              <w:rPr>
                <w:rFonts w:hint="eastAsia"/>
              </w:rPr>
            </w:pPr>
            <w:r>
              <w:rPr>
                <w:rFonts w:hint="eastAsia"/>
                <w:lang w:val="en-US" w:eastAsia="zh-CN"/>
              </w:rPr>
              <w:t>地表</w:t>
            </w:r>
          </w:p>
        </w:tc>
        <w:tc>
          <w:tcPr>
            <w:tcW w:w="2374" w:type="pct"/>
            <w:shd w:val="clear" w:color="auto" w:fill="auto"/>
            <w:noWrap w:val="0"/>
            <w:vAlign w:val="center"/>
          </w:tcPr>
          <w:p w14:paraId="785FD166">
            <w:pPr>
              <w:pStyle w:val="31"/>
              <w:bidi w:val="0"/>
              <w:rPr>
                <w:rFonts w:hint="eastAsia"/>
                <w:lang w:val="en-US" w:eastAsia="zh-CN"/>
              </w:rPr>
            </w:pPr>
            <w:r>
              <w:rPr>
                <w:rFonts w:hint="eastAsia"/>
                <w:lang w:val="en-US" w:eastAsia="zh-CN"/>
              </w:rPr>
              <w:t>斜坡道硐口</w:t>
            </w:r>
          </w:p>
        </w:tc>
        <w:tc>
          <w:tcPr>
            <w:tcW w:w="758" w:type="pct"/>
            <w:noWrap w:val="0"/>
            <w:vAlign w:val="center"/>
          </w:tcPr>
          <w:p w14:paraId="5CCEAC85">
            <w:pPr>
              <w:pStyle w:val="31"/>
              <w:bidi w:val="0"/>
              <w:rPr>
                <w:rFonts w:hint="eastAsia"/>
                <w:lang w:val="en-US" w:eastAsia="zh-CN"/>
              </w:rPr>
            </w:pPr>
            <w:r>
              <w:rPr>
                <w:rFonts w:hint="eastAsia"/>
                <w:lang w:val="en-US" w:eastAsia="zh-CN"/>
              </w:rPr>
              <w:t>1</w:t>
            </w:r>
          </w:p>
        </w:tc>
        <w:tc>
          <w:tcPr>
            <w:tcW w:w="1011" w:type="pct"/>
            <w:vMerge w:val="restart"/>
            <w:noWrap w:val="0"/>
            <w:vAlign w:val="center"/>
          </w:tcPr>
          <w:p w14:paraId="0150E880">
            <w:pPr>
              <w:pStyle w:val="31"/>
              <w:bidi w:val="0"/>
              <w:rPr>
                <w:rFonts w:hint="eastAsia"/>
              </w:rPr>
            </w:pPr>
            <w:r>
              <w:rPr>
                <w:rFonts w:hint="eastAsia"/>
              </w:rPr>
              <w:t>可重复利用前期工程</w:t>
            </w:r>
            <w:r>
              <w:rPr>
                <w:rFonts w:hint="eastAsia"/>
                <w:lang w:val="en-US" w:eastAsia="zh-CN"/>
              </w:rPr>
              <w:t>通信</w:t>
            </w:r>
            <w:r>
              <w:rPr>
                <w:rFonts w:hint="eastAsia"/>
              </w:rPr>
              <w:t>设备，必要时需购买新设备</w:t>
            </w:r>
          </w:p>
        </w:tc>
      </w:tr>
      <w:tr w14:paraId="0713C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55" w:type="pct"/>
            <w:vMerge w:val="continue"/>
            <w:noWrap w:val="0"/>
            <w:vAlign w:val="center"/>
          </w:tcPr>
          <w:p w14:paraId="7A307BD5">
            <w:pPr>
              <w:pStyle w:val="31"/>
              <w:bidi w:val="0"/>
              <w:rPr>
                <w:rFonts w:hint="eastAsia"/>
                <w:lang w:val="en-US" w:eastAsia="zh-CN"/>
              </w:rPr>
            </w:pPr>
          </w:p>
        </w:tc>
        <w:tc>
          <w:tcPr>
            <w:tcW w:w="2374" w:type="pct"/>
            <w:shd w:val="clear" w:color="auto" w:fill="auto"/>
            <w:noWrap w:val="0"/>
            <w:vAlign w:val="center"/>
          </w:tcPr>
          <w:p w14:paraId="14770E6D">
            <w:pPr>
              <w:pStyle w:val="31"/>
              <w:bidi w:val="0"/>
              <w:rPr>
                <w:rFonts w:hint="default"/>
                <w:lang w:val="en-US" w:eastAsia="zh-CN"/>
              </w:rPr>
            </w:pPr>
            <w:r>
              <w:rPr>
                <w:rFonts w:hint="eastAsia"/>
                <w:lang w:val="en-US" w:eastAsia="zh-CN"/>
              </w:rPr>
              <w:t>管缆井口</w:t>
            </w:r>
          </w:p>
        </w:tc>
        <w:tc>
          <w:tcPr>
            <w:tcW w:w="758" w:type="pct"/>
            <w:noWrap w:val="0"/>
            <w:vAlign w:val="center"/>
          </w:tcPr>
          <w:p w14:paraId="6CC1814E">
            <w:pPr>
              <w:pStyle w:val="31"/>
              <w:bidi w:val="0"/>
              <w:rPr>
                <w:rFonts w:hint="default"/>
                <w:lang w:val="en-US" w:eastAsia="zh-CN"/>
              </w:rPr>
            </w:pPr>
            <w:r>
              <w:rPr>
                <w:rFonts w:hint="eastAsia"/>
                <w:lang w:val="en-US" w:eastAsia="zh-CN"/>
              </w:rPr>
              <w:t>1</w:t>
            </w:r>
          </w:p>
        </w:tc>
        <w:tc>
          <w:tcPr>
            <w:tcW w:w="1011" w:type="pct"/>
            <w:vMerge w:val="continue"/>
            <w:noWrap w:val="0"/>
            <w:vAlign w:val="center"/>
          </w:tcPr>
          <w:p w14:paraId="760FDAC6">
            <w:pPr>
              <w:pStyle w:val="31"/>
              <w:bidi w:val="0"/>
              <w:rPr>
                <w:rFonts w:hint="eastAsia"/>
              </w:rPr>
            </w:pPr>
          </w:p>
        </w:tc>
      </w:tr>
      <w:tr w14:paraId="76F8C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55" w:type="pct"/>
            <w:vMerge w:val="continue"/>
            <w:noWrap w:val="0"/>
            <w:vAlign w:val="center"/>
          </w:tcPr>
          <w:p w14:paraId="284FC7C5">
            <w:pPr>
              <w:pStyle w:val="31"/>
              <w:bidi w:val="0"/>
              <w:rPr>
                <w:rFonts w:hint="eastAsia"/>
                <w:lang w:val="en-US" w:eastAsia="zh-CN"/>
              </w:rPr>
            </w:pPr>
          </w:p>
        </w:tc>
        <w:tc>
          <w:tcPr>
            <w:tcW w:w="2374" w:type="pct"/>
            <w:shd w:val="clear" w:color="auto" w:fill="auto"/>
            <w:noWrap w:val="0"/>
            <w:vAlign w:val="center"/>
          </w:tcPr>
          <w:p w14:paraId="4FCC6378">
            <w:pPr>
              <w:pStyle w:val="31"/>
              <w:bidi w:val="0"/>
              <w:rPr>
                <w:rFonts w:hint="eastAsia"/>
                <w:lang w:val="en-US" w:eastAsia="zh-CN"/>
              </w:rPr>
            </w:pPr>
            <w:r>
              <w:rPr>
                <w:rFonts w:hint="eastAsia"/>
                <w:lang w:val="en-US" w:eastAsia="zh-CN"/>
              </w:rPr>
              <w:t>回风井井口</w:t>
            </w:r>
          </w:p>
        </w:tc>
        <w:tc>
          <w:tcPr>
            <w:tcW w:w="758" w:type="pct"/>
            <w:noWrap w:val="0"/>
            <w:vAlign w:val="center"/>
          </w:tcPr>
          <w:p w14:paraId="7ECBCFD9">
            <w:pPr>
              <w:pStyle w:val="31"/>
              <w:bidi w:val="0"/>
              <w:rPr>
                <w:rFonts w:hint="default"/>
                <w:lang w:val="en-US" w:eastAsia="zh-CN"/>
              </w:rPr>
            </w:pPr>
            <w:r>
              <w:rPr>
                <w:rFonts w:hint="eastAsia"/>
                <w:lang w:val="en-US" w:eastAsia="zh-CN"/>
              </w:rPr>
              <w:t>1</w:t>
            </w:r>
          </w:p>
        </w:tc>
        <w:tc>
          <w:tcPr>
            <w:tcW w:w="1011" w:type="pct"/>
            <w:vMerge w:val="continue"/>
            <w:noWrap w:val="0"/>
            <w:vAlign w:val="center"/>
          </w:tcPr>
          <w:p w14:paraId="2E60AD4E">
            <w:pPr>
              <w:pStyle w:val="31"/>
              <w:bidi w:val="0"/>
              <w:rPr>
                <w:rFonts w:hint="eastAsia"/>
              </w:rPr>
            </w:pPr>
          </w:p>
        </w:tc>
      </w:tr>
      <w:tr w14:paraId="5BC2B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55" w:type="pct"/>
            <w:noWrap w:val="0"/>
            <w:vAlign w:val="center"/>
          </w:tcPr>
          <w:p w14:paraId="467C5C2F">
            <w:pPr>
              <w:pStyle w:val="31"/>
              <w:bidi w:val="0"/>
              <w:rPr>
                <w:rFonts w:hint="default"/>
                <w:lang w:val="en-US" w:eastAsia="zh-CN"/>
              </w:rPr>
            </w:pPr>
            <w:r>
              <w:rPr>
                <w:rFonts w:hint="eastAsia"/>
                <w:lang w:val="en-US" w:eastAsia="zh-CN"/>
              </w:rPr>
              <w:t>生产中段</w:t>
            </w:r>
          </w:p>
        </w:tc>
        <w:tc>
          <w:tcPr>
            <w:tcW w:w="2374" w:type="pct"/>
            <w:noWrap w:val="0"/>
            <w:vAlign w:val="center"/>
          </w:tcPr>
          <w:p w14:paraId="29CC7EFD">
            <w:pPr>
              <w:pStyle w:val="31"/>
              <w:bidi w:val="0"/>
              <w:rPr>
                <w:rFonts w:hint="default"/>
                <w:lang w:val="en-US" w:eastAsia="zh-CN"/>
              </w:rPr>
            </w:pPr>
            <w:r>
              <w:rPr>
                <w:rFonts w:hint="eastAsia"/>
                <w:lang w:val="en-US" w:eastAsia="zh-CN"/>
              </w:rPr>
              <w:t>斜坡道出入石门、管缆井石门、人员作业集中地点</w:t>
            </w:r>
          </w:p>
        </w:tc>
        <w:tc>
          <w:tcPr>
            <w:tcW w:w="758" w:type="pct"/>
            <w:noWrap w:val="0"/>
            <w:vAlign w:val="center"/>
          </w:tcPr>
          <w:p w14:paraId="483E53E8">
            <w:pPr>
              <w:pStyle w:val="31"/>
              <w:bidi w:val="0"/>
              <w:rPr>
                <w:rFonts w:hint="default"/>
                <w:lang w:val="en-US" w:eastAsia="zh-CN"/>
              </w:rPr>
            </w:pPr>
            <w:r>
              <w:rPr>
                <w:rFonts w:hint="eastAsia"/>
                <w:lang w:val="en-US" w:eastAsia="zh-CN"/>
              </w:rPr>
              <w:t>13</w:t>
            </w:r>
          </w:p>
        </w:tc>
        <w:tc>
          <w:tcPr>
            <w:tcW w:w="1011" w:type="pct"/>
            <w:vMerge w:val="continue"/>
            <w:noWrap w:val="0"/>
            <w:vAlign w:val="center"/>
          </w:tcPr>
          <w:p w14:paraId="24AFAF77">
            <w:pPr>
              <w:pStyle w:val="31"/>
              <w:bidi w:val="0"/>
              <w:rPr>
                <w:rFonts w:hint="eastAsia"/>
              </w:rPr>
            </w:pPr>
          </w:p>
        </w:tc>
      </w:tr>
      <w:tr w14:paraId="54A058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55" w:type="pct"/>
            <w:shd w:val="clear" w:color="auto" w:fill="auto"/>
            <w:noWrap w:val="0"/>
            <w:vAlign w:val="center"/>
          </w:tcPr>
          <w:p w14:paraId="082712DD">
            <w:pPr>
              <w:pStyle w:val="31"/>
              <w:bidi w:val="0"/>
              <w:rPr>
                <w:rFonts w:hint="eastAsia"/>
                <w:lang w:val="en-US" w:eastAsia="zh-CN"/>
              </w:rPr>
            </w:pPr>
            <w:r>
              <w:rPr>
                <w:rFonts w:hint="eastAsia"/>
                <w:lang w:val="en-US" w:eastAsia="zh-CN"/>
              </w:rPr>
              <w:t>-300m中段</w:t>
            </w:r>
          </w:p>
        </w:tc>
        <w:tc>
          <w:tcPr>
            <w:tcW w:w="2374" w:type="pct"/>
            <w:shd w:val="clear" w:color="auto" w:fill="auto"/>
            <w:noWrap w:val="0"/>
            <w:vAlign w:val="center"/>
          </w:tcPr>
          <w:p w14:paraId="476716BB">
            <w:pPr>
              <w:pStyle w:val="31"/>
              <w:bidi w:val="0"/>
              <w:rPr>
                <w:rFonts w:hint="default"/>
                <w:lang w:val="en-US" w:eastAsia="zh-CN"/>
              </w:rPr>
            </w:pPr>
            <w:r>
              <w:rPr>
                <w:rFonts w:hint="eastAsia"/>
                <w:lang w:val="en-US" w:eastAsia="zh-CN"/>
              </w:rPr>
              <w:t>水泵站、中央变电硐室</w:t>
            </w:r>
          </w:p>
        </w:tc>
        <w:tc>
          <w:tcPr>
            <w:tcW w:w="758" w:type="pct"/>
            <w:shd w:val="clear" w:color="auto" w:fill="auto"/>
            <w:noWrap w:val="0"/>
            <w:vAlign w:val="center"/>
          </w:tcPr>
          <w:p w14:paraId="2AE48EBF">
            <w:pPr>
              <w:pStyle w:val="31"/>
              <w:bidi w:val="0"/>
              <w:rPr>
                <w:rFonts w:hint="default"/>
                <w:lang w:val="en-US" w:eastAsia="zh-CN"/>
              </w:rPr>
            </w:pPr>
            <w:r>
              <w:rPr>
                <w:rFonts w:hint="eastAsia"/>
                <w:lang w:val="en-US" w:eastAsia="zh-CN"/>
              </w:rPr>
              <w:t>2</w:t>
            </w:r>
          </w:p>
        </w:tc>
        <w:tc>
          <w:tcPr>
            <w:tcW w:w="1011" w:type="pct"/>
            <w:vMerge w:val="continue"/>
            <w:noWrap w:val="0"/>
            <w:vAlign w:val="center"/>
          </w:tcPr>
          <w:p w14:paraId="1599F2CC">
            <w:pPr>
              <w:pStyle w:val="31"/>
              <w:bidi w:val="0"/>
              <w:rPr>
                <w:rFonts w:hint="eastAsia"/>
              </w:rPr>
            </w:pPr>
          </w:p>
        </w:tc>
      </w:tr>
      <w:tr w14:paraId="46558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55" w:type="pct"/>
            <w:shd w:val="clear" w:color="auto" w:fill="auto"/>
            <w:noWrap w:val="0"/>
            <w:vAlign w:val="center"/>
          </w:tcPr>
          <w:p w14:paraId="27417AA8">
            <w:pPr>
              <w:pStyle w:val="31"/>
              <w:bidi w:val="0"/>
              <w:rPr>
                <w:rFonts w:hint="default"/>
                <w:lang w:val="en-US" w:eastAsia="zh-CN"/>
              </w:rPr>
            </w:pPr>
            <w:r>
              <w:rPr>
                <w:rFonts w:hint="eastAsia"/>
                <w:lang w:val="en-US" w:eastAsia="zh-CN"/>
              </w:rPr>
              <w:t>合计</w:t>
            </w:r>
          </w:p>
        </w:tc>
        <w:tc>
          <w:tcPr>
            <w:tcW w:w="2374" w:type="pct"/>
            <w:shd w:val="clear" w:color="auto" w:fill="auto"/>
            <w:noWrap w:val="0"/>
            <w:vAlign w:val="center"/>
          </w:tcPr>
          <w:p w14:paraId="39419093">
            <w:pPr>
              <w:pStyle w:val="31"/>
              <w:bidi w:val="0"/>
              <w:rPr>
                <w:rFonts w:hint="eastAsia"/>
                <w:lang w:val="en-US" w:eastAsia="zh-CN"/>
              </w:rPr>
            </w:pPr>
          </w:p>
        </w:tc>
        <w:tc>
          <w:tcPr>
            <w:tcW w:w="758" w:type="pct"/>
            <w:shd w:val="clear" w:color="auto" w:fill="auto"/>
            <w:noWrap w:val="0"/>
            <w:vAlign w:val="center"/>
          </w:tcPr>
          <w:p w14:paraId="38A7F524">
            <w:pPr>
              <w:pStyle w:val="31"/>
              <w:bidi w:val="0"/>
              <w:rPr>
                <w:rFonts w:hint="eastAsia"/>
                <w:lang w:val="en-US" w:eastAsia="zh-CN"/>
              </w:rPr>
            </w:pPr>
            <w:r>
              <w:rPr>
                <w:rFonts w:hint="eastAsia"/>
                <w:lang w:val="en-US" w:eastAsia="zh-CN"/>
              </w:rPr>
              <w:fldChar w:fldCharType="begin"/>
            </w:r>
            <w:r>
              <w:rPr>
                <w:rFonts w:hint="eastAsia"/>
                <w:lang w:val="en-US" w:eastAsia="zh-CN"/>
              </w:rPr>
              <w:instrText xml:space="preserve"> = sum(C2:C6) \* MERGEFORMAT </w:instrText>
            </w:r>
            <w:r>
              <w:rPr>
                <w:rFonts w:hint="eastAsia"/>
                <w:lang w:val="en-US" w:eastAsia="zh-CN"/>
              </w:rPr>
              <w:fldChar w:fldCharType="separate"/>
            </w:r>
            <w:r>
              <w:rPr>
                <w:rFonts w:hint="eastAsia"/>
                <w:lang w:val="en-US" w:eastAsia="zh-CN"/>
              </w:rPr>
              <w:t>18</w:t>
            </w:r>
            <w:r>
              <w:rPr>
                <w:rFonts w:hint="eastAsia"/>
                <w:lang w:val="en-US" w:eastAsia="zh-CN"/>
              </w:rPr>
              <w:fldChar w:fldCharType="end"/>
            </w:r>
          </w:p>
        </w:tc>
        <w:tc>
          <w:tcPr>
            <w:tcW w:w="1011" w:type="pct"/>
            <w:noWrap w:val="0"/>
            <w:vAlign w:val="center"/>
          </w:tcPr>
          <w:p w14:paraId="6D96FAF8">
            <w:pPr>
              <w:pStyle w:val="31"/>
              <w:bidi w:val="0"/>
              <w:rPr>
                <w:rFonts w:hint="eastAsia"/>
              </w:rPr>
            </w:pPr>
          </w:p>
        </w:tc>
      </w:tr>
    </w:tbl>
    <w:p w14:paraId="60BCE7DB">
      <w:pPr>
        <w:pStyle w:val="23"/>
        <w:rPr>
          <w:rFonts w:hint="default" w:ascii="Times New Roman" w:hAnsi="Times New Roman" w:eastAsia="仿宋" w:cs="Times New Roman"/>
          <w:color w:val="000000" w:themeColor="text1"/>
          <w:highlight w:val="none"/>
          <w14:textFill>
            <w14:solidFill>
              <w14:schemeClr w14:val="tx1"/>
            </w14:solidFill>
          </w14:textFill>
        </w:rPr>
      </w:pPr>
    </w:p>
    <w:p w14:paraId="53C23FB1">
      <w:pPr>
        <w:pStyle w:val="30"/>
        <w:bidi w:val="0"/>
        <w:rPr>
          <w:rFonts w:hint="default"/>
          <w:lang w:val="en-US" w:eastAsia="zh-CN"/>
        </w:rPr>
      </w:pPr>
      <w:r>
        <w:rPr>
          <w:rFonts w:hint="eastAsia"/>
          <w:lang w:val="en-US" w:eastAsia="zh-CN"/>
        </w:rPr>
        <w:t xml:space="preserve">表2.4-12  </w:t>
      </w:r>
      <w:r>
        <w:rPr>
          <w:rFonts w:hint="default"/>
          <w:lang w:val="en-US" w:eastAsia="zh-CN"/>
        </w:rPr>
        <w:t>地面终端配备表</w:t>
      </w:r>
    </w:p>
    <w:tbl>
      <w:tblPr>
        <w:tblStyle w:val="24"/>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99"/>
        <w:gridCol w:w="4700"/>
      </w:tblGrid>
      <w:tr w14:paraId="5168D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noWrap w:val="0"/>
            <w:vAlign w:val="center"/>
          </w:tcPr>
          <w:p w14:paraId="49BC4E41">
            <w:pPr>
              <w:pStyle w:val="31"/>
              <w:bidi w:val="0"/>
              <w:rPr>
                <w:rFonts w:hint="default"/>
              </w:rPr>
            </w:pPr>
            <w:r>
              <w:rPr>
                <w:rFonts w:hint="default"/>
              </w:rPr>
              <w:t>部</w:t>
            </w:r>
            <w:r>
              <w:rPr>
                <w:rFonts w:hint="default"/>
                <w:lang w:val="en-US" w:eastAsia="zh-CN"/>
              </w:rPr>
              <w:t xml:space="preserve"> </w:t>
            </w:r>
            <w:r>
              <w:rPr>
                <w:rFonts w:hint="default"/>
              </w:rPr>
              <w:t>门</w:t>
            </w:r>
          </w:p>
        </w:tc>
        <w:tc>
          <w:tcPr>
            <w:tcW w:w="2500" w:type="pct"/>
            <w:noWrap w:val="0"/>
            <w:vAlign w:val="center"/>
          </w:tcPr>
          <w:p w14:paraId="2662A038">
            <w:pPr>
              <w:pStyle w:val="31"/>
              <w:bidi w:val="0"/>
              <w:rPr>
                <w:rFonts w:hint="default"/>
              </w:rPr>
            </w:pPr>
            <w:r>
              <w:rPr>
                <w:rFonts w:hint="default"/>
              </w:rPr>
              <w:t>数量</w:t>
            </w:r>
          </w:p>
        </w:tc>
      </w:tr>
      <w:tr w14:paraId="7A570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noWrap w:val="0"/>
            <w:vAlign w:val="center"/>
          </w:tcPr>
          <w:p w14:paraId="10C11D0B">
            <w:pPr>
              <w:pStyle w:val="31"/>
              <w:bidi w:val="0"/>
              <w:rPr>
                <w:rFonts w:hint="default"/>
              </w:rPr>
            </w:pPr>
            <w:r>
              <w:rPr>
                <w:rFonts w:hint="default"/>
              </w:rPr>
              <w:t>办公室</w:t>
            </w:r>
          </w:p>
        </w:tc>
        <w:tc>
          <w:tcPr>
            <w:tcW w:w="2500" w:type="pct"/>
            <w:noWrap w:val="0"/>
            <w:vAlign w:val="center"/>
          </w:tcPr>
          <w:p w14:paraId="39F83E55">
            <w:pPr>
              <w:pStyle w:val="31"/>
              <w:bidi w:val="0"/>
              <w:rPr>
                <w:rFonts w:hint="default"/>
                <w:lang w:eastAsia="zh-CN"/>
              </w:rPr>
            </w:pPr>
            <w:r>
              <w:rPr>
                <w:rFonts w:hint="default"/>
                <w:lang w:val="en-US" w:eastAsia="zh-CN"/>
              </w:rPr>
              <w:t>2</w:t>
            </w:r>
          </w:p>
        </w:tc>
      </w:tr>
      <w:tr w14:paraId="05EAD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noWrap w:val="0"/>
            <w:vAlign w:val="center"/>
          </w:tcPr>
          <w:p w14:paraId="1E69675A">
            <w:pPr>
              <w:pStyle w:val="31"/>
              <w:bidi w:val="0"/>
              <w:rPr>
                <w:rFonts w:hint="default"/>
              </w:rPr>
            </w:pPr>
            <w:r>
              <w:rPr>
                <w:rFonts w:hint="default"/>
              </w:rPr>
              <w:t>值班室</w:t>
            </w:r>
          </w:p>
        </w:tc>
        <w:tc>
          <w:tcPr>
            <w:tcW w:w="2500" w:type="pct"/>
            <w:noWrap w:val="0"/>
            <w:vAlign w:val="center"/>
          </w:tcPr>
          <w:p w14:paraId="5C6C05DF">
            <w:pPr>
              <w:pStyle w:val="31"/>
              <w:bidi w:val="0"/>
              <w:rPr>
                <w:rFonts w:hint="default"/>
                <w:lang w:eastAsia="zh-CN"/>
              </w:rPr>
            </w:pPr>
            <w:r>
              <w:rPr>
                <w:rFonts w:hint="default"/>
                <w:lang w:val="en-US" w:eastAsia="zh-CN"/>
              </w:rPr>
              <w:t>1</w:t>
            </w:r>
          </w:p>
        </w:tc>
      </w:tr>
      <w:tr w14:paraId="365A0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noWrap w:val="0"/>
            <w:vAlign w:val="center"/>
          </w:tcPr>
          <w:p w14:paraId="585DBD03">
            <w:pPr>
              <w:pStyle w:val="31"/>
              <w:bidi w:val="0"/>
              <w:rPr>
                <w:rFonts w:hint="default"/>
              </w:rPr>
            </w:pPr>
            <w:r>
              <w:rPr>
                <w:rFonts w:hint="default"/>
              </w:rPr>
              <w:t>矿</w:t>
            </w:r>
            <w:r>
              <w:rPr>
                <w:rFonts w:hint="default"/>
                <w:lang w:val="en-US" w:eastAsia="zh-CN"/>
              </w:rPr>
              <w:t xml:space="preserve"> </w:t>
            </w:r>
            <w:r>
              <w:rPr>
                <w:rFonts w:hint="default"/>
              </w:rPr>
              <w:t>部</w:t>
            </w:r>
          </w:p>
        </w:tc>
        <w:tc>
          <w:tcPr>
            <w:tcW w:w="2500" w:type="pct"/>
            <w:noWrap w:val="0"/>
            <w:vAlign w:val="center"/>
          </w:tcPr>
          <w:p w14:paraId="235C8A72">
            <w:pPr>
              <w:pStyle w:val="31"/>
              <w:bidi w:val="0"/>
              <w:rPr>
                <w:rFonts w:hint="default"/>
                <w:lang w:eastAsia="zh-CN"/>
              </w:rPr>
            </w:pPr>
            <w:r>
              <w:rPr>
                <w:rFonts w:hint="default"/>
                <w:lang w:val="en-US" w:eastAsia="zh-CN"/>
              </w:rPr>
              <w:t>1</w:t>
            </w:r>
          </w:p>
        </w:tc>
      </w:tr>
      <w:tr w14:paraId="10D83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noWrap w:val="0"/>
            <w:vAlign w:val="center"/>
          </w:tcPr>
          <w:p w14:paraId="750D63E2">
            <w:pPr>
              <w:pStyle w:val="31"/>
              <w:bidi w:val="0"/>
              <w:rPr>
                <w:rFonts w:hint="default"/>
              </w:rPr>
            </w:pPr>
            <w:r>
              <w:rPr>
                <w:rFonts w:hint="default"/>
              </w:rPr>
              <w:t>其它机动备用</w:t>
            </w:r>
          </w:p>
        </w:tc>
        <w:tc>
          <w:tcPr>
            <w:tcW w:w="2500" w:type="pct"/>
            <w:noWrap w:val="0"/>
            <w:vAlign w:val="center"/>
          </w:tcPr>
          <w:p w14:paraId="0CCBD0CD">
            <w:pPr>
              <w:pStyle w:val="31"/>
              <w:bidi w:val="0"/>
              <w:rPr>
                <w:rFonts w:hint="default"/>
                <w:lang w:eastAsia="zh-CN"/>
              </w:rPr>
            </w:pPr>
            <w:r>
              <w:rPr>
                <w:rFonts w:hint="default"/>
                <w:lang w:val="en-US" w:eastAsia="zh-CN"/>
              </w:rPr>
              <w:t>1</w:t>
            </w:r>
          </w:p>
        </w:tc>
      </w:tr>
      <w:tr w14:paraId="1D2CE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noWrap w:val="0"/>
            <w:vAlign w:val="center"/>
          </w:tcPr>
          <w:p w14:paraId="35CB5D80">
            <w:pPr>
              <w:pStyle w:val="31"/>
              <w:bidi w:val="0"/>
              <w:rPr>
                <w:rFonts w:hint="default"/>
              </w:rPr>
            </w:pPr>
            <w:r>
              <w:rPr>
                <w:rFonts w:hint="default"/>
              </w:rPr>
              <w:t>合</w:t>
            </w:r>
            <w:r>
              <w:rPr>
                <w:rFonts w:hint="default"/>
                <w:lang w:val="en-US" w:eastAsia="zh-CN"/>
              </w:rPr>
              <w:t xml:space="preserve"> </w:t>
            </w:r>
            <w:r>
              <w:rPr>
                <w:rFonts w:hint="default"/>
              </w:rPr>
              <w:t>计</w:t>
            </w:r>
          </w:p>
        </w:tc>
        <w:tc>
          <w:tcPr>
            <w:tcW w:w="2500" w:type="pct"/>
            <w:noWrap w:val="0"/>
            <w:vAlign w:val="center"/>
          </w:tcPr>
          <w:p w14:paraId="6DE98D87">
            <w:pPr>
              <w:pStyle w:val="31"/>
              <w:bidi w:val="0"/>
              <w:rPr>
                <w:rFonts w:hint="default"/>
                <w:lang w:eastAsia="zh-CN"/>
              </w:rPr>
            </w:pPr>
            <w:r>
              <w:rPr>
                <w:rFonts w:hint="default"/>
                <w:lang w:val="en-US" w:eastAsia="zh-CN"/>
              </w:rPr>
              <w:t>5</w:t>
            </w:r>
          </w:p>
        </w:tc>
      </w:tr>
    </w:tbl>
    <w:p w14:paraId="12B442E3">
      <w:pPr>
        <w:pStyle w:val="21"/>
        <w:bidi w:val="0"/>
        <w:rPr>
          <w:rFonts w:hint="eastAsia"/>
        </w:rPr>
      </w:pPr>
      <w:r>
        <w:rPr>
          <w:rFonts w:hint="eastAsia"/>
          <w:lang w:val="en-US" w:eastAsia="zh-CN"/>
        </w:rPr>
        <w:t>4、井下应急广播系统</w:t>
      </w:r>
    </w:p>
    <w:p w14:paraId="10C4B3F9">
      <w:pPr>
        <w:pStyle w:val="21"/>
        <w:bidi w:val="0"/>
        <w:rPr>
          <w:rFonts w:hint="eastAsia"/>
          <w:lang w:val="en-US" w:eastAsia="zh-CN"/>
        </w:rPr>
      </w:pPr>
      <w:r>
        <w:rPr>
          <w:rFonts w:hint="eastAsia"/>
          <w:lang w:val="en-US" w:eastAsia="zh-CN"/>
        </w:rPr>
        <w:t>国家矿山安全监察局关于印发《关于加强非煤矿山安全生产工作的指导意见》的通知，矿安</w:t>
      </w:r>
      <w:r>
        <w:rPr>
          <w:rFonts w:hint="eastAsia"/>
          <w:lang w:eastAsia="zh-CN"/>
        </w:rPr>
        <w:t>〔</w:t>
      </w:r>
      <w:r>
        <w:rPr>
          <w:rFonts w:hint="eastAsia"/>
          <w:lang w:val="en-US" w:eastAsia="zh-CN"/>
        </w:rPr>
        <w:t>2022</w:t>
      </w:r>
      <w:r>
        <w:rPr>
          <w:rFonts w:hint="eastAsia"/>
          <w:lang w:eastAsia="zh-CN"/>
        </w:rPr>
        <w:t>〕</w:t>
      </w:r>
      <w:r>
        <w:rPr>
          <w:rFonts w:hint="eastAsia"/>
          <w:lang w:val="en-US" w:eastAsia="zh-CN"/>
        </w:rPr>
        <w:t>4号文要求，井下建立应急广播系统。</w:t>
      </w:r>
    </w:p>
    <w:p w14:paraId="172E2BB0">
      <w:pPr>
        <w:pStyle w:val="21"/>
        <w:bidi w:val="0"/>
        <w:rPr>
          <w:rFonts w:hint="default"/>
          <w:lang w:val="en-US" w:eastAsia="zh-CN"/>
        </w:rPr>
      </w:pPr>
      <w:r>
        <w:rPr>
          <w:rFonts w:hint="eastAsia"/>
          <w:lang w:val="en-US" w:eastAsia="zh-CN"/>
        </w:rPr>
        <w:t>应急广播系统主要由地面播放设备及井下音箱组成。地面播放设备安装于调度室，井下防爆音箱一般安装于井下大巷、车场、休息室、采掘工作面等场所，通过应急广播发布风险预警预报信息，为井下工作人员及时做好灾害防范应对准备，提高职工的安全生产意识。最主要是在矿井安全出现紧急情况下，可以在调度指挥中心，通过广播系统向井下覆盖地点下达安全指令，从而有效的指导人员的安全撤离。</w:t>
      </w:r>
    </w:p>
    <w:p w14:paraId="1D2F654F">
      <w:pPr>
        <w:pStyle w:val="29"/>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default"/>
          <w:lang w:val="en-US" w:eastAsia="zh-CN"/>
        </w:rPr>
      </w:pPr>
      <w:r>
        <w:rPr>
          <w:rFonts w:hint="eastAsia"/>
          <w:lang w:val="en-US" w:eastAsia="zh-CN"/>
        </w:rPr>
        <w:t>安全管理及其他</w:t>
      </w:r>
    </w:p>
    <w:p w14:paraId="7EF7B9BE">
      <w:pPr>
        <w:pStyle w:val="21"/>
        <w:rPr>
          <w:rFonts w:hint="default"/>
          <w:lang w:val="en-US" w:eastAsia="zh-CN"/>
        </w:rPr>
      </w:pPr>
      <w:r>
        <w:rPr>
          <w:rFonts w:hint="eastAsia"/>
          <w:lang w:val="en-US" w:eastAsia="zh-CN"/>
        </w:rPr>
        <w:t>沈阳浑南矿业有限责任公司（铁矿）地下开采建设项目</w:t>
      </w:r>
      <w:r>
        <w:rPr>
          <w:rFonts w:hint="default"/>
          <w:lang w:val="en-US" w:eastAsia="zh-CN"/>
        </w:rPr>
        <w:t>，属于改、扩建项目。</w:t>
      </w:r>
    </w:p>
    <w:p w14:paraId="2705E6FC">
      <w:pPr>
        <w:pStyle w:val="21"/>
        <w:numPr>
          <w:ilvl w:val="0"/>
          <w:numId w:val="22"/>
        </w:numPr>
        <w:bidi w:val="0"/>
        <w:rPr>
          <w:rFonts w:hint="default"/>
          <w:lang w:val="en-US" w:eastAsia="zh-CN"/>
        </w:rPr>
      </w:pPr>
      <w:r>
        <w:rPr>
          <w:rFonts w:hint="default"/>
          <w:lang w:val="en-US" w:eastAsia="zh-CN"/>
        </w:rPr>
        <w:t>安全管理组织机构</w:t>
      </w:r>
    </w:p>
    <w:p w14:paraId="7A7F05BB">
      <w:pPr>
        <w:pStyle w:val="21"/>
        <w:bidi w:val="0"/>
        <w:rPr>
          <w:rFonts w:hint="eastAsia"/>
          <w:lang w:val="en-US" w:eastAsia="zh-CN"/>
        </w:rPr>
      </w:pPr>
      <w:r>
        <w:rPr>
          <w:rFonts w:hint="eastAsia"/>
          <w:lang w:val="en-US" w:eastAsia="zh-CN"/>
        </w:rPr>
        <w:t>根据</w:t>
      </w:r>
      <w:r>
        <w:rPr>
          <w:rFonts w:hint="default"/>
          <w:lang w:val="en-US" w:eastAsia="zh-CN"/>
        </w:rPr>
        <w:t>沈阳浑南矿业有限责任公司</w:t>
      </w:r>
      <w:r>
        <w:rPr>
          <w:rFonts w:hint="eastAsia"/>
          <w:lang w:val="en-US" w:eastAsia="zh-CN"/>
        </w:rPr>
        <w:t>文件，公司成立了安全科，任命了主要负责人。人员均具备相应的资格证书并在有效期内。</w:t>
      </w:r>
    </w:p>
    <w:p w14:paraId="543A111C">
      <w:pPr>
        <w:pStyle w:val="21"/>
        <w:numPr>
          <w:ilvl w:val="0"/>
          <w:numId w:val="22"/>
        </w:numPr>
        <w:bidi w:val="0"/>
        <w:rPr>
          <w:rFonts w:hint="default"/>
          <w:lang w:val="en-US" w:eastAsia="zh-CN"/>
        </w:rPr>
      </w:pPr>
      <w:r>
        <w:rPr>
          <w:rFonts w:hint="eastAsia"/>
          <w:lang w:val="en-US" w:eastAsia="zh-CN"/>
        </w:rPr>
        <w:t>特种设备及特种作业人员</w:t>
      </w:r>
    </w:p>
    <w:p w14:paraId="125939E5">
      <w:pPr>
        <w:adjustRightInd w:val="0"/>
        <w:snapToGrid w:val="0"/>
        <w:spacing w:line="360" w:lineRule="auto"/>
        <w:ind w:firstLine="560" w:firstLineChars="200"/>
        <w:rPr>
          <w:rFonts w:ascii="Times New Roman" w:hAnsi="Times New Roman" w:eastAsia="宋体" w:cs="Times New Roman"/>
          <w:caps w:val="0"/>
          <w:smallCaps w:val="0"/>
          <w:sz w:val="28"/>
          <w:szCs w:val="28"/>
        </w:rPr>
      </w:pPr>
      <w:r>
        <w:rPr>
          <w:rFonts w:ascii="Times New Roman" w:hAnsi="Times New Roman" w:eastAsia="宋体" w:cs="Times New Roman"/>
          <w:caps w:val="0"/>
          <w:smallCaps w:val="0"/>
          <w:sz w:val="28"/>
          <w:szCs w:val="28"/>
        </w:rPr>
        <w:t>矿山特种设备已经委托专门的特种设备检测机构进行了检测，检测结论为合格。</w:t>
      </w:r>
    </w:p>
    <w:p w14:paraId="20DD5F07">
      <w:pPr>
        <w:pStyle w:val="21"/>
        <w:bidi w:val="0"/>
        <w:rPr>
          <w:rFonts w:hint="default"/>
          <w:lang w:val="en-US" w:eastAsia="zh-CN"/>
        </w:rPr>
      </w:pPr>
      <w:r>
        <w:rPr>
          <w:rFonts w:hint="default"/>
          <w:lang w:val="en-US" w:eastAsia="zh-CN"/>
        </w:rPr>
        <w:t>矿山爆破作业由民爆公司“一体化”服务，爆破员及爆破安全员全部持证上岗</w:t>
      </w:r>
      <w:r>
        <w:rPr>
          <w:rFonts w:hint="eastAsia"/>
          <w:lang w:val="en-US" w:eastAsia="zh-CN"/>
        </w:rPr>
        <w:t>。</w:t>
      </w:r>
      <w:r>
        <w:rPr>
          <w:rFonts w:hint="default"/>
          <w:lang w:val="en-US" w:eastAsia="zh-CN"/>
        </w:rPr>
        <w:t>除此之外矿山电工、电气焊作业人员、提升机操作人员等特种作业人员全部持证上岗。</w:t>
      </w:r>
    </w:p>
    <w:p w14:paraId="6F7E1BAF">
      <w:pPr>
        <w:pStyle w:val="21"/>
        <w:numPr>
          <w:ilvl w:val="0"/>
          <w:numId w:val="22"/>
        </w:numPr>
        <w:bidi w:val="0"/>
        <w:rPr>
          <w:rFonts w:hint="default"/>
          <w:lang w:val="en-US" w:eastAsia="zh-CN"/>
        </w:rPr>
      </w:pPr>
      <w:r>
        <w:rPr>
          <w:rFonts w:hint="default"/>
          <w:lang w:val="en-US" w:eastAsia="zh-CN"/>
        </w:rPr>
        <w:t>组织与制度</w:t>
      </w:r>
    </w:p>
    <w:p w14:paraId="658E31DE">
      <w:pPr>
        <w:pStyle w:val="21"/>
        <w:bidi w:val="0"/>
        <w:rPr>
          <w:rFonts w:hint="default"/>
          <w:lang w:val="en-US" w:eastAsia="zh-CN"/>
        </w:rPr>
      </w:pPr>
      <w:r>
        <w:rPr>
          <w:rFonts w:hint="default"/>
          <w:lang w:val="en-US" w:eastAsia="zh-CN"/>
        </w:rPr>
        <w:t>矿山制定了全员安全生产责任制、安全生产规章制度和操作规程。</w:t>
      </w:r>
    </w:p>
    <w:p w14:paraId="7A1FFDE7">
      <w:pPr>
        <w:pStyle w:val="21"/>
        <w:bidi w:val="0"/>
        <w:rPr>
          <w:rFonts w:hint="default"/>
          <w:lang w:val="en-US" w:eastAsia="zh-CN"/>
        </w:rPr>
      </w:pPr>
      <w:r>
        <w:rPr>
          <w:rFonts w:hint="default"/>
          <w:lang w:val="en-US" w:eastAsia="zh-CN"/>
        </w:rPr>
        <w:t>矿山认真执行了安全检查制度。企业安全生产管理人员对安全生产状况进行了经常性检查。对检查中发现的事故隐患，立即进行了处理。</w:t>
      </w:r>
    </w:p>
    <w:p w14:paraId="2EE272A4">
      <w:pPr>
        <w:pStyle w:val="21"/>
        <w:bidi w:val="0"/>
        <w:rPr>
          <w:rFonts w:hint="default"/>
          <w:lang w:val="en-US" w:eastAsia="zh-CN"/>
        </w:rPr>
      </w:pPr>
      <w:r>
        <w:rPr>
          <w:rFonts w:hint="default"/>
          <w:lang w:val="en-US" w:eastAsia="zh-CN"/>
        </w:rPr>
        <w:t>矿山对职工进行了安全生产教育和培训，使其具备必要的安全生产知识，熟悉有关的安全生产规章制度和安全操作规程，掌握本岗位的安全操作技能。未经安全生产教育和培训合格的，未进行上岗作业。</w:t>
      </w:r>
    </w:p>
    <w:p w14:paraId="7D7C4D22">
      <w:pPr>
        <w:pStyle w:val="21"/>
        <w:bidi w:val="0"/>
        <w:rPr>
          <w:rFonts w:hint="default"/>
          <w:lang w:val="en-US" w:eastAsia="zh-CN"/>
        </w:rPr>
      </w:pPr>
      <w:r>
        <w:rPr>
          <w:rFonts w:hint="default"/>
          <w:lang w:val="en-US" w:eastAsia="zh-CN"/>
        </w:rPr>
        <w:t>矿山足额提取了安全生产费用。矿山为从业人员缴纳了安全生产责任险。</w:t>
      </w:r>
    </w:p>
    <w:p w14:paraId="65F532B2">
      <w:pPr>
        <w:pStyle w:val="21"/>
        <w:bidi w:val="0"/>
        <w:rPr>
          <w:rFonts w:hint="default"/>
          <w:lang w:val="en-US" w:eastAsia="zh-CN"/>
        </w:rPr>
      </w:pPr>
      <w:r>
        <w:rPr>
          <w:rFonts w:hint="default"/>
          <w:lang w:val="en-US" w:eastAsia="zh-CN"/>
        </w:rPr>
        <w:t>矿山编制了生产安全事故应急预案，并取得了应急预案备案表，备案表在有效期内。</w:t>
      </w:r>
    </w:p>
    <w:p w14:paraId="4048ACAD">
      <w:pPr>
        <w:pStyle w:val="21"/>
        <w:bidi w:val="0"/>
        <w:rPr>
          <w:rFonts w:hint="default"/>
          <w:lang w:val="en-US" w:eastAsia="zh-CN"/>
        </w:rPr>
      </w:pPr>
      <w:r>
        <w:rPr>
          <w:rFonts w:hint="default"/>
          <w:lang w:val="en-US" w:eastAsia="zh-CN"/>
        </w:rPr>
        <w:t>矿山设置了应急救援组织文件。矿山成立了兼职救援队伍并与相邻矿山企业签订了互救协议，满足矿山的生产安全需要。</w:t>
      </w:r>
    </w:p>
    <w:p w14:paraId="6699F65C">
      <w:pPr>
        <w:pStyle w:val="21"/>
        <w:bidi w:val="0"/>
        <w:rPr>
          <w:rFonts w:hint="default"/>
          <w:lang w:val="en-US" w:eastAsia="zh-CN"/>
        </w:rPr>
      </w:pPr>
      <w:r>
        <w:rPr>
          <w:rFonts w:hint="default"/>
          <w:lang w:val="en-US" w:eastAsia="zh-CN"/>
        </w:rPr>
        <w:t>因此，组织与制度符合国家安全生产法律法规、标准、规章、规范的要求。</w:t>
      </w:r>
    </w:p>
    <w:p w14:paraId="58EDB14F">
      <w:pPr>
        <w:pStyle w:val="21"/>
        <w:numPr>
          <w:ilvl w:val="0"/>
          <w:numId w:val="22"/>
        </w:numPr>
        <w:bidi w:val="0"/>
      </w:pPr>
      <w:r>
        <w:t>安全教育培训</w:t>
      </w:r>
    </w:p>
    <w:p w14:paraId="4879782F">
      <w:pPr>
        <w:pStyle w:val="21"/>
        <w:bidi w:val="0"/>
      </w:pPr>
      <w:r>
        <w:rPr>
          <w:rFonts w:hint="eastAsia"/>
        </w:rPr>
        <w:t>企业</w:t>
      </w:r>
      <w:r>
        <w:t>主要负责人以及安全管理人员</w:t>
      </w:r>
      <w:r>
        <w:rPr>
          <w:rFonts w:hint="eastAsia"/>
        </w:rPr>
        <w:t>均</w:t>
      </w:r>
      <w:r>
        <w:t>有资格证书。各岗位作业人员上岗前均经安全科组织培训，持证上岗。</w:t>
      </w:r>
    </w:p>
    <w:p w14:paraId="7C1597E2">
      <w:pPr>
        <w:pStyle w:val="21"/>
        <w:numPr>
          <w:ilvl w:val="0"/>
          <w:numId w:val="22"/>
        </w:numPr>
        <w:bidi w:val="0"/>
        <w:rPr>
          <w:rFonts w:hint="default"/>
          <w:lang w:val="en-US" w:eastAsia="zh-CN"/>
        </w:rPr>
      </w:pPr>
      <w:r>
        <w:rPr>
          <w:rFonts w:hint="default"/>
          <w:lang w:val="en-US" w:eastAsia="zh-CN"/>
        </w:rPr>
        <w:t>三级培训</w:t>
      </w:r>
    </w:p>
    <w:p w14:paraId="67BBC1B2">
      <w:pPr>
        <w:pStyle w:val="21"/>
        <w:bidi w:val="0"/>
        <w:rPr>
          <w:rFonts w:hint="default"/>
          <w:lang w:val="en-US" w:eastAsia="zh-CN"/>
        </w:rPr>
      </w:pPr>
      <w:r>
        <w:rPr>
          <w:rFonts w:hint="default"/>
          <w:lang w:val="en-US" w:eastAsia="zh-CN"/>
        </w:rPr>
        <w:t>企业制定了三级培训计划，规定了所有矿山从业人员（非煤矿山主要负责人、安全生产管理人员除参加本矿山培训计划以外，另需参加应急管理部门制定的培训计划）必须参加安全生产培训，培训内容主要包括矿山安全生产法律法规、矿山安全管理、地下开采安全、爆破作业安全、机械安全、职业病防治、事故应急处置、自救与现场急救、现场参观教学等；</w:t>
      </w:r>
    </w:p>
    <w:p w14:paraId="416C1246">
      <w:pPr>
        <w:pStyle w:val="21"/>
        <w:numPr>
          <w:ilvl w:val="0"/>
          <w:numId w:val="22"/>
        </w:numPr>
        <w:bidi w:val="0"/>
        <w:rPr>
          <w:rFonts w:hint="default"/>
          <w:lang w:val="en-US" w:eastAsia="zh-CN"/>
        </w:rPr>
      </w:pPr>
      <w:r>
        <w:rPr>
          <w:rFonts w:hint="eastAsia"/>
          <w:lang w:val="en-US" w:eastAsia="zh-CN"/>
        </w:rPr>
        <w:t>其他</w:t>
      </w:r>
    </w:p>
    <w:p w14:paraId="48B46892">
      <w:pPr>
        <w:pStyle w:val="21"/>
        <w:bidi w:val="0"/>
        <w:rPr>
          <w:rFonts w:hint="eastAsia"/>
          <w:lang w:val="en-US" w:eastAsia="zh-CN"/>
        </w:rPr>
      </w:pPr>
      <w:r>
        <w:rPr>
          <w:rFonts w:hint="eastAsia"/>
          <w:lang w:val="en-US" w:eastAsia="zh-CN"/>
        </w:rPr>
        <w:t>1、组织机构及劳动定员</w:t>
      </w:r>
    </w:p>
    <w:p w14:paraId="702AE19F">
      <w:pPr>
        <w:pStyle w:val="21"/>
        <w:bidi w:val="0"/>
        <w:rPr>
          <w:rFonts w:hint="eastAsia"/>
          <w:lang w:val="en-US" w:eastAsia="zh-CN"/>
        </w:rPr>
      </w:pPr>
      <w:r>
        <w:rPr>
          <w:rFonts w:hint="eastAsia"/>
          <w:lang w:val="en-US" w:eastAsia="zh-CN"/>
        </w:rPr>
        <w:t>矿山采用连续工作制，采矿车间年工作330天，每天3班，每班8小时；职能科室采用连续工作制，年工作330天，每天1班，每班8小时。其他辅助车间工作制度根据实际需要进行安排。</w:t>
      </w:r>
    </w:p>
    <w:p w14:paraId="26BEA928">
      <w:pPr>
        <w:pStyle w:val="30"/>
        <w:bidi w:val="0"/>
        <w:rPr>
          <w:rFonts w:hint="default"/>
          <w:lang w:val="en-US" w:eastAsia="zh-CN"/>
        </w:rPr>
      </w:pPr>
      <w:r>
        <w:rPr>
          <w:rFonts w:hint="eastAsia"/>
          <w:lang w:val="en-US" w:eastAsia="zh-CN"/>
        </w:rPr>
        <w:t xml:space="preserve">表2.4-13  </w:t>
      </w:r>
      <w:r>
        <w:rPr>
          <w:rFonts w:hint="default"/>
          <w:lang w:val="en-US" w:eastAsia="zh-CN"/>
        </w:rPr>
        <w:t>劳动定员表</w:t>
      </w:r>
    </w:p>
    <w:tbl>
      <w:tblPr>
        <w:tblStyle w:val="24"/>
        <w:tblW w:w="843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80"/>
        <w:gridCol w:w="2130"/>
        <w:gridCol w:w="1320"/>
        <w:gridCol w:w="1275"/>
        <w:gridCol w:w="1230"/>
        <w:gridCol w:w="1395"/>
      </w:tblGrid>
      <w:tr w14:paraId="147CC9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3513A69">
            <w:pPr>
              <w:pStyle w:val="31"/>
              <w:bidi w:val="0"/>
              <w:rPr>
                <w:rFonts w:hint="eastAsia"/>
                <w:lang w:val="en-US" w:eastAsia="zh-CN"/>
              </w:rPr>
            </w:pPr>
            <w:r>
              <w:rPr>
                <w:rFonts w:hint="eastAsia"/>
                <w:lang w:val="en-US" w:eastAsia="zh-CN"/>
              </w:rPr>
              <w:t>序号</w:t>
            </w:r>
          </w:p>
        </w:tc>
        <w:tc>
          <w:tcPr>
            <w:tcW w:w="2130" w:type="dxa"/>
            <w:vMerge w:val="restart"/>
            <w:tcBorders>
              <w:top w:val="single" w:color="000000" w:sz="8" w:space="0"/>
              <w:left w:val="nil"/>
              <w:bottom w:val="single" w:color="000000" w:sz="8" w:space="0"/>
              <w:right w:val="single" w:color="000000" w:sz="8" w:space="0"/>
            </w:tcBorders>
            <w:shd w:val="clear" w:color="auto" w:fill="auto"/>
            <w:vAlign w:val="center"/>
          </w:tcPr>
          <w:p w14:paraId="3DB763A9">
            <w:pPr>
              <w:pStyle w:val="31"/>
              <w:bidi w:val="0"/>
              <w:rPr>
                <w:rFonts w:hint="eastAsia"/>
                <w:lang w:val="en-US" w:eastAsia="zh-CN"/>
              </w:rPr>
            </w:pPr>
            <w:r>
              <w:rPr>
                <w:rFonts w:hint="eastAsia"/>
                <w:lang w:val="en-US" w:eastAsia="zh-CN"/>
              </w:rPr>
              <w:t>工作单位及工种</w:t>
            </w:r>
          </w:p>
        </w:tc>
        <w:tc>
          <w:tcPr>
            <w:tcW w:w="5220" w:type="dxa"/>
            <w:gridSpan w:val="4"/>
            <w:tcBorders>
              <w:top w:val="single" w:color="000000" w:sz="8" w:space="0"/>
              <w:left w:val="nil"/>
              <w:bottom w:val="single" w:color="000000" w:sz="8" w:space="0"/>
              <w:right w:val="single" w:color="000000" w:sz="8" w:space="0"/>
            </w:tcBorders>
            <w:shd w:val="clear" w:color="auto" w:fill="auto"/>
            <w:vAlign w:val="center"/>
          </w:tcPr>
          <w:p w14:paraId="21814380">
            <w:pPr>
              <w:pStyle w:val="31"/>
              <w:bidi w:val="0"/>
              <w:rPr>
                <w:rFonts w:hint="eastAsia"/>
                <w:lang w:val="en-US" w:eastAsia="zh-CN"/>
              </w:rPr>
            </w:pPr>
            <w:r>
              <w:rPr>
                <w:rFonts w:hint="eastAsia"/>
                <w:lang w:val="en-US" w:eastAsia="zh-CN"/>
              </w:rPr>
              <w:t>实际工作人数</w:t>
            </w:r>
          </w:p>
        </w:tc>
      </w:tr>
      <w:tr w14:paraId="773524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2F5EE41">
            <w:pPr>
              <w:pStyle w:val="31"/>
              <w:bidi w:val="0"/>
              <w:rPr>
                <w:rFonts w:hint="eastAsia"/>
                <w:lang w:val="en-US" w:eastAsia="zh-CN"/>
              </w:rPr>
            </w:pPr>
          </w:p>
        </w:tc>
        <w:tc>
          <w:tcPr>
            <w:tcW w:w="2130" w:type="dxa"/>
            <w:vMerge w:val="continue"/>
            <w:tcBorders>
              <w:top w:val="single" w:color="000000" w:sz="8" w:space="0"/>
              <w:left w:val="nil"/>
              <w:bottom w:val="single" w:color="000000" w:sz="8" w:space="0"/>
              <w:right w:val="single" w:color="000000" w:sz="8" w:space="0"/>
            </w:tcBorders>
            <w:shd w:val="clear" w:color="auto" w:fill="auto"/>
            <w:vAlign w:val="center"/>
          </w:tcPr>
          <w:p w14:paraId="4F05FA02">
            <w:pPr>
              <w:pStyle w:val="31"/>
              <w:bidi w:val="0"/>
              <w:rPr>
                <w:rFonts w:hint="eastAsia"/>
                <w:lang w:val="en-US" w:eastAsia="zh-CN"/>
              </w:rPr>
            </w:pPr>
          </w:p>
        </w:tc>
        <w:tc>
          <w:tcPr>
            <w:tcW w:w="3825" w:type="dxa"/>
            <w:gridSpan w:val="3"/>
            <w:tcBorders>
              <w:top w:val="nil"/>
              <w:left w:val="nil"/>
              <w:bottom w:val="single" w:color="000000" w:sz="8" w:space="0"/>
              <w:right w:val="single" w:color="000000" w:sz="8" w:space="0"/>
            </w:tcBorders>
            <w:shd w:val="clear" w:color="auto" w:fill="auto"/>
            <w:vAlign w:val="center"/>
          </w:tcPr>
          <w:p w14:paraId="1DB7784A">
            <w:pPr>
              <w:pStyle w:val="31"/>
              <w:bidi w:val="0"/>
              <w:rPr>
                <w:rFonts w:hint="eastAsia"/>
                <w:lang w:val="en-US" w:eastAsia="zh-CN"/>
              </w:rPr>
            </w:pPr>
            <w:r>
              <w:rPr>
                <w:rFonts w:hint="eastAsia"/>
                <w:lang w:val="en-US" w:eastAsia="zh-CN"/>
              </w:rPr>
              <w:t>班次</w:t>
            </w:r>
          </w:p>
        </w:tc>
        <w:tc>
          <w:tcPr>
            <w:tcW w:w="1395" w:type="dxa"/>
            <w:vMerge w:val="restart"/>
            <w:tcBorders>
              <w:top w:val="single" w:color="000000" w:sz="8" w:space="0"/>
              <w:left w:val="nil"/>
              <w:bottom w:val="single" w:color="000000" w:sz="8" w:space="0"/>
              <w:right w:val="single" w:color="000000" w:sz="8" w:space="0"/>
            </w:tcBorders>
            <w:shd w:val="clear" w:color="auto" w:fill="auto"/>
            <w:vAlign w:val="center"/>
          </w:tcPr>
          <w:p w14:paraId="1BA68A25">
            <w:pPr>
              <w:pStyle w:val="31"/>
              <w:bidi w:val="0"/>
              <w:rPr>
                <w:rFonts w:hint="eastAsia"/>
                <w:lang w:val="en-US" w:eastAsia="zh-CN"/>
              </w:rPr>
            </w:pPr>
            <w:r>
              <w:rPr>
                <w:rFonts w:hint="eastAsia"/>
                <w:lang w:val="en-US" w:eastAsia="zh-CN"/>
              </w:rPr>
              <w:t>总计</w:t>
            </w:r>
          </w:p>
        </w:tc>
      </w:tr>
      <w:tr w14:paraId="00E9BC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F3FBD88">
            <w:pPr>
              <w:pStyle w:val="31"/>
              <w:bidi w:val="0"/>
              <w:rPr>
                <w:rFonts w:hint="eastAsia"/>
                <w:lang w:val="en-US" w:eastAsia="zh-CN"/>
              </w:rPr>
            </w:pPr>
          </w:p>
        </w:tc>
        <w:tc>
          <w:tcPr>
            <w:tcW w:w="2130" w:type="dxa"/>
            <w:vMerge w:val="continue"/>
            <w:tcBorders>
              <w:top w:val="single" w:color="000000" w:sz="8" w:space="0"/>
              <w:left w:val="nil"/>
              <w:bottom w:val="single" w:color="000000" w:sz="8" w:space="0"/>
              <w:right w:val="single" w:color="000000" w:sz="8" w:space="0"/>
            </w:tcBorders>
            <w:shd w:val="clear" w:color="auto" w:fill="auto"/>
            <w:vAlign w:val="center"/>
          </w:tcPr>
          <w:p w14:paraId="592223DD">
            <w:pPr>
              <w:pStyle w:val="31"/>
              <w:bidi w:val="0"/>
              <w:rPr>
                <w:rFonts w:hint="eastAsia"/>
                <w:lang w:val="en-US" w:eastAsia="zh-CN"/>
              </w:rPr>
            </w:pPr>
          </w:p>
        </w:tc>
        <w:tc>
          <w:tcPr>
            <w:tcW w:w="1320" w:type="dxa"/>
            <w:tcBorders>
              <w:top w:val="nil"/>
              <w:left w:val="nil"/>
              <w:bottom w:val="single" w:color="000000" w:sz="8" w:space="0"/>
              <w:right w:val="single" w:color="000000" w:sz="8" w:space="0"/>
            </w:tcBorders>
            <w:shd w:val="clear" w:color="auto" w:fill="auto"/>
            <w:vAlign w:val="center"/>
          </w:tcPr>
          <w:p w14:paraId="0F0D3064">
            <w:pPr>
              <w:pStyle w:val="31"/>
              <w:bidi w:val="0"/>
              <w:rPr>
                <w:rFonts w:hint="eastAsia"/>
                <w:lang w:val="en-US" w:eastAsia="zh-CN"/>
              </w:rPr>
            </w:pPr>
            <w:r>
              <w:rPr>
                <w:rFonts w:hint="eastAsia"/>
                <w:lang w:val="en-US" w:eastAsia="zh-CN"/>
              </w:rPr>
              <w:t>一</w:t>
            </w:r>
          </w:p>
        </w:tc>
        <w:tc>
          <w:tcPr>
            <w:tcW w:w="1275" w:type="dxa"/>
            <w:tcBorders>
              <w:top w:val="nil"/>
              <w:left w:val="nil"/>
              <w:bottom w:val="single" w:color="000000" w:sz="8" w:space="0"/>
              <w:right w:val="single" w:color="000000" w:sz="8" w:space="0"/>
            </w:tcBorders>
            <w:shd w:val="clear" w:color="auto" w:fill="auto"/>
            <w:vAlign w:val="center"/>
          </w:tcPr>
          <w:p w14:paraId="769829A3">
            <w:pPr>
              <w:pStyle w:val="31"/>
              <w:bidi w:val="0"/>
              <w:rPr>
                <w:rFonts w:hint="eastAsia"/>
                <w:lang w:val="en-US" w:eastAsia="zh-CN"/>
              </w:rPr>
            </w:pPr>
            <w:r>
              <w:rPr>
                <w:rFonts w:hint="eastAsia"/>
                <w:lang w:val="en-US" w:eastAsia="zh-CN"/>
              </w:rPr>
              <w:t>二</w:t>
            </w:r>
          </w:p>
        </w:tc>
        <w:tc>
          <w:tcPr>
            <w:tcW w:w="1230" w:type="dxa"/>
            <w:tcBorders>
              <w:top w:val="single" w:color="000000" w:sz="8" w:space="0"/>
              <w:left w:val="nil"/>
              <w:bottom w:val="single" w:color="000000" w:sz="8" w:space="0"/>
              <w:right w:val="single" w:color="000000" w:sz="8" w:space="0"/>
            </w:tcBorders>
            <w:shd w:val="clear" w:color="auto" w:fill="auto"/>
            <w:vAlign w:val="center"/>
          </w:tcPr>
          <w:p w14:paraId="56566FED">
            <w:pPr>
              <w:pStyle w:val="31"/>
              <w:bidi w:val="0"/>
              <w:rPr>
                <w:rFonts w:hint="eastAsia"/>
                <w:lang w:val="en-US" w:eastAsia="zh-CN"/>
              </w:rPr>
            </w:pPr>
            <w:r>
              <w:rPr>
                <w:rFonts w:hint="eastAsia"/>
                <w:lang w:val="en-US" w:eastAsia="zh-CN"/>
              </w:rPr>
              <w:t>三</w:t>
            </w:r>
          </w:p>
        </w:tc>
        <w:tc>
          <w:tcPr>
            <w:tcW w:w="1395" w:type="dxa"/>
            <w:vMerge w:val="continue"/>
            <w:tcBorders>
              <w:top w:val="single" w:color="000000" w:sz="8" w:space="0"/>
              <w:left w:val="nil"/>
              <w:bottom w:val="single" w:color="000000" w:sz="8" w:space="0"/>
              <w:right w:val="single" w:color="000000" w:sz="8" w:space="0"/>
            </w:tcBorders>
            <w:shd w:val="clear" w:color="auto" w:fill="auto"/>
            <w:vAlign w:val="center"/>
          </w:tcPr>
          <w:p w14:paraId="7A078ABC">
            <w:pPr>
              <w:pStyle w:val="31"/>
              <w:bidi w:val="0"/>
              <w:rPr>
                <w:rFonts w:hint="eastAsia"/>
                <w:lang w:val="en-US" w:eastAsia="zh-CN"/>
              </w:rPr>
            </w:pPr>
          </w:p>
        </w:tc>
      </w:tr>
      <w:tr w14:paraId="56B4F1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tcBorders>
              <w:top w:val="nil"/>
              <w:left w:val="single" w:color="000000" w:sz="8" w:space="0"/>
              <w:bottom w:val="single" w:color="000000" w:sz="8" w:space="0"/>
              <w:right w:val="single" w:color="000000" w:sz="8" w:space="0"/>
            </w:tcBorders>
            <w:shd w:val="clear" w:color="auto" w:fill="auto"/>
            <w:vAlign w:val="center"/>
          </w:tcPr>
          <w:p w14:paraId="6E10E0EA">
            <w:pPr>
              <w:pStyle w:val="31"/>
              <w:bidi w:val="0"/>
              <w:rPr>
                <w:rFonts w:hint="eastAsia"/>
                <w:lang w:val="en-US" w:eastAsia="zh-CN"/>
              </w:rPr>
            </w:pPr>
            <w:r>
              <w:rPr>
                <w:rFonts w:hint="eastAsia"/>
                <w:lang w:val="en-US" w:eastAsia="zh-CN"/>
              </w:rPr>
              <w:t>1</w:t>
            </w:r>
          </w:p>
        </w:tc>
        <w:tc>
          <w:tcPr>
            <w:tcW w:w="2130" w:type="dxa"/>
            <w:tcBorders>
              <w:top w:val="nil"/>
              <w:left w:val="nil"/>
              <w:bottom w:val="single" w:color="000000" w:sz="8" w:space="0"/>
              <w:right w:val="single" w:color="000000" w:sz="8" w:space="0"/>
            </w:tcBorders>
            <w:shd w:val="clear" w:color="auto" w:fill="auto"/>
            <w:vAlign w:val="center"/>
          </w:tcPr>
          <w:p w14:paraId="07C96F44">
            <w:pPr>
              <w:pStyle w:val="31"/>
              <w:bidi w:val="0"/>
              <w:rPr>
                <w:rFonts w:hint="eastAsia"/>
                <w:lang w:val="en-US" w:eastAsia="zh-CN"/>
              </w:rPr>
            </w:pPr>
            <w:r>
              <w:rPr>
                <w:rFonts w:hint="eastAsia"/>
                <w:lang w:val="en-US" w:eastAsia="zh-CN"/>
              </w:rPr>
              <w:t>安全管理人员</w:t>
            </w:r>
          </w:p>
        </w:tc>
        <w:tc>
          <w:tcPr>
            <w:tcW w:w="1320" w:type="dxa"/>
            <w:tcBorders>
              <w:top w:val="nil"/>
              <w:left w:val="nil"/>
              <w:bottom w:val="single" w:color="000000" w:sz="8" w:space="0"/>
              <w:right w:val="single" w:color="000000" w:sz="8" w:space="0"/>
            </w:tcBorders>
            <w:shd w:val="clear" w:color="auto" w:fill="auto"/>
            <w:vAlign w:val="center"/>
          </w:tcPr>
          <w:p w14:paraId="127ADB82">
            <w:pPr>
              <w:pStyle w:val="31"/>
              <w:bidi w:val="0"/>
              <w:rPr>
                <w:rFonts w:hint="eastAsia"/>
                <w:lang w:val="en-US" w:eastAsia="zh-CN"/>
              </w:rPr>
            </w:pPr>
            <w:r>
              <w:rPr>
                <w:rFonts w:hint="eastAsia"/>
                <w:lang w:val="en-US" w:eastAsia="zh-CN"/>
              </w:rPr>
              <w:t>3</w:t>
            </w:r>
          </w:p>
        </w:tc>
        <w:tc>
          <w:tcPr>
            <w:tcW w:w="1275" w:type="dxa"/>
            <w:tcBorders>
              <w:top w:val="nil"/>
              <w:left w:val="nil"/>
              <w:bottom w:val="single" w:color="000000" w:sz="8" w:space="0"/>
              <w:right w:val="single" w:color="000000" w:sz="8" w:space="0"/>
            </w:tcBorders>
            <w:shd w:val="clear" w:color="auto" w:fill="auto"/>
            <w:vAlign w:val="center"/>
          </w:tcPr>
          <w:p w14:paraId="74EF72E6">
            <w:pPr>
              <w:pStyle w:val="31"/>
              <w:bidi w:val="0"/>
              <w:rPr>
                <w:rFonts w:hint="eastAsia"/>
                <w:lang w:val="en-US" w:eastAsia="zh-CN"/>
              </w:rPr>
            </w:pPr>
            <w:r>
              <w:rPr>
                <w:rFonts w:hint="eastAsia"/>
                <w:lang w:val="en-US" w:eastAsia="zh-CN"/>
              </w:rPr>
              <w:t>3</w:t>
            </w:r>
          </w:p>
        </w:tc>
        <w:tc>
          <w:tcPr>
            <w:tcW w:w="1230" w:type="dxa"/>
            <w:tcBorders>
              <w:top w:val="nil"/>
              <w:left w:val="nil"/>
              <w:bottom w:val="single" w:color="000000" w:sz="8" w:space="0"/>
              <w:right w:val="single" w:color="000000" w:sz="8" w:space="0"/>
            </w:tcBorders>
            <w:shd w:val="clear" w:color="auto" w:fill="auto"/>
            <w:vAlign w:val="center"/>
          </w:tcPr>
          <w:p w14:paraId="139716D4">
            <w:pPr>
              <w:pStyle w:val="31"/>
              <w:bidi w:val="0"/>
              <w:rPr>
                <w:rFonts w:hint="eastAsia"/>
                <w:lang w:val="en-US" w:eastAsia="zh-CN"/>
              </w:rPr>
            </w:pPr>
            <w:r>
              <w:rPr>
                <w:rFonts w:hint="eastAsia"/>
                <w:lang w:val="en-US" w:eastAsia="zh-CN"/>
              </w:rPr>
              <w:t>2</w:t>
            </w:r>
          </w:p>
        </w:tc>
        <w:tc>
          <w:tcPr>
            <w:tcW w:w="1395" w:type="dxa"/>
            <w:tcBorders>
              <w:top w:val="nil"/>
              <w:left w:val="nil"/>
              <w:bottom w:val="single" w:color="000000" w:sz="8" w:space="0"/>
              <w:right w:val="single" w:color="000000" w:sz="8" w:space="0"/>
            </w:tcBorders>
            <w:shd w:val="clear" w:color="auto" w:fill="auto"/>
            <w:vAlign w:val="center"/>
          </w:tcPr>
          <w:p w14:paraId="7619817E">
            <w:pPr>
              <w:pStyle w:val="31"/>
              <w:bidi w:val="0"/>
              <w:rPr>
                <w:rFonts w:hint="eastAsia"/>
                <w:lang w:val="en-US" w:eastAsia="zh-CN"/>
              </w:rPr>
            </w:pPr>
            <w:r>
              <w:rPr>
                <w:rFonts w:hint="eastAsia"/>
                <w:lang w:val="en-US" w:eastAsia="zh-CN"/>
              </w:rPr>
              <w:t>8</w:t>
            </w:r>
          </w:p>
        </w:tc>
      </w:tr>
      <w:tr w14:paraId="0AAE4B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080" w:type="dxa"/>
            <w:tcBorders>
              <w:top w:val="nil"/>
              <w:left w:val="single" w:color="000000" w:sz="8" w:space="0"/>
              <w:bottom w:val="single" w:color="000000" w:sz="8" w:space="0"/>
              <w:right w:val="single" w:color="000000" w:sz="8" w:space="0"/>
            </w:tcBorders>
            <w:shd w:val="clear" w:color="auto" w:fill="auto"/>
            <w:vAlign w:val="center"/>
          </w:tcPr>
          <w:p w14:paraId="7251488C">
            <w:pPr>
              <w:pStyle w:val="31"/>
              <w:bidi w:val="0"/>
              <w:rPr>
                <w:rFonts w:hint="eastAsia"/>
                <w:lang w:val="en-US" w:eastAsia="zh-CN"/>
              </w:rPr>
            </w:pPr>
            <w:r>
              <w:rPr>
                <w:rFonts w:hint="eastAsia"/>
                <w:lang w:val="en-US" w:eastAsia="zh-CN"/>
              </w:rPr>
              <w:t>1.1</w:t>
            </w:r>
          </w:p>
        </w:tc>
        <w:tc>
          <w:tcPr>
            <w:tcW w:w="2130" w:type="dxa"/>
            <w:tcBorders>
              <w:top w:val="nil"/>
              <w:left w:val="nil"/>
              <w:bottom w:val="single" w:color="000000" w:sz="8" w:space="0"/>
              <w:right w:val="single" w:color="000000" w:sz="8" w:space="0"/>
            </w:tcBorders>
            <w:shd w:val="clear" w:color="auto" w:fill="auto"/>
            <w:vAlign w:val="center"/>
          </w:tcPr>
          <w:p w14:paraId="77266430">
            <w:pPr>
              <w:pStyle w:val="31"/>
              <w:bidi w:val="0"/>
              <w:rPr>
                <w:rFonts w:hint="eastAsia"/>
                <w:lang w:val="en-US" w:eastAsia="zh-CN"/>
              </w:rPr>
            </w:pPr>
            <w:r>
              <w:rPr>
                <w:rFonts w:hint="eastAsia"/>
                <w:lang w:val="en-US" w:eastAsia="zh-CN"/>
              </w:rPr>
              <w:t>矿长</w:t>
            </w:r>
          </w:p>
        </w:tc>
        <w:tc>
          <w:tcPr>
            <w:tcW w:w="1320" w:type="dxa"/>
            <w:tcBorders>
              <w:top w:val="nil"/>
              <w:left w:val="nil"/>
              <w:bottom w:val="single" w:color="000000" w:sz="8" w:space="0"/>
              <w:right w:val="single" w:color="000000" w:sz="8" w:space="0"/>
            </w:tcBorders>
            <w:shd w:val="clear" w:color="auto" w:fill="auto"/>
            <w:vAlign w:val="center"/>
          </w:tcPr>
          <w:p w14:paraId="449ED276">
            <w:pPr>
              <w:pStyle w:val="31"/>
              <w:bidi w:val="0"/>
              <w:rPr>
                <w:rFonts w:hint="eastAsia"/>
                <w:lang w:val="en-US" w:eastAsia="zh-CN"/>
              </w:rPr>
            </w:pPr>
            <w:r>
              <w:rPr>
                <w:rFonts w:hint="eastAsia"/>
                <w:lang w:val="en-US" w:eastAsia="zh-CN"/>
              </w:rPr>
              <w:t>1</w:t>
            </w:r>
          </w:p>
        </w:tc>
        <w:tc>
          <w:tcPr>
            <w:tcW w:w="1275" w:type="dxa"/>
            <w:tcBorders>
              <w:top w:val="nil"/>
              <w:left w:val="nil"/>
              <w:bottom w:val="single" w:color="000000" w:sz="8" w:space="0"/>
              <w:right w:val="single" w:color="000000" w:sz="8" w:space="0"/>
            </w:tcBorders>
            <w:shd w:val="clear" w:color="auto" w:fill="auto"/>
            <w:vAlign w:val="center"/>
          </w:tcPr>
          <w:p w14:paraId="73677349">
            <w:pPr>
              <w:pStyle w:val="31"/>
              <w:bidi w:val="0"/>
              <w:rPr>
                <w:rFonts w:hint="eastAsia"/>
                <w:lang w:val="en-US" w:eastAsia="zh-CN"/>
              </w:rPr>
            </w:pPr>
          </w:p>
        </w:tc>
        <w:tc>
          <w:tcPr>
            <w:tcW w:w="1230" w:type="dxa"/>
            <w:tcBorders>
              <w:top w:val="nil"/>
              <w:left w:val="nil"/>
              <w:bottom w:val="single" w:color="000000" w:sz="8" w:space="0"/>
              <w:right w:val="single" w:color="000000" w:sz="8" w:space="0"/>
            </w:tcBorders>
            <w:shd w:val="clear" w:color="auto" w:fill="auto"/>
            <w:vAlign w:val="center"/>
          </w:tcPr>
          <w:p w14:paraId="453B0A9E">
            <w:pPr>
              <w:pStyle w:val="31"/>
              <w:bidi w:val="0"/>
              <w:rPr>
                <w:rFonts w:hint="eastAsia"/>
                <w:lang w:val="en-US" w:eastAsia="zh-CN"/>
              </w:rPr>
            </w:pPr>
          </w:p>
        </w:tc>
        <w:tc>
          <w:tcPr>
            <w:tcW w:w="1395" w:type="dxa"/>
            <w:tcBorders>
              <w:top w:val="nil"/>
              <w:left w:val="nil"/>
              <w:bottom w:val="single" w:color="000000" w:sz="8" w:space="0"/>
              <w:right w:val="single" w:color="000000" w:sz="8" w:space="0"/>
            </w:tcBorders>
            <w:shd w:val="clear" w:color="auto" w:fill="auto"/>
            <w:vAlign w:val="center"/>
          </w:tcPr>
          <w:p w14:paraId="2098009D">
            <w:pPr>
              <w:pStyle w:val="31"/>
              <w:bidi w:val="0"/>
              <w:rPr>
                <w:rFonts w:hint="eastAsia"/>
                <w:lang w:val="en-US" w:eastAsia="zh-CN"/>
              </w:rPr>
            </w:pPr>
            <w:r>
              <w:rPr>
                <w:rFonts w:hint="eastAsia"/>
                <w:lang w:val="en-US" w:eastAsia="zh-CN"/>
              </w:rPr>
              <w:t>1</w:t>
            </w:r>
          </w:p>
        </w:tc>
      </w:tr>
      <w:tr w14:paraId="3F9F0D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tcBorders>
              <w:top w:val="nil"/>
              <w:left w:val="single" w:color="000000" w:sz="8" w:space="0"/>
              <w:bottom w:val="single" w:color="000000" w:sz="8" w:space="0"/>
              <w:right w:val="single" w:color="000000" w:sz="8" w:space="0"/>
            </w:tcBorders>
            <w:shd w:val="clear" w:color="auto" w:fill="auto"/>
            <w:vAlign w:val="center"/>
          </w:tcPr>
          <w:p w14:paraId="11442E86">
            <w:pPr>
              <w:pStyle w:val="31"/>
              <w:bidi w:val="0"/>
              <w:rPr>
                <w:rFonts w:hint="eastAsia"/>
                <w:lang w:val="en-US" w:eastAsia="zh-CN"/>
              </w:rPr>
            </w:pPr>
            <w:r>
              <w:rPr>
                <w:rFonts w:hint="eastAsia"/>
                <w:lang w:val="en-US" w:eastAsia="zh-CN"/>
              </w:rPr>
              <w:t>1.2</w:t>
            </w:r>
          </w:p>
        </w:tc>
        <w:tc>
          <w:tcPr>
            <w:tcW w:w="2130" w:type="dxa"/>
            <w:tcBorders>
              <w:top w:val="nil"/>
              <w:left w:val="nil"/>
              <w:bottom w:val="single" w:color="000000" w:sz="8" w:space="0"/>
              <w:right w:val="single" w:color="000000" w:sz="8" w:space="0"/>
            </w:tcBorders>
            <w:shd w:val="clear" w:color="auto" w:fill="auto"/>
            <w:vAlign w:val="center"/>
          </w:tcPr>
          <w:p w14:paraId="4D2832E7">
            <w:pPr>
              <w:pStyle w:val="31"/>
              <w:bidi w:val="0"/>
              <w:rPr>
                <w:rFonts w:hint="eastAsia"/>
                <w:lang w:val="en-US" w:eastAsia="zh-CN"/>
              </w:rPr>
            </w:pPr>
            <w:r>
              <w:rPr>
                <w:rFonts w:hint="eastAsia"/>
                <w:lang w:val="en-US" w:eastAsia="zh-CN"/>
              </w:rPr>
              <w:t>生产副矿长</w:t>
            </w:r>
          </w:p>
        </w:tc>
        <w:tc>
          <w:tcPr>
            <w:tcW w:w="1320" w:type="dxa"/>
            <w:tcBorders>
              <w:top w:val="nil"/>
              <w:left w:val="nil"/>
              <w:bottom w:val="single" w:color="000000" w:sz="8" w:space="0"/>
              <w:right w:val="single" w:color="000000" w:sz="8" w:space="0"/>
            </w:tcBorders>
            <w:shd w:val="clear" w:color="auto" w:fill="auto"/>
            <w:vAlign w:val="center"/>
          </w:tcPr>
          <w:p w14:paraId="7FFFA324">
            <w:pPr>
              <w:pStyle w:val="31"/>
              <w:bidi w:val="0"/>
              <w:rPr>
                <w:rFonts w:hint="eastAsia"/>
                <w:lang w:val="en-US" w:eastAsia="zh-CN"/>
              </w:rPr>
            </w:pPr>
          </w:p>
        </w:tc>
        <w:tc>
          <w:tcPr>
            <w:tcW w:w="1275" w:type="dxa"/>
            <w:tcBorders>
              <w:top w:val="nil"/>
              <w:left w:val="nil"/>
              <w:bottom w:val="single" w:color="000000" w:sz="8" w:space="0"/>
              <w:right w:val="single" w:color="000000" w:sz="8" w:space="0"/>
            </w:tcBorders>
            <w:shd w:val="clear" w:color="auto" w:fill="auto"/>
            <w:vAlign w:val="center"/>
          </w:tcPr>
          <w:p w14:paraId="2CD4DC91">
            <w:pPr>
              <w:pStyle w:val="31"/>
              <w:bidi w:val="0"/>
              <w:rPr>
                <w:rFonts w:hint="eastAsia"/>
                <w:lang w:val="en-US" w:eastAsia="zh-CN"/>
              </w:rPr>
            </w:pPr>
            <w:r>
              <w:rPr>
                <w:rFonts w:hint="eastAsia"/>
                <w:lang w:val="en-US" w:eastAsia="zh-CN"/>
              </w:rPr>
              <w:t>1</w:t>
            </w:r>
          </w:p>
        </w:tc>
        <w:tc>
          <w:tcPr>
            <w:tcW w:w="1230" w:type="dxa"/>
            <w:tcBorders>
              <w:top w:val="nil"/>
              <w:left w:val="nil"/>
              <w:bottom w:val="single" w:color="000000" w:sz="8" w:space="0"/>
              <w:right w:val="single" w:color="000000" w:sz="8" w:space="0"/>
            </w:tcBorders>
            <w:shd w:val="clear" w:color="auto" w:fill="auto"/>
            <w:vAlign w:val="center"/>
          </w:tcPr>
          <w:p w14:paraId="6D218188">
            <w:pPr>
              <w:pStyle w:val="31"/>
              <w:bidi w:val="0"/>
              <w:rPr>
                <w:rFonts w:hint="eastAsia"/>
                <w:lang w:val="en-US" w:eastAsia="zh-CN"/>
              </w:rPr>
            </w:pPr>
          </w:p>
        </w:tc>
        <w:tc>
          <w:tcPr>
            <w:tcW w:w="1395" w:type="dxa"/>
            <w:tcBorders>
              <w:top w:val="nil"/>
              <w:left w:val="nil"/>
              <w:bottom w:val="single" w:color="000000" w:sz="8" w:space="0"/>
              <w:right w:val="single" w:color="000000" w:sz="8" w:space="0"/>
            </w:tcBorders>
            <w:shd w:val="clear" w:color="auto" w:fill="auto"/>
            <w:vAlign w:val="center"/>
          </w:tcPr>
          <w:p w14:paraId="2E4F7EBF">
            <w:pPr>
              <w:pStyle w:val="31"/>
              <w:bidi w:val="0"/>
              <w:rPr>
                <w:rFonts w:hint="eastAsia"/>
                <w:lang w:val="en-US" w:eastAsia="zh-CN"/>
              </w:rPr>
            </w:pPr>
            <w:r>
              <w:rPr>
                <w:rFonts w:hint="eastAsia"/>
                <w:lang w:val="en-US" w:eastAsia="zh-CN"/>
              </w:rPr>
              <w:t>1</w:t>
            </w:r>
          </w:p>
        </w:tc>
      </w:tr>
      <w:tr w14:paraId="3FD32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tcBorders>
              <w:top w:val="nil"/>
              <w:left w:val="single" w:color="000000" w:sz="8" w:space="0"/>
              <w:bottom w:val="single" w:color="000000" w:sz="8" w:space="0"/>
              <w:right w:val="single" w:color="000000" w:sz="8" w:space="0"/>
            </w:tcBorders>
            <w:shd w:val="clear" w:color="auto" w:fill="auto"/>
            <w:vAlign w:val="center"/>
          </w:tcPr>
          <w:p w14:paraId="00F3A534">
            <w:pPr>
              <w:pStyle w:val="31"/>
              <w:bidi w:val="0"/>
              <w:rPr>
                <w:rFonts w:hint="eastAsia"/>
                <w:lang w:val="en-US" w:eastAsia="zh-CN"/>
              </w:rPr>
            </w:pPr>
            <w:r>
              <w:rPr>
                <w:rFonts w:hint="eastAsia"/>
                <w:lang w:val="en-US" w:eastAsia="zh-CN"/>
              </w:rPr>
              <w:t>1.3</w:t>
            </w:r>
          </w:p>
        </w:tc>
        <w:tc>
          <w:tcPr>
            <w:tcW w:w="2130" w:type="dxa"/>
            <w:tcBorders>
              <w:top w:val="nil"/>
              <w:left w:val="nil"/>
              <w:bottom w:val="single" w:color="000000" w:sz="8" w:space="0"/>
              <w:right w:val="single" w:color="000000" w:sz="8" w:space="0"/>
            </w:tcBorders>
            <w:shd w:val="clear" w:color="auto" w:fill="auto"/>
            <w:vAlign w:val="center"/>
          </w:tcPr>
          <w:p w14:paraId="09248626">
            <w:pPr>
              <w:pStyle w:val="31"/>
              <w:bidi w:val="0"/>
              <w:rPr>
                <w:rFonts w:hint="eastAsia"/>
                <w:lang w:val="en-US" w:eastAsia="zh-CN"/>
              </w:rPr>
            </w:pPr>
            <w:r>
              <w:rPr>
                <w:rFonts w:hint="eastAsia"/>
                <w:lang w:val="en-US" w:eastAsia="zh-CN"/>
              </w:rPr>
              <w:t>机电副矿长</w:t>
            </w:r>
          </w:p>
        </w:tc>
        <w:tc>
          <w:tcPr>
            <w:tcW w:w="1320" w:type="dxa"/>
            <w:tcBorders>
              <w:top w:val="nil"/>
              <w:left w:val="nil"/>
              <w:bottom w:val="single" w:color="000000" w:sz="8" w:space="0"/>
              <w:right w:val="single" w:color="000000" w:sz="8" w:space="0"/>
            </w:tcBorders>
            <w:shd w:val="clear" w:color="auto" w:fill="auto"/>
            <w:vAlign w:val="center"/>
          </w:tcPr>
          <w:p w14:paraId="24D6364B">
            <w:pPr>
              <w:pStyle w:val="31"/>
              <w:bidi w:val="0"/>
              <w:rPr>
                <w:rFonts w:hint="eastAsia"/>
                <w:lang w:val="en-US" w:eastAsia="zh-CN"/>
              </w:rPr>
            </w:pPr>
          </w:p>
        </w:tc>
        <w:tc>
          <w:tcPr>
            <w:tcW w:w="1275" w:type="dxa"/>
            <w:tcBorders>
              <w:top w:val="nil"/>
              <w:left w:val="nil"/>
              <w:bottom w:val="single" w:color="000000" w:sz="8" w:space="0"/>
              <w:right w:val="single" w:color="000000" w:sz="8" w:space="0"/>
            </w:tcBorders>
            <w:shd w:val="clear" w:color="auto" w:fill="auto"/>
            <w:vAlign w:val="center"/>
          </w:tcPr>
          <w:p w14:paraId="2601C7D7">
            <w:pPr>
              <w:pStyle w:val="31"/>
              <w:bidi w:val="0"/>
              <w:rPr>
                <w:rFonts w:hint="eastAsia"/>
                <w:lang w:val="en-US" w:eastAsia="zh-CN"/>
              </w:rPr>
            </w:pPr>
          </w:p>
        </w:tc>
        <w:tc>
          <w:tcPr>
            <w:tcW w:w="1230" w:type="dxa"/>
            <w:tcBorders>
              <w:top w:val="nil"/>
              <w:left w:val="nil"/>
              <w:bottom w:val="single" w:color="000000" w:sz="8" w:space="0"/>
              <w:right w:val="single" w:color="000000" w:sz="8" w:space="0"/>
            </w:tcBorders>
            <w:shd w:val="clear" w:color="auto" w:fill="auto"/>
            <w:vAlign w:val="center"/>
          </w:tcPr>
          <w:p w14:paraId="3A7C6F98">
            <w:pPr>
              <w:pStyle w:val="31"/>
              <w:bidi w:val="0"/>
              <w:rPr>
                <w:rFonts w:hint="eastAsia"/>
                <w:lang w:val="en-US" w:eastAsia="zh-CN"/>
              </w:rPr>
            </w:pPr>
            <w:r>
              <w:rPr>
                <w:rFonts w:hint="eastAsia"/>
                <w:lang w:val="en-US" w:eastAsia="zh-CN"/>
              </w:rPr>
              <w:t>1</w:t>
            </w:r>
          </w:p>
        </w:tc>
        <w:tc>
          <w:tcPr>
            <w:tcW w:w="1395" w:type="dxa"/>
            <w:tcBorders>
              <w:top w:val="nil"/>
              <w:left w:val="nil"/>
              <w:bottom w:val="single" w:color="000000" w:sz="8" w:space="0"/>
              <w:right w:val="single" w:color="000000" w:sz="8" w:space="0"/>
            </w:tcBorders>
            <w:shd w:val="clear" w:color="auto" w:fill="auto"/>
            <w:vAlign w:val="center"/>
          </w:tcPr>
          <w:p w14:paraId="61823061">
            <w:pPr>
              <w:pStyle w:val="31"/>
              <w:bidi w:val="0"/>
              <w:rPr>
                <w:rFonts w:hint="eastAsia"/>
                <w:lang w:val="en-US" w:eastAsia="zh-CN"/>
              </w:rPr>
            </w:pPr>
            <w:r>
              <w:rPr>
                <w:rFonts w:hint="eastAsia"/>
                <w:lang w:val="en-US" w:eastAsia="zh-CN"/>
              </w:rPr>
              <w:t>1</w:t>
            </w:r>
          </w:p>
        </w:tc>
      </w:tr>
      <w:tr w14:paraId="208B2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080" w:type="dxa"/>
            <w:tcBorders>
              <w:top w:val="nil"/>
              <w:left w:val="single" w:color="000000" w:sz="8" w:space="0"/>
              <w:bottom w:val="single" w:color="000000" w:sz="8" w:space="0"/>
              <w:right w:val="single" w:color="000000" w:sz="8" w:space="0"/>
            </w:tcBorders>
            <w:shd w:val="clear" w:color="auto" w:fill="auto"/>
            <w:vAlign w:val="center"/>
          </w:tcPr>
          <w:p w14:paraId="63AAC562">
            <w:pPr>
              <w:pStyle w:val="31"/>
              <w:bidi w:val="0"/>
              <w:rPr>
                <w:rFonts w:hint="eastAsia"/>
                <w:lang w:val="en-US" w:eastAsia="zh-CN"/>
              </w:rPr>
            </w:pPr>
            <w:r>
              <w:rPr>
                <w:rFonts w:hint="eastAsia"/>
                <w:lang w:val="en-US" w:eastAsia="zh-CN"/>
              </w:rPr>
              <w:t>1.4</w:t>
            </w:r>
          </w:p>
        </w:tc>
        <w:tc>
          <w:tcPr>
            <w:tcW w:w="2130" w:type="dxa"/>
            <w:tcBorders>
              <w:top w:val="nil"/>
              <w:left w:val="nil"/>
              <w:bottom w:val="single" w:color="000000" w:sz="8" w:space="0"/>
              <w:right w:val="single" w:color="000000" w:sz="8" w:space="0"/>
            </w:tcBorders>
            <w:shd w:val="clear" w:color="auto" w:fill="auto"/>
            <w:vAlign w:val="center"/>
          </w:tcPr>
          <w:p w14:paraId="3C63C85A">
            <w:pPr>
              <w:pStyle w:val="31"/>
              <w:bidi w:val="0"/>
              <w:rPr>
                <w:rFonts w:hint="eastAsia"/>
                <w:lang w:val="en-US" w:eastAsia="zh-CN"/>
              </w:rPr>
            </w:pPr>
            <w:r>
              <w:rPr>
                <w:rFonts w:hint="eastAsia"/>
                <w:lang w:val="en-US" w:eastAsia="zh-CN"/>
              </w:rPr>
              <w:t>总工程师</w:t>
            </w:r>
          </w:p>
        </w:tc>
        <w:tc>
          <w:tcPr>
            <w:tcW w:w="1320" w:type="dxa"/>
            <w:tcBorders>
              <w:top w:val="nil"/>
              <w:left w:val="nil"/>
              <w:bottom w:val="single" w:color="000000" w:sz="8" w:space="0"/>
              <w:right w:val="single" w:color="000000" w:sz="8" w:space="0"/>
            </w:tcBorders>
            <w:shd w:val="clear" w:color="auto" w:fill="auto"/>
            <w:vAlign w:val="center"/>
          </w:tcPr>
          <w:p w14:paraId="79173647">
            <w:pPr>
              <w:pStyle w:val="31"/>
              <w:bidi w:val="0"/>
              <w:rPr>
                <w:rFonts w:hint="eastAsia"/>
                <w:lang w:val="en-US" w:eastAsia="zh-CN"/>
              </w:rPr>
            </w:pPr>
          </w:p>
        </w:tc>
        <w:tc>
          <w:tcPr>
            <w:tcW w:w="1275" w:type="dxa"/>
            <w:tcBorders>
              <w:top w:val="nil"/>
              <w:left w:val="nil"/>
              <w:bottom w:val="single" w:color="000000" w:sz="8" w:space="0"/>
              <w:right w:val="single" w:color="000000" w:sz="8" w:space="0"/>
            </w:tcBorders>
            <w:shd w:val="clear" w:color="auto" w:fill="auto"/>
            <w:vAlign w:val="center"/>
          </w:tcPr>
          <w:p w14:paraId="5558A20F">
            <w:pPr>
              <w:pStyle w:val="31"/>
              <w:bidi w:val="0"/>
              <w:rPr>
                <w:rFonts w:hint="eastAsia"/>
                <w:lang w:val="en-US" w:eastAsia="zh-CN"/>
              </w:rPr>
            </w:pPr>
            <w:r>
              <w:rPr>
                <w:rFonts w:hint="eastAsia"/>
                <w:lang w:val="en-US" w:eastAsia="zh-CN"/>
              </w:rPr>
              <w:t>1</w:t>
            </w:r>
          </w:p>
        </w:tc>
        <w:tc>
          <w:tcPr>
            <w:tcW w:w="1230" w:type="dxa"/>
            <w:tcBorders>
              <w:top w:val="nil"/>
              <w:left w:val="nil"/>
              <w:bottom w:val="single" w:color="000000" w:sz="8" w:space="0"/>
              <w:right w:val="single" w:color="000000" w:sz="8" w:space="0"/>
            </w:tcBorders>
            <w:shd w:val="clear" w:color="auto" w:fill="auto"/>
            <w:vAlign w:val="center"/>
          </w:tcPr>
          <w:p w14:paraId="36839DEF">
            <w:pPr>
              <w:pStyle w:val="31"/>
              <w:bidi w:val="0"/>
              <w:rPr>
                <w:rFonts w:hint="eastAsia"/>
                <w:lang w:val="en-US" w:eastAsia="zh-CN"/>
              </w:rPr>
            </w:pPr>
          </w:p>
        </w:tc>
        <w:tc>
          <w:tcPr>
            <w:tcW w:w="1395" w:type="dxa"/>
            <w:tcBorders>
              <w:top w:val="nil"/>
              <w:left w:val="nil"/>
              <w:bottom w:val="single" w:color="000000" w:sz="8" w:space="0"/>
              <w:right w:val="single" w:color="000000" w:sz="8" w:space="0"/>
            </w:tcBorders>
            <w:shd w:val="clear" w:color="auto" w:fill="auto"/>
            <w:vAlign w:val="center"/>
          </w:tcPr>
          <w:p w14:paraId="1FB7B8F9">
            <w:pPr>
              <w:pStyle w:val="31"/>
              <w:bidi w:val="0"/>
              <w:rPr>
                <w:rFonts w:hint="eastAsia"/>
                <w:lang w:val="en-US" w:eastAsia="zh-CN"/>
              </w:rPr>
            </w:pPr>
            <w:r>
              <w:rPr>
                <w:rFonts w:hint="eastAsia"/>
                <w:lang w:val="en-US" w:eastAsia="zh-CN"/>
              </w:rPr>
              <w:t>1</w:t>
            </w:r>
          </w:p>
        </w:tc>
      </w:tr>
      <w:tr w14:paraId="37C19A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080" w:type="dxa"/>
            <w:tcBorders>
              <w:top w:val="nil"/>
              <w:left w:val="single" w:color="000000" w:sz="8" w:space="0"/>
              <w:bottom w:val="single" w:color="000000" w:sz="8" w:space="0"/>
              <w:right w:val="single" w:color="000000" w:sz="8" w:space="0"/>
            </w:tcBorders>
            <w:shd w:val="clear" w:color="auto" w:fill="auto"/>
            <w:vAlign w:val="center"/>
          </w:tcPr>
          <w:p w14:paraId="607C18CF">
            <w:pPr>
              <w:pStyle w:val="31"/>
              <w:bidi w:val="0"/>
              <w:rPr>
                <w:rFonts w:hint="eastAsia"/>
                <w:lang w:val="en-US" w:eastAsia="zh-CN"/>
              </w:rPr>
            </w:pPr>
            <w:r>
              <w:rPr>
                <w:rFonts w:hint="eastAsia"/>
                <w:lang w:val="en-US" w:eastAsia="zh-CN"/>
              </w:rPr>
              <w:t>1.5</w:t>
            </w:r>
          </w:p>
        </w:tc>
        <w:tc>
          <w:tcPr>
            <w:tcW w:w="2130" w:type="dxa"/>
            <w:tcBorders>
              <w:top w:val="nil"/>
              <w:left w:val="nil"/>
              <w:bottom w:val="single" w:color="000000" w:sz="8" w:space="0"/>
              <w:right w:val="single" w:color="000000" w:sz="8" w:space="0"/>
            </w:tcBorders>
            <w:shd w:val="clear" w:color="auto" w:fill="auto"/>
            <w:vAlign w:val="center"/>
          </w:tcPr>
          <w:p w14:paraId="7E3AD63F">
            <w:pPr>
              <w:pStyle w:val="31"/>
              <w:bidi w:val="0"/>
              <w:rPr>
                <w:rFonts w:hint="eastAsia"/>
                <w:lang w:val="en-US" w:eastAsia="zh-CN"/>
              </w:rPr>
            </w:pPr>
            <w:r>
              <w:rPr>
                <w:rFonts w:hint="eastAsia"/>
                <w:lang w:val="en-US" w:eastAsia="zh-CN"/>
              </w:rPr>
              <w:t>安全副矿长</w:t>
            </w:r>
          </w:p>
        </w:tc>
        <w:tc>
          <w:tcPr>
            <w:tcW w:w="1320" w:type="dxa"/>
            <w:tcBorders>
              <w:top w:val="nil"/>
              <w:left w:val="nil"/>
              <w:bottom w:val="single" w:color="000000" w:sz="8" w:space="0"/>
              <w:right w:val="single" w:color="000000" w:sz="8" w:space="0"/>
            </w:tcBorders>
            <w:shd w:val="clear" w:color="auto" w:fill="auto"/>
            <w:vAlign w:val="center"/>
          </w:tcPr>
          <w:p w14:paraId="248FF32E">
            <w:pPr>
              <w:pStyle w:val="31"/>
              <w:bidi w:val="0"/>
              <w:rPr>
                <w:rFonts w:hint="eastAsia"/>
                <w:lang w:val="en-US" w:eastAsia="zh-CN"/>
              </w:rPr>
            </w:pPr>
            <w:r>
              <w:rPr>
                <w:rFonts w:hint="eastAsia"/>
                <w:lang w:val="en-US" w:eastAsia="zh-CN"/>
              </w:rPr>
              <w:t>1</w:t>
            </w:r>
          </w:p>
        </w:tc>
        <w:tc>
          <w:tcPr>
            <w:tcW w:w="1275" w:type="dxa"/>
            <w:tcBorders>
              <w:top w:val="nil"/>
              <w:left w:val="nil"/>
              <w:bottom w:val="single" w:color="000000" w:sz="8" w:space="0"/>
              <w:right w:val="single" w:color="000000" w:sz="8" w:space="0"/>
            </w:tcBorders>
            <w:shd w:val="clear" w:color="auto" w:fill="auto"/>
            <w:vAlign w:val="center"/>
          </w:tcPr>
          <w:p w14:paraId="24A282A1">
            <w:pPr>
              <w:pStyle w:val="31"/>
              <w:bidi w:val="0"/>
              <w:rPr>
                <w:rFonts w:hint="eastAsia"/>
                <w:lang w:val="en-US" w:eastAsia="zh-CN"/>
              </w:rPr>
            </w:pPr>
          </w:p>
        </w:tc>
        <w:tc>
          <w:tcPr>
            <w:tcW w:w="1230" w:type="dxa"/>
            <w:tcBorders>
              <w:top w:val="nil"/>
              <w:left w:val="nil"/>
              <w:bottom w:val="single" w:color="000000" w:sz="8" w:space="0"/>
              <w:right w:val="single" w:color="000000" w:sz="8" w:space="0"/>
            </w:tcBorders>
            <w:shd w:val="clear" w:color="auto" w:fill="auto"/>
            <w:vAlign w:val="center"/>
          </w:tcPr>
          <w:p w14:paraId="111C13C4">
            <w:pPr>
              <w:pStyle w:val="31"/>
              <w:bidi w:val="0"/>
              <w:rPr>
                <w:rFonts w:hint="eastAsia"/>
                <w:lang w:val="en-US" w:eastAsia="zh-CN"/>
              </w:rPr>
            </w:pPr>
          </w:p>
        </w:tc>
        <w:tc>
          <w:tcPr>
            <w:tcW w:w="1395" w:type="dxa"/>
            <w:tcBorders>
              <w:top w:val="nil"/>
              <w:left w:val="nil"/>
              <w:bottom w:val="single" w:color="000000" w:sz="8" w:space="0"/>
              <w:right w:val="single" w:color="000000" w:sz="8" w:space="0"/>
            </w:tcBorders>
            <w:shd w:val="clear" w:color="auto" w:fill="auto"/>
            <w:vAlign w:val="center"/>
          </w:tcPr>
          <w:p w14:paraId="79783405">
            <w:pPr>
              <w:pStyle w:val="31"/>
              <w:bidi w:val="0"/>
              <w:rPr>
                <w:rFonts w:hint="eastAsia"/>
                <w:lang w:val="en-US" w:eastAsia="zh-CN"/>
              </w:rPr>
            </w:pPr>
            <w:r>
              <w:rPr>
                <w:rFonts w:hint="eastAsia"/>
                <w:lang w:val="en-US" w:eastAsia="zh-CN"/>
              </w:rPr>
              <w:t>1</w:t>
            </w:r>
          </w:p>
        </w:tc>
      </w:tr>
      <w:tr w14:paraId="31CD76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080" w:type="dxa"/>
            <w:tcBorders>
              <w:top w:val="nil"/>
              <w:left w:val="single" w:color="000000" w:sz="8" w:space="0"/>
              <w:bottom w:val="single" w:color="000000" w:sz="8" w:space="0"/>
              <w:right w:val="single" w:color="000000" w:sz="8" w:space="0"/>
            </w:tcBorders>
            <w:shd w:val="clear" w:color="auto" w:fill="auto"/>
            <w:vAlign w:val="center"/>
          </w:tcPr>
          <w:p w14:paraId="6B922AC9">
            <w:pPr>
              <w:pStyle w:val="31"/>
              <w:bidi w:val="0"/>
              <w:rPr>
                <w:rFonts w:hint="eastAsia"/>
                <w:lang w:val="en-US" w:eastAsia="zh-CN"/>
              </w:rPr>
            </w:pPr>
            <w:r>
              <w:rPr>
                <w:rFonts w:hint="eastAsia"/>
                <w:lang w:val="en-US" w:eastAsia="zh-CN"/>
              </w:rPr>
              <w:t>1.6</w:t>
            </w:r>
          </w:p>
        </w:tc>
        <w:tc>
          <w:tcPr>
            <w:tcW w:w="2130" w:type="dxa"/>
            <w:tcBorders>
              <w:top w:val="nil"/>
              <w:left w:val="nil"/>
              <w:bottom w:val="single" w:color="000000" w:sz="8" w:space="0"/>
              <w:right w:val="single" w:color="000000" w:sz="8" w:space="0"/>
            </w:tcBorders>
            <w:shd w:val="clear" w:color="auto" w:fill="auto"/>
            <w:vAlign w:val="center"/>
          </w:tcPr>
          <w:p w14:paraId="6106BC95">
            <w:pPr>
              <w:pStyle w:val="31"/>
              <w:bidi w:val="0"/>
              <w:rPr>
                <w:rFonts w:hint="eastAsia"/>
                <w:lang w:val="en-US" w:eastAsia="zh-CN"/>
              </w:rPr>
            </w:pPr>
            <w:r>
              <w:rPr>
                <w:rFonts w:hint="eastAsia"/>
                <w:lang w:val="en-US" w:eastAsia="zh-CN"/>
              </w:rPr>
              <w:t>安全员</w:t>
            </w:r>
          </w:p>
        </w:tc>
        <w:tc>
          <w:tcPr>
            <w:tcW w:w="1320" w:type="dxa"/>
            <w:tcBorders>
              <w:top w:val="nil"/>
              <w:left w:val="nil"/>
              <w:bottom w:val="single" w:color="000000" w:sz="8" w:space="0"/>
              <w:right w:val="single" w:color="000000" w:sz="8" w:space="0"/>
            </w:tcBorders>
            <w:shd w:val="clear" w:color="auto" w:fill="auto"/>
            <w:vAlign w:val="center"/>
          </w:tcPr>
          <w:p w14:paraId="3748532E">
            <w:pPr>
              <w:pStyle w:val="31"/>
              <w:bidi w:val="0"/>
              <w:rPr>
                <w:rFonts w:hint="eastAsia"/>
                <w:lang w:val="en-US" w:eastAsia="zh-CN"/>
              </w:rPr>
            </w:pPr>
            <w:r>
              <w:rPr>
                <w:rFonts w:hint="eastAsia"/>
                <w:lang w:val="en-US" w:eastAsia="zh-CN"/>
              </w:rPr>
              <w:t>1</w:t>
            </w:r>
          </w:p>
        </w:tc>
        <w:tc>
          <w:tcPr>
            <w:tcW w:w="1275" w:type="dxa"/>
            <w:tcBorders>
              <w:top w:val="nil"/>
              <w:left w:val="nil"/>
              <w:bottom w:val="single" w:color="000000" w:sz="8" w:space="0"/>
              <w:right w:val="single" w:color="000000" w:sz="8" w:space="0"/>
            </w:tcBorders>
            <w:shd w:val="clear" w:color="auto" w:fill="auto"/>
            <w:vAlign w:val="center"/>
          </w:tcPr>
          <w:p w14:paraId="13D5C7D0">
            <w:pPr>
              <w:pStyle w:val="31"/>
              <w:bidi w:val="0"/>
              <w:rPr>
                <w:rFonts w:hint="eastAsia"/>
                <w:lang w:val="en-US" w:eastAsia="zh-CN"/>
              </w:rPr>
            </w:pPr>
            <w:r>
              <w:rPr>
                <w:rFonts w:hint="eastAsia"/>
                <w:lang w:val="en-US" w:eastAsia="zh-CN"/>
              </w:rPr>
              <w:t>1</w:t>
            </w:r>
          </w:p>
        </w:tc>
        <w:tc>
          <w:tcPr>
            <w:tcW w:w="1230" w:type="dxa"/>
            <w:tcBorders>
              <w:top w:val="nil"/>
              <w:left w:val="nil"/>
              <w:bottom w:val="single" w:color="000000" w:sz="8" w:space="0"/>
              <w:right w:val="single" w:color="000000" w:sz="8" w:space="0"/>
            </w:tcBorders>
            <w:shd w:val="clear" w:color="auto" w:fill="auto"/>
            <w:vAlign w:val="center"/>
          </w:tcPr>
          <w:p w14:paraId="4D2A771B">
            <w:pPr>
              <w:pStyle w:val="31"/>
              <w:bidi w:val="0"/>
              <w:rPr>
                <w:rFonts w:hint="eastAsia"/>
                <w:lang w:val="en-US" w:eastAsia="zh-CN"/>
              </w:rPr>
            </w:pPr>
            <w:r>
              <w:rPr>
                <w:rFonts w:hint="eastAsia"/>
                <w:lang w:val="en-US" w:eastAsia="zh-CN"/>
              </w:rPr>
              <w:t>1</w:t>
            </w:r>
          </w:p>
        </w:tc>
        <w:tc>
          <w:tcPr>
            <w:tcW w:w="1395" w:type="dxa"/>
            <w:tcBorders>
              <w:top w:val="nil"/>
              <w:left w:val="nil"/>
              <w:bottom w:val="single" w:color="000000" w:sz="8" w:space="0"/>
              <w:right w:val="single" w:color="000000" w:sz="8" w:space="0"/>
            </w:tcBorders>
            <w:shd w:val="clear" w:color="auto" w:fill="auto"/>
            <w:vAlign w:val="center"/>
          </w:tcPr>
          <w:p w14:paraId="03844881">
            <w:pPr>
              <w:pStyle w:val="31"/>
              <w:bidi w:val="0"/>
              <w:rPr>
                <w:rFonts w:hint="eastAsia"/>
                <w:lang w:val="en-US" w:eastAsia="zh-CN"/>
              </w:rPr>
            </w:pPr>
            <w:r>
              <w:rPr>
                <w:rFonts w:hint="eastAsia"/>
                <w:lang w:val="en-US" w:eastAsia="zh-CN"/>
              </w:rPr>
              <w:t>3</w:t>
            </w:r>
          </w:p>
        </w:tc>
      </w:tr>
      <w:tr w14:paraId="01970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tcBorders>
              <w:top w:val="nil"/>
              <w:left w:val="single" w:color="000000" w:sz="8" w:space="0"/>
              <w:bottom w:val="single" w:color="000000" w:sz="8" w:space="0"/>
              <w:right w:val="single" w:color="000000" w:sz="8" w:space="0"/>
            </w:tcBorders>
            <w:shd w:val="clear" w:color="auto" w:fill="auto"/>
            <w:vAlign w:val="center"/>
          </w:tcPr>
          <w:p w14:paraId="27144D68">
            <w:pPr>
              <w:pStyle w:val="31"/>
              <w:bidi w:val="0"/>
              <w:rPr>
                <w:rFonts w:hint="eastAsia"/>
                <w:lang w:val="en-US" w:eastAsia="zh-CN"/>
              </w:rPr>
            </w:pPr>
            <w:r>
              <w:rPr>
                <w:rFonts w:hint="eastAsia"/>
                <w:lang w:val="en-US" w:eastAsia="zh-CN"/>
              </w:rPr>
              <w:t>2</w:t>
            </w:r>
          </w:p>
        </w:tc>
        <w:tc>
          <w:tcPr>
            <w:tcW w:w="2130" w:type="dxa"/>
            <w:tcBorders>
              <w:top w:val="nil"/>
              <w:left w:val="nil"/>
              <w:bottom w:val="single" w:color="000000" w:sz="8" w:space="0"/>
              <w:right w:val="single" w:color="000000" w:sz="8" w:space="0"/>
            </w:tcBorders>
            <w:shd w:val="clear" w:color="auto" w:fill="auto"/>
            <w:vAlign w:val="center"/>
          </w:tcPr>
          <w:p w14:paraId="18EF4CE6">
            <w:pPr>
              <w:pStyle w:val="31"/>
              <w:bidi w:val="0"/>
              <w:rPr>
                <w:rFonts w:hint="eastAsia"/>
                <w:lang w:val="en-US" w:eastAsia="zh-CN"/>
              </w:rPr>
            </w:pPr>
            <w:r>
              <w:rPr>
                <w:rFonts w:hint="eastAsia"/>
                <w:lang w:val="en-US" w:eastAsia="zh-CN"/>
              </w:rPr>
              <w:t>技术人员</w:t>
            </w:r>
          </w:p>
        </w:tc>
        <w:tc>
          <w:tcPr>
            <w:tcW w:w="1320" w:type="dxa"/>
            <w:tcBorders>
              <w:top w:val="nil"/>
              <w:left w:val="nil"/>
              <w:bottom w:val="single" w:color="000000" w:sz="8" w:space="0"/>
              <w:right w:val="single" w:color="000000" w:sz="8" w:space="0"/>
            </w:tcBorders>
            <w:shd w:val="clear" w:color="auto" w:fill="auto"/>
            <w:vAlign w:val="center"/>
          </w:tcPr>
          <w:p w14:paraId="11086D00">
            <w:pPr>
              <w:pStyle w:val="31"/>
              <w:bidi w:val="0"/>
              <w:rPr>
                <w:rFonts w:hint="eastAsia"/>
                <w:lang w:val="en-US" w:eastAsia="zh-CN"/>
              </w:rPr>
            </w:pPr>
            <w:r>
              <w:rPr>
                <w:rFonts w:hint="eastAsia"/>
                <w:lang w:val="en-US" w:eastAsia="zh-CN"/>
              </w:rPr>
              <w:t>1</w:t>
            </w:r>
          </w:p>
        </w:tc>
        <w:tc>
          <w:tcPr>
            <w:tcW w:w="1275" w:type="dxa"/>
            <w:tcBorders>
              <w:top w:val="nil"/>
              <w:left w:val="nil"/>
              <w:bottom w:val="single" w:color="000000" w:sz="8" w:space="0"/>
              <w:right w:val="single" w:color="000000" w:sz="8" w:space="0"/>
            </w:tcBorders>
            <w:shd w:val="clear" w:color="auto" w:fill="auto"/>
            <w:vAlign w:val="center"/>
          </w:tcPr>
          <w:p w14:paraId="2ACA0707">
            <w:pPr>
              <w:pStyle w:val="31"/>
              <w:bidi w:val="0"/>
              <w:rPr>
                <w:rFonts w:hint="eastAsia"/>
                <w:lang w:val="en-US" w:eastAsia="zh-CN"/>
              </w:rPr>
            </w:pPr>
            <w:r>
              <w:rPr>
                <w:rFonts w:hint="eastAsia"/>
                <w:lang w:val="en-US" w:eastAsia="zh-CN"/>
              </w:rPr>
              <w:t>4</w:t>
            </w:r>
          </w:p>
        </w:tc>
        <w:tc>
          <w:tcPr>
            <w:tcW w:w="1230" w:type="dxa"/>
            <w:tcBorders>
              <w:top w:val="nil"/>
              <w:left w:val="nil"/>
              <w:bottom w:val="single" w:color="000000" w:sz="8" w:space="0"/>
              <w:right w:val="single" w:color="000000" w:sz="8" w:space="0"/>
            </w:tcBorders>
            <w:shd w:val="clear" w:color="auto" w:fill="auto"/>
            <w:vAlign w:val="center"/>
          </w:tcPr>
          <w:p w14:paraId="2BCAF997">
            <w:pPr>
              <w:pStyle w:val="31"/>
              <w:bidi w:val="0"/>
              <w:rPr>
                <w:rFonts w:hint="eastAsia"/>
                <w:lang w:val="en-US" w:eastAsia="zh-CN"/>
              </w:rPr>
            </w:pPr>
            <w:r>
              <w:rPr>
                <w:rFonts w:hint="eastAsia"/>
                <w:lang w:val="en-US" w:eastAsia="zh-CN"/>
              </w:rPr>
              <w:t>0</w:t>
            </w:r>
          </w:p>
        </w:tc>
        <w:tc>
          <w:tcPr>
            <w:tcW w:w="1395" w:type="dxa"/>
            <w:tcBorders>
              <w:top w:val="nil"/>
              <w:left w:val="nil"/>
              <w:bottom w:val="single" w:color="000000" w:sz="8" w:space="0"/>
              <w:right w:val="single" w:color="000000" w:sz="8" w:space="0"/>
            </w:tcBorders>
            <w:shd w:val="clear" w:color="auto" w:fill="auto"/>
            <w:vAlign w:val="center"/>
          </w:tcPr>
          <w:p w14:paraId="0A236563">
            <w:pPr>
              <w:pStyle w:val="31"/>
              <w:bidi w:val="0"/>
              <w:rPr>
                <w:rFonts w:hint="eastAsia"/>
                <w:lang w:val="en-US" w:eastAsia="zh-CN"/>
              </w:rPr>
            </w:pPr>
            <w:r>
              <w:rPr>
                <w:rFonts w:hint="eastAsia"/>
                <w:lang w:val="en-US" w:eastAsia="zh-CN"/>
              </w:rPr>
              <w:t>5</w:t>
            </w:r>
          </w:p>
        </w:tc>
      </w:tr>
      <w:tr w14:paraId="07A648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tcBorders>
              <w:top w:val="nil"/>
              <w:left w:val="single" w:color="000000" w:sz="8" w:space="0"/>
              <w:bottom w:val="single" w:color="000000" w:sz="8" w:space="0"/>
              <w:right w:val="single" w:color="000000" w:sz="8" w:space="0"/>
            </w:tcBorders>
            <w:shd w:val="clear" w:color="auto" w:fill="auto"/>
            <w:vAlign w:val="center"/>
          </w:tcPr>
          <w:p w14:paraId="0AB4D12C">
            <w:pPr>
              <w:pStyle w:val="31"/>
              <w:bidi w:val="0"/>
              <w:rPr>
                <w:rFonts w:hint="eastAsia"/>
                <w:lang w:val="en-US" w:eastAsia="zh-CN"/>
              </w:rPr>
            </w:pPr>
            <w:r>
              <w:rPr>
                <w:rFonts w:hint="eastAsia"/>
                <w:lang w:val="en-US" w:eastAsia="zh-CN"/>
              </w:rPr>
              <w:t>2.1</w:t>
            </w:r>
          </w:p>
        </w:tc>
        <w:tc>
          <w:tcPr>
            <w:tcW w:w="2130" w:type="dxa"/>
            <w:tcBorders>
              <w:top w:val="nil"/>
              <w:left w:val="nil"/>
              <w:bottom w:val="single" w:color="000000" w:sz="8" w:space="0"/>
              <w:right w:val="single" w:color="000000" w:sz="8" w:space="0"/>
            </w:tcBorders>
            <w:shd w:val="clear" w:color="auto" w:fill="auto"/>
            <w:vAlign w:val="center"/>
          </w:tcPr>
          <w:p w14:paraId="10B2E635">
            <w:pPr>
              <w:pStyle w:val="31"/>
              <w:bidi w:val="0"/>
              <w:rPr>
                <w:rFonts w:hint="eastAsia"/>
                <w:lang w:val="en-US" w:eastAsia="zh-CN"/>
              </w:rPr>
            </w:pPr>
            <w:r>
              <w:rPr>
                <w:rFonts w:hint="eastAsia"/>
                <w:lang w:val="en-US" w:eastAsia="zh-CN"/>
              </w:rPr>
              <w:t>采矿技术员</w:t>
            </w:r>
          </w:p>
        </w:tc>
        <w:tc>
          <w:tcPr>
            <w:tcW w:w="0" w:type="auto"/>
            <w:tcBorders>
              <w:top w:val="nil"/>
              <w:left w:val="nil"/>
              <w:bottom w:val="single" w:color="000000" w:sz="8" w:space="0"/>
              <w:right w:val="single" w:color="000000" w:sz="8" w:space="0"/>
            </w:tcBorders>
            <w:shd w:val="clear" w:color="auto" w:fill="auto"/>
            <w:noWrap/>
            <w:vAlign w:val="center"/>
          </w:tcPr>
          <w:p w14:paraId="001B00B4">
            <w:pPr>
              <w:pStyle w:val="31"/>
              <w:bidi w:val="0"/>
              <w:rPr>
                <w:rFonts w:hint="eastAsia"/>
                <w:lang w:val="en-US" w:eastAsia="zh-CN"/>
              </w:rPr>
            </w:pPr>
            <w:r>
              <w:rPr>
                <w:rFonts w:hint="eastAsia"/>
                <w:lang w:val="en-US" w:eastAsia="zh-CN"/>
              </w:rPr>
              <w:t>1</w:t>
            </w:r>
          </w:p>
        </w:tc>
        <w:tc>
          <w:tcPr>
            <w:tcW w:w="1275" w:type="dxa"/>
            <w:tcBorders>
              <w:top w:val="nil"/>
              <w:left w:val="nil"/>
              <w:bottom w:val="single" w:color="000000" w:sz="8" w:space="0"/>
              <w:right w:val="single" w:color="000000" w:sz="8" w:space="0"/>
            </w:tcBorders>
            <w:shd w:val="clear" w:color="auto" w:fill="auto"/>
            <w:vAlign w:val="center"/>
          </w:tcPr>
          <w:p w14:paraId="71E1A7A0">
            <w:pPr>
              <w:pStyle w:val="31"/>
              <w:bidi w:val="0"/>
              <w:rPr>
                <w:rFonts w:hint="eastAsia"/>
                <w:lang w:val="en-US" w:eastAsia="zh-CN"/>
              </w:rPr>
            </w:pPr>
            <w:r>
              <w:rPr>
                <w:rFonts w:hint="eastAsia"/>
                <w:lang w:val="en-US" w:eastAsia="zh-CN"/>
              </w:rPr>
              <w:t>1</w:t>
            </w:r>
          </w:p>
        </w:tc>
        <w:tc>
          <w:tcPr>
            <w:tcW w:w="1230" w:type="dxa"/>
            <w:tcBorders>
              <w:top w:val="nil"/>
              <w:left w:val="nil"/>
              <w:bottom w:val="single" w:color="000000" w:sz="8" w:space="0"/>
              <w:right w:val="single" w:color="000000" w:sz="8" w:space="0"/>
            </w:tcBorders>
            <w:shd w:val="clear" w:color="auto" w:fill="auto"/>
            <w:vAlign w:val="center"/>
          </w:tcPr>
          <w:p w14:paraId="523A436D">
            <w:pPr>
              <w:pStyle w:val="31"/>
              <w:bidi w:val="0"/>
              <w:rPr>
                <w:rFonts w:hint="eastAsia"/>
                <w:lang w:val="en-US" w:eastAsia="zh-CN"/>
              </w:rPr>
            </w:pPr>
            <w:r>
              <w:rPr>
                <w:rFonts w:hint="eastAsia"/>
                <w:lang w:val="en-US" w:eastAsia="zh-CN"/>
              </w:rPr>
              <w:t>0</w:t>
            </w:r>
          </w:p>
        </w:tc>
        <w:tc>
          <w:tcPr>
            <w:tcW w:w="1395" w:type="dxa"/>
            <w:tcBorders>
              <w:top w:val="nil"/>
              <w:left w:val="nil"/>
              <w:bottom w:val="single" w:color="000000" w:sz="8" w:space="0"/>
              <w:right w:val="single" w:color="000000" w:sz="8" w:space="0"/>
            </w:tcBorders>
            <w:shd w:val="clear" w:color="auto" w:fill="auto"/>
            <w:vAlign w:val="center"/>
          </w:tcPr>
          <w:p w14:paraId="264C601C">
            <w:pPr>
              <w:pStyle w:val="31"/>
              <w:bidi w:val="0"/>
              <w:rPr>
                <w:rFonts w:hint="eastAsia"/>
                <w:lang w:val="en-US" w:eastAsia="zh-CN"/>
              </w:rPr>
            </w:pPr>
            <w:r>
              <w:rPr>
                <w:rFonts w:hint="eastAsia"/>
                <w:lang w:val="en-US" w:eastAsia="zh-CN"/>
              </w:rPr>
              <w:t>2</w:t>
            </w:r>
          </w:p>
        </w:tc>
      </w:tr>
      <w:tr w14:paraId="0508C7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tcBorders>
              <w:top w:val="nil"/>
              <w:left w:val="single" w:color="000000" w:sz="8" w:space="0"/>
              <w:bottom w:val="single" w:color="000000" w:sz="8" w:space="0"/>
              <w:right w:val="single" w:color="000000" w:sz="8" w:space="0"/>
            </w:tcBorders>
            <w:shd w:val="clear" w:color="auto" w:fill="auto"/>
            <w:vAlign w:val="center"/>
          </w:tcPr>
          <w:p w14:paraId="6533CB62">
            <w:pPr>
              <w:pStyle w:val="31"/>
              <w:bidi w:val="0"/>
              <w:rPr>
                <w:rFonts w:hint="eastAsia"/>
                <w:lang w:val="en-US" w:eastAsia="zh-CN"/>
              </w:rPr>
            </w:pPr>
            <w:r>
              <w:rPr>
                <w:rFonts w:hint="eastAsia"/>
                <w:lang w:val="en-US" w:eastAsia="zh-CN"/>
              </w:rPr>
              <w:t>2.2</w:t>
            </w:r>
          </w:p>
        </w:tc>
        <w:tc>
          <w:tcPr>
            <w:tcW w:w="2130" w:type="dxa"/>
            <w:tcBorders>
              <w:top w:val="nil"/>
              <w:left w:val="nil"/>
              <w:bottom w:val="single" w:color="000000" w:sz="8" w:space="0"/>
              <w:right w:val="single" w:color="000000" w:sz="8" w:space="0"/>
            </w:tcBorders>
            <w:shd w:val="clear" w:color="auto" w:fill="auto"/>
            <w:vAlign w:val="center"/>
          </w:tcPr>
          <w:p w14:paraId="3271B025">
            <w:pPr>
              <w:pStyle w:val="31"/>
              <w:bidi w:val="0"/>
              <w:rPr>
                <w:rFonts w:hint="eastAsia"/>
                <w:lang w:val="en-US" w:eastAsia="zh-CN"/>
              </w:rPr>
            </w:pPr>
            <w:r>
              <w:rPr>
                <w:rFonts w:hint="eastAsia"/>
                <w:lang w:val="en-US" w:eastAsia="zh-CN"/>
              </w:rPr>
              <w:t>地质技术员</w:t>
            </w:r>
          </w:p>
        </w:tc>
        <w:tc>
          <w:tcPr>
            <w:tcW w:w="0" w:type="auto"/>
            <w:tcBorders>
              <w:top w:val="nil"/>
              <w:left w:val="nil"/>
              <w:bottom w:val="single" w:color="000000" w:sz="8" w:space="0"/>
              <w:right w:val="single" w:color="000000" w:sz="8" w:space="0"/>
            </w:tcBorders>
            <w:shd w:val="clear" w:color="auto" w:fill="auto"/>
            <w:noWrap/>
            <w:vAlign w:val="center"/>
          </w:tcPr>
          <w:p w14:paraId="2CB192A7">
            <w:pPr>
              <w:pStyle w:val="31"/>
              <w:bidi w:val="0"/>
              <w:rPr>
                <w:rFonts w:hint="eastAsia"/>
                <w:lang w:val="en-US" w:eastAsia="zh-CN"/>
              </w:rPr>
            </w:pPr>
            <w:r>
              <w:rPr>
                <w:rFonts w:hint="eastAsia"/>
                <w:lang w:val="en-US" w:eastAsia="zh-CN"/>
              </w:rPr>
              <w:t>0</w:t>
            </w:r>
          </w:p>
        </w:tc>
        <w:tc>
          <w:tcPr>
            <w:tcW w:w="1275" w:type="dxa"/>
            <w:tcBorders>
              <w:top w:val="nil"/>
              <w:left w:val="nil"/>
              <w:bottom w:val="single" w:color="000000" w:sz="8" w:space="0"/>
              <w:right w:val="single" w:color="000000" w:sz="8" w:space="0"/>
            </w:tcBorders>
            <w:shd w:val="clear" w:color="auto" w:fill="auto"/>
            <w:vAlign w:val="center"/>
          </w:tcPr>
          <w:p w14:paraId="63341C94">
            <w:pPr>
              <w:pStyle w:val="31"/>
              <w:bidi w:val="0"/>
              <w:rPr>
                <w:rFonts w:hint="eastAsia"/>
                <w:lang w:val="en-US" w:eastAsia="zh-CN"/>
              </w:rPr>
            </w:pPr>
            <w:r>
              <w:rPr>
                <w:rFonts w:hint="eastAsia"/>
                <w:lang w:val="en-US" w:eastAsia="zh-CN"/>
              </w:rPr>
              <w:t>1</w:t>
            </w:r>
          </w:p>
        </w:tc>
        <w:tc>
          <w:tcPr>
            <w:tcW w:w="1230" w:type="dxa"/>
            <w:tcBorders>
              <w:top w:val="nil"/>
              <w:left w:val="nil"/>
              <w:bottom w:val="single" w:color="000000" w:sz="8" w:space="0"/>
              <w:right w:val="single" w:color="000000" w:sz="8" w:space="0"/>
            </w:tcBorders>
            <w:shd w:val="clear" w:color="auto" w:fill="auto"/>
            <w:vAlign w:val="center"/>
          </w:tcPr>
          <w:p w14:paraId="275425E0">
            <w:pPr>
              <w:pStyle w:val="31"/>
              <w:bidi w:val="0"/>
              <w:rPr>
                <w:rFonts w:hint="eastAsia"/>
                <w:lang w:val="en-US" w:eastAsia="zh-CN"/>
              </w:rPr>
            </w:pPr>
            <w:r>
              <w:rPr>
                <w:rFonts w:hint="eastAsia"/>
                <w:lang w:val="en-US" w:eastAsia="zh-CN"/>
              </w:rPr>
              <w:t>0</w:t>
            </w:r>
          </w:p>
        </w:tc>
        <w:tc>
          <w:tcPr>
            <w:tcW w:w="1395" w:type="dxa"/>
            <w:tcBorders>
              <w:top w:val="nil"/>
              <w:left w:val="nil"/>
              <w:bottom w:val="single" w:color="000000" w:sz="8" w:space="0"/>
              <w:right w:val="single" w:color="000000" w:sz="8" w:space="0"/>
            </w:tcBorders>
            <w:shd w:val="clear" w:color="auto" w:fill="auto"/>
            <w:vAlign w:val="center"/>
          </w:tcPr>
          <w:p w14:paraId="474A5FF5">
            <w:pPr>
              <w:pStyle w:val="31"/>
              <w:bidi w:val="0"/>
              <w:rPr>
                <w:rFonts w:hint="eastAsia"/>
                <w:lang w:val="en-US" w:eastAsia="zh-CN"/>
              </w:rPr>
            </w:pPr>
            <w:r>
              <w:rPr>
                <w:rFonts w:hint="eastAsia"/>
                <w:lang w:val="en-US" w:eastAsia="zh-CN"/>
              </w:rPr>
              <w:t>1</w:t>
            </w:r>
          </w:p>
        </w:tc>
      </w:tr>
      <w:tr w14:paraId="3395F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08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0B33C99">
            <w:pPr>
              <w:pStyle w:val="31"/>
              <w:bidi w:val="0"/>
              <w:rPr>
                <w:rFonts w:hint="eastAsia"/>
                <w:lang w:val="en-US" w:eastAsia="zh-CN"/>
              </w:rPr>
            </w:pPr>
            <w:r>
              <w:rPr>
                <w:rFonts w:hint="eastAsia"/>
                <w:lang w:val="en-US" w:eastAsia="zh-CN"/>
              </w:rPr>
              <w:t>2.3</w:t>
            </w:r>
          </w:p>
        </w:tc>
        <w:tc>
          <w:tcPr>
            <w:tcW w:w="21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C276A93">
            <w:pPr>
              <w:pStyle w:val="31"/>
              <w:bidi w:val="0"/>
              <w:rPr>
                <w:rFonts w:hint="eastAsia"/>
                <w:lang w:val="en-US" w:eastAsia="zh-CN"/>
              </w:rPr>
            </w:pPr>
            <w:r>
              <w:rPr>
                <w:rFonts w:hint="eastAsia"/>
                <w:lang w:val="en-US" w:eastAsia="zh-CN"/>
              </w:rPr>
              <w:t>测量技术员</w:t>
            </w:r>
          </w:p>
        </w:tc>
        <w:tc>
          <w:tcPr>
            <w:tcW w:w="0" w:type="auto"/>
            <w:tcBorders>
              <w:top w:val="single" w:color="000000" w:sz="8" w:space="0"/>
              <w:left w:val="single" w:color="000000" w:sz="8" w:space="0"/>
              <w:bottom w:val="single" w:color="000000" w:sz="8" w:space="0"/>
              <w:right w:val="single" w:color="000000" w:sz="8" w:space="0"/>
            </w:tcBorders>
            <w:shd w:val="clear" w:color="auto" w:fill="auto"/>
            <w:noWrap/>
            <w:vAlign w:val="center"/>
          </w:tcPr>
          <w:p w14:paraId="6187D825">
            <w:pPr>
              <w:pStyle w:val="31"/>
              <w:bidi w:val="0"/>
              <w:rPr>
                <w:rFonts w:hint="eastAsia"/>
                <w:lang w:val="en-US" w:eastAsia="zh-CN"/>
              </w:rPr>
            </w:pPr>
            <w:r>
              <w:rPr>
                <w:rFonts w:hint="eastAsia"/>
                <w:lang w:val="en-US" w:eastAsia="zh-CN"/>
              </w:rPr>
              <w:t>0</w:t>
            </w:r>
          </w:p>
        </w:tc>
        <w:tc>
          <w:tcPr>
            <w:tcW w:w="127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CA45813">
            <w:pPr>
              <w:pStyle w:val="31"/>
              <w:bidi w:val="0"/>
              <w:rPr>
                <w:rFonts w:hint="eastAsia"/>
                <w:lang w:val="en-US" w:eastAsia="zh-CN"/>
              </w:rPr>
            </w:pPr>
            <w:r>
              <w:rPr>
                <w:rFonts w:hint="eastAsia"/>
                <w:lang w:val="en-US" w:eastAsia="zh-CN"/>
              </w:rPr>
              <w:t>1</w:t>
            </w:r>
          </w:p>
        </w:tc>
        <w:tc>
          <w:tcPr>
            <w:tcW w:w="12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653737E">
            <w:pPr>
              <w:pStyle w:val="31"/>
              <w:bidi w:val="0"/>
              <w:rPr>
                <w:rFonts w:hint="eastAsia"/>
                <w:lang w:val="en-US" w:eastAsia="zh-CN"/>
              </w:rPr>
            </w:pPr>
            <w:r>
              <w:rPr>
                <w:rFonts w:hint="eastAsia"/>
                <w:lang w:val="en-US" w:eastAsia="zh-CN"/>
              </w:rPr>
              <w:t>0</w:t>
            </w:r>
          </w:p>
        </w:tc>
        <w:tc>
          <w:tcPr>
            <w:tcW w:w="139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0A8482F">
            <w:pPr>
              <w:pStyle w:val="31"/>
              <w:bidi w:val="0"/>
              <w:rPr>
                <w:rFonts w:hint="eastAsia"/>
                <w:lang w:val="en-US" w:eastAsia="zh-CN"/>
              </w:rPr>
            </w:pPr>
            <w:r>
              <w:rPr>
                <w:rFonts w:hint="eastAsia"/>
                <w:lang w:val="en-US" w:eastAsia="zh-CN"/>
              </w:rPr>
              <w:t>1</w:t>
            </w:r>
          </w:p>
        </w:tc>
      </w:tr>
      <w:tr w14:paraId="4BE62C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8779D81">
            <w:pPr>
              <w:pStyle w:val="31"/>
              <w:bidi w:val="0"/>
              <w:rPr>
                <w:rFonts w:hint="eastAsia"/>
                <w:lang w:val="en-US" w:eastAsia="zh-CN"/>
              </w:rPr>
            </w:pPr>
            <w:r>
              <w:rPr>
                <w:rFonts w:hint="eastAsia"/>
                <w:lang w:val="en-US" w:eastAsia="zh-CN"/>
              </w:rPr>
              <w:t>2.4</w:t>
            </w:r>
          </w:p>
        </w:tc>
        <w:tc>
          <w:tcPr>
            <w:tcW w:w="21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F59B6B2">
            <w:pPr>
              <w:pStyle w:val="31"/>
              <w:bidi w:val="0"/>
              <w:rPr>
                <w:rFonts w:hint="eastAsia"/>
                <w:lang w:val="en-US" w:eastAsia="zh-CN"/>
              </w:rPr>
            </w:pPr>
            <w:r>
              <w:rPr>
                <w:rFonts w:hint="eastAsia"/>
                <w:lang w:val="en-US" w:eastAsia="zh-CN"/>
              </w:rPr>
              <w:t>机电技术员</w:t>
            </w:r>
          </w:p>
        </w:tc>
        <w:tc>
          <w:tcPr>
            <w:tcW w:w="0" w:type="auto"/>
            <w:tcBorders>
              <w:top w:val="single" w:color="000000" w:sz="8" w:space="0"/>
              <w:left w:val="single" w:color="000000" w:sz="8" w:space="0"/>
              <w:bottom w:val="single" w:color="000000" w:sz="8" w:space="0"/>
              <w:right w:val="single" w:color="000000" w:sz="8" w:space="0"/>
            </w:tcBorders>
            <w:shd w:val="clear" w:color="auto" w:fill="auto"/>
            <w:noWrap/>
            <w:vAlign w:val="center"/>
          </w:tcPr>
          <w:p w14:paraId="1C91C0AF">
            <w:pPr>
              <w:pStyle w:val="31"/>
              <w:bidi w:val="0"/>
              <w:rPr>
                <w:rFonts w:hint="eastAsia"/>
                <w:lang w:val="en-US" w:eastAsia="zh-CN"/>
              </w:rPr>
            </w:pPr>
            <w:r>
              <w:rPr>
                <w:rFonts w:hint="eastAsia"/>
                <w:lang w:val="en-US" w:eastAsia="zh-CN"/>
              </w:rPr>
              <w:t>0</w:t>
            </w:r>
          </w:p>
        </w:tc>
        <w:tc>
          <w:tcPr>
            <w:tcW w:w="0" w:type="auto"/>
            <w:tcBorders>
              <w:top w:val="single" w:color="000000" w:sz="8" w:space="0"/>
              <w:left w:val="single" w:color="000000" w:sz="8" w:space="0"/>
              <w:bottom w:val="single" w:color="000000" w:sz="8" w:space="0"/>
              <w:right w:val="single" w:color="000000" w:sz="8" w:space="0"/>
            </w:tcBorders>
            <w:shd w:val="clear" w:color="auto" w:fill="auto"/>
            <w:noWrap/>
            <w:vAlign w:val="center"/>
          </w:tcPr>
          <w:p w14:paraId="292C5748">
            <w:pPr>
              <w:pStyle w:val="31"/>
              <w:bidi w:val="0"/>
              <w:rPr>
                <w:rFonts w:hint="eastAsia"/>
                <w:lang w:val="en-US" w:eastAsia="zh-CN"/>
              </w:rPr>
            </w:pPr>
            <w:r>
              <w:rPr>
                <w:rFonts w:hint="eastAsia"/>
                <w:lang w:val="en-US" w:eastAsia="zh-CN"/>
              </w:rPr>
              <w:t>1</w:t>
            </w:r>
          </w:p>
        </w:tc>
        <w:tc>
          <w:tcPr>
            <w:tcW w:w="0" w:type="auto"/>
            <w:tcBorders>
              <w:top w:val="single" w:color="000000" w:sz="8" w:space="0"/>
              <w:left w:val="single" w:color="000000" w:sz="8" w:space="0"/>
              <w:bottom w:val="single" w:color="000000" w:sz="8" w:space="0"/>
              <w:right w:val="single" w:color="000000" w:sz="8" w:space="0"/>
            </w:tcBorders>
            <w:shd w:val="clear" w:color="auto" w:fill="auto"/>
            <w:noWrap/>
            <w:vAlign w:val="center"/>
          </w:tcPr>
          <w:p w14:paraId="0BA49BEF">
            <w:pPr>
              <w:pStyle w:val="31"/>
              <w:bidi w:val="0"/>
              <w:rPr>
                <w:rFonts w:hint="eastAsia"/>
                <w:lang w:val="en-US" w:eastAsia="zh-CN"/>
              </w:rPr>
            </w:pPr>
            <w:r>
              <w:rPr>
                <w:rFonts w:hint="eastAsia"/>
                <w:lang w:val="en-US" w:eastAsia="zh-CN"/>
              </w:rPr>
              <w:t>0</w:t>
            </w:r>
          </w:p>
        </w:tc>
        <w:tc>
          <w:tcPr>
            <w:tcW w:w="139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13683D9">
            <w:pPr>
              <w:pStyle w:val="31"/>
              <w:bidi w:val="0"/>
              <w:rPr>
                <w:rFonts w:hint="eastAsia"/>
                <w:lang w:val="en-US" w:eastAsia="zh-CN"/>
              </w:rPr>
            </w:pPr>
            <w:r>
              <w:rPr>
                <w:rFonts w:hint="eastAsia"/>
                <w:lang w:val="en-US" w:eastAsia="zh-CN"/>
              </w:rPr>
              <w:t>1</w:t>
            </w:r>
          </w:p>
        </w:tc>
      </w:tr>
      <w:tr w14:paraId="390FE3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21429C6">
            <w:pPr>
              <w:pStyle w:val="31"/>
              <w:bidi w:val="0"/>
              <w:rPr>
                <w:rFonts w:hint="eastAsia"/>
                <w:lang w:val="en-US" w:eastAsia="zh-CN"/>
              </w:rPr>
            </w:pPr>
            <w:r>
              <w:rPr>
                <w:rFonts w:hint="eastAsia"/>
                <w:lang w:val="en-US" w:eastAsia="zh-CN"/>
              </w:rPr>
              <w:t>3</w:t>
            </w:r>
          </w:p>
        </w:tc>
        <w:tc>
          <w:tcPr>
            <w:tcW w:w="21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D81269E">
            <w:pPr>
              <w:pStyle w:val="31"/>
              <w:bidi w:val="0"/>
              <w:rPr>
                <w:rFonts w:hint="eastAsia"/>
                <w:lang w:val="en-US" w:eastAsia="zh-CN"/>
              </w:rPr>
            </w:pPr>
            <w:r>
              <w:rPr>
                <w:rFonts w:hint="eastAsia"/>
                <w:lang w:val="en-US" w:eastAsia="zh-CN"/>
              </w:rPr>
              <w:t>作业人员</w:t>
            </w:r>
          </w:p>
        </w:tc>
        <w:tc>
          <w:tcPr>
            <w:tcW w:w="132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D4C5D5E">
            <w:pPr>
              <w:pStyle w:val="31"/>
              <w:bidi w:val="0"/>
              <w:rPr>
                <w:rFonts w:hint="eastAsia"/>
                <w:lang w:val="en-US" w:eastAsia="zh-CN"/>
              </w:rPr>
            </w:pPr>
            <w:r>
              <w:rPr>
                <w:rFonts w:hint="eastAsia"/>
                <w:lang w:val="en-US" w:eastAsia="zh-CN"/>
              </w:rPr>
              <w:t>32</w:t>
            </w:r>
          </w:p>
        </w:tc>
        <w:tc>
          <w:tcPr>
            <w:tcW w:w="127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BDA46CC">
            <w:pPr>
              <w:pStyle w:val="31"/>
              <w:bidi w:val="0"/>
              <w:rPr>
                <w:rFonts w:hint="eastAsia"/>
                <w:lang w:val="en-US" w:eastAsia="zh-CN"/>
              </w:rPr>
            </w:pPr>
            <w:r>
              <w:rPr>
                <w:rFonts w:hint="eastAsia"/>
                <w:lang w:val="en-US" w:eastAsia="zh-CN"/>
              </w:rPr>
              <w:t>37</w:t>
            </w:r>
          </w:p>
        </w:tc>
        <w:tc>
          <w:tcPr>
            <w:tcW w:w="12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91502A8">
            <w:pPr>
              <w:pStyle w:val="31"/>
              <w:bidi w:val="0"/>
              <w:rPr>
                <w:rFonts w:hint="eastAsia"/>
                <w:lang w:val="en-US" w:eastAsia="zh-CN"/>
              </w:rPr>
            </w:pPr>
            <w:r>
              <w:rPr>
                <w:rFonts w:hint="eastAsia"/>
                <w:lang w:val="en-US" w:eastAsia="zh-CN"/>
              </w:rPr>
              <w:t>32</w:t>
            </w:r>
          </w:p>
        </w:tc>
        <w:tc>
          <w:tcPr>
            <w:tcW w:w="139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63874F7">
            <w:pPr>
              <w:pStyle w:val="31"/>
              <w:bidi w:val="0"/>
              <w:rPr>
                <w:rFonts w:hint="eastAsia"/>
                <w:lang w:val="en-US" w:eastAsia="zh-CN"/>
              </w:rPr>
            </w:pPr>
            <w:r>
              <w:rPr>
                <w:rFonts w:hint="eastAsia"/>
                <w:lang w:val="en-US" w:eastAsia="zh-CN"/>
              </w:rPr>
              <w:t>101</w:t>
            </w:r>
          </w:p>
        </w:tc>
      </w:tr>
      <w:tr w14:paraId="116D4C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19E63D0">
            <w:pPr>
              <w:pStyle w:val="31"/>
              <w:bidi w:val="0"/>
              <w:rPr>
                <w:rFonts w:hint="eastAsia"/>
                <w:lang w:val="en-US" w:eastAsia="zh-CN"/>
              </w:rPr>
            </w:pPr>
            <w:r>
              <w:rPr>
                <w:rFonts w:hint="eastAsia"/>
                <w:lang w:val="en-US" w:eastAsia="zh-CN"/>
              </w:rPr>
              <w:t>3.1</w:t>
            </w:r>
          </w:p>
        </w:tc>
        <w:tc>
          <w:tcPr>
            <w:tcW w:w="21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B6566F7">
            <w:pPr>
              <w:pStyle w:val="31"/>
              <w:bidi w:val="0"/>
              <w:rPr>
                <w:rFonts w:hint="eastAsia"/>
                <w:lang w:val="en-US" w:eastAsia="zh-CN"/>
              </w:rPr>
            </w:pPr>
            <w:r>
              <w:rPr>
                <w:rFonts w:hint="eastAsia"/>
                <w:lang w:val="en-US" w:eastAsia="zh-CN"/>
              </w:rPr>
              <w:t>工段长</w:t>
            </w:r>
          </w:p>
        </w:tc>
        <w:tc>
          <w:tcPr>
            <w:tcW w:w="132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11962AA">
            <w:pPr>
              <w:pStyle w:val="31"/>
              <w:bidi w:val="0"/>
              <w:rPr>
                <w:rFonts w:hint="eastAsia"/>
                <w:lang w:val="en-US" w:eastAsia="zh-CN"/>
              </w:rPr>
            </w:pPr>
            <w:r>
              <w:rPr>
                <w:rFonts w:hint="eastAsia"/>
                <w:lang w:val="en-US" w:eastAsia="zh-CN"/>
              </w:rPr>
              <w:t>1</w:t>
            </w:r>
          </w:p>
        </w:tc>
        <w:tc>
          <w:tcPr>
            <w:tcW w:w="127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CE9FB30">
            <w:pPr>
              <w:pStyle w:val="31"/>
              <w:bidi w:val="0"/>
              <w:rPr>
                <w:rFonts w:hint="eastAsia"/>
                <w:lang w:val="en-US" w:eastAsia="zh-CN"/>
              </w:rPr>
            </w:pPr>
            <w:r>
              <w:rPr>
                <w:rFonts w:hint="eastAsia"/>
                <w:lang w:val="en-US" w:eastAsia="zh-CN"/>
              </w:rPr>
              <w:t>1</w:t>
            </w:r>
          </w:p>
        </w:tc>
        <w:tc>
          <w:tcPr>
            <w:tcW w:w="12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301968A">
            <w:pPr>
              <w:pStyle w:val="31"/>
              <w:bidi w:val="0"/>
              <w:rPr>
                <w:rFonts w:hint="eastAsia"/>
                <w:lang w:val="en-US" w:eastAsia="zh-CN"/>
              </w:rPr>
            </w:pPr>
            <w:r>
              <w:rPr>
                <w:rFonts w:hint="eastAsia"/>
                <w:lang w:val="en-US" w:eastAsia="zh-CN"/>
              </w:rPr>
              <w:t>1</w:t>
            </w:r>
          </w:p>
        </w:tc>
        <w:tc>
          <w:tcPr>
            <w:tcW w:w="139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6E3D45C">
            <w:pPr>
              <w:pStyle w:val="31"/>
              <w:bidi w:val="0"/>
              <w:rPr>
                <w:rFonts w:hint="eastAsia"/>
                <w:lang w:val="en-US" w:eastAsia="zh-CN"/>
              </w:rPr>
            </w:pPr>
            <w:r>
              <w:rPr>
                <w:rFonts w:hint="eastAsia"/>
                <w:lang w:val="en-US" w:eastAsia="zh-CN"/>
              </w:rPr>
              <w:t>3</w:t>
            </w:r>
          </w:p>
        </w:tc>
      </w:tr>
      <w:tr w14:paraId="621EB6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BD7A7DA">
            <w:pPr>
              <w:pStyle w:val="31"/>
              <w:bidi w:val="0"/>
              <w:rPr>
                <w:rFonts w:hint="eastAsia"/>
                <w:lang w:val="en-US" w:eastAsia="zh-CN"/>
              </w:rPr>
            </w:pPr>
            <w:r>
              <w:rPr>
                <w:rFonts w:hint="eastAsia"/>
                <w:lang w:val="en-US" w:eastAsia="zh-CN"/>
              </w:rPr>
              <w:t>3.2</w:t>
            </w:r>
          </w:p>
        </w:tc>
        <w:tc>
          <w:tcPr>
            <w:tcW w:w="21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91789BD">
            <w:pPr>
              <w:pStyle w:val="31"/>
              <w:bidi w:val="0"/>
              <w:rPr>
                <w:rFonts w:hint="eastAsia"/>
                <w:lang w:val="en-US" w:eastAsia="zh-CN"/>
              </w:rPr>
            </w:pPr>
            <w:r>
              <w:rPr>
                <w:rFonts w:hint="eastAsia"/>
                <w:lang w:val="en-US" w:eastAsia="zh-CN"/>
              </w:rPr>
              <w:t>电工</w:t>
            </w:r>
          </w:p>
        </w:tc>
        <w:tc>
          <w:tcPr>
            <w:tcW w:w="132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F0BB9F6">
            <w:pPr>
              <w:pStyle w:val="31"/>
              <w:bidi w:val="0"/>
              <w:rPr>
                <w:rFonts w:hint="eastAsia"/>
                <w:lang w:val="en-US" w:eastAsia="zh-CN"/>
              </w:rPr>
            </w:pPr>
            <w:r>
              <w:rPr>
                <w:rFonts w:hint="eastAsia"/>
                <w:lang w:val="en-US" w:eastAsia="zh-CN"/>
              </w:rPr>
              <w:t>1</w:t>
            </w:r>
          </w:p>
        </w:tc>
        <w:tc>
          <w:tcPr>
            <w:tcW w:w="127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57ABFD3">
            <w:pPr>
              <w:pStyle w:val="31"/>
              <w:bidi w:val="0"/>
              <w:rPr>
                <w:rFonts w:hint="eastAsia"/>
                <w:lang w:val="en-US" w:eastAsia="zh-CN"/>
              </w:rPr>
            </w:pPr>
            <w:r>
              <w:rPr>
                <w:rFonts w:hint="eastAsia"/>
                <w:lang w:val="en-US" w:eastAsia="zh-CN"/>
              </w:rPr>
              <w:t>1</w:t>
            </w:r>
          </w:p>
        </w:tc>
        <w:tc>
          <w:tcPr>
            <w:tcW w:w="12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06FCA3C">
            <w:pPr>
              <w:pStyle w:val="31"/>
              <w:bidi w:val="0"/>
              <w:rPr>
                <w:rFonts w:hint="eastAsia"/>
                <w:lang w:val="en-US" w:eastAsia="zh-CN"/>
              </w:rPr>
            </w:pPr>
            <w:r>
              <w:rPr>
                <w:rFonts w:hint="eastAsia"/>
                <w:lang w:val="en-US" w:eastAsia="zh-CN"/>
              </w:rPr>
              <w:t>1</w:t>
            </w:r>
          </w:p>
        </w:tc>
        <w:tc>
          <w:tcPr>
            <w:tcW w:w="139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600C3F3">
            <w:pPr>
              <w:pStyle w:val="31"/>
              <w:bidi w:val="0"/>
              <w:rPr>
                <w:rFonts w:hint="eastAsia"/>
                <w:lang w:val="en-US" w:eastAsia="zh-CN"/>
              </w:rPr>
            </w:pPr>
            <w:r>
              <w:rPr>
                <w:rFonts w:hint="eastAsia"/>
                <w:lang w:val="en-US" w:eastAsia="zh-CN"/>
              </w:rPr>
              <w:t>3</w:t>
            </w:r>
          </w:p>
        </w:tc>
      </w:tr>
      <w:tr w14:paraId="798A7C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385710D">
            <w:pPr>
              <w:pStyle w:val="31"/>
              <w:bidi w:val="0"/>
              <w:rPr>
                <w:rFonts w:hint="eastAsia"/>
                <w:lang w:val="en-US" w:eastAsia="zh-CN"/>
              </w:rPr>
            </w:pPr>
            <w:r>
              <w:rPr>
                <w:rFonts w:hint="eastAsia"/>
                <w:lang w:val="en-US" w:eastAsia="zh-CN"/>
              </w:rPr>
              <w:t>3.3</w:t>
            </w:r>
          </w:p>
        </w:tc>
        <w:tc>
          <w:tcPr>
            <w:tcW w:w="21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9125531">
            <w:pPr>
              <w:pStyle w:val="31"/>
              <w:bidi w:val="0"/>
              <w:rPr>
                <w:rFonts w:hint="eastAsia"/>
                <w:lang w:val="en-US" w:eastAsia="zh-CN"/>
              </w:rPr>
            </w:pPr>
            <w:r>
              <w:rPr>
                <w:rFonts w:hint="eastAsia"/>
                <w:lang w:val="en-US" w:eastAsia="zh-CN"/>
              </w:rPr>
              <w:t>凿岩工</w:t>
            </w:r>
          </w:p>
        </w:tc>
        <w:tc>
          <w:tcPr>
            <w:tcW w:w="132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3672A90">
            <w:pPr>
              <w:pStyle w:val="31"/>
              <w:bidi w:val="0"/>
              <w:rPr>
                <w:rFonts w:hint="eastAsia"/>
                <w:lang w:val="en-US" w:eastAsia="zh-CN"/>
              </w:rPr>
            </w:pPr>
            <w:r>
              <w:rPr>
                <w:rFonts w:hint="eastAsia"/>
                <w:lang w:val="en-US" w:eastAsia="zh-CN"/>
              </w:rPr>
              <w:t>8</w:t>
            </w:r>
          </w:p>
        </w:tc>
        <w:tc>
          <w:tcPr>
            <w:tcW w:w="127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15A0C04">
            <w:pPr>
              <w:pStyle w:val="31"/>
              <w:bidi w:val="0"/>
              <w:rPr>
                <w:rFonts w:hint="eastAsia"/>
                <w:lang w:val="en-US" w:eastAsia="zh-CN"/>
              </w:rPr>
            </w:pPr>
            <w:r>
              <w:rPr>
                <w:rFonts w:hint="eastAsia"/>
                <w:lang w:val="en-US" w:eastAsia="zh-CN"/>
              </w:rPr>
              <w:t>8</w:t>
            </w:r>
          </w:p>
        </w:tc>
        <w:tc>
          <w:tcPr>
            <w:tcW w:w="12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89C2441">
            <w:pPr>
              <w:pStyle w:val="31"/>
              <w:bidi w:val="0"/>
              <w:rPr>
                <w:rFonts w:hint="eastAsia"/>
                <w:lang w:val="en-US" w:eastAsia="zh-CN"/>
              </w:rPr>
            </w:pPr>
            <w:r>
              <w:rPr>
                <w:rFonts w:hint="eastAsia"/>
                <w:lang w:val="en-US" w:eastAsia="zh-CN"/>
              </w:rPr>
              <w:t>8</w:t>
            </w:r>
          </w:p>
        </w:tc>
        <w:tc>
          <w:tcPr>
            <w:tcW w:w="139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73F42CF">
            <w:pPr>
              <w:pStyle w:val="31"/>
              <w:bidi w:val="0"/>
              <w:rPr>
                <w:rFonts w:hint="eastAsia"/>
                <w:lang w:val="en-US" w:eastAsia="zh-CN"/>
              </w:rPr>
            </w:pPr>
            <w:r>
              <w:rPr>
                <w:rFonts w:hint="eastAsia"/>
                <w:lang w:val="en-US" w:eastAsia="zh-CN"/>
              </w:rPr>
              <w:t>24</w:t>
            </w:r>
          </w:p>
        </w:tc>
      </w:tr>
      <w:tr w14:paraId="69A3D4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D713929">
            <w:pPr>
              <w:pStyle w:val="31"/>
              <w:bidi w:val="0"/>
              <w:rPr>
                <w:rFonts w:hint="eastAsia"/>
                <w:lang w:val="en-US" w:eastAsia="zh-CN"/>
              </w:rPr>
            </w:pPr>
            <w:r>
              <w:rPr>
                <w:rFonts w:hint="eastAsia"/>
                <w:lang w:val="en-US" w:eastAsia="zh-CN"/>
              </w:rPr>
              <w:t>3.4</w:t>
            </w:r>
          </w:p>
        </w:tc>
        <w:tc>
          <w:tcPr>
            <w:tcW w:w="21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4BF27FA">
            <w:pPr>
              <w:pStyle w:val="31"/>
              <w:bidi w:val="0"/>
              <w:rPr>
                <w:rFonts w:hint="eastAsia"/>
                <w:lang w:val="en-US" w:eastAsia="zh-CN"/>
              </w:rPr>
            </w:pPr>
            <w:r>
              <w:rPr>
                <w:rFonts w:hint="eastAsia"/>
                <w:lang w:val="en-US" w:eastAsia="zh-CN"/>
              </w:rPr>
              <w:t>爆破工</w:t>
            </w:r>
          </w:p>
        </w:tc>
        <w:tc>
          <w:tcPr>
            <w:tcW w:w="132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747A47D">
            <w:pPr>
              <w:pStyle w:val="31"/>
              <w:bidi w:val="0"/>
              <w:rPr>
                <w:rFonts w:hint="eastAsia"/>
                <w:lang w:val="en-US" w:eastAsia="zh-CN"/>
              </w:rPr>
            </w:pPr>
          </w:p>
        </w:tc>
        <w:tc>
          <w:tcPr>
            <w:tcW w:w="127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FBA3DB3">
            <w:pPr>
              <w:pStyle w:val="31"/>
              <w:bidi w:val="0"/>
              <w:rPr>
                <w:rFonts w:hint="eastAsia"/>
                <w:lang w:val="en-US" w:eastAsia="zh-CN"/>
              </w:rPr>
            </w:pPr>
            <w:r>
              <w:rPr>
                <w:rFonts w:hint="eastAsia"/>
                <w:lang w:val="en-US" w:eastAsia="zh-CN"/>
              </w:rPr>
              <w:t>5</w:t>
            </w:r>
          </w:p>
        </w:tc>
        <w:tc>
          <w:tcPr>
            <w:tcW w:w="12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F087CC3">
            <w:pPr>
              <w:pStyle w:val="31"/>
              <w:bidi w:val="0"/>
              <w:rPr>
                <w:rFonts w:hint="eastAsia"/>
                <w:lang w:val="en-US" w:eastAsia="zh-CN"/>
              </w:rPr>
            </w:pPr>
          </w:p>
        </w:tc>
        <w:tc>
          <w:tcPr>
            <w:tcW w:w="139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1E5386F">
            <w:pPr>
              <w:pStyle w:val="31"/>
              <w:bidi w:val="0"/>
              <w:rPr>
                <w:rFonts w:hint="eastAsia"/>
                <w:lang w:val="en-US" w:eastAsia="zh-CN"/>
              </w:rPr>
            </w:pPr>
            <w:r>
              <w:rPr>
                <w:rFonts w:hint="eastAsia"/>
                <w:lang w:val="en-US" w:eastAsia="zh-CN"/>
              </w:rPr>
              <w:t>5</w:t>
            </w:r>
          </w:p>
        </w:tc>
      </w:tr>
      <w:tr w14:paraId="106294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559DAE2">
            <w:pPr>
              <w:pStyle w:val="31"/>
              <w:bidi w:val="0"/>
              <w:rPr>
                <w:rFonts w:hint="eastAsia"/>
                <w:lang w:val="en-US" w:eastAsia="zh-CN"/>
              </w:rPr>
            </w:pPr>
            <w:r>
              <w:rPr>
                <w:rFonts w:hint="eastAsia"/>
                <w:lang w:val="en-US" w:eastAsia="zh-CN"/>
              </w:rPr>
              <w:t>3.5</w:t>
            </w:r>
          </w:p>
        </w:tc>
        <w:tc>
          <w:tcPr>
            <w:tcW w:w="21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246954B">
            <w:pPr>
              <w:pStyle w:val="31"/>
              <w:bidi w:val="0"/>
              <w:rPr>
                <w:rFonts w:hint="eastAsia"/>
                <w:lang w:val="en-US" w:eastAsia="zh-CN"/>
              </w:rPr>
            </w:pPr>
            <w:r>
              <w:rPr>
                <w:rFonts w:hint="eastAsia"/>
                <w:lang w:val="en-US" w:eastAsia="zh-CN"/>
              </w:rPr>
              <w:t>支护工</w:t>
            </w:r>
          </w:p>
        </w:tc>
        <w:tc>
          <w:tcPr>
            <w:tcW w:w="132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CEA213E">
            <w:pPr>
              <w:pStyle w:val="31"/>
              <w:bidi w:val="0"/>
              <w:rPr>
                <w:rFonts w:hint="eastAsia"/>
                <w:lang w:val="en-US" w:eastAsia="zh-CN"/>
              </w:rPr>
            </w:pPr>
            <w:r>
              <w:rPr>
                <w:rFonts w:hint="eastAsia"/>
                <w:lang w:val="en-US" w:eastAsia="zh-CN"/>
              </w:rPr>
              <w:t>3</w:t>
            </w:r>
          </w:p>
        </w:tc>
        <w:tc>
          <w:tcPr>
            <w:tcW w:w="127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F732D44">
            <w:pPr>
              <w:pStyle w:val="31"/>
              <w:bidi w:val="0"/>
              <w:rPr>
                <w:rFonts w:hint="eastAsia"/>
                <w:lang w:val="en-US" w:eastAsia="zh-CN"/>
              </w:rPr>
            </w:pPr>
            <w:r>
              <w:rPr>
                <w:rFonts w:hint="eastAsia"/>
                <w:lang w:val="en-US" w:eastAsia="zh-CN"/>
              </w:rPr>
              <w:t>3</w:t>
            </w:r>
          </w:p>
        </w:tc>
        <w:tc>
          <w:tcPr>
            <w:tcW w:w="12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C16D1AE">
            <w:pPr>
              <w:pStyle w:val="31"/>
              <w:bidi w:val="0"/>
              <w:rPr>
                <w:rFonts w:hint="eastAsia"/>
                <w:lang w:val="en-US" w:eastAsia="zh-CN"/>
              </w:rPr>
            </w:pPr>
            <w:r>
              <w:rPr>
                <w:rFonts w:hint="eastAsia"/>
                <w:lang w:val="en-US" w:eastAsia="zh-CN"/>
              </w:rPr>
              <w:t>3</w:t>
            </w:r>
          </w:p>
        </w:tc>
        <w:tc>
          <w:tcPr>
            <w:tcW w:w="139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2EBCB87">
            <w:pPr>
              <w:pStyle w:val="31"/>
              <w:bidi w:val="0"/>
              <w:rPr>
                <w:rFonts w:hint="eastAsia"/>
                <w:lang w:val="en-US" w:eastAsia="zh-CN"/>
              </w:rPr>
            </w:pPr>
            <w:r>
              <w:rPr>
                <w:rFonts w:hint="eastAsia"/>
                <w:lang w:val="en-US" w:eastAsia="zh-CN"/>
              </w:rPr>
              <w:t>9</w:t>
            </w:r>
          </w:p>
        </w:tc>
      </w:tr>
      <w:tr w14:paraId="0F8D6C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6328E2D">
            <w:pPr>
              <w:pStyle w:val="31"/>
              <w:bidi w:val="0"/>
              <w:rPr>
                <w:rFonts w:hint="eastAsia"/>
                <w:lang w:val="en-US" w:eastAsia="zh-CN"/>
              </w:rPr>
            </w:pPr>
            <w:r>
              <w:rPr>
                <w:rFonts w:hint="eastAsia"/>
                <w:lang w:val="en-US" w:eastAsia="zh-CN"/>
              </w:rPr>
              <w:t>3.6</w:t>
            </w:r>
          </w:p>
        </w:tc>
        <w:tc>
          <w:tcPr>
            <w:tcW w:w="21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D6C036E">
            <w:pPr>
              <w:pStyle w:val="31"/>
              <w:bidi w:val="0"/>
              <w:rPr>
                <w:rFonts w:hint="eastAsia"/>
                <w:lang w:val="en-US" w:eastAsia="zh-CN"/>
              </w:rPr>
            </w:pPr>
            <w:r>
              <w:rPr>
                <w:rFonts w:hint="eastAsia"/>
                <w:lang w:val="en-US" w:eastAsia="zh-CN"/>
              </w:rPr>
              <w:t>橇毛工</w:t>
            </w:r>
          </w:p>
        </w:tc>
        <w:tc>
          <w:tcPr>
            <w:tcW w:w="132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D7124FE">
            <w:pPr>
              <w:pStyle w:val="31"/>
              <w:bidi w:val="0"/>
              <w:rPr>
                <w:rFonts w:hint="eastAsia"/>
                <w:lang w:val="en-US" w:eastAsia="zh-CN"/>
              </w:rPr>
            </w:pPr>
            <w:r>
              <w:rPr>
                <w:rFonts w:hint="eastAsia"/>
                <w:lang w:val="en-US" w:eastAsia="zh-CN"/>
              </w:rPr>
              <w:t>2</w:t>
            </w:r>
          </w:p>
        </w:tc>
        <w:tc>
          <w:tcPr>
            <w:tcW w:w="127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BF3ECF7">
            <w:pPr>
              <w:pStyle w:val="31"/>
              <w:bidi w:val="0"/>
              <w:rPr>
                <w:rFonts w:hint="eastAsia"/>
                <w:lang w:val="en-US" w:eastAsia="zh-CN"/>
              </w:rPr>
            </w:pPr>
            <w:r>
              <w:rPr>
                <w:rFonts w:hint="eastAsia"/>
                <w:lang w:val="en-US" w:eastAsia="zh-CN"/>
              </w:rPr>
              <w:t>2</w:t>
            </w:r>
          </w:p>
        </w:tc>
        <w:tc>
          <w:tcPr>
            <w:tcW w:w="12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F99D6C9">
            <w:pPr>
              <w:pStyle w:val="31"/>
              <w:bidi w:val="0"/>
              <w:rPr>
                <w:rFonts w:hint="eastAsia"/>
                <w:lang w:val="en-US" w:eastAsia="zh-CN"/>
              </w:rPr>
            </w:pPr>
            <w:r>
              <w:rPr>
                <w:rFonts w:hint="eastAsia"/>
                <w:lang w:val="en-US" w:eastAsia="zh-CN"/>
              </w:rPr>
              <w:t>2</w:t>
            </w:r>
          </w:p>
        </w:tc>
        <w:tc>
          <w:tcPr>
            <w:tcW w:w="139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EE04C7B">
            <w:pPr>
              <w:pStyle w:val="31"/>
              <w:bidi w:val="0"/>
              <w:rPr>
                <w:rFonts w:hint="eastAsia"/>
                <w:lang w:val="en-US" w:eastAsia="zh-CN"/>
              </w:rPr>
            </w:pPr>
            <w:r>
              <w:rPr>
                <w:rFonts w:hint="eastAsia"/>
                <w:lang w:val="en-US" w:eastAsia="zh-CN"/>
              </w:rPr>
              <w:t>6</w:t>
            </w:r>
          </w:p>
        </w:tc>
      </w:tr>
      <w:tr w14:paraId="47DFC1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687D3BA">
            <w:pPr>
              <w:pStyle w:val="31"/>
              <w:bidi w:val="0"/>
              <w:rPr>
                <w:rFonts w:hint="eastAsia"/>
                <w:lang w:val="en-US" w:eastAsia="zh-CN"/>
              </w:rPr>
            </w:pPr>
            <w:r>
              <w:rPr>
                <w:rFonts w:hint="eastAsia"/>
                <w:lang w:val="en-US" w:eastAsia="zh-CN"/>
              </w:rPr>
              <w:t>3.7</w:t>
            </w:r>
          </w:p>
        </w:tc>
        <w:tc>
          <w:tcPr>
            <w:tcW w:w="21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FC58455">
            <w:pPr>
              <w:pStyle w:val="31"/>
              <w:bidi w:val="0"/>
              <w:rPr>
                <w:rFonts w:hint="eastAsia"/>
                <w:lang w:val="en-US" w:eastAsia="zh-CN"/>
              </w:rPr>
            </w:pPr>
            <w:r>
              <w:rPr>
                <w:rFonts w:hint="eastAsia"/>
                <w:lang w:val="en-US" w:eastAsia="zh-CN"/>
              </w:rPr>
              <w:t>通风工</w:t>
            </w:r>
          </w:p>
        </w:tc>
        <w:tc>
          <w:tcPr>
            <w:tcW w:w="132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914B866">
            <w:pPr>
              <w:pStyle w:val="31"/>
              <w:bidi w:val="0"/>
              <w:rPr>
                <w:rFonts w:hint="eastAsia"/>
                <w:lang w:val="en-US" w:eastAsia="zh-CN"/>
              </w:rPr>
            </w:pPr>
            <w:r>
              <w:rPr>
                <w:rFonts w:hint="eastAsia"/>
                <w:lang w:val="en-US" w:eastAsia="zh-CN"/>
              </w:rPr>
              <w:t>2</w:t>
            </w:r>
          </w:p>
        </w:tc>
        <w:tc>
          <w:tcPr>
            <w:tcW w:w="127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681894B">
            <w:pPr>
              <w:pStyle w:val="31"/>
              <w:bidi w:val="0"/>
              <w:rPr>
                <w:rFonts w:hint="eastAsia"/>
                <w:lang w:val="en-US" w:eastAsia="zh-CN"/>
              </w:rPr>
            </w:pPr>
            <w:r>
              <w:rPr>
                <w:rFonts w:hint="eastAsia"/>
                <w:lang w:val="en-US" w:eastAsia="zh-CN"/>
              </w:rPr>
              <w:t>2</w:t>
            </w:r>
          </w:p>
        </w:tc>
        <w:tc>
          <w:tcPr>
            <w:tcW w:w="12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D21D19D">
            <w:pPr>
              <w:pStyle w:val="31"/>
              <w:bidi w:val="0"/>
              <w:rPr>
                <w:rFonts w:hint="eastAsia"/>
                <w:lang w:val="en-US" w:eastAsia="zh-CN"/>
              </w:rPr>
            </w:pPr>
            <w:r>
              <w:rPr>
                <w:rFonts w:hint="eastAsia"/>
                <w:lang w:val="en-US" w:eastAsia="zh-CN"/>
              </w:rPr>
              <w:t>2</w:t>
            </w:r>
          </w:p>
        </w:tc>
        <w:tc>
          <w:tcPr>
            <w:tcW w:w="139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CB8657E">
            <w:pPr>
              <w:pStyle w:val="31"/>
              <w:bidi w:val="0"/>
              <w:rPr>
                <w:rFonts w:hint="eastAsia"/>
                <w:lang w:val="en-US" w:eastAsia="zh-CN"/>
              </w:rPr>
            </w:pPr>
            <w:r>
              <w:rPr>
                <w:rFonts w:hint="eastAsia"/>
                <w:lang w:val="en-US" w:eastAsia="zh-CN"/>
              </w:rPr>
              <w:t>6</w:t>
            </w:r>
          </w:p>
        </w:tc>
      </w:tr>
      <w:tr w14:paraId="38A94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E5BA6C0">
            <w:pPr>
              <w:pStyle w:val="31"/>
              <w:bidi w:val="0"/>
              <w:rPr>
                <w:rFonts w:hint="eastAsia"/>
                <w:lang w:val="en-US" w:eastAsia="zh-CN"/>
              </w:rPr>
            </w:pPr>
            <w:r>
              <w:rPr>
                <w:rFonts w:hint="eastAsia"/>
                <w:lang w:val="en-US" w:eastAsia="zh-CN"/>
              </w:rPr>
              <w:t>3.8</w:t>
            </w:r>
          </w:p>
        </w:tc>
        <w:tc>
          <w:tcPr>
            <w:tcW w:w="21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DC427C0">
            <w:pPr>
              <w:pStyle w:val="31"/>
              <w:bidi w:val="0"/>
              <w:rPr>
                <w:rFonts w:hint="eastAsia"/>
                <w:lang w:val="en-US" w:eastAsia="zh-CN"/>
              </w:rPr>
            </w:pPr>
            <w:r>
              <w:rPr>
                <w:rFonts w:hint="eastAsia"/>
                <w:lang w:val="en-US" w:eastAsia="zh-CN"/>
              </w:rPr>
              <w:t>充填工</w:t>
            </w:r>
          </w:p>
        </w:tc>
        <w:tc>
          <w:tcPr>
            <w:tcW w:w="132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0FB7BEA">
            <w:pPr>
              <w:pStyle w:val="31"/>
              <w:bidi w:val="0"/>
              <w:rPr>
                <w:rFonts w:hint="eastAsia"/>
                <w:lang w:val="en-US" w:eastAsia="zh-CN"/>
              </w:rPr>
            </w:pPr>
            <w:r>
              <w:rPr>
                <w:rFonts w:hint="eastAsia"/>
                <w:lang w:val="en-US" w:eastAsia="zh-CN"/>
              </w:rPr>
              <w:t>3</w:t>
            </w:r>
          </w:p>
        </w:tc>
        <w:tc>
          <w:tcPr>
            <w:tcW w:w="127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309426E">
            <w:pPr>
              <w:pStyle w:val="31"/>
              <w:bidi w:val="0"/>
              <w:rPr>
                <w:rFonts w:hint="eastAsia"/>
                <w:lang w:val="en-US" w:eastAsia="zh-CN"/>
              </w:rPr>
            </w:pPr>
            <w:r>
              <w:rPr>
                <w:rFonts w:hint="eastAsia"/>
                <w:lang w:val="en-US" w:eastAsia="zh-CN"/>
              </w:rPr>
              <w:t>3</w:t>
            </w:r>
          </w:p>
        </w:tc>
        <w:tc>
          <w:tcPr>
            <w:tcW w:w="12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A967F8A">
            <w:pPr>
              <w:pStyle w:val="31"/>
              <w:bidi w:val="0"/>
              <w:rPr>
                <w:rFonts w:hint="eastAsia"/>
                <w:lang w:val="en-US" w:eastAsia="zh-CN"/>
              </w:rPr>
            </w:pPr>
            <w:r>
              <w:rPr>
                <w:rFonts w:hint="eastAsia"/>
                <w:lang w:val="en-US" w:eastAsia="zh-CN"/>
              </w:rPr>
              <w:t>3</w:t>
            </w:r>
          </w:p>
        </w:tc>
        <w:tc>
          <w:tcPr>
            <w:tcW w:w="139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3508E1C">
            <w:pPr>
              <w:pStyle w:val="31"/>
              <w:bidi w:val="0"/>
              <w:rPr>
                <w:rFonts w:hint="eastAsia"/>
                <w:lang w:val="en-US" w:eastAsia="zh-CN"/>
              </w:rPr>
            </w:pPr>
            <w:r>
              <w:rPr>
                <w:rFonts w:hint="eastAsia"/>
                <w:lang w:val="en-US" w:eastAsia="zh-CN"/>
              </w:rPr>
              <w:t>9</w:t>
            </w:r>
          </w:p>
        </w:tc>
      </w:tr>
      <w:tr w14:paraId="24B2D5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D09EF97">
            <w:pPr>
              <w:pStyle w:val="31"/>
              <w:bidi w:val="0"/>
              <w:rPr>
                <w:rFonts w:hint="eastAsia"/>
                <w:lang w:val="en-US" w:eastAsia="zh-CN"/>
              </w:rPr>
            </w:pPr>
            <w:r>
              <w:rPr>
                <w:rFonts w:hint="eastAsia"/>
                <w:lang w:val="en-US" w:eastAsia="zh-CN"/>
              </w:rPr>
              <w:t>3.9</w:t>
            </w:r>
          </w:p>
        </w:tc>
        <w:tc>
          <w:tcPr>
            <w:tcW w:w="21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E73A293">
            <w:pPr>
              <w:pStyle w:val="31"/>
              <w:bidi w:val="0"/>
              <w:rPr>
                <w:rFonts w:hint="eastAsia"/>
                <w:lang w:val="en-US" w:eastAsia="zh-CN"/>
              </w:rPr>
            </w:pPr>
            <w:r>
              <w:rPr>
                <w:rFonts w:hint="eastAsia"/>
                <w:lang w:val="en-US" w:eastAsia="zh-CN"/>
              </w:rPr>
              <w:t>水泵工</w:t>
            </w:r>
          </w:p>
        </w:tc>
        <w:tc>
          <w:tcPr>
            <w:tcW w:w="132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BFF2614">
            <w:pPr>
              <w:pStyle w:val="31"/>
              <w:bidi w:val="0"/>
              <w:rPr>
                <w:rFonts w:hint="eastAsia"/>
                <w:lang w:val="en-US" w:eastAsia="zh-CN"/>
              </w:rPr>
            </w:pPr>
            <w:r>
              <w:rPr>
                <w:rFonts w:hint="eastAsia"/>
                <w:lang w:val="en-US" w:eastAsia="zh-CN"/>
              </w:rPr>
              <w:t>1</w:t>
            </w:r>
          </w:p>
        </w:tc>
        <w:tc>
          <w:tcPr>
            <w:tcW w:w="127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15BBB69">
            <w:pPr>
              <w:pStyle w:val="31"/>
              <w:bidi w:val="0"/>
              <w:rPr>
                <w:rFonts w:hint="eastAsia"/>
                <w:lang w:val="en-US" w:eastAsia="zh-CN"/>
              </w:rPr>
            </w:pPr>
            <w:r>
              <w:rPr>
                <w:rFonts w:hint="eastAsia"/>
                <w:lang w:val="en-US" w:eastAsia="zh-CN"/>
              </w:rPr>
              <w:t>1</w:t>
            </w:r>
          </w:p>
        </w:tc>
        <w:tc>
          <w:tcPr>
            <w:tcW w:w="12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C5857A5">
            <w:pPr>
              <w:pStyle w:val="31"/>
              <w:bidi w:val="0"/>
              <w:rPr>
                <w:rFonts w:hint="eastAsia"/>
                <w:lang w:val="en-US" w:eastAsia="zh-CN"/>
              </w:rPr>
            </w:pPr>
            <w:r>
              <w:rPr>
                <w:rFonts w:hint="eastAsia"/>
                <w:lang w:val="en-US" w:eastAsia="zh-CN"/>
              </w:rPr>
              <w:t>1</w:t>
            </w:r>
          </w:p>
        </w:tc>
        <w:tc>
          <w:tcPr>
            <w:tcW w:w="139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F4BEB21">
            <w:pPr>
              <w:pStyle w:val="31"/>
              <w:bidi w:val="0"/>
              <w:rPr>
                <w:rFonts w:hint="eastAsia"/>
                <w:lang w:val="en-US" w:eastAsia="zh-CN"/>
              </w:rPr>
            </w:pPr>
            <w:r>
              <w:rPr>
                <w:rFonts w:hint="eastAsia"/>
                <w:lang w:val="en-US" w:eastAsia="zh-CN"/>
              </w:rPr>
              <w:t>3</w:t>
            </w:r>
          </w:p>
        </w:tc>
      </w:tr>
      <w:tr w14:paraId="107FA4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05EEC5C">
            <w:pPr>
              <w:pStyle w:val="31"/>
              <w:bidi w:val="0"/>
              <w:rPr>
                <w:rFonts w:hint="eastAsia"/>
                <w:lang w:val="en-US" w:eastAsia="zh-CN"/>
              </w:rPr>
            </w:pPr>
            <w:r>
              <w:rPr>
                <w:rFonts w:hint="eastAsia"/>
                <w:lang w:val="en-US" w:eastAsia="zh-CN"/>
              </w:rPr>
              <w:t>3.1</w:t>
            </w:r>
          </w:p>
        </w:tc>
        <w:tc>
          <w:tcPr>
            <w:tcW w:w="21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AE0F615">
            <w:pPr>
              <w:pStyle w:val="31"/>
              <w:bidi w:val="0"/>
              <w:rPr>
                <w:rFonts w:hint="eastAsia"/>
                <w:lang w:val="en-US" w:eastAsia="zh-CN"/>
              </w:rPr>
            </w:pPr>
            <w:r>
              <w:rPr>
                <w:rFonts w:hint="eastAsia"/>
                <w:lang w:val="en-US" w:eastAsia="zh-CN"/>
              </w:rPr>
              <w:t>装载机司机</w:t>
            </w:r>
          </w:p>
        </w:tc>
        <w:tc>
          <w:tcPr>
            <w:tcW w:w="132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7E30013">
            <w:pPr>
              <w:pStyle w:val="31"/>
              <w:bidi w:val="0"/>
              <w:rPr>
                <w:rFonts w:hint="eastAsia"/>
                <w:lang w:val="en-US" w:eastAsia="zh-CN"/>
              </w:rPr>
            </w:pPr>
            <w:r>
              <w:rPr>
                <w:rFonts w:hint="eastAsia"/>
                <w:lang w:val="en-US" w:eastAsia="zh-CN"/>
              </w:rPr>
              <w:t>4</w:t>
            </w:r>
          </w:p>
        </w:tc>
        <w:tc>
          <w:tcPr>
            <w:tcW w:w="127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E5B9569">
            <w:pPr>
              <w:pStyle w:val="31"/>
              <w:bidi w:val="0"/>
              <w:rPr>
                <w:rFonts w:hint="eastAsia"/>
                <w:lang w:val="en-US" w:eastAsia="zh-CN"/>
              </w:rPr>
            </w:pPr>
            <w:r>
              <w:rPr>
                <w:rFonts w:hint="eastAsia"/>
                <w:lang w:val="en-US" w:eastAsia="zh-CN"/>
              </w:rPr>
              <w:t>4</w:t>
            </w:r>
          </w:p>
        </w:tc>
        <w:tc>
          <w:tcPr>
            <w:tcW w:w="12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09F6C4B">
            <w:pPr>
              <w:pStyle w:val="31"/>
              <w:bidi w:val="0"/>
              <w:rPr>
                <w:rFonts w:hint="eastAsia"/>
                <w:lang w:val="en-US" w:eastAsia="zh-CN"/>
              </w:rPr>
            </w:pPr>
            <w:r>
              <w:rPr>
                <w:rFonts w:hint="eastAsia"/>
                <w:lang w:val="en-US" w:eastAsia="zh-CN"/>
              </w:rPr>
              <w:t>4</w:t>
            </w:r>
          </w:p>
        </w:tc>
        <w:tc>
          <w:tcPr>
            <w:tcW w:w="139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F97F573">
            <w:pPr>
              <w:pStyle w:val="31"/>
              <w:bidi w:val="0"/>
              <w:rPr>
                <w:rFonts w:hint="eastAsia"/>
                <w:lang w:val="en-US" w:eastAsia="zh-CN"/>
              </w:rPr>
            </w:pPr>
            <w:r>
              <w:rPr>
                <w:rFonts w:hint="eastAsia"/>
                <w:lang w:val="en-US" w:eastAsia="zh-CN"/>
              </w:rPr>
              <w:t>12</w:t>
            </w:r>
          </w:p>
        </w:tc>
      </w:tr>
      <w:tr w14:paraId="3FF858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7ECA00E">
            <w:pPr>
              <w:pStyle w:val="31"/>
              <w:bidi w:val="0"/>
              <w:rPr>
                <w:rFonts w:hint="eastAsia"/>
                <w:lang w:val="en-US" w:eastAsia="zh-CN"/>
              </w:rPr>
            </w:pPr>
            <w:r>
              <w:rPr>
                <w:rFonts w:hint="eastAsia"/>
                <w:lang w:val="en-US" w:eastAsia="zh-CN"/>
              </w:rPr>
              <w:t>3.11</w:t>
            </w:r>
          </w:p>
        </w:tc>
        <w:tc>
          <w:tcPr>
            <w:tcW w:w="21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F01DBBB">
            <w:pPr>
              <w:pStyle w:val="31"/>
              <w:bidi w:val="0"/>
              <w:rPr>
                <w:rFonts w:hint="eastAsia"/>
                <w:lang w:val="en-US" w:eastAsia="zh-CN"/>
              </w:rPr>
            </w:pPr>
            <w:r>
              <w:rPr>
                <w:rFonts w:hint="eastAsia"/>
                <w:lang w:val="en-US" w:eastAsia="zh-CN"/>
              </w:rPr>
              <w:t>运输车司机</w:t>
            </w:r>
          </w:p>
        </w:tc>
        <w:tc>
          <w:tcPr>
            <w:tcW w:w="132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2E781D2">
            <w:pPr>
              <w:pStyle w:val="31"/>
              <w:bidi w:val="0"/>
              <w:rPr>
                <w:rFonts w:hint="eastAsia"/>
                <w:lang w:val="en-US" w:eastAsia="zh-CN"/>
              </w:rPr>
            </w:pPr>
            <w:r>
              <w:rPr>
                <w:rFonts w:hint="eastAsia"/>
                <w:lang w:val="en-US" w:eastAsia="zh-CN"/>
              </w:rPr>
              <w:t>4</w:t>
            </w:r>
          </w:p>
        </w:tc>
        <w:tc>
          <w:tcPr>
            <w:tcW w:w="127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0511AD9">
            <w:pPr>
              <w:pStyle w:val="31"/>
              <w:bidi w:val="0"/>
              <w:rPr>
                <w:rFonts w:hint="eastAsia"/>
                <w:lang w:val="en-US" w:eastAsia="zh-CN"/>
              </w:rPr>
            </w:pPr>
            <w:r>
              <w:rPr>
                <w:rFonts w:hint="eastAsia"/>
                <w:lang w:val="en-US" w:eastAsia="zh-CN"/>
              </w:rPr>
              <w:t>4</w:t>
            </w:r>
          </w:p>
        </w:tc>
        <w:tc>
          <w:tcPr>
            <w:tcW w:w="12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ED453B6">
            <w:pPr>
              <w:pStyle w:val="31"/>
              <w:bidi w:val="0"/>
              <w:rPr>
                <w:rFonts w:hint="eastAsia"/>
                <w:lang w:val="en-US" w:eastAsia="zh-CN"/>
              </w:rPr>
            </w:pPr>
            <w:r>
              <w:rPr>
                <w:rFonts w:hint="eastAsia"/>
                <w:lang w:val="en-US" w:eastAsia="zh-CN"/>
              </w:rPr>
              <w:t>4</w:t>
            </w:r>
          </w:p>
        </w:tc>
        <w:tc>
          <w:tcPr>
            <w:tcW w:w="139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0B7C2B6">
            <w:pPr>
              <w:pStyle w:val="31"/>
              <w:bidi w:val="0"/>
              <w:rPr>
                <w:rFonts w:hint="eastAsia"/>
                <w:lang w:val="en-US" w:eastAsia="zh-CN"/>
              </w:rPr>
            </w:pPr>
            <w:r>
              <w:rPr>
                <w:rFonts w:hint="eastAsia"/>
                <w:lang w:val="en-US" w:eastAsia="zh-CN"/>
              </w:rPr>
              <w:t>12</w:t>
            </w:r>
          </w:p>
        </w:tc>
      </w:tr>
      <w:tr w14:paraId="0C5C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5AC3CBA">
            <w:pPr>
              <w:pStyle w:val="31"/>
              <w:bidi w:val="0"/>
              <w:rPr>
                <w:rFonts w:hint="default"/>
                <w:lang w:val="en-US" w:eastAsia="zh-CN"/>
              </w:rPr>
            </w:pPr>
            <w:r>
              <w:rPr>
                <w:rFonts w:hint="eastAsia"/>
                <w:lang w:val="en-US" w:eastAsia="zh-CN"/>
              </w:rPr>
              <w:t>3.12</w:t>
            </w:r>
          </w:p>
        </w:tc>
        <w:tc>
          <w:tcPr>
            <w:tcW w:w="21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AEC93EC">
            <w:pPr>
              <w:pStyle w:val="31"/>
              <w:bidi w:val="0"/>
              <w:rPr>
                <w:rFonts w:hint="eastAsia"/>
                <w:lang w:val="en-US" w:eastAsia="zh-CN"/>
              </w:rPr>
            </w:pPr>
            <w:r>
              <w:rPr>
                <w:rFonts w:hint="eastAsia"/>
                <w:lang w:val="en-US" w:eastAsia="zh-CN"/>
              </w:rPr>
              <w:t>人车司机</w:t>
            </w:r>
          </w:p>
        </w:tc>
        <w:tc>
          <w:tcPr>
            <w:tcW w:w="132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0271FC4">
            <w:pPr>
              <w:pStyle w:val="31"/>
              <w:bidi w:val="0"/>
              <w:rPr>
                <w:rFonts w:hint="eastAsia"/>
                <w:lang w:val="en-US" w:eastAsia="zh-CN"/>
              </w:rPr>
            </w:pPr>
            <w:r>
              <w:rPr>
                <w:rFonts w:hint="eastAsia"/>
                <w:lang w:val="en-US" w:eastAsia="zh-CN"/>
              </w:rPr>
              <w:t>3</w:t>
            </w:r>
          </w:p>
        </w:tc>
        <w:tc>
          <w:tcPr>
            <w:tcW w:w="127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CCC9592">
            <w:pPr>
              <w:pStyle w:val="31"/>
              <w:bidi w:val="0"/>
              <w:rPr>
                <w:rFonts w:hint="eastAsia"/>
                <w:lang w:val="en-US" w:eastAsia="zh-CN"/>
              </w:rPr>
            </w:pPr>
            <w:r>
              <w:rPr>
                <w:rFonts w:hint="eastAsia"/>
                <w:lang w:val="en-US" w:eastAsia="zh-CN"/>
              </w:rPr>
              <w:t>3</w:t>
            </w:r>
          </w:p>
        </w:tc>
        <w:tc>
          <w:tcPr>
            <w:tcW w:w="12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9B01B14">
            <w:pPr>
              <w:pStyle w:val="31"/>
              <w:bidi w:val="0"/>
              <w:rPr>
                <w:rFonts w:hint="eastAsia"/>
                <w:lang w:val="en-US" w:eastAsia="zh-CN"/>
              </w:rPr>
            </w:pPr>
            <w:r>
              <w:rPr>
                <w:rFonts w:hint="eastAsia"/>
                <w:lang w:val="en-US" w:eastAsia="zh-CN"/>
              </w:rPr>
              <w:t>3</w:t>
            </w:r>
          </w:p>
        </w:tc>
        <w:tc>
          <w:tcPr>
            <w:tcW w:w="139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AE045ED">
            <w:pPr>
              <w:pStyle w:val="31"/>
              <w:bidi w:val="0"/>
              <w:rPr>
                <w:rFonts w:hint="eastAsia"/>
                <w:lang w:val="en-US" w:eastAsia="zh-CN"/>
              </w:rPr>
            </w:pPr>
            <w:r>
              <w:rPr>
                <w:rFonts w:hint="eastAsia"/>
                <w:lang w:val="en-US" w:eastAsia="zh-CN"/>
              </w:rPr>
              <w:t>9</w:t>
            </w:r>
          </w:p>
        </w:tc>
      </w:tr>
      <w:tr w14:paraId="4514D1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14AD28F">
            <w:pPr>
              <w:pStyle w:val="31"/>
              <w:bidi w:val="0"/>
              <w:rPr>
                <w:rFonts w:hint="eastAsia"/>
                <w:lang w:val="en-US" w:eastAsia="zh-CN"/>
              </w:rPr>
            </w:pPr>
          </w:p>
        </w:tc>
        <w:tc>
          <w:tcPr>
            <w:tcW w:w="21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DD8A31F">
            <w:pPr>
              <w:pStyle w:val="31"/>
              <w:bidi w:val="0"/>
              <w:rPr>
                <w:rFonts w:hint="eastAsia"/>
                <w:lang w:val="en-US" w:eastAsia="zh-CN"/>
              </w:rPr>
            </w:pPr>
            <w:r>
              <w:rPr>
                <w:rFonts w:hint="eastAsia"/>
                <w:lang w:val="en-US" w:eastAsia="zh-CN"/>
              </w:rPr>
              <w:t>总计</w:t>
            </w:r>
          </w:p>
        </w:tc>
        <w:tc>
          <w:tcPr>
            <w:tcW w:w="132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D185B2A">
            <w:pPr>
              <w:pStyle w:val="31"/>
              <w:bidi w:val="0"/>
              <w:rPr>
                <w:rFonts w:hint="eastAsia"/>
                <w:lang w:val="en-US" w:eastAsia="zh-CN"/>
              </w:rPr>
            </w:pPr>
            <w:r>
              <w:rPr>
                <w:rFonts w:hint="eastAsia"/>
                <w:lang w:val="en-US" w:eastAsia="zh-CN"/>
              </w:rPr>
              <w:t>36</w:t>
            </w:r>
          </w:p>
        </w:tc>
        <w:tc>
          <w:tcPr>
            <w:tcW w:w="127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CEDD750">
            <w:pPr>
              <w:pStyle w:val="31"/>
              <w:bidi w:val="0"/>
              <w:rPr>
                <w:rFonts w:hint="eastAsia"/>
                <w:lang w:val="en-US" w:eastAsia="zh-CN"/>
              </w:rPr>
            </w:pPr>
            <w:r>
              <w:rPr>
                <w:rFonts w:hint="eastAsia"/>
                <w:lang w:val="en-US" w:eastAsia="zh-CN"/>
              </w:rPr>
              <w:t>44</w:t>
            </w:r>
          </w:p>
        </w:tc>
        <w:tc>
          <w:tcPr>
            <w:tcW w:w="12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3B71491">
            <w:pPr>
              <w:pStyle w:val="31"/>
              <w:bidi w:val="0"/>
              <w:rPr>
                <w:rFonts w:hint="eastAsia"/>
                <w:lang w:val="en-US" w:eastAsia="zh-CN"/>
              </w:rPr>
            </w:pPr>
            <w:r>
              <w:rPr>
                <w:rFonts w:hint="eastAsia"/>
                <w:lang w:val="en-US" w:eastAsia="zh-CN"/>
              </w:rPr>
              <w:t>34</w:t>
            </w:r>
          </w:p>
        </w:tc>
        <w:tc>
          <w:tcPr>
            <w:tcW w:w="139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33EB8FD">
            <w:pPr>
              <w:pStyle w:val="31"/>
              <w:bidi w:val="0"/>
              <w:rPr>
                <w:rFonts w:hint="eastAsia"/>
                <w:lang w:val="en-US" w:eastAsia="zh-CN"/>
              </w:rPr>
            </w:pPr>
            <w:r>
              <w:rPr>
                <w:rFonts w:hint="eastAsia"/>
                <w:lang w:val="en-US" w:eastAsia="zh-CN"/>
              </w:rPr>
              <w:t>114</w:t>
            </w:r>
          </w:p>
        </w:tc>
      </w:tr>
    </w:tbl>
    <w:p w14:paraId="4E7E60B7">
      <w:pPr>
        <w:pStyle w:val="21"/>
        <w:rPr>
          <w:rFonts w:hint="default"/>
          <w:lang w:val="en-US" w:eastAsia="zh-CN"/>
        </w:rPr>
      </w:pPr>
    </w:p>
    <w:p w14:paraId="03E3E25D">
      <w:pPr>
        <w:pStyle w:val="21"/>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eastAsia"/>
          <w:lang w:val="en-US" w:eastAsia="zh-CN"/>
        </w:rPr>
      </w:pPr>
      <w:r>
        <w:rPr>
          <w:rFonts w:hint="eastAsia"/>
          <w:lang w:val="en-US" w:eastAsia="zh-CN"/>
        </w:rPr>
        <w:t>2、技术经济指标</w:t>
      </w:r>
    </w:p>
    <w:p w14:paraId="4F2E5E58">
      <w:pPr>
        <w:pStyle w:val="30"/>
        <w:bidi w:val="0"/>
        <w:rPr>
          <w:rFonts w:hint="default"/>
          <w:lang w:val="en-US" w:eastAsia="zh-CN"/>
        </w:rPr>
      </w:pPr>
      <w:r>
        <w:rPr>
          <w:rFonts w:hint="eastAsia"/>
          <w:lang w:val="en-US" w:eastAsia="zh-CN"/>
        </w:rPr>
        <w:t xml:space="preserve">表2.4-14  </w:t>
      </w:r>
      <w:r>
        <w:rPr>
          <w:rFonts w:hint="default"/>
          <w:lang w:val="en-US" w:eastAsia="zh-CN"/>
        </w:rPr>
        <w:t>主要技术经济指标详见</w:t>
      </w:r>
    </w:p>
    <w:tbl>
      <w:tblPr>
        <w:tblStyle w:val="24"/>
        <w:tblW w:w="4998"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108" w:type="dxa"/>
          <w:bottom w:w="0" w:type="dxa"/>
          <w:right w:w="108" w:type="dxa"/>
        </w:tblCellMar>
      </w:tblPr>
      <w:tblGrid>
        <w:gridCol w:w="1164"/>
        <w:gridCol w:w="3253"/>
        <w:gridCol w:w="1091"/>
        <w:gridCol w:w="2421"/>
        <w:gridCol w:w="1468"/>
      </w:tblGrid>
      <w:tr w14:paraId="525C59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02D197A3">
            <w:pPr>
              <w:pStyle w:val="31"/>
              <w:bidi w:val="0"/>
              <w:rPr>
                <w:rFonts w:hint="eastAsia"/>
                <w:lang w:val="en-US" w:eastAsia="zh-CN"/>
              </w:rPr>
            </w:pPr>
            <w:r>
              <w:rPr>
                <w:rFonts w:hint="eastAsia"/>
                <w:lang w:val="en-US" w:eastAsia="zh-CN"/>
              </w:rPr>
              <w:t>序号</w:t>
            </w:r>
          </w:p>
        </w:tc>
        <w:tc>
          <w:tcPr>
            <w:tcW w:w="1730" w:type="pct"/>
            <w:tcBorders>
              <w:tl2br w:val="nil"/>
              <w:tr2bl w:val="nil"/>
            </w:tcBorders>
            <w:shd w:val="clear" w:color="auto" w:fill="auto"/>
            <w:vAlign w:val="center"/>
          </w:tcPr>
          <w:p w14:paraId="7CB77F3A">
            <w:pPr>
              <w:pStyle w:val="31"/>
              <w:bidi w:val="0"/>
              <w:rPr>
                <w:rFonts w:hint="eastAsia"/>
                <w:lang w:val="en-US" w:eastAsia="zh-CN"/>
              </w:rPr>
            </w:pPr>
            <w:r>
              <w:rPr>
                <w:rFonts w:hint="eastAsia"/>
                <w:lang w:val="en-US" w:eastAsia="zh-CN"/>
              </w:rPr>
              <w:t>指标名称</w:t>
            </w:r>
          </w:p>
        </w:tc>
        <w:tc>
          <w:tcPr>
            <w:tcW w:w="580" w:type="pct"/>
            <w:tcBorders>
              <w:tl2br w:val="nil"/>
              <w:tr2bl w:val="nil"/>
            </w:tcBorders>
            <w:shd w:val="clear" w:color="auto" w:fill="auto"/>
            <w:vAlign w:val="center"/>
          </w:tcPr>
          <w:p w14:paraId="2CC7EBCB">
            <w:pPr>
              <w:pStyle w:val="31"/>
              <w:bidi w:val="0"/>
              <w:rPr>
                <w:rFonts w:hint="eastAsia"/>
                <w:lang w:val="en-US" w:eastAsia="zh-CN"/>
              </w:rPr>
            </w:pPr>
            <w:r>
              <w:rPr>
                <w:rFonts w:hint="eastAsia"/>
                <w:lang w:val="en-US" w:eastAsia="zh-CN"/>
              </w:rPr>
              <w:t>单位</w:t>
            </w:r>
          </w:p>
        </w:tc>
        <w:tc>
          <w:tcPr>
            <w:tcW w:w="1288" w:type="pct"/>
            <w:tcBorders>
              <w:tl2br w:val="nil"/>
              <w:tr2bl w:val="nil"/>
            </w:tcBorders>
            <w:shd w:val="clear" w:color="auto" w:fill="auto"/>
            <w:vAlign w:val="center"/>
          </w:tcPr>
          <w:p w14:paraId="1630BDA2">
            <w:pPr>
              <w:pStyle w:val="31"/>
              <w:bidi w:val="0"/>
              <w:rPr>
                <w:rFonts w:hint="eastAsia"/>
                <w:lang w:val="en-US" w:eastAsia="zh-CN"/>
              </w:rPr>
            </w:pPr>
            <w:r>
              <w:rPr>
                <w:rFonts w:hint="eastAsia"/>
                <w:lang w:val="en-US" w:eastAsia="zh-CN"/>
              </w:rPr>
              <w:t>指标</w:t>
            </w:r>
          </w:p>
        </w:tc>
        <w:tc>
          <w:tcPr>
            <w:tcW w:w="781" w:type="pct"/>
            <w:tcBorders>
              <w:tl2br w:val="nil"/>
              <w:tr2bl w:val="nil"/>
            </w:tcBorders>
            <w:shd w:val="clear" w:color="auto" w:fill="auto"/>
            <w:vAlign w:val="center"/>
          </w:tcPr>
          <w:p w14:paraId="68FC2A17">
            <w:pPr>
              <w:pStyle w:val="31"/>
              <w:bidi w:val="0"/>
              <w:rPr>
                <w:rFonts w:hint="eastAsia"/>
                <w:lang w:val="en-US" w:eastAsia="zh-CN"/>
              </w:rPr>
            </w:pPr>
            <w:r>
              <w:rPr>
                <w:rFonts w:hint="eastAsia"/>
                <w:lang w:val="en-US" w:eastAsia="zh-CN"/>
              </w:rPr>
              <w:t>备注</w:t>
            </w:r>
          </w:p>
        </w:tc>
      </w:tr>
      <w:tr w14:paraId="0FA181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7B6276E1">
            <w:pPr>
              <w:pStyle w:val="31"/>
              <w:bidi w:val="0"/>
              <w:rPr>
                <w:rFonts w:hint="eastAsia"/>
                <w:lang w:val="en-US" w:eastAsia="zh-CN"/>
              </w:rPr>
            </w:pPr>
            <w:r>
              <w:rPr>
                <w:rFonts w:hint="eastAsia"/>
                <w:lang w:val="en-US" w:eastAsia="zh-CN"/>
              </w:rPr>
              <w:t>1</w:t>
            </w:r>
          </w:p>
        </w:tc>
        <w:tc>
          <w:tcPr>
            <w:tcW w:w="1730" w:type="pct"/>
            <w:tcBorders>
              <w:tl2br w:val="nil"/>
              <w:tr2bl w:val="nil"/>
            </w:tcBorders>
            <w:shd w:val="clear" w:color="auto" w:fill="auto"/>
            <w:vAlign w:val="center"/>
          </w:tcPr>
          <w:p w14:paraId="1E3F47B8">
            <w:pPr>
              <w:pStyle w:val="31"/>
              <w:bidi w:val="0"/>
              <w:rPr>
                <w:rFonts w:hint="eastAsia"/>
                <w:lang w:val="en-US" w:eastAsia="zh-CN"/>
              </w:rPr>
            </w:pPr>
            <w:r>
              <w:rPr>
                <w:rFonts w:hint="eastAsia"/>
                <w:lang w:val="en-US" w:eastAsia="zh-CN"/>
              </w:rPr>
              <w:t>地质资源和储量</w:t>
            </w:r>
          </w:p>
        </w:tc>
        <w:tc>
          <w:tcPr>
            <w:tcW w:w="580" w:type="pct"/>
            <w:tcBorders>
              <w:tl2br w:val="nil"/>
              <w:tr2bl w:val="nil"/>
            </w:tcBorders>
            <w:shd w:val="clear" w:color="auto" w:fill="auto"/>
            <w:vAlign w:val="center"/>
          </w:tcPr>
          <w:p w14:paraId="1F7BFDF0">
            <w:pPr>
              <w:pStyle w:val="31"/>
              <w:bidi w:val="0"/>
              <w:rPr>
                <w:rFonts w:hint="eastAsia"/>
                <w:lang w:val="en-US" w:eastAsia="zh-CN"/>
              </w:rPr>
            </w:pPr>
          </w:p>
        </w:tc>
        <w:tc>
          <w:tcPr>
            <w:tcW w:w="1288" w:type="pct"/>
            <w:tcBorders>
              <w:tl2br w:val="nil"/>
              <w:tr2bl w:val="nil"/>
            </w:tcBorders>
            <w:shd w:val="clear" w:color="auto" w:fill="auto"/>
            <w:vAlign w:val="center"/>
          </w:tcPr>
          <w:p w14:paraId="53494CA2">
            <w:pPr>
              <w:pStyle w:val="31"/>
              <w:bidi w:val="0"/>
              <w:rPr>
                <w:rFonts w:hint="eastAsia"/>
                <w:lang w:val="en-US" w:eastAsia="zh-CN"/>
              </w:rPr>
            </w:pPr>
          </w:p>
        </w:tc>
        <w:tc>
          <w:tcPr>
            <w:tcW w:w="781" w:type="pct"/>
            <w:tcBorders>
              <w:tl2br w:val="nil"/>
              <w:tr2bl w:val="nil"/>
            </w:tcBorders>
            <w:shd w:val="clear" w:color="auto" w:fill="auto"/>
            <w:vAlign w:val="center"/>
          </w:tcPr>
          <w:p w14:paraId="3C829A7B">
            <w:pPr>
              <w:pStyle w:val="31"/>
              <w:bidi w:val="0"/>
              <w:rPr>
                <w:rFonts w:hint="eastAsia"/>
                <w:lang w:val="en-US" w:eastAsia="zh-CN"/>
              </w:rPr>
            </w:pPr>
          </w:p>
        </w:tc>
      </w:tr>
      <w:tr w14:paraId="188F49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543C3468">
            <w:pPr>
              <w:pStyle w:val="31"/>
              <w:bidi w:val="0"/>
              <w:rPr>
                <w:rFonts w:hint="eastAsia"/>
                <w:lang w:val="en-US" w:eastAsia="zh-CN"/>
              </w:rPr>
            </w:pPr>
            <w:r>
              <w:rPr>
                <w:rFonts w:hint="eastAsia"/>
                <w:lang w:val="en-US" w:eastAsia="zh-CN"/>
              </w:rPr>
              <w:t>1.1</w:t>
            </w:r>
          </w:p>
        </w:tc>
        <w:tc>
          <w:tcPr>
            <w:tcW w:w="1730" w:type="pct"/>
            <w:tcBorders>
              <w:tl2br w:val="nil"/>
              <w:tr2bl w:val="nil"/>
            </w:tcBorders>
            <w:shd w:val="clear" w:color="auto" w:fill="auto"/>
            <w:vAlign w:val="center"/>
          </w:tcPr>
          <w:p w14:paraId="28057BFA">
            <w:pPr>
              <w:pStyle w:val="31"/>
              <w:bidi w:val="0"/>
              <w:rPr>
                <w:rFonts w:hint="eastAsia"/>
                <w:lang w:val="en-US" w:eastAsia="zh-CN"/>
              </w:rPr>
            </w:pPr>
            <w:r>
              <w:rPr>
                <w:rFonts w:hint="eastAsia"/>
                <w:lang w:val="en-US" w:eastAsia="zh-CN"/>
              </w:rPr>
              <w:t>地质储量</w:t>
            </w:r>
          </w:p>
        </w:tc>
        <w:tc>
          <w:tcPr>
            <w:tcW w:w="580" w:type="pct"/>
            <w:tcBorders>
              <w:tl2br w:val="nil"/>
              <w:tr2bl w:val="nil"/>
            </w:tcBorders>
            <w:shd w:val="clear" w:color="auto" w:fill="auto"/>
            <w:vAlign w:val="center"/>
          </w:tcPr>
          <w:p w14:paraId="46F00B57">
            <w:pPr>
              <w:pStyle w:val="31"/>
              <w:bidi w:val="0"/>
              <w:rPr>
                <w:rFonts w:hint="eastAsia"/>
                <w:lang w:val="en-US" w:eastAsia="zh-CN"/>
              </w:rPr>
            </w:pPr>
          </w:p>
        </w:tc>
        <w:tc>
          <w:tcPr>
            <w:tcW w:w="1288" w:type="pct"/>
            <w:tcBorders>
              <w:tl2br w:val="nil"/>
              <w:tr2bl w:val="nil"/>
            </w:tcBorders>
            <w:shd w:val="clear" w:color="auto" w:fill="auto"/>
            <w:vAlign w:val="center"/>
          </w:tcPr>
          <w:p w14:paraId="4B8116BF">
            <w:pPr>
              <w:pStyle w:val="31"/>
              <w:bidi w:val="0"/>
              <w:rPr>
                <w:rFonts w:hint="eastAsia"/>
                <w:lang w:val="en-US" w:eastAsia="zh-CN"/>
              </w:rPr>
            </w:pPr>
          </w:p>
        </w:tc>
        <w:tc>
          <w:tcPr>
            <w:tcW w:w="781" w:type="pct"/>
            <w:tcBorders>
              <w:tl2br w:val="nil"/>
              <w:tr2bl w:val="nil"/>
            </w:tcBorders>
            <w:shd w:val="clear" w:color="auto" w:fill="auto"/>
            <w:vAlign w:val="center"/>
          </w:tcPr>
          <w:p w14:paraId="0B8D28FD">
            <w:pPr>
              <w:pStyle w:val="31"/>
              <w:bidi w:val="0"/>
              <w:rPr>
                <w:rFonts w:hint="eastAsia"/>
                <w:lang w:val="en-US" w:eastAsia="zh-CN"/>
              </w:rPr>
            </w:pPr>
          </w:p>
        </w:tc>
      </w:tr>
      <w:tr w14:paraId="2F6B43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28354B4E">
            <w:pPr>
              <w:pStyle w:val="31"/>
              <w:bidi w:val="0"/>
              <w:rPr>
                <w:rFonts w:hint="eastAsia"/>
                <w:lang w:val="en-US" w:eastAsia="zh-CN"/>
              </w:rPr>
            </w:pPr>
            <w:r>
              <w:rPr>
                <w:rFonts w:hint="eastAsia"/>
                <w:lang w:val="en-US" w:eastAsia="zh-CN"/>
              </w:rPr>
              <w:t>1.1.1</w:t>
            </w:r>
          </w:p>
        </w:tc>
        <w:tc>
          <w:tcPr>
            <w:tcW w:w="1730" w:type="pct"/>
            <w:tcBorders>
              <w:tl2br w:val="nil"/>
              <w:tr2bl w:val="nil"/>
            </w:tcBorders>
            <w:shd w:val="clear" w:color="auto" w:fill="auto"/>
            <w:vAlign w:val="center"/>
          </w:tcPr>
          <w:p w14:paraId="38564F4D">
            <w:pPr>
              <w:pStyle w:val="31"/>
              <w:bidi w:val="0"/>
              <w:rPr>
                <w:rFonts w:hint="eastAsia"/>
                <w:lang w:val="en-US" w:eastAsia="zh-CN"/>
              </w:rPr>
            </w:pPr>
            <w:r>
              <w:rPr>
                <w:rFonts w:hint="eastAsia"/>
                <w:lang w:val="en-US" w:eastAsia="zh-CN"/>
              </w:rPr>
              <w:t>矿石量</w:t>
            </w:r>
          </w:p>
        </w:tc>
        <w:tc>
          <w:tcPr>
            <w:tcW w:w="580" w:type="pct"/>
            <w:tcBorders>
              <w:tl2br w:val="nil"/>
              <w:tr2bl w:val="nil"/>
            </w:tcBorders>
            <w:shd w:val="clear" w:color="auto" w:fill="auto"/>
            <w:vAlign w:val="center"/>
          </w:tcPr>
          <w:p w14:paraId="540C83F1">
            <w:pPr>
              <w:pStyle w:val="31"/>
              <w:bidi w:val="0"/>
              <w:rPr>
                <w:rFonts w:hint="eastAsia"/>
                <w:lang w:val="en-US" w:eastAsia="zh-CN"/>
              </w:rPr>
            </w:pPr>
            <w:r>
              <w:rPr>
                <w:rFonts w:hint="eastAsia"/>
                <w:lang w:val="en-US" w:eastAsia="zh-CN"/>
              </w:rPr>
              <w:t>万t</w:t>
            </w:r>
          </w:p>
        </w:tc>
        <w:tc>
          <w:tcPr>
            <w:tcW w:w="1288" w:type="pct"/>
            <w:tcBorders>
              <w:tl2br w:val="nil"/>
              <w:tr2bl w:val="nil"/>
            </w:tcBorders>
            <w:shd w:val="clear" w:color="auto" w:fill="auto"/>
            <w:noWrap/>
            <w:vAlign w:val="center"/>
          </w:tcPr>
          <w:p w14:paraId="5FFF5E85">
            <w:pPr>
              <w:pStyle w:val="31"/>
              <w:bidi w:val="0"/>
              <w:rPr>
                <w:rFonts w:hint="eastAsia"/>
                <w:lang w:val="en-US" w:eastAsia="zh-CN"/>
              </w:rPr>
            </w:pPr>
            <w:r>
              <w:rPr>
                <w:rFonts w:hint="eastAsia"/>
                <w:lang w:val="en-US" w:eastAsia="zh-CN"/>
              </w:rPr>
              <w:t>1499.46</w:t>
            </w:r>
          </w:p>
        </w:tc>
        <w:tc>
          <w:tcPr>
            <w:tcW w:w="781" w:type="pct"/>
            <w:tcBorders>
              <w:tl2br w:val="nil"/>
              <w:tr2bl w:val="nil"/>
            </w:tcBorders>
            <w:shd w:val="clear" w:color="auto" w:fill="auto"/>
            <w:vAlign w:val="center"/>
          </w:tcPr>
          <w:p w14:paraId="02D941B3">
            <w:pPr>
              <w:pStyle w:val="31"/>
              <w:bidi w:val="0"/>
              <w:rPr>
                <w:rFonts w:hint="eastAsia"/>
                <w:lang w:val="en-US" w:eastAsia="zh-CN"/>
              </w:rPr>
            </w:pPr>
          </w:p>
        </w:tc>
      </w:tr>
      <w:tr w14:paraId="536A8C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63927798">
            <w:pPr>
              <w:pStyle w:val="31"/>
              <w:bidi w:val="0"/>
              <w:rPr>
                <w:rFonts w:hint="eastAsia"/>
                <w:lang w:val="en-US" w:eastAsia="zh-CN"/>
              </w:rPr>
            </w:pPr>
            <w:r>
              <w:rPr>
                <w:rFonts w:hint="eastAsia"/>
                <w:lang w:val="en-US" w:eastAsia="zh-CN"/>
              </w:rPr>
              <w:t>1.1.2</w:t>
            </w:r>
          </w:p>
        </w:tc>
        <w:tc>
          <w:tcPr>
            <w:tcW w:w="1730" w:type="pct"/>
            <w:tcBorders>
              <w:tl2br w:val="nil"/>
              <w:tr2bl w:val="nil"/>
            </w:tcBorders>
            <w:shd w:val="clear" w:color="auto" w:fill="auto"/>
            <w:vAlign w:val="center"/>
          </w:tcPr>
          <w:p w14:paraId="277DE35E">
            <w:pPr>
              <w:pStyle w:val="31"/>
              <w:bidi w:val="0"/>
              <w:rPr>
                <w:rFonts w:hint="eastAsia"/>
                <w:lang w:val="en-US" w:eastAsia="zh-CN"/>
              </w:rPr>
            </w:pPr>
            <w:r>
              <w:rPr>
                <w:rFonts w:hint="eastAsia"/>
                <w:lang w:val="en-US" w:eastAsia="zh-CN"/>
              </w:rPr>
              <w:t>品位（mFe）</w:t>
            </w:r>
          </w:p>
        </w:tc>
        <w:tc>
          <w:tcPr>
            <w:tcW w:w="580" w:type="pct"/>
            <w:tcBorders>
              <w:tl2br w:val="nil"/>
              <w:tr2bl w:val="nil"/>
            </w:tcBorders>
            <w:shd w:val="clear" w:color="auto" w:fill="auto"/>
            <w:vAlign w:val="center"/>
          </w:tcPr>
          <w:p w14:paraId="1CE7F0C3">
            <w:pPr>
              <w:pStyle w:val="31"/>
              <w:bidi w:val="0"/>
              <w:rPr>
                <w:rFonts w:hint="eastAsia"/>
                <w:lang w:val="en-US" w:eastAsia="zh-CN"/>
              </w:rPr>
            </w:pPr>
            <w:r>
              <w:rPr>
                <w:rFonts w:hint="eastAsia"/>
                <w:lang w:val="en-US" w:eastAsia="zh-CN"/>
              </w:rPr>
              <w:t>％</w:t>
            </w:r>
          </w:p>
        </w:tc>
        <w:tc>
          <w:tcPr>
            <w:tcW w:w="1288" w:type="pct"/>
            <w:tcBorders>
              <w:tl2br w:val="nil"/>
              <w:tr2bl w:val="nil"/>
            </w:tcBorders>
            <w:shd w:val="clear" w:color="auto" w:fill="auto"/>
            <w:noWrap/>
            <w:vAlign w:val="center"/>
          </w:tcPr>
          <w:p w14:paraId="5300601C">
            <w:pPr>
              <w:pStyle w:val="31"/>
              <w:bidi w:val="0"/>
              <w:rPr>
                <w:rFonts w:hint="eastAsia"/>
                <w:lang w:val="en-US" w:eastAsia="zh-CN"/>
              </w:rPr>
            </w:pPr>
            <w:r>
              <w:rPr>
                <w:rFonts w:hint="eastAsia"/>
                <w:lang w:val="en-US" w:eastAsia="zh-CN"/>
              </w:rPr>
              <w:t>23.81%</w:t>
            </w:r>
          </w:p>
        </w:tc>
        <w:tc>
          <w:tcPr>
            <w:tcW w:w="781" w:type="pct"/>
            <w:tcBorders>
              <w:tl2br w:val="nil"/>
              <w:tr2bl w:val="nil"/>
            </w:tcBorders>
            <w:shd w:val="clear" w:color="auto" w:fill="auto"/>
            <w:vAlign w:val="center"/>
          </w:tcPr>
          <w:p w14:paraId="61E28C63">
            <w:pPr>
              <w:pStyle w:val="31"/>
              <w:bidi w:val="0"/>
              <w:rPr>
                <w:rFonts w:hint="eastAsia"/>
                <w:lang w:val="en-US" w:eastAsia="zh-CN"/>
              </w:rPr>
            </w:pPr>
          </w:p>
        </w:tc>
      </w:tr>
      <w:tr w14:paraId="66E395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346774BC">
            <w:pPr>
              <w:pStyle w:val="31"/>
              <w:bidi w:val="0"/>
              <w:rPr>
                <w:rFonts w:hint="eastAsia"/>
                <w:lang w:val="en-US" w:eastAsia="zh-CN"/>
              </w:rPr>
            </w:pPr>
            <w:r>
              <w:rPr>
                <w:rFonts w:hint="eastAsia"/>
                <w:lang w:val="en-US" w:eastAsia="zh-CN"/>
              </w:rPr>
              <w:t>2</w:t>
            </w:r>
          </w:p>
        </w:tc>
        <w:tc>
          <w:tcPr>
            <w:tcW w:w="1730" w:type="pct"/>
            <w:tcBorders>
              <w:tl2br w:val="nil"/>
              <w:tr2bl w:val="nil"/>
            </w:tcBorders>
            <w:shd w:val="clear" w:color="auto" w:fill="auto"/>
            <w:vAlign w:val="center"/>
          </w:tcPr>
          <w:p w14:paraId="1AF3B6E9">
            <w:pPr>
              <w:pStyle w:val="31"/>
              <w:bidi w:val="0"/>
              <w:rPr>
                <w:rFonts w:hint="eastAsia"/>
                <w:lang w:val="en-US" w:eastAsia="zh-CN"/>
              </w:rPr>
            </w:pPr>
            <w:r>
              <w:rPr>
                <w:rFonts w:hint="eastAsia"/>
                <w:lang w:val="en-US" w:eastAsia="zh-CN"/>
              </w:rPr>
              <w:t>采矿</w:t>
            </w:r>
          </w:p>
        </w:tc>
        <w:tc>
          <w:tcPr>
            <w:tcW w:w="580" w:type="pct"/>
            <w:tcBorders>
              <w:tl2br w:val="nil"/>
              <w:tr2bl w:val="nil"/>
            </w:tcBorders>
            <w:shd w:val="clear" w:color="auto" w:fill="auto"/>
            <w:vAlign w:val="center"/>
          </w:tcPr>
          <w:p w14:paraId="6424878E">
            <w:pPr>
              <w:pStyle w:val="31"/>
              <w:bidi w:val="0"/>
              <w:rPr>
                <w:rFonts w:hint="eastAsia"/>
                <w:lang w:val="en-US" w:eastAsia="zh-CN"/>
              </w:rPr>
            </w:pPr>
          </w:p>
        </w:tc>
        <w:tc>
          <w:tcPr>
            <w:tcW w:w="1288" w:type="pct"/>
            <w:tcBorders>
              <w:tl2br w:val="nil"/>
              <w:tr2bl w:val="nil"/>
            </w:tcBorders>
            <w:shd w:val="clear" w:color="auto" w:fill="auto"/>
            <w:vAlign w:val="center"/>
          </w:tcPr>
          <w:p w14:paraId="509375B7">
            <w:pPr>
              <w:pStyle w:val="31"/>
              <w:bidi w:val="0"/>
              <w:rPr>
                <w:rFonts w:hint="eastAsia"/>
                <w:lang w:val="en-US" w:eastAsia="zh-CN"/>
              </w:rPr>
            </w:pPr>
          </w:p>
        </w:tc>
        <w:tc>
          <w:tcPr>
            <w:tcW w:w="781" w:type="pct"/>
            <w:tcBorders>
              <w:tl2br w:val="nil"/>
              <w:tr2bl w:val="nil"/>
            </w:tcBorders>
            <w:shd w:val="clear" w:color="auto" w:fill="auto"/>
            <w:vAlign w:val="center"/>
          </w:tcPr>
          <w:p w14:paraId="577F6B5E">
            <w:pPr>
              <w:pStyle w:val="31"/>
              <w:bidi w:val="0"/>
              <w:rPr>
                <w:rFonts w:hint="eastAsia"/>
                <w:lang w:val="en-US" w:eastAsia="zh-CN"/>
              </w:rPr>
            </w:pPr>
          </w:p>
        </w:tc>
      </w:tr>
      <w:tr w14:paraId="695A0B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53259EB4">
            <w:pPr>
              <w:pStyle w:val="31"/>
              <w:bidi w:val="0"/>
              <w:rPr>
                <w:rFonts w:hint="eastAsia"/>
                <w:lang w:val="en-US" w:eastAsia="zh-CN"/>
              </w:rPr>
            </w:pPr>
            <w:r>
              <w:rPr>
                <w:rFonts w:hint="eastAsia"/>
                <w:lang w:val="en-US" w:eastAsia="zh-CN"/>
              </w:rPr>
              <w:t>2.1</w:t>
            </w:r>
          </w:p>
        </w:tc>
        <w:tc>
          <w:tcPr>
            <w:tcW w:w="1730" w:type="pct"/>
            <w:tcBorders>
              <w:tl2br w:val="nil"/>
              <w:tr2bl w:val="nil"/>
            </w:tcBorders>
            <w:shd w:val="clear" w:color="auto" w:fill="auto"/>
            <w:noWrap/>
            <w:vAlign w:val="center"/>
          </w:tcPr>
          <w:p w14:paraId="15D8ADA8">
            <w:pPr>
              <w:pStyle w:val="31"/>
              <w:bidi w:val="0"/>
              <w:rPr>
                <w:rFonts w:hint="eastAsia"/>
                <w:lang w:val="en-US" w:eastAsia="zh-CN"/>
              </w:rPr>
            </w:pPr>
            <w:r>
              <w:rPr>
                <w:rFonts w:hint="eastAsia"/>
                <w:lang w:val="en-US" w:eastAsia="zh-CN"/>
              </w:rPr>
              <w:t>设计利用储量</w:t>
            </w:r>
          </w:p>
        </w:tc>
        <w:tc>
          <w:tcPr>
            <w:tcW w:w="580" w:type="pct"/>
            <w:tcBorders>
              <w:tl2br w:val="nil"/>
              <w:tr2bl w:val="nil"/>
            </w:tcBorders>
            <w:shd w:val="clear" w:color="auto" w:fill="auto"/>
            <w:noWrap/>
            <w:vAlign w:val="center"/>
          </w:tcPr>
          <w:p w14:paraId="04A05FF1">
            <w:pPr>
              <w:pStyle w:val="31"/>
              <w:bidi w:val="0"/>
              <w:rPr>
                <w:rFonts w:hint="eastAsia"/>
                <w:lang w:val="en-US" w:eastAsia="zh-CN"/>
              </w:rPr>
            </w:pPr>
          </w:p>
        </w:tc>
        <w:tc>
          <w:tcPr>
            <w:tcW w:w="1288" w:type="pct"/>
            <w:tcBorders>
              <w:tl2br w:val="nil"/>
              <w:tr2bl w:val="nil"/>
            </w:tcBorders>
            <w:shd w:val="clear" w:color="auto" w:fill="auto"/>
            <w:noWrap/>
            <w:vAlign w:val="center"/>
          </w:tcPr>
          <w:p w14:paraId="2879BE8F">
            <w:pPr>
              <w:pStyle w:val="31"/>
              <w:bidi w:val="0"/>
              <w:rPr>
                <w:rFonts w:hint="eastAsia"/>
                <w:lang w:val="en-US" w:eastAsia="zh-CN"/>
              </w:rPr>
            </w:pPr>
          </w:p>
        </w:tc>
        <w:tc>
          <w:tcPr>
            <w:tcW w:w="781" w:type="pct"/>
            <w:tcBorders>
              <w:tl2br w:val="nil"/>
              <w:tr2bl w:val="nil"/>
            </w:tcBorders>
            <w:shd w:val="clear" w:color="auto" w:fill="auto"/>
            <w:vAlign w:val="center"/>
          </w:tcPr>
          <w:p w14:paraId="122500C8">
            <w:pPr>
              <w:pStyle w:val="31"/>
              <w:bidi w:val="0"/>
              <w:rPr>
                <w:rFonts w:hint="eastAsia"/>
                <w:lang w:val="en-US" w:eastAsia="zh-CN"/>
              </w:rPr>
            </w:pPr>
          </w:p>
        </w:tc>
      </w:tr>
      <w:tr w14:paraId="0B2B21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13A8E7A0">
            <w:pPr>
              <w:pStyle w:val="31"/>
              <w:bidi w:val="0"/>
              <w:rPr>
                <w:rFonts w:hint="eastAsia"/>
                <w:lang w:val="en-US" w:eastAsia="zh-CN"/>
              </w:rPr>
            </w:pPr>
            <w:r>
              <w:rPr>
                <w:rFonts w:hint="eastAsia"/>
                <w:lang w:val="en-US" w:eastAsia="zh-CN"/>
              </w:rPr>
              <w:t>2.1.1</w:t>
            </w:r>
          </w:p>
        </w:tc>
        <w:tc>
          <w:tcPr>
            <w:tcW w:w="1730" w:type="pct"/>
            <w:tcBorders>
              <w:tl2br w:val="nil"/>
              <w:tr2bl w:val="nil"/>
            </w:tcBorders>
            <w:shd w:val="clear" w:color="auto" w:fill="auto"/>
            <w:vAlign w:val="center"/>
          </w:tcPr>
          <w:p w14:paraId="2805C4E3">
            <w:pPr>
              <w:pStyle w:val="31"/>
              <w:bidi w:val="0"/>
              <w:rPr>
                <w:rFonts w:hint="eastAsia"/>
                <w:lang w:val="en-US" w:eastAsia="zh-CN"/>
              </w:rPr>
            </w:pPr>
            <w:r>
              <w:rPr>
                <w:rFonts w:hint="eastAsia"/>
                <w:lang w:val="en-US" w:eastAsia="zh-CN"/>
              </w:rPr>
              <w:t>矿石量</w:t>
            </w:r>
          </w:p>
        </w:tc>
        <w:tc>
          <w:tcPr>
            <w:tcW w:w="580" w:type="pct"/>
            <w:tcBorders>
              <w:tl2br w:val="nil"/>
              <w:tr2bl w:val="nil"/>
            </w:tcBorders>
            <w:shd w:val="clear" w:color="auto" w:fill="auto"/>
            <w:vAlign w:val="center"/>
          </w:tcPr>
          <w:p w14:paraId="0DE3752C">
            <w:pPr>
              <w:pStyle w:val="31"/>
              <w:bidi w:val="0"/>
              <w:rPr>
                <w:rFonts w:hint="eastAsia"/>
                <w:lang w:val="en-US" w:eastAsia="zh-CN"/>
              </w:rPr>
            </w:pPr>
            <w:r>
              <w:rPr>
                <w:rFonts w:hint="eastAsia"/>
                <w:lang w:val="en-US" w:eastAsia="zh-CN"/>
              </w:rPr>
              <w:t>万t</w:t>
            </w:r>
          </w:p>
        </w:tc>
        <w:tc>
          <w:tcPr>
            <w:tcW w:w="1288" w:type="pct"/>
            <w:tcBorders>
              <w:tl2br w:val="nil"/>
              <w:tr2bl w:val="nil"/>
            </w:tcBorders>
            <w:shd w:val="clear" w:color="auto" w:fill="auto"/>
            <w:noWrap/>
            <w:vAlign w:val="bottom"/>
          </w:tcPr>
          <w:p w14:paraId="738E4A24">
            <w:pPr>
              <w:pStyle w:val="31"/>
              <w:bidi w:val="0"/>
              <w:rPr>
                <w:rFonts w:hint="eastAsia"/>
                <w:lang w:val="en-US" w:eastAsia="zh-CN"/>
              </w:rPr>
            </w:pPr>
            <w:r>
              <w:rPr>
                <w:rFonts w:hint="eastAsia"/>
                <w:lang w:val="en-US" w:eastAsia="zh-CN"/>
              </w:rPr>
              <w:t>1454.14</w:t>
            </w:r>
          </w:p>
        </w:tc>
        <w:tc>
          <w:tcPr>
            <w:tcW w:w="781" w:type="pct"/>
            <w:tcBorders>
              <w:tl2br w:val="nil"/>
              <w:tr2bl w:val="nil"/>
            </w:tcBorders>
            <w:shd w:val="clear" w:color="auto" w:fill="auto"/>
            <w:vAlign w:val="center"/>
          </w:tcPr>
          <w:p w14:paraId="30E207F8">
            <w:pPr>
              <w:pStyle w:val="31"/>
              <w:bidi w:val="0"/>
              <w:rPr>
                <w:rFonts w:hint="eastAsia"/>
                <w:lang w:val="en-US" w:eastAsia="zh-CN"/>
              </w:rPr>
            </w:pPr>
          </w:p>
        </w:tc>
      </w:tr>
      <w:tr w14:paraId="298FFB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3F984ED3">
            <w:pPr>
              <w:pStyle w:val="31"/>
              <w:bidi w:val="0"/>
              <w:rPr>
                <w:rFonts w:hint="eastAsia"/>
                <w:lang w:val="en-US" w:eastAsia="zh-CN"/>
              </w:rPr>
            </w:pPr>
            <w:r>
              <w:rPr>
                <w:rFonts w:hint="eastAsia"/>
                <w:lang w:val="en-US" w:eastAsia="zh-CN"/>
              </w:rPr>
              <w:t>2.1.2</w:t>
            </w:r>
          </w:p>
        </w:tc>
        <w:tc>
          <w:tcPr>
            <w:tcW w:w="1730" w:type="pct"/>
            <w:tcBorders>
              <w:tl2br w:val="nil"/>
              <w:tr2bl w:val="nil"/>
            </w:tcBorders>
            <w:shd w:val="clear" w:color="auto" w:fill="auto"/>
            <w:vAlign w:val="center"/>
          </w:tcPr>
          <w:p w14:paraId="76D9F9FA">
            <w:pPr>
              <w:pStyle w:val="31"/>
              <w:bidi w:val="0"/>
              <w:rPr>
                <w:rFonts w:hint="eastAsia"/>
                <w:lang w:val="en-US" w:eastAsia="zh-CN"/>
              </w:rPr>
            </w:pPr>
            <w:r>
              <w:rPr>
                <w:rFonts w:hint="eastAsia"/>
                <w:lang w:val="en-US" w:eastAsia="zh-CN"/>
              </w:rPr>
              <w:t>品位（mFe）</w:t>
            </w:r>
          </w:p>
        </w:tc>
        <w:tc>
          <w:tcPr>
            <w:tcW w:w="580" w:type="pct"/>
            <w:tcBorders>
              <w:tl2br w:val="nil"/>
              <w:tr2bl w:val="nil"/>
            </w:tcBorders>
            <w:shd w:val="clear" w:color="auto" w:fill="auto"/>
            <w:vAlign w:val="center"/>
          </w:tcPr>
          <w:p w14:paraId="240045BA">
            <w:pPr>
              <w:pStyle w:val="31"/>
              <w:bidi w:val="0"/>
              <w:rPr>
                <w:rFonts w:hint="eastAsia"/>
                <w:lang w:val="en-US" w:eastAsia="zh-CN"/>
              </w:rPr>
            </w:pPr>
            <w:r>
              <w:rPr>
                <w:rFonts w:hint="eastAsia"/>
                <w:lang w:val="en-US" w:eastAsia="zh-CN"/>
              </w:rPr>
              <w:t>％</w:t>
            </w:r>
          </w:p>
        </w:tc>
        <w:tc>
          <w:tcPr>
            <w:tcW w:w="1288" w:type="pct"/>
            <w:tcBorders>
              <w:tl2br w:val="nil"/>
              <w:tr2bl w:val="nil"/>
            </w:tcBorders>
            <w:shd w:val="clear" w:color="auto" w:fill="auto"/>
            <w:noWrap/>
            <w:vAlign w:val="center"/>
          </w:tcPr>
          <w:p w14:paraId="58F2D4AA">
            <w:pPr>
              <w:pStyle w:val="31"/>
              <w:bidi w:val="0"/>
              <w:rPr>
                <w:rFonts w:hint="eastAsia"/>
                <w:lang w:val="en-US" w:eastAsia="zh-CN"/>
              </w:rPr>
            </w:pPr>
            <w:r>
              <w:rPr>
                <w:rFonts w:hint="eastAsia"/>
                <w:lang w:val="en-US" w:eastAsia="zh-CN"/>
              </w:rPr>
              <w:t>23.81%</w:t>
            </w:r>
          </w:p>
        </w:tc>
        <w:tc>
          <w:tcPr>
            <w:tcW w:w="781" w:type="pct"/>
            <w:tcBorders>
              <w:tl2br w:val="nil"/>
              <w:tr2bl w:val="nil"/>
            </w:tcBorders>
            <w:shd w:val="clear" w:color="auto" w:fill="auto"/>
            <w:vAlign w:val="center"/>
          </w:tcPr>
          <w:p w14:paraId="036A2EB0">
            <w:pPr>
              <w:pStyle w:val="31"/>
              <w:bidi w:val="0"/>
              <w:rPr>
                <w:rFonts w:hint="eastAsia"/>
                <w:lang w:val="en-US" w:eastAsia="zh-CN"/>
              </w:rPr>
            </w:pPr>
          </w:p>
        </w:tc>
      </w:tr>
      <w:tr w14:paraId="6DE84B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05B05E82">
            <w:pPr>
              <w:pStyle w:val="31"/>
              <w:bidi w:val="0"/>
              <w:rPr>
                <w:rFonts w:hint="eastAsia"/>
                <w:lang w:val="en-US" w:eastAsia="zh-CN"/>
              </w:rPr>
            </w:pPr>
            <w:r>
              <w:rPr>
                <w:rFonts w:hint="eastAsia"/>
                <w:lang w:val="en-US" w:eastAsia="zh-CN"/>
              </w:rPr>
              <w:t>2.2</w:t>
            </w:r>
          </w:p>
        </w:tc>
        <w:tc>
          <w:tcPr>
            <w:tcW w:w="1730" w:type="pct"/>
            <w:tcBorders>
              <w:tl2br w:val="nil"/>
              <w:tr2bl w:val="nil"/>
            </w:tcBorders>
            <w:shd w:val="clear" w:color="auto" w:fill="auto"/>
            <w:vAlign w:val="center"/>
          </w:tcPr>
          <w:p w14:paraId="174F9F83">
            <w:pPr>
              <w:pStyle w:val="31"/>
              <w:bidi w:val="0"/>
              <w:rPr>
                <w:rFonts w:hint="eastAsia"/>
                <w:lang w:val="en-US" w:eastAsia="zh-CN"/>
              </w:rPr>
            </w:pPr>
            <w:r>
              <w:rPr>
                <w:rFonts w:hint="eastAsia"/>
                <w:lang w:val="en-US" w:eastAsia="zh-CN"/>
              </w:rPr>
              <w:t>矿石生产能力</w:t>
            </w:r>
          </w:p>
        </w:tc>
        <w:tc>
          <w:tcPr>
            <w:tcW w:w="580" w:type="pct"/>
            <w:tcBorders>
              <w:tl2br w:val="nil"/>
              <w:tr2bl w:val="nil"/>
            </w:tcBorders>
            <w:shd w:val="clear" w:color="auto" w:fill="auto"/>
            <w:vAlign w:val="center"/>
          </w:tcPr>
          <w:p w14:paraId="41E26085">
            <w:pPr>
              <w:pStyle w:val="31"/>
              <w:bidi w:val="0"/>
              <w:rPr>
                <w:rFonts w:hint="eastAsia"/>
                <w:lang w:val="en-US" w:eastAsia="zh-CN"/>
              </w:rPr>
            </w:pPr>
            <w:r>
              <w:rPr>
                <w:rFonts w:hint="eastAsia"/>
                <w:lang w:val="en-US" w:eastAsia="zh-CN"/>
              </w:rPr>
              <w:t>万t/a</w:t>
            </w:r>
          </w:p>
        </w:tc>
        <w:tc>
          <w:tcPr>
            <w:tcW w:w="1288" w:type="pct"/>
            <w:tcBorders>
              <w:tl2br w:val="nil"/>
              <w:tr2bl w:val="nil"/>
            </w:tcBorders>
            <w:shd w:val="clear" w:color="auto" w:fill="auto"/>
            <w:vAlign w:val="center"/>
          </w:tcPr>
          <w:p w14:paraId="3A253BB5">
            <w:pPr>
              <w:pStyle w:val="31"/>
              <w:bidi w:val="0"/>
              <w:rPr>
                <w:rFonts w:hint="eastAsia"/>
                <w:lang w:val="en-US" w:eastAsia="zh-CN"/>
              </w:rPr>
            </w:pPr>
            <w:r>
              <w:rPr>
                <w:rFonts w:hint="eastAsia"/>
                <w:lang w:val="en-US" w:eastAsia="zh-CN"/>
              </w:rPr>
              <w:t xml:space="preserve">60.0 </w:t>
            </w:r>
          </w:p>
        </w:tc>
        <w:tc>
          <w:tcPr>
            <w:tcW w:w="781" w:type="pct"/>
            <w:tcBorders>
              <w:tl2br w:val="nil"/>
              <w:tr2bl w:val="nil"/>
            </w:tcBorders>
            <w:shd w:val="clear" w:color="auto" w:fill="auto"/>
            <w:vAlign w:val="center"/>
          </w:tcPr>
          <w:p w14:paraId="02790587">
            <w:pPr>
              <w:pStyle w:val="31"/>
              <w:bidi w:val="0"/>
              <w:rPr>
                <w:rFonts w:hint="eastAsia"/>
                <w:lang w:val="en-US" w:eastAsia="zh-CN"/>
              </w:rPr>
            </w:pPr>
          </w:p>
        </w:tc>
      </w:tr>
      <w:tr w14:paraId="36C0F3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4F802DDD">
            <w:pPr>
              <w:pStyle w:val="31"/>
              <w:bidi w:val="0"/>
              <w:rPr>
                <w:rFonts w:hint="eastAsia"/>
                <w:lang w:val="en-US" w:eastAsia="zh-CN"/>
              </w:rPr>
            </w:pPr>
            <w:r>
              <w:rPr>
                <w:rFonts w:hint="eastAsia"/>
                <w:lang w:val="en-US" w:eastAsia="zh-CN"/>
              </w:rPr>
              <w:t>2.3</w:t>
            </w:r>
          </w:p>
        </w:tc>
        <w:tc>
          <w:tcPr>
            <w:tcW w:w="1730" w:type="pct"/>
            <w:tcBorders>
              <w:tl2br w:val="nil"/>
              <w:tr2bl w:val="nil"/>
            </w:tcBorders>
            <w:shd w:val="clear" w:color="auto" w:fill="auto"/>
            <w:vAlign w:val="center"/>
          </w:tcPr>
          <w:p w14:paraId="19DE991B">
            <w:pPr>
              <w:pStyle w:val="31"/>
              <w:bidi w:val="0"/>
              <w:rPr>
                <w:rFonts w:hint="eastAsia"/>
                <w:lang w:val="en-US" w:eastAsia="zh-CN"/>
              </w:rPr>
            </w:pPr>
            <w:r>
              <w:rPr>
                <w:rFonts w:hint="eastAsia"/>
                <w:lang w:val="en-US" w:eastAsia="zh-CN"/>
              </w:rPr>
              <w:t>基建时间</w:t>
            </w:r>
          </w:p>
        </w:tc>
        <w:tc>
          <w:tcPr>
            <w:tcW w:w="580" w:type="pct"/>
            <w:tcBorders>
              <w:tl2br w:val="nil"/>
              <w:tr2bl w:val="nil"/>
            </w:tcBorders>
            <w:shd w:val="clear" w:color="auto" w:fill="auto"/>
            <w:vAlign w:val="center"/>
          </w:tcPr>
          <w:p w14:paraId="20A363E1">
            <w:pPr>
              <w:pStyle w:val="31"/>
              <w:bidi w:val="0"/>
              <w:rPr>
                <w:rFonts w:hint="eastAsia"/>
                <w:lang w:val="en-US" w:eastAsia="zh-CN"/>
              </w:rPr>
            </w:pPr>
            <w:r>
              <w:rPr>
                <w:rFonts w:hint="eastAsia"/>
                <w:lang w:val="en-US" w:eastAsia="zh-CN"/>
              </w:rPr>
              <w:t>a</w:t>
            </w:r>
          </w:p>
        </w:tc>
        <w:tc>
          <w:tcPr>
            <w:tcW w:w="2195" w:type="dxa"/>
            <w:tcBorders>
              <w:tl2br w:val="nil"/>
              <w:tr2bl w:val="nil"/>
            </w:tcBorders>
            <w:shd w:val="clear" w:color="auto" w:fill="auto"/>
            <w:vAlign w:val="center"/>
          </w:tcPr>
          <w:p w14:paraId="47BCE71E">
            <w:pPr>
              <w:pStyle w:val="31"/>
              <w:bidi w:val="0"/>
              <w:rPr>
                <w:rFonts w:hint="eastAsia"/>
                <w:lang w:val="en-US" w:eastAsia="zh-CN"/>
              </w:rPr>
            </w:pPr>
            <w:r>
              <w:rPr>
                <w:rFonts w:hint="eastAsia"/>
                <w:lang w:val="en-US" w:eastAsia="zh-CN"/>
              </w:rPr>
              <w:t xml:space="preserve">2.8 </w:t>
            </w:r>
          </w:p>
        </w:tc>
        <w:tc>
          <w:tcPr>
            <w:tcW w:w="781" w:type="pct"/>
            <w:tcBorders>
              <w:tl2br w:val="nil"/>
              <w:tr2bl w:val="nil"/>
            </w:tcBorders>
            <w:shd w:val="clear" w:color="auto" w:fill="auto"/>
            <w:vAlign w:val="center"/>
          </w:tcPr>
          <w:p w14:paraId="16190A76">
            <w:pPr>
              <w:pStyle w:val="31"/>
              <w:bidi w:val="0"/>
              <w:rPr>
                <w:rFonts w:hint="eastAsia"/>
                <w:lang w:val="en-US" w:eastAsia="zh-CN"/>
              </w:rPr>
            </w:pPr>
          </w:p>
        </w:tc>
      </w:tr>
      <w:tr w14:paraId="5C9A8F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7A1B7F7B">
            <w:pPr>
              <w:pStyle w:val="31"/>
              <w:bidi w:val="0"/>
              <w:rPr>
                <w:rFonts w:hint="eastAsia"/>
                <w:lang w:val="en-US" w:eastAsia="zh-CN"/>
              </w:rPr>
            </w:pPr>
            <w:r>
              <w:rPr>
                <w:rFonts w:hint="eastAsia"/>
                <w:lang w:val="en-US" w:eastAsia="zh-CN"/>
              </w:rPr>
              <w:t>2.4</w:t>
            </w:r>
          </w:p>
        </w:tc>
        <w:tc>
          <w:tcPr>
            <w:tcW w:w="1730" w:type="pct"/>
            <w:tcBorders>
              <w:tl2br w:val="nil"/>
              <w:tr2bl w:val="nil"/>
            </w:tcBorders>
            <w:shd w:val="clear" w:color="auto" w:fill="auto"/>
            <w:vAlign w:val="center"/>
          </w:tcPr>
          <w:p w14:paraId="35C2048E">
            <w:pPr>
              <w:pStyle w:val="31"/>
              <w:bidi w:val="0"/>
              <w:rPr>
                <w:rFonts w:hint="eastAsia"/>
                <w:lang w:val="en-US" w:eastAsia="zh-CN"/>
              </w:rPr>
            </w:pPr>
            <w:r>
              <w:rPr>
                <w:rFonts w:hint="eastAsia"/>
                <w:lang w:val="en-US" w:eastAsia="zh-CN"/>
              </w:rPr>
              <w:t>运营期(不含基建)</w:t>
            </w:r>
          </w:p>
        </w:tc>
        <w:tc>
          <w:tcPr>
            <w:tcW w:w="580" w:type="pct"/>
            <w:tcBorders>
              <w:tl2br w:val="nil"/>
              <w:tr2bl w:val="nil"/>
            </w:tcBorders>
            <w:shd w:val="clear" w:color="auto" w:fill="auto"/>
            <w:vAlign w:val="center"/>
          </w:tcPr>
          <w:p w14:paraId="7C8A3101">
            <w:pPr>
              <w:pStyle w:val="31"/>
              <w:bidi w:val="0"/>
              <w:rPr>
                <w:rFonts w:hint="eastAsia"/>
                <w:lang w:val="en-US" w:eastAsia="zh-CN"/>
              </w:rPr>
            </w:pPr>
            <w:r>
              <w:rPr>
                <w:rFonts w:hint="eastAsia"/>
                <w:lang w:val="en-US" w:eastAsia="zh-CN"/>
              </w:rPr>
              <w:t>a</w:t>
            </w:r>
          </w:p>
        </w:tc>
        <w:tc>
          <w:tcPr>
            <w:tcW w:w="2195" w:type="dxa"/>
            <w:tcBorders>
              <w:tl2br w:val="nil"/>
              <w:tr2bl w:val="nil"/>
            </w:tcBorders>
            <w:shd w:val="clear" w:color="auto" w:fill="auto"/>
            <w:vAlign w:val="bottom"/>
          </w:tcPr>
          <w:p w14:paraId="18518C31">
            <w:pPr>
              <w:pStyle w:val="31"/>
              <w:bidi w:val="0"/>
              <w:rPr>
                <w:rFonts w:hint="eastAsia"/>
                <w:lang w:val="en-US" w:eastAsia="zh-CN"/>
              </w:rPr>
            </w:pPr>
            <w:r>
              <w:rPr>
                <w:rFonts w:hint="eastAsia"/>
                <w:lang w:val="en-US" w:eastAsia="zh-CN"/>
              </w:rPr>
              <w:t>27年3个月</w:t>
            </w:r>
          </w:p>
        </w:tc>
        <w:tc>
          <w:tcPr>
            <w:tcW w:w="781" w:type="pct"/>
            <w:tcBorders>
              <w:tl2br w:val="nil"/>
              <w:tr2bl w:val="nil"/>
            </w:tcBorders>
            <w:shd w:val="clear" w:color="auto" w:fill="auto"/>
            <w:vAlign w:val="center"/>
          </w:tcPr>
          <w:p w14:paraId="4AAE04AF">
            <w:pPr>
              <w:pStyle w:val="31"/>
              <w:bidi w:val="0"/>
              <w:rPr>
                <w:rFonts w:hint="eastAsia"/>
                <w:lang w:val="en-US" w:eastAsia="zh-CN"/>
              </w:rPr>
            </w:pPr>
          </w:p>
        </w:tc>
      </w:tr>
      <w:tr w14:paraId="6A5A50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530D8A1D">
            <w:pPr>
              <w:pStyle w:val="31"/>
              <w:bidi w:val="0"/>
              <w:rPr>
                <w:rFonts w:hint="eastAsia"/>
                <w:lang w:val="en-US" w:eastAsia="zh-CN"/>
              </w:rPr>
            </w:pPr>
            <w:r>
              <w:rPr>
                <w:rFonts w:hint="eastAsia"/>
                <w:lang w:val="en-US" w:eastAsia="zh-CN"/>
              </w:rPr>
              <w:t>2.5</w:t>
            </w:r>
          </w:p>
        </w:tc>
        <w:tc>
          <w:tcPr>
            <w:tcW w:w="1730" w:type="pct"/>
            <w:tcBorders>
              <w:tl2br w:val="nil"/>
              <w:tr2bl w:val="nil"/>
            </w:tcBorders>
            <w:shd w:val="clear" w:color="auto" w:fill="auto"/>
            <w:vAlign w:val="center"/>
          </w:tcPr>
          <w:p w14:paraId="73C59ECB">
            <w:pPr>
              <w:pStyle w:val="31"/>
              <w:bidi w:val="0"/>
              <w:rPr>
                <w:rFonts w:hint="eastAsia"/>
                <w:lang w:val="en-US" w:eastAsia="zh-CN"/>
              </w:rPr>
            </w:pPr>
            <w:r>
              <w:rPr>
                <w:rFonts w:hint="eastAsia"/>
                <w:lang w:val="en-US" w:eastAsia="zh-CN"/>
              </w:rPr>
              <w:t>采矿方法</w:t>
            </w:r>
          </w:p>
        </w:tc>
        <w:tc>
          <w:tcPr>
            <w:tcW w:w="580" w:type="pct"/>
            <w:tcBorders>
              <w:tl2br w:val="nil"/>
              <w:tr2bl w:val="nil"/>
            </w:tcBorders>
            <w:shd w:val="clear" w:color="auto" w:fill="auto"/>
            <w:vAlign w:val="center"/>
          </w:tcPr>
          <w:p w14:paraId="37AE6201">
            <w:pPr>
              <w:pStyle w:val="31"/>
              <w:bidi w:val="0"/>
              <w:rPr>
                <w:rFonts w:hint="eastAsia"/>
                <w:lang w:val="en-US" w:eastAsia="zh-CN"/>
              </w:rPr>
            </w:pPr>
          </w:p>
        </w:tc>
        <w:tc>
          <w:tcPr>
            <w:tcW w:w="1288" w:type="pct"/>
            <w:tcBorders>
              <w:tl2br w:val="nil"/>
              <w:tr2bl w:val="nil"/>
            </w:tcBorders>
            <w:shd w:val="clear" w:color="auto" w:fill="auto"/>
            <w:vAlign w:val="center"/>
          </w:tcPr>
          <w:p w14:paraId="6FA96F2B">
            <w:pPr>
              <w:pStyle w:val="31"/>
              <w:bidi w:val="0"/>
              <w:rPr>
                <w:rFonts w:hint="eastAsia"/>
                <w:lang w:val="en-US" w:eastAsia="zh-CN"/>
              </w:rPr>
            </w:pPr>
            <w:r>
              <w:rPr>
                <w:rFonts w:hint="eastAsia"/>
                <w:lang w:val="en-US" w:eastAsia="zh-CN"/>
              </w:rPr>
              <w:t>浅孔留矿嗣后充填采矿法、分段空场嗣后充填采矿方法</w:t>
            </w:r>
          </w:p>
        </w:tc>
        <w:tc>
          <w:tcPr>
            <w:tcW w:w="781" w:type="pct"/>
            <w:tcBorders>
              <w:tl2br w:val="nil"/>
              <w:tr2bl w:val="nil"/>
            </w:tcBorders>
            <w:shd w:val="clear" w:color="auto" w:fill="auto"/>
            <w:vAlign w:val="center"/>
          </w:tcPr>
          <w:p w14:paraId="4E5021DE">
            <w:pPr>
              <w:pStyle w:val="31"/>
              <w:bidi w:val="0"/>
              <w:rPr>
                <w:rFonts w:hint="eastAsia"/>
                <w:lang w:val="en-US" w:eastAsia="zh-CN"/>
              </w:rPr>
            </w:pPr>
          </w:p>
        </w:tc>
      </w:tr>
      <w:tr w14:paraId="0C7AE7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7AB6C874">
            <w:pPr>
              <w:pStyle w:val="31"/>
              <w:bidi w:val="0"/>
              <w:rPr>
                <w:rFonts w:hint="eastAsia"/>
                <w:lang w:val="en-US" w:eastAsia="zh-CN"/>
              </w:rPr>
            </w:pPr>
            <w:r>
              <w:rPr>
                <w:rFonts w:hint="eastAsia"/>
                <w:lang w:val="en-US" w:eastAsia="zh-CN"/>
              </w:rPr>
              <w:t>2.6</w:t>
            </w:r>
          </w:p>
        </w:tc>
        <w:tc>
          <w:tcPr>
            <w:tcW w:w="1730" w:type="pct"/>
            <w:tcBorders>
              <w:tl2br w:val="nil"/>
              <w:tr2bl w:val="nil"/>
            </w:tcBorders>
            <w:shd w:val="clear" w:color="auto" w:fill="auto"/>
            <w:vAlign w:val="center"/>
          </w:tcPr>
          <w:p w14:paraId="2DBE321D">
            <w:pPr>
              <w:pStyle w:val="31"/>
              <w:bidi w:val="0"/>
              <w:rPr>
                <w:rFonts w:hint="eastAsia"/>
                <w:lang w:val="en-US" w:eastAsia="zh-CN"/>
              </w:rPr>
            </w:pPr>
            <w:r>
              <w:rPr>
                <w:rFonts w:hint="eastAsia"/>
                <w:lang w:val="en-US" w:eastAsia="zh-CN"/>
              </w:rPr>
              <w:t>采矿贫化率</w:t>
            </w:r>
          </w:p>
        </w:tc>
        <w:tc>
          <w:tcPr>
            <w:tcW w:w="580" w:type="pct"/>
            <w:tcBorders>
              <w:tl2br w:val="nil"/>
              <w:tr2bl w:val="nil"/>
            </w:tcBorders>
            <w:shd w:val="clear" w:color="auto" w:fill="auto"/>
            <w:vAlign w:val="center"/>
          </w:tcPr>
          <w:p w14:paraId="6ABCAA97">
            <w:pPr>
              <w:pStyle w:val="31"/>
              <w:bidi w:val="0"/>
              <w:rPr>
                <w:rFonts w:hint="eastAsia"/>
                <w:lang w:val="en-US" w:eastAsia="zh-CN"/>
              </w:rPr>
            </w:pPr>
            <w:r>
              <w:rPr>
                <w:rFonts w:hint="eastAsia"/>
                <w:lang w:val="en-US" w:eastAsia="zh-CN"/>
              </w:rPr>
              <w:t>％</w:t>
            </w:r>
          </w:p>
        </w:tc>
        <w:tc>
          <w:tcPr>
            <w:tcW w:w="1288" w:type="pct"/>
            <w:tcBorders>
              <w:tl2br w:val="nil"/>
              <w:tr2bl w:val="nil"/>
            </w:tcBorders>
            <w:shd w:val="clear" w:color="auto" w:fill="auto"/>
            <w:vAlign w:val="center"/>
          </w:tcPr>
          <w:p w14:paraId="398873FC">
            <w:pPr>
              <w:pStyle w:val="31"/>
              <w:bidi w:val="0"/>
              <w:rPr>
                <w:rFonts w:hint="eastAsia"/>
                <w:lang w:val="en-US" w:eastAsia="zh-CN"/>
              </w:rPr>
            </w:pPr>
            <w:r>
              <w:rPr>
                <w:rFonts w:hint="eastAsia"/>
                <w:lang w:val="en-US" w:eastAsia="zh-CN"/>
              </w:rPr>
              <w:t xml:space="preserve">10.00 </w:t>
            </w:r>
          </w:p>
        </w:tc>
        <w:tc>
          <w:tcPr>
            <w:tcW w:w="781" w:type="pct"/>
            <w:tcBorders>
              <w:tl2br w:val="nil"/>
              <w:tr2bl w:val="nil"/>
            </w:tcBorders>
            <w:shd w:val="clear" w:color="auto" w:fill="auto"/>
            <w:vAlign w:val="center"/>
          </w:tcPr>
          <w:p w14:paraId="3C94EC71">
            <w:pPr>
              <w:pStyle w:val="31"/>
              <w:bidi w:val="0"/>
              <w:rPr>
                <w:rFonts w:hint="eastAsia"/>
                <w:lang w:val="en-US" w:eastAsia="zh-CN"/>
              </w:rPr>
            </w:pPr>
          </w:p>
        </w:tc>
      </w:tr>
      <w:tr w14:paraId="08CFB6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3397B04E">
            <w:pPr>
              <w:pStyle w:val="31"/>
              <w:bidi w:val="0"/>
              <w:rPr>
                <w:rFonts w:hint="eastAsia"/>
                <w:lang w:val="en-US" w:eastAsia="zh-CN"/>
              </w:rPr>
            </w:pPr>
            <w:r>
              <w:rPr>
                <w:rFonts w:hint="eastAsia"/>
                <w:lang w:val="en-US" w:eastAsia="zh-CN"/>
              </w:rPr>
              <w:t>2.7</w:t>
            </w:r>
          </w:p>
        </w:tc>
        <w:tc>
          <w:tcPr>
            <w:tcW w:w="1730" w:type="pct"/>
            <w:tcBorders>
              <w:tl2br w:val="nil"/>
              <w:tr2bl w:val="nil"/>
            </w:tcBorders>
            <w:shd w:val="clear" w:color="auto" w:fill="auto"/>
            <w:vAlign w:val="center"/>
          </w:tcPr>
          <w:p w14:paraId="691345B6">
            <w:pPr>
              <w:pStyle w:val="31"/>
              <w:bidi w:val="0"/>
              <w:rPr>
                <w:rFonts w:hint="eastAsia"/>
                <w:lang w:val="en-US" w:eastAsia="zh-CN"/>
              </w:rPr>
            </w:pPr>
            <w:r>
              <w:rPr>
                <w:rFonts w:hint="eastAsia"/>
                <w:lang w:val="en-US" w:eastAsia="zh-CN"/>
              </w:rPr>
              <w:t>采矿回采率</w:t>
            </w:r>
          </w:p>
        </w:tc>
        <w:tc>
          <w:tcPr>
            <w:tcW w:w="580" w:type="pct"/>
            <w:tcBorders>
              <w:tl2br w:val="nil"/>
              <w:tr2bl w:val="nil"/>
            </w:tcBorders>
            <w:shd w:val="clear" w:color="auto" w:fill="auto"/>
            <w:vAlign w:val="center"/>
          </w:tcPr>
          <w:p w14:paraId="7B83B791">
            <w:pPr>
              <w:pStyle w:val="31"/>
              <w:bidi w:val="0"/>
              <w:rPr>
                <w:rFonts w:hint="eastAsia"/>
                <w:lang w:val="en-US" w:eastAsia="zh-CN"/>
              </w:rPr>
            </w:pPr>
            <w:r>
              <w:rPr>
                <w:rFonts w:hint="eastAsia"/>
                <w:lang w:val="en-US" w:eastAsia="zh-CN"/>
              </w:rPr>
              <w:t>％</w:t>
            </w:r>
          </w:p>
        </w:tc>
        <w:tc>
          <w:tcPr>
            <w:tcW w:w="1288" w:type="pct"/>
            <w:tcBorders>
              <w:tl2br w:val="nil"/>
              <w:tr2bl w:val="nil"/>
            </w:tcBorders>
            <w:shd w:val="clear" w:color="auto" w:fill="auto"/>
            <w:vAlign w:val="center"/>
          </w:tcPr>
          <w:p w14:paraId="73D99420">
            <w:pPr>
              <w:pStyle w:val="31"/>
              <w:bidi w:val="0"/>
              <w:rPr>
                <w:rFonts w:hint="eastAsia"/>
                <w:lang w:val="en-US" w:eastAsia="zh-CN"/>
              </w:rPr>
            </w:pPr>
            <w:r>
              <w:rPr>
                <w:rFonts w:hint="eastAsia"/>
                <w:lang w:val="en-US" w:eastAsia="zh-CN"/>
              </w:rPr>
              <w:t xml:space="preserve">90.00 </w:t>
            </w:r>
          </w:p>
        </w:tc>
        <w:tc>
          <w:tcPr>
            <w:tcW w:w="781" w:type="pct"/>
            <w:tcBorders>
              <w:tl2br w:val="nil"/>
              <w:tr2bl w:val="nil"/>
            </w:tcBorders>
            <w:shd w:val="clear" w:color="auto" w:fill="auto"/>
            <w:vAlign w:val="center"/>
          </w:tcPr>
          <w:p w14:paraId="6E3DB59F">
            <w:pPr>
              <w:pStyle w:val="31"/>
              <w:bidi w:val="0"/>
              <w:rPr>
                <w:rFonts w:hint="eastAsia"/>
                <w:lang w:val="en-US" w:eastAsia="zh-CN"/>
              </w:rPr>
            </w:pPr>
          </w:p>
        </w:tc>
      </w:tr>
      <w:tr w14:paraId="7359C1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5C9E0705">
            <w:pPr>
              <w:pStyle w:val="31"/>
              <w:bidi w:val="0"/>
              <w:rPr>
                <w:rFonts w:hint="eastAsia"/>
                <w:lang w:val="en-US" w:eastAsia="zh-CN"/>
              </w:rPr>
            </w:pPr>
            <w:r>
              <w:rPr>
                <w:rFonts w:hint="eastAsia"/>
                <w:lang w:val="en-US" w:eastAsia="zh-CN"/>
              </w:rPr>
              <w:t>2.8</w:t>
            </w:r>
          </w:p>
        </w:tc>
        <w:tc>
          <w:tcPr>
            <w:tcW w:w="1730" w:type="pct"/>
            <w:tcBorders>
              <w:tl2br w:val="nil"/>
              <w:tr2bl w:val="nil"/>
            </w:tcBorders>
            <w:shd w:val="clear" w:color="auto" w:fill="auto"/>
            <w:vAlign w:val="center"/>
          </w:tcPr>
          <w:p w14:paraId="07AC0267">
            <w:pPr>
              <w:pStyle w:val="31"/>
              <w:bidi w:val="0"/>
              <w:rPr>
                <w:rFonts w:hint="eastAsia"/>
                <w:lang w:val="en-US" w:eastAsia="zh-CN"/>
              </w:rPr>
            </w:pPr>
            <w:r>
              <w:rPr>
                <w:rFonts w:hint="eastAsia"/>
                <w:lang w:val="en-US" w:eastAsia="zh-CN"/>
              </w:rPr>
              <w:t>矿山工作制度</w:t>
            </w:r>
          </w:p>
        </w:tc>
        <w:tc>
          <w:tcPr>
            <w:tcW w:w="580" w:type="pct"/>
            <w:tcBorders>
              <w:tl2br w:val="nil"/>
              <w:tr2bl w:val="nil"/>
            </w:tcBorders>
            <w:shd w:val="clear" w:color="auto" w:fill="auto"/>
            <w:vAlign w:val="center"/>
          </w:tcPr>
          <w:p w14:paraId="1201861A">
            <w:pPr>
              <w:pStyle w:val="31"/>
              <w:bidi w:val="0"/>
              <w:rPr>
                <w:rFonts w:hint="eastAsia"/>
                <w:lang w:val="en-US" w:eastAsia="zh-CN"/>
              </w:rPr>
            </w:pPr>
            <w:r>
              <w:rPr>
                <w:rFonts w:hint="eastAsia"/>
                <w:lang w:val="en-US" w:eastAsia="zh-CN"/>
              </w:rPr>
              <w:t>班/d</w:t>
            </w:r>
          </w:p>
        </w:tc>
        <w:tc>
          <w:tcPr>
            <w:tcW w:w="1288" w:type="pct"/>
            <w:tcBorders>
              <w:tl2br w:val="nil"/>
              <w:tr2bl w:val="nil"/>
            </w:tcBorders>
            <w:shd w:val="clear" w:color="auto" w:fill="auto"/>
            <w:vAlign w:val="center"/>
          </w:tcPr>
          <w:p w14:paraId="49E4A01A">
            <w:pPr>
              <w:pStyle w:val="31"/>
              <w:bidi w:val="0"/>
              <w:rPr>
                <w:rFonts w:hint="eastAsia"/>
                <w:lang w:val="en-US" w:eastAsia="zh-CN"/>
              </w:rPr>
            </w:pPr>
            <w:r>
              <w:rPr>
                <w:rFonts w:hint="eastAsia"/>
                <w:lang w:val="en-US" w:eastAsia="zh-CN"/>
              </w:rPr>
              <w:t xml:space="preserve">3 </w:t>
            </w:r>
          </w:p>
        </w:tc>
        <w:tc>
          <w:tcPr>
            <w:tcW w:w="781" w:type="pct"/>
            <w:tcBorders>
              <w:tl2br w:val="nil"/>
              <w:tr2bl w:val="nil"/>
            </w:tcBorders>
            <w:shd w:val="clear" w:color="auto" w:fill="auto"/>
            <w:vAlign w:val="center"/>
          </w:tcPr>
          <w:p w14:paraId="56FE0A9D">
            <w:pPr>
              <w:pStyle w:val="31"/>
              <w:bidi w:val="0"/>
              <w:rPr>
                <w:rFonts w:hint="eastAsia"/>
                <w:lang w:val="en-US" w:eastAsia="zh-CN"/>
              </w:rPr>
            </w:pPr>
          </w:p>
        </w:tc>
      </w:tr>
      <w:tr w14:paraId="72CB5E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4B03248C">
            <w:pPr>
              <w:pStyle w:val="31"/>
              <w:bidi w:val="0"/>
              <w:rPr>
                <w:rFonts w:hint="eastAsia"/>
                <w:lang w:val="en-US" w:eastAsia="zh-CN"/>
              </w:rPr>
            </w:pPr>
          </w:p>
        </w:tc>
        <w:tc>
          <w:tcPr>
            <w:tcW w:w="1730" w:type="pct"/>
            <w:tcBorders>
              <w:tl2br w:val="nil"/>
              <w:tr2bl w:val="nil"/>
            </w:tcBorders>
            <w:shd w:val="clear" w:color="auto" w:fill="auto"/>
            <w:vAlign w:val="center"/>
          </w:tcPr>
          <w:p w14:paraId="56C992FD">
            <w:pPr>
              <w:pStyle w:val="31"/>
              <w:bidi w:val="0"/>
              <w:rPr>
                <w:rFonts w:hint="eastAsia"/>
                <w:lang w:val="en-US" w:eastAsia="zh-CN"/>
              </w:rPr>
            </w:pPr>
            <w:r>
              <w:rPr>
                <w:rFonts w:hint="eastAsia"/>
                <w:lang w:val="en-US" w:eastAsia="zh-CN"/>
              </w:rPr>
              <w:t>年工作天数</w:t>
            </w:r>
          </w:p>
        </w:tc>
        <w:tc>
          <w:tcPr>
            <w:tcW w:w="580" w:type="pct"/>
            <w:tcBorders>
              <w:tl2br w:val="nil"/>
              <w:tr2bl w:val="nil"/>
            </w:tcBorders>
            <w:shd w:val="clear" w:color="auto" w:fill="auto"/>
            <w:vAlign w:val="center"/>
          </w:tcPr>
          <w:p w14:paraId="462E2958">
            <w:pPr>
              <w:pStyle w:val="31"/>
              <w:bidi w:val="0"/>
              <w:rPr>
                <w:rFonts w:hint="eastAsia"/>
                <w:lang w:val="en-US" w:eastAsia="zh-CN"/>
              </w:rPr>
            </w:pPr>
            <w:r>
              <w:rPr>
                <w:rFonts w:hint="eastAsia"/>
                <w:lang w:val="en-US" w:eastAsia="zh-CN"/>
              </w:rPr>
              <w:t>d</w:t>
            </w:r>
          </w:p>
        </w:tc>
        <w:tc>
          <w:tcPr>
            <w:tcW w:w="1288" w:type="pct"/>
            <w:tcBorders>
              <w:tl2br w:val="nil"/>
              <w:tr2bl w:val="nil"/>
            </w:tcBorders>
            <w:shd w:val="clear" w:color="auto" w:fill="auto"/>
            <w:vAlign w:val="center"/>
          </w:tcPr>
          <w:p w14:paraId="46667FBB">
            <w:pPr>
              <w:pStyle w:val="31"/>
              <w:bidi w:val="0"/>
              <w:rPr>
                <w:rFonts w:hint="eastAsia"/>
                <w:lang w:val="en-US" w:eastAsia="zh-CN"/>
              </w:rPr>
            </w:pPr>
            <w:r>
              <w:rPr>
                <w:rFonts w:hint="eastAsia"/>
                <w:lang w:val="en-US" w:eastAsia="zh-CN"/>
              </w:rPr>
              <w:t xml:space="preserve">330 </w:t>
            </w:r>
          </w:p>
        </w:tc>
        <w:tc>
          <w:tcPr>
            <w:tcW w:w="781" w:type="pct"/>
            <w:tcBorders>
              <w:tl2br w:val="nil"/>
              <w:tr2bl w:val="nil"/>
            </w:tcBorders>
            <w:shd w:val="clear" w:color="auto" w:fill="auto"/>
            <w:vAlign w:val="center"/>
          </w:tcPr>
          <w:p w14:paraId="521EA02E">
            <w:pPr>
              <w:pStyle w:val="31"/>
              <w:bidi w:val="0"/>
              <w:rPr>
                <w:rFonts w:hint="eastAsia"/>
                <w:lang w:val="en-US" w:eastAsia="zh-CN"/>
              </w:rPr>
            </w:pPr>
          </w:p>
        </w:tc>
      </w:tr>
      <w:tr w14:paraId="122415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039C015D">
            <w:pPr>
              <w:pStyle w:val="31"/>
              <w:bidi w:val="0"/>
              <w:rPr>
                <w:rFonts w:hint="eastAsia"/>
                <w:lang w:val="en-US" w:eastAsia="zh-CN"/>
              </w:rPr>
            </w:pPr>
            <w:r>
              <w:rPr>
                <w:rFonts w:hint="eastAsia"/>
                <w:lang w:val="en-US" w:eastAsia="zh-CN"/>
              </w:rPr>
              <w:t>3</w:t>
            </w:r>
          </w:p>
        </w:tc>
        <w:tc>
          <w:tcPr>
            <w:tcW w:w="1730" w:type="pct"/>
            <w:tcBorders>
              <w:tl2br w:val="nil"/>
              <w:tr2bl w:val="nil"/>
            </w:tcBorders>
            <w:shd w:val="clear" w:color="auto" w:fill="auto"/>
            <w:vAlign w:val="center"/>
          </w:tcPr>
          <w:p w14:paraId="74D592F4">
            <w:pPr>
              <w:pStyle w:val="31"/>
              <w:bidi w:val="0"/>
              <w:rPr>
                <w:rFonts w:hint="eastAsia"/>
                <w:lang w:val="en-US" w:eastAsia="zh-CN"/>
              </w:rPr>
            </w:pPr>
            <w:r>
              <w:rPr>
                <w:rFonts w:hint="eastAsia"/>
                <w:lang w:val="en-US" w:eastAsia="zh-CN"/>
              </w:rPr>
              <w:t>劳动及工资</w:t>
            </w:r>
          </w:p>
        </w:tc>
        <w:tc>
          <w:tcPr>
            <w:tcW w:w="580" w:type="pct"/>
            <w:tcBorders>
              <w:tl2br w:val="nil"/>
              <w:tr2bl w:val="nil"/>
            </w:tcBorders>
            <w:shd w:val="clear" w:color="auto" w:fill="auto"/>
            <w:vAlign w:val="center"/>
          </w:tcPr>
          <w:p w14:paraId="04AB64DC">
            <w:pPr>
              <w:pStyle w:val="31"/>
              <w:bidi w:val="0"/>
              <w:rPr>
                <w:rFonts w:hint="eastAsia"/>
                <w:lang w:val="en-US" w:eastAsia="zh-CN"/>
              </w:rPr>
            </w:pPr>
          </w:p>
        </w:tc>
        <w:tc>
          <w:tcPr>
            <w:tcW w:w="1288" w:type="pct"/>
            <w:tcBorders>
              <w:tl2br w:val="nil"/>
              <w:tr2bl w:val="nil"/>
            </w:tcBorders>
            <w:shd w:val="clear" w:color="auto" w:fill="auto"/>
            <w:vAlign w:val="center"/>
          </w:tcPr>
          <w:p w14:paraId="04309196">
            <w:pPr>
              <w:pStyle w:val="31"/>
              <w:bidi w:val="0"/>
              <w:rPr>
                <w:rFonts w:hint="eastAsia"/>
                <w:lang w:val="en-US" w:eastAsia="zh-CN"/>
              </w:rPr>
            </w:pPr>
          </w:p>
        </w:tc>
        <w:tc>
          <w:tcPr>
            <w:tcW w:w="781" w:type="pct"/>
            <w:tcBorders>
              <w:tl2br w:val="nil"/>
              <w:tr2bl w:val="nil"/>
            </w:tcBorders>
            <w:shd w:val="clear" w:color="auto" w:fill="auto"/>
            <w:vAlign w:val="center"/>
          </w:tcPr>
          <w:p w14:paraId="61CB7211">
            <w:pPr>
              <w:pStyle w:val="31"/>
              <w:bidi w:val="0"/>
              <w:rPr>
                <w:rFonts w:hint="eastAsia"/>
                <w:lang w:val="en-US" w:eastAsia="zh-CN"/>
              </w:rPr>
            </w:pPr>
          </w:p>
        </w:tc>
      </w:tr>
      <w:tr w14:paraId="1FE79B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47C55253">
            <w:pPr>
              <w:pStyle w:val="31"/>
              <w:bidi w:val="0"/>
              <w:rPr>
                <w:rFonts w:hint="eastAsia"/>
                <w:lang w:val="en-US" w:eastAsia="zh-CN"/>
              </w:rPr>
            </w:pPr>
            <w:r>
              <w:rPr>
                <w:rFonts w:hint="eastAsia"/>
                <w:lang w:val="en-US" w:eastAsia="zh-CN"/>
              </w:rPr>
              <w:t>3.1</w:t>
            </w:r>
          </w:p>
        </w:tc>
        <w:tc>
          <w:tcPr>
            <w:tcW w:w="1730" w:type="pct"/>
            <w:tcBorders>
              <w:tl2br w:val="nil"/>
              <w:tr2bl w:val="nil"/>
            </w:tcBorders>
            <w:shd w:val="clear" w:color="auto" w:fill="auto"/>
            <w:vAlign w:val="center"/>
          </w:tcPr>
          <w:p w14:paraId="2A1DCE1B">
            <w:pPr>
              <w:pStyle w:val="31"/>
              <w:bidi w:val="0"/>
              <w:rPr>
                <w:rFonts w:hint="eastAsia"/>
                <w:lang w:val="en-US" w:eastAsia="zh-CN"/>
              </w:rPr>
            </w:pPr>
            <w:r>
              <w:rPr>
                <w:rFonts w:hint="eastAsia"/>
                <w:lang w:val="en-US" w:eastAsia="zh-CN"/>
              </w:rPr>
              <w:t>在册职工人数</w:t>
            </w:r>
          </w:p>
        </w:tc>
        <w:tc>
          <w:tcPr>
            <w:tcW w:w="580" w:type="pct"/>
            <w:tcBorders>
              <w:tl2br w:val="nil"/>
              <w:tr2bl w:val="nil"/>
            </w:tcBorders>
            <w:shd w:val="clear" w:color="auto" w:fill="auto"/>
            <w:vAlign w:val="center"/>
          </w:tcPr>
          <w:p w14:paraId="2C422A09">
            <w:pPr>
              <w:pStyle w:val="31"/>
              <w:bidi w:val="0"/>
              <w:rPr>
                <w:rFonts w:hint="eastAsia"/>
                <w:lang w:val="en-US" w:eastAsia="zh-CN"/>
              </w:rPr>
            </w:pPr>
            <w:r>
              <w:rPr>
                <w:rFonts w:hint="eastAsia"/>
                <w:lang w:val="en-US" w:eastAsia="zh-CN"/>
              </w:rPr>
              <w:t>人</w:t>
            </w:r>
          </w:p>
        </w:tc>
        <w:tc>
          <w:tcPr>
            <w:tcW w:w="1288" w:type="pct"/>
            <w:tcBorders>
              <w:tl2br w:val="nil"/>
              <w:tr2bl w:val="nil"/>
            </w:tcBorders>
            <w:shd w:val="clear" w:color="auto" w:fill="auto"/>
            <w:vAlign w:val="center"/>
          </w:tcPr>
          <w:p w14:paraId="01500938">
            <w:pPr>
              <w:pStyle w:val="31"/>
              <w:bidi w:val="0"/>
              <w:rPr>
                <w:rFonts w:hint="eastAsia"/>
                <w:lang w:val="en-US" w:eastAsia="zh-CN"/>
              </w:rPr>
            </w:pPr>
            <w:r>
              <w:rPr>
                <w:rFonts w:hint="eastAsia"/>
                <w:lang w:val="en-US" w:eastAsia="zh-CN"/>
              </w:rPr>
              <w:t xml:space="preserve">114 </w:t>
            </w:r>
          </w:p>
        </w:tc>
        <w:tc>
          <w:tcPr>
            <w:tcW w:w="781" w:type="pct"/>
            <w:tcBorders>
              <w:tl2br w:val="nil"/>
              <w:tr2bl w:val="nil"/>
            </w:tcBorders>
            <w:shd w:val="clear" w:color="auto" w:fill="auto"/>
            <w:vAlign w:val="center"/>
          </w:tcPr>
          <w:p w14:paraId="0F2AD566">
            <w:pPr>
              <w:pStyle w:val="31"/>
              <w:bidi w:val="0"/>
              <w:rPr>
                <w:rFonts w:hint="eastAsia"/>
                <w:lang w:val="en-US" w:eastAsia="zh-CN"/>
              </w:rPr>
            </w:pPr>
          </w:p>
        </w:tc>
      </w:tr>
      <w:tr w14:paraId="57C300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1AEAAD3D">
            <w:pPr>
              <w:pStyle w:val="31"/>
              <w:bidi w:val="0"/>
              <w:rPr>
                <w:rFonts w:hint="eastAsia"/>
                <w:lang w:val="en-US" w:eastAsia="zh-CN"/>
              </w:rPr>
            </w:pPr>
          </w:p>
        </w:tc>
        <w:tc>
          <w:tcPr>
            <w:tcW w:w="1730" w:type="pct"/>
            <w:tcBorders>
              <w:tl2br w:val="nil"/>
              <w:tr2bl w:val="nil"/>
            </w:tcBorders>
            <w:shd w:val="clear" w:color="auto" w:fill="auto"/>
            <w:vAlign w:val="center"/>
          </w:tcPr>
          <w:p w14:paraId="363105ED">
            <w:pPr>
              <w:pStyle w:val="31"/>
              <w:bidi w:val="0"/>
              <w:rPr>
                <w:rFonts w:hint="eastAsia"/>
                <w:lang w:val="en-US" w:eastAsia="zh-CN"/>
              </w:rPr>
            </w:pPr>
            <w:r>
              <w:rPr>
                <w:rFonts w:hint="eastAsia"/>
                <w:lang w:val="en-US" w:eastAsia="zh-CN"/>
              </w:rPr>
              <w:t>其中：采矿</w:t>
            </w:r>
          </w:p>
        </w:tc>
        <w:tc>
          <w:tcPr>
            <w:tcW w:w="580" w:type="pct"/>
            <w:tcBorders>
              <w:tl2br w:val="nil"/>
              <w:tr2bl w:val="nil"/>
            </w:tcBorders>
            <w:shd w:val="clear" w:color="auto" w:fill="auto"/>
            <w:vAlign w:val="center"/>
          </w:tcPr>
          <w:p w14:paraId="4D55E36B">
            <w:pPr>
              <w:pStyle w:val="31"/>
              <w:bidi w:val="0"/>
              <w:rPr>
                <w:rFonts w:hint="eastAsia"/>
                <w:lang w:val="en-US" w:eastAsia="zh-CN"/>
              </w:rPr>
            </w:pPr>
            <w:r>
              <w:rPr>
                <w:rFonts w:hint="eastAsia"/>
                <w:lang w:val="en-US" w:eastAsia="zh-CN"/>
              </w:rPr>
              <w:t>人</w:t>
            </w:r>
          </w:p>
        </w:tc>
        <w:tc>
          <w:tcPr>
            <w:tcW w:w="1288" w:type="pct"/>
            <w:tcBorders>
              <w:tl2br w:val="nil"/>
              <w:tr2bl w:val="nil"/>
            </w:tcBorders>
            <w:shd w:val="clear" w:color="auto" w:fill="auto"/>
            <w:vAlign w:val="center"/>
          </w:tcPr>
          <w:p w14:paraId="70665709">
            <w:pPr>
              <w:pStyle w:val="31"/>
              <w:bidi w:val="0"/>
              <w:rPr>
                <w:rFonts w:hint="eastAsia"/>
                <w:lang w:val="en-US" w:eastAsia="zh-CN"/>
              </w:rPr>
            </w:pPr>
            <w:r>
              <w:rPr>
                <w:rFonts w:hint="eastAsia"/>
                <w:lang w:val="en-US" w:eastAsia="zh-CN"/>
              </w:rPr>
              <w:t xml:space="preserve">101 </w:t>
            </w:r>
          </w:p>
        </w:tc>
        <w:tc>
          <w:tcPr>
            <w:tcW w:w="781" w:type="pct"/>
            <w:tcBorders>
              <w:tl2br w:val="nil"/>
              <w:tr2bl w:val="nil"/>
            </w:tcBorders>
            <w:shd w:val="clear" w:color="auto" w:fill="auto"/>
            <w:vAlign w:val="center"/>
          </w:tcPr>
          <w:p w14:paraId="15A8FB63">
            <w:pPr>
              <w:pStyle w:val="31"/>
              <w:bidi w:val="0"/>
              <w:rPr>
                <w:rFonts w:hint="eastAsia"/>
                <w:lang w:val="en-US" w:eastAsia="zh-CN"/>
              </w:rPr>
            </w:pPr>
          </w:p>
        </w:tc>
      </w:tr>
      <w:tr w14:paraId="6932FA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11CBA81A">
            <w:pPr>
              <w:pStyle w:val="31"/>
              <w:bidi w:val="0"/>
              <w:rPr>
                <w:rFonts w:hint="eastAsia"/>
                <w:lang w:val="en-US" w:eastAsia="zh-CN"/>
              </w:rPr>
            </w:pPr>
            <w:r>
              <w:rPr>
                <w:rFonts w:hint="eastAsia"/>
                <w:lang w:val="en-US" w:eastAsia="zh-CN"/>
              </w:rPr>
              <w:t>3.2</w:t>
            </w:r>
          </w:p>
        </w:tc>
        <w:tc>
          <w:tcPr>
            <w:tcW w:w="1730" w:type="pct"/>
            <w:tcBorders>
              <w:tl2br w:val="nil"/>
              <w:tr2bl w:val="nil"/>
            </w:tcBorders>
            <w:shd w:val="clear" w:color="auto" w:fill="auto"/>
            <w:vAlign w:val="center"/>
          </w:tcPr>
          <w:p w14:paraId="4B3E3787">
            <w:pPr>
              <w:pStyle w:val="31"/>
              <w:bidi w:val="0"/>
              <w:rPr>
                <w:rFonts w:hint="eastAsia"/>
                <w:lang w:val="en-US" w:eastAsia="zh-CN"/>
              </w:rPr>
            </w:pPr>
            <w:r>
              <w:rPr>
                <w:rFonts w:hint="eastAsia"/>
                <w:lang w:val="en-US" w:eastAsia="zh-CN"/>
              </w:rPr>
              <w:t>工资总额</w:t>
            </w:r>
          </w:p>
        </w:tc>
        <w:tc>
          <w:tcPr>
            <w:tcW w:w="580" w:type="pct"/>
            <w:tcBorders>
              <w:tl2br w:val="nil"/>
              <w:tr2bl w:val="nil"/>
            </w:tcBorders>
            <w:shd w:val="clear" w:color="auto" w:fill="auto"/>
            <w:vAlign w:val="center"/>
          </w:tcPr>
          <w:p w14:paraId="7B885FB7">
            <w:pPr>
              <w:pStyle w:val="31"/>
              <w:bidi w:val="0"/>
              <w:rPr>
                <w:rFonts w:hint="eastAsia"/>
                <w:lang w:val="en-US" w:eastAsia="zh-CN"/>
              </w:rPr>
            </w:pPr>
            <w:r>
              <w:rPr>
                <w:rFonts w:hint="eastAsia"/>
                <w:lang w:val="en-US" w:eastAsia="zh-CN"/>
              </w:rPr>
              <w:t>万元/a</w:t>
            </w:r>
          </w:p>
        </w:tc>
        <w:tc>
          <w:tcPr>
            <w:tcW w:w="1288" w:type="pct"/>
            <w:tcBorders>
              <w:tl2br w:val="nil"/>
              <w:tr2bl w:val="nil"/>
            </w:tcBorders>
            <w:shd w:val="clear" w:color="auto" w:fill="auto"/>
            <w:vAlign w:val="center"/>
          </w:tcPr>
          <w:p w14:paraId="3CB4F127">
            <w:pPr>
              <w:pStyle w:val="31"/>
              <w:bidi w:val="0"/>
              <w:rPr>
                <w:rFonts w:hint="eastAsia"/>
                <w:lang w:val="en-US" w:eastAsia="zh-CN"/>
              </w:rPr>
            </w:pPr>
            <w:r>
              <w:rPr>
                <w:rFonts w:hint="eastAsia"/>
                <w:lang w:val="en-US" w:eastAsia="zh-CN"/>
              </w:rPr>
              <w:t xml:space="preserve">1007.11 </w:t>
            </w:r>
          </w:p>
        </w:tc>
        <w:tc>
          <w:tcPr>
            <w:tcW w:w="781" w:type="pct"/>
            <w:tcBorders>
              <w:tl2br w:val="nil"/>
              <w:tr2bl w:val="nil"/>
            </w:tcBorders>
            <w:shd w:val="clear" w:color="auto" w:fill="auto"/>
            <w:vAlign w:val="center"/>
          </w:tcPr>
          <w:p w14:paraId="205FD8F4">
            <w:pPr>
              <w:pStyle w:val="31"/>
              <w:bidi w:val="0"/>
              <w:rPr>
                <w:rFonts w:hint="eastAsia"/>
                <w:lang w:val="en-US" w:eastAsia="zh-CN"/>
              </w:rPr>
            </w:pPr>
          </w:p>
        </w:tc>
      </w:tr>
      <w:tr w14:paraId="68F1F0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18A464B7">
            <w:pPr>
              <w:pStyle w:val="31"/>
              <w:bidi w:val="0"/>
              <w:rPr>
                <w:rFonts w:hint="eastAsia"/>
                <w:lang w:val="en-US" w:eastAsia="zh-CN"/>
              </w:rPr>
            </w:pPr>
            <w:r>
              <w:rPr>
                <w:rFonts w:hint="eastAsia"/>
                <w:lang w:val="en-US" w:eastAsia="zh-CN"/>
              </w:rPr>
              <w:t>3.3</w:t>
            </w:r>
          </w:p>
        </w:tc>
        <w:tc>
          <w:tcPr>
            <w:tcW w:w="1730" w:type="pct"/>
            <w:tcBorders>
              <w:tl2br w:val="nil"/>
              <w:tr2bl w:val="nil"/>
            </w:tcBorders>
            <w:shd w:val="clear" w:color="auto" w:fill="auto"/>
            <w:vAlign w:val="center"/>
          </w:tcPr>
          <w:p w14:paraId="4E3CC521">
            <w:pPr>
              <w:pStyle w:val="31"/>
              <w:bidi w:val="0"/>
              <w:rPr>
                <w:rFonts w:hint="eastAsia"/>
                <w:lang w:val="en-US" w:eastAsia="zh-CN"/>
              </w:rPr>
            </w:pPr>
            <w:r>
              <w:rPr>
                <w:rFonts w:hint="eastAsia"/>
                <w:lang w:val="en-US" w:eastAsia="zh-CN"/>
              </w:rPr>
              <w:t>劳动生产率</w:t>
            </w:r>
          </w:p>
        </w:tc>
        <w:tc>
          <w:tcPr>
            <w:tcW w:w="580" w:type="pct"/>
            <w:tcBorders>
              <w:tl2br w:val="nil"/>
              <w:tr2bl w:val="nil"/>
            </w:tcBorders>
            <w:shd w:val="clear" w:color="auto" w:fill="auto"/>
            <w:vAlign w:val="center"/>
          </w:tcPr>
          <w:p w14:paraId="457A85E9">
            <w:pPr>
              <w:pStyle w:val="31"/>
              <w:bidi w:val="0"/>
              <w:rPr>
                <w:rFonts w:hint="eastAsia"/>
                <w:lang w:val="en-US" w:eastAsia="zh-CN"/>
              </w:rPr>
            </w:pPr>
          </w:p>
        </w:tc>
        <w:tc>
          <w:tcPr>
            <w:tcW w:w="1288" w:type="pct"/>
            <w:tcBorders>
              <w:tl2br w:val="nil"/>
              <w:tr2bl w:val="nil"/>
            </w:tcBorders>
            <w:shd w:val="clear" w:color="auto" w:fill="auto"/>
            <w:vAlign w:val="center"/>
          </w:tcPr>
          <w:p w14:paraId="4316420F">
            <w:pPr>
              <w:pStyle w:val="31"/>
              <w:bidi w:val="0"/>
              <w:rPr>
                <w:rFonts w:hint="eastAsia"/>
                <w:lang w:val="en-US" w:eastAsia="zh-CN"/>
              </w:rPr>
            </w:pPr>
          </w:p>
        </w:tc>
        <w:tc>
          <w:tcPr>
            <w:tcW w:w="781" w:type="pct"/>
            <w:tcBorders>
              <w:tl2br w:val="nil"/>
              <w:tr2bl w:val="nil"/>
            </w:tcBorders>
            <w:shd w:val="clear" w:color="auto" w:fill="auto"/>
            <w:vAlign w:val="center"/>
          </w:tcPr>
          <w:p w14:paraId="566C0928">
            <w:pPr>
              <w:pStyle w:val="31"/>
              <w:bidi w:val="0"/>
              <w:rPr>
                <w:rFonts w:hint="eastAsia"/>
                <w:lang w:val="en-US" w:eastAsia="zh-CN"/>
              </w:rPr>
            </w:pPr>
          </w:p>
        </w:tc>
      </w:tr>
      <w:tr w14:paraId="263177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0C89DA11">
            <w:pPr>
              <w:pStyle w:val="31"/>
              <w:bidi w:val="0"/>
              <w:rPr>
                <w:rFonts w:hint="eastAsia"/>
                <w:lang w:val="en-US" w:eastAsia="zh-CN"/>
              </w:rPr>
            </w:pPr>
            <w:r>
              <w:rPr>
                <w:rFonts w:hint="eastAsia"/>
                <w:lang w:val="en-US" w:eastAsia="zh-CN"/>
              </w:rPr>
              <w:t>3.3.1</w:t>
            </w:r>
          </w:p>
        </w:tc>
        <w:tc>
          <w:tcPr>
            <w:tcW w:w="1730" w:type="pct"/>
            <w:tcBorders>
              <w:tl2br w:val="nil"/>
              <w:tr2bl w:val="nil"/>
            </w:tcBorders>
            <w:shd w:val="clear" w:color="auto" w:fill="auto"/>
            <w:vAlign w:val="center"/>
          </w:tcPr>
          <w:p w14:paraId="615EC090">
            <w:pPr>
              <w:pStyle w:val="31"/>
              <w:bidi w:val="0"/>
              <w:rPr>
                <w:rFonts w:hint="eastAsia"/>
                <w:lang w:val="en-US" w:eastAsia="zh-CN"/>
              </w:rPr>
            </w:pPr>
            <w:r>
              <w:rPr>
                <w:rFonts w:hint="eastAsia"/>
                <w:lang w:val="en-US" w:eastAsia="zh-CN"/>
              </w:rPr>
              <w:t>全矿劳动生产率</w:t>
            </w:r>
          </w:p>
        </w:tc>
        <w:tc>
          <w:tcPr>
            <w:tcW w:w="580" w:type="pct"/>
            <w:tcBorders>
              <w:tl2br w:val="nil"/>
              <w:tr2bl w:val="nil"/>
            </w:tcBorders>
            <w:shd w:val="clear" w:color="auto" w:fill="auto"/>
            <w:vAlign w:val="center"/>
          </w:tcPr>
          <w:p w14:paraId="0BB2DD25">
            <w:pPr>
              <w:pStyle w:val="31"/>
              <w:bidi w:val="0"/>
              <w:rPr>
                <w:rFonts w:hint="eastAsia"/>
                <w:lang w:val="en-US" w:eastAsia="zh-CN"/>
              </w:rPr>
            </w:pPr>
            <w:r>
              <w:rPr>
                <w:rFonts w:hint="eastAsia"/>
                <w:lang w:val="en-US" w:eastAsia="zh-CN"/>
              </w:rPr>
              <w:t>t/人a</w:t>
            </w:r>
          </w:p>
        </w:tc>
        <w:tc>
          <w:tcPr>
            <w:tcW w:w="1288" w:type="pct"/>
            <w:tcBorders>
              <w:tl2br w:val="nil"/>
              <w:tr2bl w:val="nil"/>
            </w:tcBorders>
            <w:shd w:val="clear" w:color="auto" w:fill="auto"/>
            <w:vAlign w:val="center"/>
          </w:tcPr>
          <w:p w14:paraId="69607840">
            <w:pPr>
              <w:pStyle w:val="31"/>
              <w:bidi w:val="0"/>
              <w:rPr>
                <w:rFonts w:hint="eastAsia"/>
                <w:lang w:val="en-US" w:eastAsia="zh-CN"/>
              </w:rPr>
            </w:pPr>
            <w:r>
              <w:rPr>
                <w:rFonts w:hint="eastAsia"/>
                <w:lang w:val="en-US" w:eastAsia="zh-CN"/>
              </w:rPr>
              <w:t xml:space="preserve">5263.16 </w:t>
            </w:r>
          </w:p>
        </w:tc>
        <w:tc>
          <w:tcPr>
            <w:tcW w:w="781" w:type="pct"/>
            <w:tcBorders>
              <w:tl2br w:val="nil"/>
              <w:tr2bl w:val="nil"/>
            </w:tcBorders>
            <w:shd w:val="clear" w:color="auto" w:fill="auto"/>
            <w:vAlign w:val="center"/>
          </w:tcPr>
          <w:p w14:paraId="4A29C9D5">
            <w:pPr>
              <w:pStyle w:val="31"/>
              <w:bidi w:val="0"/>
              <w:rPr>
                <w:rFonts w:hint="eastAsia"/>
                <w:lang w:val="en-US" w:eastAsia="zh-CN"/>
              </w:rPr>
            </w:pPr>
          </w:p>
        </w:tc>
      </w:tr>
      <w:tr w14:paraId="41225F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5DFCA04F">
            <w:pPr>
              <w:pStyle w:val="31"/>
              <w:bidi w:val="0"/>
              <w:rPr>
                <w:rFonts w:hint="eastAsia"/>
                <w:lang w:val="en-US" w:eastAsia="zh-CN"/>
              </w:rPr>
            </w:pPr>
            <w:r>
              <w:rPr>
                <w:rFonts w:hint="eastAsia"/>
                <w:lang w:val="en-US" w:eastAsia="zh-CN"/>
              </w:rPr>
              <w:t>3.3.2</w:t>
            </w:r>
          </w:p>
        </w:tc>
        <w:tc>
          <w:tcPr>
            <w:tcW w:w="1730" w:type="pct"/>
            <w:tcBorders>
              <w:tl2br w:val="nil"/>
              <w:tr2bl w:val="nil"/>
            </w:tcBorders>
            <w:shd w:val="clear" w:color="auto" w:fill="auto"/>
            <w:vAlign w:val="center"/>
          </w:tcPr>
          <w:p w14:paraId="50E0FEAE">
            <w:pPr>
              <w:pStyle w:val="31"/>
              <w:bidi w:val="0"/>
              <w:rPr>
                <w:rFonts w:hint="eastAsia"/>
                <w:lang w:val="en-US" w:eastAsia="zh-CN"/>
              </w:rPr>
            </w:pPr>
            <w:r>
              <w:rPr>
                <w:rFonts w:hint="eastAsia"/>
                <w:lang w:val="en-US" w:eastAsia="zh-CN"/>
              </w:rPr>
              <w:t>采矿劳动生产率</w:t>
            </w:r>
          </w:p>
        </w:tc>
        <w:tc>
          <w:tcPr>
            <w:tcW w:w="580" w:type="pct"/>
            <w:tcBorders>
              <w:tl2br w:val="nil"/>
              <w:tr2bl w:val="nil"/>
            </w:tcBorders>
            <w:shd w:val="clear" w:color="auto" w:fill="auto"/>
            <w:vAlign w:val="center"/>
          </w:tcPr>
          <w:p w14:paraId="214EB899">
            <w:pPr>
              <w:pStyle w:val="31"/>
              <w:bidi w:val="0"/>
              <w:rPr>
                <w:rFonts w:hint="eastAsia"/>
                <w:lang w:val="en-US" w:eastAsia="zh-CN"/>
              </w:rPr>
            </w:pPr>
            <w:r>
              <w:rPr>
                <w:rFonts w:hint="eastAsia"/>
                <w:lang w:val="en-US" w:eastAsia="zh-CN"/>
              </w:rPr>
              <w:t>t/人a</w:t>
            </w:r>
          </w:p>
        </w:tc>
        <w:tc>
          <w:tcPr>
            <w:tcW w:w="1288" w:type="pct"/>
            <w:tcBorders>
              <w:tl2br w:val="nil"/>
              <w:tr2bl w:val="nil"/>
            </w:tcBorders>
            <w:shd w:val="clear" w:color="auto" w:fill="auto"/>
            <w:vAlign w:val="center"/>
          </w:tcPr>
          <w:p w14:paraId="49921608">
            <w:pPr>
              <w:pStyle w:val="31"/>
              <w:bidi w:val="0"/>
              <w:rPr>
                <w:rFonts w:hint="eastAsia"/>
                <w:lang w:val="en-US" w:eastAsia="zh-CN"/>
              </w:rPr>
            </w:pPr>
            <w:r>
              <w:rPr>
                <w:rFonts w:hint="eastAsia"/>
                <w:lang w:val="en-US" w:eastAsia="zh-CN"/>
              </w:rPr>
              <w:t xml:space="preserve">5940.59 </w:t>
            </w:r>
          </w:p>
        </w:tc>
        <w:tc>
          <w:tcPr>
            <w:tcW w:w="781" w:type="pct"/>
            <w:tcBorders>
              <w:tl2br w:val="nil"/>
              <w:tr2bl w:val="nil"/>
            </w:tcBorders>
            <w:shd w:val="clear" w:color="auto" w:fill="auto"/>
            <w:vAlign w:val="center"/>
          </w:tcPr>
          <w:p w14:paraId="5E4A10AD">
            <w:pPr>
              <w:pStyle w:val="31"/>
              <w:bidi w:val="0"/>
              <w:rPr>
                <w:rFonts w:hint="eastAsia"/>
                <w:lang w:val="en-US" w:eastAsia="zh-CN"/>
              </w:rPr>
            </w:pPr>
          </w:p>
        </w:tc>
      </w:tr>
      <w:tr w14:paraId="5ED88D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5EC9F2C5">
            <w:pPr>
              <w:pStyle w:val="31"/>
              <w:bidi w:val="0"/>
              <w:rPr>
                <w:rFonts w:hint="eastAsia"/>
                <w:lang w:val="en-US" w:eastAsia="zh-CN"/>
              </w:rPr>
            </w:pPr>
            <w:r>
              <w:rPr>
                <w:rFonts w:hint="eastAsia"/>
                <w:lang w:val="en-US" w:eastAsia="zh-CN"/>
              </w:rPr>
              <w:t>4</w:t>
            </w:r>
          </w:p>
        </w:tc>
        <w:tc>
          <w:tcPr>
            <w:tcW w:w="1730" w:type="pct"/>
            <w:tcBorders>
              <w:tl2br w:val="nil"/>
              <w:tr2bl w:val="nil"/>
            </w:tcBorders>
            <w:shd w:val="clear" w:color="auto" w:fill="auto"/>
            <w:vAlign w:val="center"/>
          </w:tcPr>
          <w:p w14:paraId="6FD514CA">
            <w:pPr>
              <w:pStyle w:val="31"/>
              <w:bidi w:val="0"/>
              <w:rPr>
                <w:rFonts w:hint="eastAsia"/>
                <w:lang w:val="en-US" w:eastAsia="zh-CN"/>
              </w:rPr>
            </w:pPr>
            <w:r>
              <w:rPr>
                <w:rFonts w:hint="eastAsia"/>
                <w:lang w:val="en-US" w:eastAsia="zh-CN"/>
              </w:rPr>
              <w:t>投资</w:t>
            </w:r>
          </w:p>
        </w:tc>
        <w:tc>
          <w:tcPr>
            <w:tcW w:w="580" w:type="pct"/>
            <w:tcBorders>
              <w:tl2br w:val="nil"/>
              <w:tr2bl w:val="nil"/>
            </w:tcBorders>
            <w:shd w:val="clear" w:color="auto" w:fill="auto"/>
            <w:vAlign w:val="center"/>
          </w:tcPr>
          <w:p w14:paraId="4CCF5306">
            <w:pPr>
              <w:pStyle w:val="31"/>
              <w:bidi w:val="0"/>
              <w:rPr>
                <w:rFonts w:hint="eastAsia"/>
                <w:lang w:val="en-US" w:eastAsia="zh-CN"/>
              </w:rPr>
            </w:pPr>
          </w:p>
        </w:tc>
        <w:tc>
          <w:tcPr>
            <w:tcW w:w="1288" w:type="pct"/>
            <w:tcBorders>
              <w:tl2br w:val="nil"/>
              <w:tr2bl w:val="nil"/>
            </w:tcBorders>
            <w:shd w:val="clear" w:color="auto" w:fill="auto"/>
            <w:vAlign w:val="center"/>
          </w:tcPr>
          <w:p w14:paraId="62C4EC62">
            <w:pPr>
              <w:pStyle w:val="31"/>
              <w:bidi w:val="0"/>
              <w:rPr>
                <w:rFonts w:hint="eastAsia"/>
                <w:lang w:val="en-US" w:eastAsia="zh-CN"/>
              </w:rPr>
            </w:pPr>
          </w:p>
        </w:tc>
        <w:tc>
          <w:tcPr>
            <w:tcW w:w="781" w:type="pct"/>
            <w:tcBorders>
              <w:tl2br w:val="nil"/>
              <w:tr2bl w:val="nil"/>
            </w:tcBorders>
            <w:shd w:val="clear" w:color="auto" w:fill="auto"/>
            <w:vAlign w:val="center"/>
          </w:tcPr>
          <w:p w14:paraId="66124641">
            <w:pPr>
              <w:pStyle w:val="31"/>
              <w:bidi w:val="0"/>
              <w:rPr>
                <w:rFonts w:hint="eastAsia"/>
                <w:lang w:val="en-US" w:eastAsia="zh-CN"/>
              </w:rPr>
            </w:pPr>
          </w:p>
        </w:tc>
      </w:tr>
      <w:tr w14:paraId="7F9A72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1DA284AC">
            <w:pPr>
              <w:pStyle w:val="31"/>
              <w:bidi w:val="0"/>
              <w:rPr>
                <w:rFonts w:hint="eastAsia"/>
                <w:lang w:val="en-US" w:eastAsia="zh-CN"/>
              </w:rPr>
            </w:pPr>
            <w:r>
              <w:rPr>
                <w:rFonts w:hint="eastAsia"/>
                <w:lang w:val="en-US" w:eastAsia="zh-CN"/>
              </w:rPr>
              <w:t>4.1</w:t>
            </w:r>
          </w:p>
        </w:tc>
        <w:tc>
          <w:tcPr>
            <w:tcW w:w="1730" w:type="pct"/>
            <w:tcBorders>
              <w:tl2br w:val="nil"/>
              <w:tr2bl w:val="nil"/>
            </w:tcBorders>
            <w:shd w:val="clear" w:color="auto" w:fill="auto"/>
            <w:vAlign w:val="center"/>
          </w:tcPr>
          <w:p w14:paraId="736117B7">
            <w:pPr>
              <w:pStyle w:val="31"/>
              <w:bidi w:val="0"/>
              <w:rPr>
                <w:rFonts w:hint="eastAsia"/>
                <w:lang w:val="en-US" w:eastAsia="zh-CN"/>
              </w:rPr>
            </w:pPr>
            <w:r>
              <w:rPr>
                <w:rFonts w:hint="eastAsia"/>
                <w:lang w:val="en-US" w:eastAsia="zh-CN"/>
              </w:rPr>
              <w:t>总投资</w:t>
            </w:r>
          </w:p>
        </w:tc>
        <w:tc>
          <w:tcPr>
            <w:tcW w:w="580" w:type="pct"/>
            <w:tcBorders>
              <w:tl2br w:val="nil"/>
              <w:tr2bl w:val="nil"/>
            </w:tcBorders>
            <w:shd w:val="clear" w:color="auto" w:fill="auto"/>
            <w:vAlign w:val="center"/>
          </w:tcPr>
          <w:p w14:paraId="259EEFDC">
            <w:pPr>
              <w:pStyle w:val="31"/>
              <w:bidi w:val="0"/>
              <w:rPr>
                <w:rFonts w:hint="eastAsia"/>
                <w:lang w:val="en-US" w:eastAsia="zh-CN"/>
              </w:rPr>
            </w:pPr>
            <w:r>
              <w:rPr>
                <w:rFonts w:hint="eastAsia"/>
                <w:lang w:val="en-US" w:eastAsia="zh-CN"/>
              </w:rPr>
              <w:t>万元</w:t>
            </w:r>
          </w:p>
        </w:tc>
        <w:tc>
          <w:tcPr>
            <w:tcW w:w="1288" w:type="pct"/>
            <w:tcBorders>
              <w:tl2br w:val="nil"/>
              <w:tr2bl w:val="nil"/>
            </w:tcBorders>
            <w:shd w:val="clear" w:color="auto" w:fill="auto"/>
            <w:vAlign w:val="center"/>
          </w:tcPr>
          <w:p w14:paraId="3742E4B9">
            <w:pPr>
              <w:pStyle w:val="31"/>
              <w:bidi w:val="0"/>
              <w:rPr>
                <w:rFonts w:hint="eastAsia"/>
                <w:lang w:val="en-US" w:eastAsia="zh-CN"/>
              </w:rPr>
            </w:pPr>
            <w:r>
              <w:rPr>
                <w:rFonts w:hint="eastAsia"/>
                <w:lang w:val="en-US" w:eastAsia="zh-CN"/>
              </w:rPr>
              <w:t xml:space="preserve">19361.08 </w:t>
            </w:r>
          </w:p>
        </w:tc>
        <w:tc>
          <w:tcPr>
            <w:tcW w:w="781" w:type="pct"/>
            <w:tcBorders>
              <w:tl2br w:val="nil"/>
              <w:tr2bl w:val="nil"/>
            </w:tcBorders>
            <w:shd w:val="clear" w:color="auto" w:fill="auto"/>
            <w:vAlign w:val="center"/>
          </w:tcPr>
          <w:p w14:paraId="06B36FC9">
            <w:pPr>
              <w:pStyle w:val="31"/>
              <w:bidi w:val="0"/>
              <w:rPr>
                <w:rFonts w:hint="eastAsia"/>
                <w:lang w:val="en-US" w:eastAsia="zh-CN"/>
              </w:rPr>
            </w:pPr>
          </w:p>
        </w:tc>
      </w:tr>
      <w:tr w14:paraId="6B8D25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485671CE">
            <w:pPr>
              <w:pStyle w:val="31"/>
              <w:bidi w:val="0"/>
              <w:rPr>
                <w:rFonts w:hint="eastAsia"/>
                <w:lang w:val="en-US" w:eastAsia="zh-CN"/>
              </w:rPr>
            </w:pPr>
          </w:p>
        </w:tc>
        <w:tc>
          <w:tcPr>
            <w:tcW w:w="1730" w:type="pct"/>
            <w:tcBorders>
              <w:tl2br w:val="nil"/>
              <w:tr2bl w:val="nil"/>
            </w:tcBorders>
            <w:shd w:val="clear" w:color="auto" w:fill="auto"/>
            <w:vAlign w:val="center"/>
          </w:tcPr>
          <w:p w14:paraId="08B623D2">
            <w:pPr>
              <w:pStyle w:val="31"/>
              <w:bidi w:val="0"/>
              <w:rPr>
                <w:rFonts w:hint="eastAsia"/>
                <w:lang w:val="en-US" w:eastAsia="zh-CN"/>
              </w:rPr>
            </w:pPr>
            <w:r>
              <w:rPr>
                <w:rFonts w:hint="eastAsia"/>
                <w:lang w:val="en-US" w:eastAsia="zh-CN"/>
              </w:rPr>
              <w:t>其中：建设投资</w:t>
            </w:r>
          </w:p>
        </w:tc>
        <w:tc>
          <w:tcPr>
            <w:tcW w:w="580" w:type="pct"/>
            <w:tcBorders>
              <w:tl2br w:val="nil"/>
              <w:tr2bl w:val="nil"/>
            </w:tcBorders>
            <w:shd w:val="clear" w:color="auto" w:fill="auto"/>
            <w:vAlign w:val="center"/>
          </w:tcPr>
          <w:p w14:paraId="22CD409B">
            <w:pPr>
              <w:pStyle w:val="31"/>
              <w:bidi w:val="0"/>
              <w:rPr>
                <w:rFonts w:hint="eastAsia"/>
                <w:lang w:val="en-US" w:eastAsia="zh-CN"/>
              </w:rPr>
            </w:pPr>
            <w:r>
              <w:rPr>
                <w:rFonts w:hint="eastAsia"/>
                <w:lang w:val="en-US" w:eastAsia="zh-CN"/>
              </w:rPr>
              <w:t>万元</w:t>
            </w:r>
          </w:p>
        </w:tc>
        <w:tc>
          <w:tcPr>
            <w:tcW w:w="1288" w:type="pct"/>
            <w:tcBorders>
              <w:tl2br w:val="nil"/>
              <w:tr2bl w:val="nil"/>
            </w:tcBorders>
            <w:shd w:val="clear" w:color="auto" w:fill="auto"/>
            <w:vAlign w:val="center"/>
          </w:tcPr>
          <w:p w14:paraId="75F0DC34">
            <w:pPr>
              <w:pStyle w:val="31"/>
              <w:bidi w:val="0"/>
              <w:rPr>
                <w:rFonts w:hint="eastAsia"/>
                <w:lang w:val="en-US" w:eastAsia="zh-CN"/>
              </w:rPr>
            </w:pPr>
            <w:r>
              <w:rPr>
                <w:rFonts w:hint="eastAsia"/>
                <w:lang w:val="en-US" w:eastAsia="zh-CN"/>
              </w:rPr>
              <w:t xml:space="preserve">18261.08 </w:t>
            </w:r>
          </w:p>
        </w:tc>
        <w:tc>
          <w:tcPr>
            <w:tcW w:w="781" w:type="pct"/>
            <w:tcBorders>
              <w:tl2br w:val="nil"/>
              <w:tr2bl w:val="nil"/>
            </w:tcBorders>
            <w:shd w:val="clear" w:color="auto" w:fill="auto"/>
            <w:vAlign w:val="center"/>
          </w:tcPr>
          <w:p w14:paraId="701773BA">
            <w:pPr>
              <w:pStyle w:val="31"/>
              <w:bidi w:val="0"/>
              <w:rPr>
                <w:rFonts w:hint="eastAsia"/>
                <w:lang w:val="en-US" w:eastAsia="zh-CN"/>
              </w:rPr>
            </w:pPr>
          </w:p>
        </w:tc>
      </w:tr>
      <w:tr w14:paraId="5A35E8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1ACBA876">
            <w:pPr>
              <w:pStyle w:val="31"/>
              <w:bidi w:val="0"/>
              <w:rPr>
                <w:rFonts w:hint="eastAsia"/>
                <w:lang w:val="en-US" w:eastAsia="zh-CN"/>
              </w:rPr>
            </w:pPr>
          </w:p>
        </w:tc>
        <w:tc>
          <w:tcPr>
            <w:tcW w:w="1730" w:type="pct"/>
            <w:tcBorders>
              <w:tl2br w:val="nil"/>
              <w:tr2bl w:val="nil"/>
            </w:tcBorders>
            <w:shd w:val="clear" w:color="auto" w:fill="auto"/>
            <w:vAlign w:val="center"/>
          </w:tcPr>
          <w:p w14:paraId="4269BF71">
            <w:pPr>
              <w:pStyle w:val="31"/>
              <w:bidi w:val="0"/>
              <w:rPr>
                <w:rFonts w:hint="eastAsia"/>
                <w:lang w:val="en-US" w:eastAsia="zh-CN"/>
              </w:rPr>
            </w:pPr>
            <w:r>
              <w:rPr>
                <w:rFonts w:hint="eastAsia"/>
                <w:lang w:val="en-US" w:eastAsia="zh-CN"/>
              </w:rPr>
              <w:t>流动资金</w:t>
            </w:r>
          </w:p>
        </w:tc>
        <w:tc>
          <w:tcPr>
            <w:tcW w:w="580" w:type="pct"/>
            <w:tcBorders>
              <w:tl2br w:val="nil"/>
              <w:tr2bl w:val="nil"/>
            </w:tcBorders>
            <w:shd w:val="clear" w:color="auto" w:fill="auto"/>
            <w:vAlign w:val="center"/>
          </w:tcPr>
          <w:p w14:paraId="53A26C5B">
            <w:pPr>
              <w:pStyle w:val="31"/>
              <w:bidi w:val="0"/>
              <w:rPr>
                <w:rFonts w:hint="eastAsia"/>
                <w:lang w:val="en-US" w:eastAsia="zh-CN"/>
              </w:rPr>
            </w:pPr>
            <w:r>
              <w:rPr>
                <w:rFonts w:hint="eastAsia"/>
                <w:lang w:val="en-US" w:eastAsia="zh-CN"/>
              </w:rPr>
              <w:t>万元</w:t>
            </w:r>
          </w:p>
        </w:tc>
        <w:tc>
          <w:tcPr>
            <w:tcW w:w="1288" w:type="pct"/>
            <w:tcBorders>
              <w:tl2br w:val="nil"/>
              <w:tr2bl w:val="nil"/>
            </w:tcBorders>
            <w:shd w:val="clear" w:color="auto" w:fill="auto"/>
            <w:vAlign w:val="center"/>
          </w:tcPr>
          <w:p w14:paraId="6B58FF8E">
            <w:pPr>
              <w:pStyle w:val="31"/>
              <w:bidi w:val="0"/>
              <w:rPr>
                <w:rFonts w:hint="eastAsia"/>
                <w:lang w:val="en-US" w:eastAsia="zh-CN"/>
              </w:rPr>
            </w:pPr>
            <w:r>
              <w:rPr>
                <w:rFonts w:hint="eastAsia"/>
                <w:lang w:val="en-US" w:eastAsia="zh-CN"/>
              </w:rPr>
              <w:t xml:space="preserve">1100.00 </w:t>
            </w:r>
          </w:p>
        </w:tc>
        <w:tc>
          <w:tcPr>
            <w:tcW w:w="781" w:type="pct"/>
            <w:tcBorders>
              <w:tl2br w:val="nil"/>
              <w:tr2bl w:val="nil"/>
            </w:tcBorders>
            <w:shd w:val="clear" w:color="auto" w:fill="auto"/>
            <w:vAlign w:val="center"/>
          </w:tcPr>
          <w:p w14:paraId="75969A4B">
            <w:pPr>
              <w:pStyle w:val="31"/>
              <w:bidi w:val="0"/>
              <w:rPr>
                <w:rFonts w:hint="eastAsia"/>
                <w:lang w:val="en-US" w:eastAsia="zh-CN"/>
              </w:rPr>
            </w:pPr>
          </w:p>
        </w:tc>
      </w:tr>
      <w:tr w14:paraId="25C574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17D0D3D2">
            <w:pPr>
              <w:pStyle w:val="31"/>
              <w:bidi w:val="0"/>
              <w:rPr>
                <w:rFonts w:hint="eastAsia"/>
                <w:lang w:val="en-US" w:eastAsia="zh-CN"/>
              </w:rPr>
            </w:pPr>
            <w:r>
              <w:rPr>
                <w:rFonts w:hint="eastAsia"/>
                <w:lang w:val="en-US" w:eastAsia="zh-CN"/>
              </w:rPr>
              <w:t>4.2</w:t>
            </w:r>
          </w:p>
        </w:tc>
        <w:tc>
          <w:tcPr>
            <w:tcW w:w="1730" w:type="pct"/>
            <w:tcBorders>
              <w:tl2br w:val="nil"/>
              <w:tr2bl w:val="nil"/>
            </w:tcBorders>
            <w:shd w:val="clear" w:color="auto" w:fill="auto"/>
            <w:vAlign w:val="center"/>
          </w:tcPr>
          <w:p w14:paraId="4CB90810">
            <w:pPr>
              <w:pStyle w:val="31"/>
              <w:bidi w:val="0"/>
              <w:rPr>
                <w:rFonts w:hint="eastAsia"/>
                <w:lang w:val="en-US" w:eastAsia="zh-CN"/>
              </w:rPr>
            </w:pPr>
            <w:r>
              <w:rPr>
                <w:rFonts w:hint="eastAsia"/>
                <w:lang w:val="en-US" w:eastAsia="zh-CN"/>
              </w:rPr>
              <w:t>资金来源</w:t>
            </w:r>
          </w:p>
        </w:tc>
        <w:tc>
          <w:tcPr>
            <w:tcW w:w="580" w:type="pct"/>
            <w:tcBorders>
              <w:tl2br w:val="nil"/>
              <w:tr2bl w:val="nil"/>
            </w:tcBorders>
            <w:shd w:val="clear" w:color="auto" w:fill="auto"/>
            <w:vAlign w:val="center"/>
          </w:tcPr>
          <w:p w14:paraId="4C51069A">
            <w:pPr>
              <w:pStyle w:val="31"/>
              <w:bidi w:val="0"/>
              <w:rPr>
                <w:rFonts w:hint="eastAsia"/>
                <w:lang w:val="en-US" w:eastAsia="zh-CN"/>
              </w:rPr>
            </w:pPr>
          </w:p>
        </w:tc>
        <w:tc>
          <w:tcPr>
            <w:tcW w:w="1288" w:type="pct"/>
            <w:tcBorders>
              <w:tl2br w:val="nil"/>
              <w:tr2bl w:val="nil"/>
            </w:tcBorders>
            <w:shd w:val="clear" w:color="auto" w:fill="auto"/>
            <w:vAlign w:val="center"/>
          </w:tcPr>
          <w:p w14:paraId="4E3C99CD">
            <w:pPr>
              <w:pStyle w:val="31"/>
              <w:bidi w:val="0"/>
              <w:rPr>
                <w:rFonts w:hint="eastAsia"/>
                <w:lang w:val="en-US" w:eastAsia="zh-CN"/>
              </w:rPr>
            </w:pPr>
          </w:p>
        </w:tc>
        <w:tc>
          <w:tcPr>
            <w:tcW w:w="781" w:type="pct"/>
            <w:tcBorders>
              <w:tl2br w:val="nil"/>
              <w:tr2bl w:val="nil"/>
            </w:tcBorders>
            <w:shd w:val="clear" w:color="auto" w:fill="auto"/>
            <w:vAlign w:val="center"/>
          </w:tcPr>
          <w:p w14:paraId="04CAEBF7">
            <w:pPr>
              <w:pStyle w:val="31"/>
              <w:bidi w:val="0"/>
              <w:rPr>
                <w:rFonts w:hint="eastAsia"/>
                <w:lang w:val="en-US" w:eastAsia="zh-CN"/>
              </w:rPr>
            </w:pPr>
          </w:p>
        </w:tc>
      </w:tr>
      <w:tr w14:paraId="104946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65D3F60F">
            <w:pPr>
              <w:pStyle w:val="31"/>
              <w:bidi w:val="0"/>
              <w:rPr>
                <w:rFonts w:hint="eastAsia"/>
                <w:lang w:val="en-US" w:eastAsia="zh-CN"/>
              </w:rPr>
            </w:pPr>
          </w:p>
        </w:tc>
        <w:tc>
          <w:tcPr>
            <w:tcW w:w="1730" w:type="pct"/>
            <w:tcBorders>
              <w:tl2br w:val="nil"/>
              <w:tr2bl w:val="nil"/>
            </w:tcBorders>
            <w:shd w:val="clear" w:color="auto" w:fill="auto"/>
            <w:vAlign w:val="center"/>
          </w:tcPr>
          <w:p w14:paraId="404A5465">
            <w:pPr>
              <w:pStyle w:val="31"/>
              <w:bidi w:val="0"/>
              <w:rPr>
                <w:rFonts w:hint="eastAsia"/>
                <w:lang w:val="en-US" w:eastAsia="zh-CN"/>
              </w:rPr>
            </w:pPr>
            <w:r>
              <w:rPr>
                <w:rFonts w:hint="eastAsia"/>
                <w:lang w:val="en-US" w:eastAsia="zh-CN"/>
              </w:rPr>
              <w:t>自有资金</w:t>
            </w:r>
          </w:p>
        </w:tc>
        <w:tc>
          <w:tcPr>
            <w:tcW w:w="580" w:type="pct"/>
            <w:tcBorders>
              <w:tl2br w:val="nil"/>
              <w:tr2bl w:val="nil"/>
            </w:tcBorders>
            <w:shd w:val="clear" w:color="auto" w:fill="auto"/>
            <w:vAlign w:val="center"/>
          </w:tcPr>
          <w:p w14:paraId="13FFF3F5">
            <w:pPr>
              <w:pStyle w:val="31"/>
              <w:bidi w:val="0"/>
              <w:rPr>
                <w:rFonts w:hint="eastAsia"/>
                <w:lang w:val="en-US" w:eastAsia="zh-CN"/>
              </w:rPr>
            </w:pPr>
            <w:r>
              <w:rPr>
                <w:rFonts w:hint="eastAsia"/>
                <w:lang w:val="en-US" w:eastAsia="zh-CN"/>
              </w:rPr>
              <w:t>万元</w:t>
            </w:r>
          </w:p>
        </w:tc>
        <w:tc>
          <w:tcPr>
            <w:tcW w:w="1288" w:type="pct"/>
            <w:tcBorders>
              <w:tl2br w:val="nil"/>
              <w:tr2bl w:val="nil"/>
            </w:tcBorders>
            <w:shd w:val="clear" w:color="auto" w:fill="auto"/>
            <w:vAlign w:val="center"/>
          </w:tcPr>
          <w:p w14:paraId="7F608241">
            <w:pPr>
              <w:pStyle w:val="31"/>
              <w:bidi w:val="0"/>
              <w:rPr>
                <w:rFonts w:hint="eastAsia"/>
                <w:lang w:val="en-US" w:eastAsia="zh-CN"/>
              </w:rPr>
            </w:pPr>
            <w:r>
              <w:rPr>
                <w:rFonts w:hint="eastAsia"/>
                <w:lang w:val="en-US" w:eastAsia="zh-CN"/>
              </w:rPr>
              <w:t xml:space="preserve">19361.08 </w:t>
            </w:r>
          </w:p>
        </w:tc>
        <w:tc>
          <w:tcPr>
            <w:tcW w:w="781" w:type="pct"/>
            <w:tcBorders>
              <w:tl2br w:val="nil"/>
              <w:tr2bl w:val="nil"/>
            </w:tcBorders>
            <w:shd w:val="clear" w:color="auto" w:fill="auto"/>
            <w:vAlign w:val="center"/>
          </w:tcPr>
          <w:p w14:paraId="3A22C5D8">
            <w:pPr>
              <w:pStyle w:val="31"/>
              <w:bidi w:val="0"/>
              <w:rPr>
                <w:rFonts w:hint="eastAsia"/>
                <w:lang w:val="en-US" w:eastAsia="zh-CN"/>
              </w:rPr>
            </w:pPr>
          </w:p>
        </w:tc>
      </w:tr>
      <w:tr w14:paraId="50C3B0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0E88D7D5">
            <w:pPr>
              <w:pStyle w:val="31"/>
              <w:bidi w:val="0"/>
              <w:rPr>
                <w:rFonts w:hint="eastAsia"/>
                <w:lang w:val="en-US" w:eastAsia="zh-CN"/>
              </w:rPr>
            </w:pPr>
            <w:r>
              <w:rPr>
                <w:rFonts w:hint="eastAsia"/>
                <w:lang w:val="en-US" w:eastAsia="zh-CN"/>
              </w:rPr>
              <w:t>5</w:t>
            </w:r>
          </w:p>
        </w:tc>
        <w:tc>
          <w:tcPr>
            <w:tcW w:w="1730" w:type="pct"/>
            <w:tcBorders>
              <w:tl2br w:val="nil"/>
              <w:tr2bl w:val="nil"/>
            </w:tcBorders>
            <w:shd w:val="clear" w:color="auto" w:fill="auto"/>
            <w:vAlign w:val="center"/>
          </w:tcPr>
          <w:p w14:paraId="36842402">
            <w:pPr>
              <w:pStyle w:val="31"/>
              <w:bidi w:val="0"/>
              <w:rPr>
                <w:rFonts w:hint="eastAsia"/>
                <w:lang w:val="en-US" w:eastAsia="zh-CN"/>
              </w:rPr>
            </w:pPr>
            <w:r>
              <w:rPr>
                <w:rFonts w:hint="eastAsia"/>
                <w:lang w:val="en-US" w:eastAsia="zh-CN"/>
              </w:rPr>
              <w:t>成本费用</w:t>
            </w:r>
          </w:p>
        </w:tc>
        <w:tc>
          <w:tcPr>
            <w:tcW w:w="580" w:type="pct"/>
            <w:tcBorders>
              <w:tl2br w:val="nil"/>
              <w:tr2bl w:val="nil"/>
            </w:tcBorders>
            <w:shd w:val="clear" w:color="auto" w:fill="auto"/>
            <w:vAlign w:val="center"/>
          </w:tcPr>
          <w:p w14:paraId="35470DED">
            <w:pPr>
              <w:pStyle w:val="31"/>
              <w:bidi w:val="0"/>
              <w:rPr>
                <w:rFonts w:hint="eastAsia"/>
                <w:lang w:val="en-US" w:eastAsia="zh-CN"/>
              </w:rPr>
            </w:pPr>
          </w:p>
        </w:tc>
        <w:tc>
          <w:tcPr>
            <w:tcW w:w="1288" w:type="pct"/>
            <w:tcBorders>
              <w:tl2br w:val="nil"/>
              <w:tr2bl w:val="nil"/>
            </w:tcBorders>
            <w:shd w:val="clear" w:color="auto" w:fill="auto"/>
            <w:vAlign w:val="center"/>
          </w:tcPr>
          <w:p w14:paraId="7CC0A830">
            <w:pPr>
              <w:pStyle w:val="31"/>
              <w:bidi w:val="0"/>
              <w:rPr>
                <w:rFonts w:hint="eastAsia"/>
                <w:lang w:val="en-US" w:eastAsia="zh-CN"/>
              </w:rPr>
            </w:pPr>
            <w:r>
              <w:rPr>
                <w:rFonts w:hint="eastAsia"/>
                <w:lang w:val="en-US" w:eastAsia="zh-CN"/>
              </w:rPr>
              <w:t>年均</w:t>
            </w:r>
          </w:p>
        </w:tc>
        <w:tc>
          <w:tcPr>
            <w:tcW w:w="781" w:type="pct"/>
            <w:tcBorders>
              <w:tl2br w:val="nil"/>
              <w:tr2bl w:val="nil"/>
            </w:tcBorders>
            <w:shd w:val="clear" w:color="auto" w:fill="auto"/>
            <w:vAlign w:val="center"/>
          </w:tcPr>
          <w:p w14:paraId="3E51553A">
            <w:pPr>
              <w:pStyle w:val="31"/>
              <w:bidi w:val="0"/>
              <w:rPr>
                <w:rFonts w:hint="eastAsia"/>
                <w:lang w:val="en-US" w:eastAsia="zh-CN"/>
              </w:rPr>
            </w:pPr>
          </w:p>
        </w:tc>
      </w:tr>
      <w:tr w14:paraId="65A6ED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31D7E5BF">
            <w:pPr>
              <w:pStyle w:val="31"/>
              <w:bidi w:val="0"/>
              <w:rPr>
                <w:rFonts w:hint="eastAsia"/>
                <w:lang w:val="en-US" w:eastAsia="zh-CN"/>
              </w:rPr>
            </w:pPr>
            <w:r>
              <w:rPr>
                <w:rFonts w:hint="eastAsia"/>
                <w:lang w:val="en-US" w:eastAsia="zh-CN"/>
              </w:rPr>
              <w:t>5.1</w:t>
            </w:r>
          </w:p>
        </w:tc>
        <w:tc>
          <w:tcPr>
            <w:tcW w:w="1730" w:type="pct"/>
            <w:tcBorders>
              <w:tl2br w:val="nil"/>
              <w:tr2bl w:val="nil"/>
            </w:tcBorders>
            <w:shd w:val="clear" w:color="auto" w:fill="auto"/>
            <w:vAlign w:val="center"/>
          </w:tcPr>
          <w:p w14:paraId="4BEA54C6">
            <w:pPr>
              <w:pStyle w:val="31"/>
              <w:bidi w:val="0"/>
              <w:rPr>
                <w:rFonts w:hint="eastAsia"/>
                <w:lang w:val="en-US" w:eastAsia="zh-CN"/>
              </w:rPr>
            </w:pPr>
            <w:r>
              <w:rPr>
                <w:rFonts w:hint="eastAsia"/>
                <w:lang w:val="en-US" w:eastAsia="zh-CN"/>
              </w:rPr>
              <w:t>总成本费用</w:t>
            </w:r>
          </w:p>
        </w:tc>
        <w:tc>
          <w:tcPr>
            <w:tcW w:w="580" w:type="pct"/>
            <w:tcBorders>
              <w:tl2br w:val="nil"/>
              <w:tr2bl w:val="nil"/>
            </w:tcBorders>
            <w:shd w:val="clear" w:color="auto" w:fill="auto"/>
            <w:vAlign w:val="center"/>
          </w:tcPr>
          <w:p w14:paraId="7077FFC8">
            <w:pPr>
              <w:pStyle w:val="31"/>
              <w:bidi w:val="0"/>
              <w:rPr>
                <w:rFonts w:hint="eastAsia"/>
                <w:lang w:val="en-US" w:eastAsia="zh-CN"/>
              </w:rPr>
            </w:pPr>
            <w:r>
              <w:rPr>
                <w:rFonts w:hint="eastAsia"/>
                <w:lang w:val="en-US" w:eastAsia="zh-CN"/>
              </w:rPr>
              <w:t>万元/a</w:t>
            </w:r>
          </w:p>
        </w:tc>
        <w:tc>
          <w:tcPr>
            <w:tcW w:w="1288" w:type="pct"/>
            <w:tcBorders>
              <w:tl2br w:val="nil"/>
              <w:tr2bl w:val="nil"/>
            </w:tcBorders>
            <w:shd w:val="clear" w:color="auto" w:fill="auto"/>
            <w:vAlign w:val="center"/>
          </w:tcPr>
          <w:p w14:paraId="5523F90C">
            <w:pPr>
              <w:pStyle w:val="31"/>
              <w:bidi w:val="0"/>
              <w:rPr>
                <w:rFonts w:hint="eastAsia"/>
                <w:lang w:val="en-US" w:eastAsia="zh-CN"/>
              </w:rPr>
            </w:pPr>
            <w:r>
              <w:rPr>
                <w:rFonts w:hint="eastAsia"/>
                <w:lang w:val="en-US" w:eastAsia="zh-CN"/>
              </w:rPr>
              <w:t xml:space="preserve">5399.72 </w:t>
            </w:r>
          </w:p>
        </w:tc>
        <w:tc>
          <w:tcPr>
            <w:tcW w:w="781" w:type="pct"/>
            <w:tcBorders>
              <w:tl2br w:val="nil"/>
              <w:tr2bl w:val="nil"/>
            </w:tcBorders>
            <w:shd w:val="clear" w:color="auto" w:fill="auto"/>
            <w:vAlign w:val="center"/>
          </w:tcPr>
          <w:p w14:paraId="20BBF00D">
            <w:pPr>
              <w:pStyle w:val="31"/>
              <w:bidi w:val="0"/>
              <w:rPr>
                <w:rFonts w:hint="eastAsia"/>
                <w:lang w:val="en-US" w:eastAsia="zh-CN"/>
              </w:rPr>
            </w:pPr>
          </w:p>
        </w:tc>
      </w:tr>
      <w:tr w14:paraId="3B4591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19B14AB2">
            <w:pPr>
              <w:pStyle w:val="31"/>
              <w:bidi w:val="0"/>
              <w:rPr>
                <w:rFonts w:hint="eastAsia"/>
                <w:lang w:val="en-US" w:eastAsia="zh-CN"/>
              </w:rPr>
            </w:pPr>
            <w:r>
              <w:rPr>
                <w:rFonts w:hint="eastAsia"/>
                <w:lang w:val="en-US" w:eastAsia="zh-CN"/>
              </w:rPr>
              <w:t>5.2</w:t>
            </w:r>
          </w:p>
        </w:tc>
        <w:tc>
          <w:tcPr>
            <w:tcW w:w="1730" w:type="pct"/>
            <w:tcBorders>
              <w:tl2br w:val="nil"/>
              <w:tr2bl w:val="nil"/>
            </w:tcBorders>
            <w:shd w:val="clear" w:color="auto" w:fill="auto"/>
            <w:vAlign w:val="center"/>
          </w:tcPr>
          <w:p w14:paraId="25EA6B7E">
            <w:pPr>
              <w:pStyle w:val="31"/>
              <w:bidi w:val="0"/>
              <w:rPr>
                <w:rFonts w:hint="eastAsia"/>
                <w:lang w:val="en-US" w:eastAsia="zh-CN"/>
              </w:rPr>
            </w:pPr>
            <w:r>
              <w:rPr>
                <w:rFonts w:hint="eastAsia"/>
                <w:lang w:val="en-US" w:eastAsia="zh-CN"/>
              </w:rPr>
              <w:t>单位总成本</w:t>
            </w:r>
          </w:p>
        </w:tc>
        <w:tc>
          <w:tcPr>
            <w:tcW w:w="580" w:type="pct"/>
            <w:tcBorders>
              <w:tl2br w:val="nil"/>
              <w:tr2bl w:val="nil"/>
            </w:tcBorders>
            <w:shd w:val="clear" w:color="auto" w:fill="auto"/>
            <w:vAlign w:val="center"/>
          </w:tcPr>
          <w:p w14:paraId="6CFF08E3">
            <w:pPr>
              <w:pStyle w:val="31"/>
              <w:bidi w:val="0"/>
              <w:rPr>
                <w:rFonts w:hint="eastAsia"/>
                <w:lang w:val="en-US" w:eastAsia="zh-CN"/>
              </w:rPr>
            </w:pPr>
            <w:r>
              <w:rPr>
                <w:rFonts w:hint="eastAsia"/>
                <w:lang w:val="en-US" w:eastAsia="zh-CN"/>
              </w:rPr>
              <w:t>元/t</w:t>
            </w:r>
          </w:p>
        </w:tc>
        <w:tc>
          <w:tcPr>
            <w:tcW w:w="1288" w:type="pct"/>
            <w:tcBorders>
              <w:tl2br w:val="nil"/>
              <w:tr2bl w:val="nil"/>
            </w:tcBorders>
            <w:shd w:val="clear" w:color="auto" w:fill="auto"/>
            <w:vAlign w:val="center"/>
          </w:tcPr>
          <w:p w14:paraId="740F650F">
            <w:pPr>
              <w:pStyle w:val="31"/>
              <w:bidi w:val="0"/>
              <w:rPr>
                <w:rFonts w:hint="eastAsia"/>
                <w:lang w:val="en-US" w:eastAsia="zh-CN"/>
              </w:rPr>
            </w:pPr>
            <w:r>
              <w:rPr>
                <w:rFonts w:hint="eastAsia"/>
                <w:lang w:val="en-US" w:eastAsia="zh-CN"/>
              </w:rPr>
              <w:t xml:space="preserve">90.00 </w:t>
            </w:r>
          </w:p>
        </w:tc>
        <w:tc>
          <w:tcPr>
            <w:tcW w:w="781" w:type="pct"/>
            <w:tcBorders>
              <w:tl2br w:val="nil"/>
              <w:tr2bl w:val="nil"/>
            </w:tcBorders>
            <w:shd w:val="clear" w:color="auto" w:fill="auto"/>
            <w:vAlign w:val="center"/>
          </w:tcPr>
          <w:p w14:paraId="2DEF9C6F">
            <w:pPr>
              <w:pStyle w:val="31"/>
              <w:bidi w:val="0"/>
              <w:rPr>
                <w:rFonts w:hint="eastAsia"/>
                <w:lang w:val="en-US" w:eastAsia="zh-CN"/>
              </w:rPr>
            </w:pPr>
          </w:p>
        </w:tc>
      </w:tr>
      <w:tr w14:paraId="707A15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1A8A07AF">
            <w:pPr>
              <w:pStyle w:val="31"/>
              <w:bidi w:val="0"/>
              <w:rPr>
                <w:rFonts w:hint="eastAsia"/>
                <w:lang w:val="en-US" w:eastAsia="zh-CN"/>
              </w:rPr>
            </w:pPr>
            <w:r>
              <w:rPr>
                <w:rFonts w:hint="eastAsia"/>
                <w:lang w:val="en-US" w:eastAsia="zh-CN"/>
              </w:rPr>
              <w:t>6</w:t>
            </w:r>
          </w:p>
        </w:tc>
        <w:tc>
          <w:tcPr>
            <w:tcW w:w="1730" w:type="pct"/>
            <w:tcBorders>
              <w:tl2br w:val="nil"/>
              <w:tr2bl w:val="nil"/>
            </w:tcBorders>
            <w:shd w:val="clear" w:color="auto" w:fill="auto"/>
            <w:vAlign w:val="center"/>
          </w:tcPr>
          <w:p w14:paraId="66F3FCD7">
            <w:pPr>
              <w:pStyle w:val="31"/>
              <w:bidi w:val="0"/>
              <w:rPr>
                <w:rFonts w:hint="eastAsia"/>
                <w:lang w:val="en-US" w:eastAsia="zh-CN"/>
              </w:rPr>
            </w:pPr>
            <w:r>
              <w:rPr>
                <w:rFonts w:hint="eastAsia"/>
                <w:lang w:val="en-US" w:eastAsia="zh-CN"/>
              </w:rPr>
              <w:t>销售收入、税金及利润</w:t>
            </w:r>
          </w:p>
        </w:tc>
        <w:tc>
          <w:tcPr>
            <w:tcW w:w="580" w:type="pct"/>
            <w:tcBorders>
              <w:tl2br w:val="nil"/>
              <w:tr2bl w:val="nil"/>
            </w:tcBorders>
            <w:shd w:val="clear" w:color="auto" w:fill="auto"/>
            <w:vAlign w:val="center"/>
          </w:tcPr>
          <w:p w14:paraId="68D275B1">
            <w:pPr>
              <w:pStyle w:val="31"/>
              <w:bidi w:val="0"/>
              <w:rPr>
                <w:rFonts w:hint="eastAsia"/>
                <w:lang w:val="en-US" w:eastAsia="zh-CN"/>
              </w:rPr>
            </w:pPr>
          </w:p>
        </w:tc>
        <w:tc>
          <w:tcPr>
            <w:tcW w:w="1288" w:type="pct"/>
            <w:tcBorders>
              <w:tl2br w:val="nil"/>
              <w:tr2bl w:val="nil"/>
            </w:tcBorders>
            <w:shd w:val="clear" w:color="auto" w:fill="auto"/>
            <w:vAlign w:val="center"/>
          </w:tcPr>
          <w:p w14:paraId="34F3D7CC">
            <w:pPr>
              <w:pStyle w:val="31"/>
              <w:bidi w:val="0"/>
              <w:rPr>
                <w:rFonts w:hint="eastAsia"/>
                <w:lang w:val="en-US" w:eastAsia="zh-CN"/>
              </w:rPr>
            </w:pPr>
            <w:r>
              <w:rPr>
                <w:rFonts w:hint="eastAsia"/>
                <w:lang w:val="en-US" w:eastAsia="zh-CN"/>
              </w:rPr>
              <w:t>年均</w:t>
            </w:r>
          </w:p>
        </w:tc>
        <w:tc>
          <w:tcPr>
            <w:tcW w:w="781" w:type="pct"/>
            <w:tcBorders>
              <w:tl2br w:val="nil"/>
              <w:tr2bl w:val="nil"/>
            </w:tcBorders>
            <w:shd w:val="clear" w:color="auto" w:fill="auto"/>
            <w:vAlign w:val="center"/>
          </w:tcPr>
          <w:p w14:paraId="4BDD41DC">
            <w:pPr>
              <w:pStyle w:val="31"/>
              <w:bidi w:val="0"/>
              <w:rPr>
                <w:rFonts w:hint="eastAsia"/>
                <w:lang w:val="en-US" w:eastAsia="zh-CN"/>
              </w:rPr>
            </w:pPr>
            <w:r>
              <w:rPr>
                <w:rFonts w:hint="eastAsia"/>
                <w:lang w:val="en-US" w:eastAsia="zh-CN"/>
              </w:rPr>
              <w:t>达产年</w:t>
            </w:r>
          </w:p>
        </w:tc>
      </w:tr>
      <w:tr w14:paraId="747309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363E92D7">
            <w:pPr>
              <w:pStyle w:val="31"/>
              <w:bidi w:val="0"/>
              <w:rPr>
                <w:rFonts w:hint="eastAsia"/>
                <w:lang w:val="en-US" w:eastAsia="zh-CN"/>
              </w:rPr>
            </w:pPr>
            <w:r>
              <w:rPr>
                <w:rFonts w:hint="eastAsia"/>
                <w:lang w:val="en-US" w:eastAsia="zh-CN"/>
              </w:rPr>
              <w:t>6.1</w:t>
            </w:r>
          </w:p>
        </w:tc>
        <w:tc>
          <w:tcPr>
            <w:tcW w:w="1730" w:type="pct"/>
            <w:tcBorders>
              <w:tl2br w:val="nil"/>
              <w:tr2bl w:val="nil"/>
            </w:tcBorders>
            <w:shd w:val="clear" w:color="auto" w:fill="auto"/>
            <w:vAlign w:val="center"/>
          </w:tcPr>
          <w:p w14:paraId="6276A56D">
            <w:pPr>
              <w:pStyle w:val="31"/>
              <w:bidi w:val="0"/>
              <w:rPr>
                <w:rFonts w:hint="eastAsia"/>
                <w:lang w:val="en-US" w:eastAsia="zh-CN"/>
              </w:rPr>
            </w:pPr>
            <w:r>
              <w:rPr>
                <w:rFonts w:hint="eastAsia"/>
                <w:lang w:val="en-US" w:eastAsia="zh-CN"/>
              </w:rPr>
              <w:t>销售收入</w:t>
            </w:r>
          </w:p>
        </w:tc>
        <w:tc>
          <w:tcPr>
            <w:tcW w:w="580" w:type="pct"/>
            <w:tcBorders>
              <w:tl2br w:val="nil"/>
              <w:tr2bl w:val="nil"/>
            </w:tcBorders>
            <w:shd w:val="clear" w:color="auto" w:fill="auto"/>
            <w:vAlign w:val="center"/>
          </w:tcPr>
          <w:p w14:paraId="501CFC90">
            <w:pPr>
              <w:pStyle w:val="31"/>
              <w:bidi w:val="0"/>
              <w:rPr>
                <w:rFonts w:hint="eastAsia"/>
                <w:lang w:val="en-US" w:eastAsia="zh-CN"/>
              </w:rPr>
            </w:pPr>
            <w:r>
              <w:rPr>
                <w:rFonts w:hint="eastAsia"/>
                <w:lang w:val="en-US" w:eastAsia="zh-CN"/>
              </w:rPr>
              <w:t>万元/a</w:t>
            </w:r>
          </w:p>
        </w:tc>
        <w:tc>
          <w:tcPr>
            <w:tcW w:w="1288" w:type="pct"/>
            <w:tcBorders>
              <w:tl2br w:val="nil"/>
              <w:tr2bl w:val="nil"/>
            </w:tcBorders>
            <w:shd w:val="clear" w:color="auto" w:fill="auto"/>
            <w:vAlign w:val="center"/>
          </w:tcPr>
          <w:p w14:paraId="47F47B89">
            <w:pPr>
              <w:pStyle w:val="31"/>
              <w:bidi w:val="0"/>
              <w:rPr>
                <w:rFonts w:hint="eastAsia"/>
                <w:lang w:val="en-US" w:eastAsia="zh-CN"/>
              </w:rPr>
            </w:pPr>
            <w:r>
              <w:rPr>
                <w:rFonts w:hint="eastAsia"/>
                <w:lang w:val="en-US" w:eastAsia="zh-CN"/>
              </w:rPr>
              <w:t xml:space="preserve">9367.16 </w:t>
            </w:r>
          </w:p>
        </w:tc>
        <w:tc>
          <w:tcPr>
            <w:tcW w:w="781" w:type="pct"/>
            <w:tcBorders>
              <w:tl2br w:val="nil"/>
              <w:tr2bl w:val="nil"/>
            </w:tcBorders>
            <w:shd w:val="clear" w:color="auto" w:fill="auto"/>
            <w:vAlign w:val="center"/>
          </w:tcPr>
          <w:p w14:paraId="4BE43734">
            <w:pPr>
              <w:pStyle w:val="31"/>
              <w:bidi w:val="0"/>
              <w:rPr>
                <w:rFonts w:hint="eastAsia"/>
                <w:lang w:val="en-US" w:eastAsia="zh-CN"/>
              </w:rPr>
            </w:pPr>
            <w:r>
              <w:rPr>
                <w:rFonts w:hint="eastAsia"/>
                <w:lang w:val="en-US" w:eastAsia="zh-CN"/>
              </w:rPr>
              <w:t xml:space="preserve">10500.00 </w:t>
            </w:r>
          </w:p>
        </w:tc>
      </w:tr>
      <w:tr w14:paraId="01D63C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69E482BF">
            <w:pPr>
              <w:pStyle w:val="31"/>
              <w:bidi w:val="0"/>
              <w:rPr>
                <w:rFonts w:hint="eastAsia"/>
                <w:lang w:val="en-US" w:eastAsia="zh-CN"/>
              </w:rPr>
            </w:pPr>
            <w:r>
              <w:rPr>
                <w:rFonts w:hint="eastAsia"/>
                <w:lang w:val="en-US" w:eastAsia="zh-CN"/>
              </w:rPr>
              <w:t>6.2</w:t>
            </w:r>
          </w:p>
        </w:tc>
        <w:tc>
          <w:tcPr>
            <w:tcW w:w="1730" w:type="pct"/>
            <w:tcBorders>
              <w:tl2br w:val="nil"/>
              <w:tr2bl w:val="nil"/>
            </w:tcBorders>
            <w:shd w:val="clear" w:color="auto" w:fill="auto"/>
            <w:vAlign w:val="center"/>
          </w:tcPr>
          <w:p w14:paraId="5D8A473D">
            <w:pPr>
              <w:pStyle w:val="31"/>
              <w:bidi w:val="0"/>
              <w:rPr>
                <w:rFonts w:hint="eastAsia"/>
                <w:lang w:val="en-US" w:eastAsia="zh-CN"/>
              </w:rPr>
            </w:pPr>
            <w:r>
              <w:rPr>
                <w:rFonts w:hint="eastAsia"/>
                <w:lang w:val="en-US" w:eastAsia="zh-CN"/>
              </w:rPr>
              <w:t>增值税</w:t>
            </w:r>
          </w:p>
        </w:tc>
        <w:tc>
          <w:tcPr>
            <w:tcW w:w="580" w:type="pct"/>
            <w:tcBorders>
              <w:tl2br w:val="nil"/>
              <w:tr2bl w:val="nil"/>
            </w:tcBorders>
            <w:shd w:val="clear" w:color="auto" w:fill="auto"/>
            <w:vAlign w:val="center"/>
          </w:tcPr>
          <w:p w14:paraId="7B18DD81">
            <w:pPr>
              <w:pStyle w:val="31"/>
              <w:bidi w:val="0"/>
              <w:rPr>
                <w:rFonts w:hint="eastAsia"/>
                <w:lang w:val="en-US" w:eastAsia="zh-CN"/>
              </w:rPr>
            </w:pPr>
            <w:r>
              <w:rPr>
                <w:rFonts w:hint="eastAsia"/>
                <w:lang w:val="en-US" w:eastAsia="zh-CN"/>
              </w:rPr>
              <w:t>万元/a</w:t>
            </w:r>
          </w:p>
        </w:tc>
        <w:tc>
          <w:tcPr>
            <w:tcW w:w="1288" w:type="pct"/>
            <w:tcBorders>
              <w:tl2br w:val="nil"/>
              <w:tr2bl w:val="nil"/>
            </w:tcBorders>
            <w:shd w:val="clear" w:color="auto" w:fill="auto"/>
            <w:vAlign w:val="center"/>
          </w:tcPr>
          <w:p w14:paraId="119690B8">
            <w:pPr>
              <w:pStyle w:val="31"/>
              <w:bidi w:val="0"/>
              <w:rPr>
                <w:rFonts w:hint="eastAsia"/>
                <w:lang w:val="en-US" w:eastAsia="zh-CN"/>
              </w:rPr>
            </w:pPr>
            <w:r>
              <w:rPr>
                <w:rFonts w:hint="eastAsia"/>
                <w:lang w:val="en-US" w:eastAsia="zh-CN"/>
              </w:rPr>
              <w:t xml:space="preserve">894.65 </w:t>
            </w:r>
          </w:p>
        </w:tc>
        <w:tc>
          <w:tcPr>
            <w:tcW w:w="781" w:type="pct"/>
            <w:tcBorders>
              <w:tl2br w:val="nil"/>
              <w:tr2bl w:val="nil"/>
            </w:tcBorders>
            <w:shd w:val="clear" w:color="auto" w:fill="auto"/>
            <w:vAlign w:val="center"/>
          </w:tcPr>
          <w:p w14:paraId="3D1D763E">
            <w:pPr>
              <w:pStyle w:val="31"/>
              <w:bidi w:val="0"/>
              <w:rPr>
                <w:rFonts w:hint="eastAsia"/>
                <w:lang w:val="en-US" w:eastAsia="zh-CN"/>
              </w:rPr>
            </w:pPr>
            <w:r>
              <w:rPr>
                <w:rFonts w:hint="eastAsia"/>
                <w:lang w:val="en-US" w:eastAsia="zh-CN"/>
              </w:rPr>
              <w:t xml:space="preserve">1002.85 </w:t>
            </w:r>
          </w:p>
        </w:tc>
      </w:tr>
      <w:tr w14:paraId="1A8F26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4EBF38CB">
            <w:pPr>
              <w:pStyle w:val="31"/>
              <w:bidi w:val="0"/>
              <w:rPr>
                <w:rFonts w:hint="eastAsia"/>
                <w:lang w:val="en-US" w:eastAsia="zh-CN"/>
              </w:rPr>
            </w:pPr>
            <w:r>
              <w:rPr>
                <w:rFonts w:hint="eastAsia"/>
                <w:lang w:val="en-US" w:eastAsia="zh-CN"/>
              </w:rPr>
              <w:t>6.3</w:t>
            </w:r>
          </w:p>
        </w:tc>
        <w:tc>
          <w:tcPr>
            <w:tcW w:w="1730" w:type="pct"/>
            <w:tcBorders>
              <w:tl2br w:val="nil"/>
              <w:tr2bl w:val="nil"/>
            </w:tcBorders>
            <w:shd w:val="clear" w:color="auto" w:fill="auto"/>
            <w:vAlign w:val="center"/>
          </w:tcPr>
          <w:p w14:paraId="4945BCDE">
            <w:pPr>
              <w:pStyle w:val="31"/>
              <w:bidi w:val="0"/>
              <w:rPr>
                <w:rFonts w:hint="eastAsia"/>
                <w:lang w:val="en-US" w:eastAsia="zh-CN"/>
              </w:rPr>
            </w:pPr>
            <w:r>
              <w:rPr>
                <w:rFonts w:hint="eastAsia"/>
                <w:lang w:val="en-US" w:eastAsia="zh-CN"/>
              </w:rPr>
              <w:t>销售税金及附加</w:t>
            </w:r>
          </w:p>
        </w:tc>
        <w:tc>
          <w:tcPr>
            <w:tcW w:w="580" w:type="pct"/>
            <w:tcBorders>
              <w:tl2br w:val="nil"/>
              <w:tr2bl w:val="nil"/>
            </w:tcBorders>
            <w:shd w:val="clear" w:color="auto" w:fill="auto"/>
            <w:vAlign w:val="center"/>
          </w:tcPr>
          <w:p w14:paraId="5FFC7924">
            <w:pPr>
              <w:pStyle w:val="31"/>
              <w:bidi w:val="0"/>
              <w:rPr>
                <w:rFonts w:hint="eastAsia"/>
                <w:lang w:val="en-US" w:eastAsia="zh-CN"/>
              </w:rPr>
            </w:pPr>
            <w:r>
              <w:rPr>
                <w:rFonts w:hint="eastAsia"/>
                <w:lang w:val="en-US" w:eastAsia="zh-CN"/>
              </w:rPr>
              <w:t>万元/a</w:t>
            </w:r>
          </w:p>
        </w:tc>
        <w:tc>
          <w:tcPr>
            <w:tcW w:w="1288" w:type="pct"/>
            <w:tcBorders>
              <w:tl2br w:val="nil"/>
              <w:tr2bl w:val="nil"/>
            </w:tcBorders>
            <w:shd w:val="clear" w:color="auto" w:fill="auto"/>
            <w:vAlign w:val="center"/>
          </w:tcPr>
          <w:p w14:paraId="3D0501E9">
            <w:pPr>
              <w:pStyle w:val="31"/>
              <w:bidi w:val="0"/>
              <w:rPr>
                <w:rFonts w:hint="eastAsia"/>
                <w:lang w:val="en-US" w:eastAsia="zh-CN"/>
              </w:rPr>
            </w:pPr>
            <w:r>
              <w:rPr>
                <w:rFonts w:hint="eastAsia"/>
                <w:lang w:val="en-US" w:eastAsia="zh-CN"/>
              </w:rPr>
              <w:t xml:space="preserve">838.84 </w:t>
            </w:r>
          </w:p>
        </w:tc>
        <w:tc>
          <w:tcPr>
            <w:tcW w:w="781" w:type="pct"/>
            <w:tcBorders>
              <w:tl2br w:val="nil"/>
              <w:tr2bl w:val="nil"/>
            </w:tcBorders>
            <w:shd w:val="clear" w:color="auto" w:fill="auto"/>
            <w:vAlign w:val="center"/>
          </w:tcPr>
          <w:p w14:paraId="37749B5A">
            <w:pPr>
              <w:pStyle w:val="31"/>
              <w:bidi w:val="0"/>
              <w:rPr>
                <w:rFonts w:hint="eastAsia"/>
                <w:lang w:val="en-US" w:eastAsia="zh-CN"/>
              </w:rPr>
            </w:pPr>
            <w:r>
              <w:rPr>
                <w:rFonts w:hint="eastAsia"/>
                <w:lang w:val="en-US" w:eastAsia="zh-CN"/>
              </w:rPr>
              <w:t xml:space="preserve">940.29 </w:t>
            </w:r>
          </w:p>
        </w:tc>
      </w:tr>
      <w:tr w14:paraId="515E58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036FF415">
            <w:pPr>
              <w:pStyle w:val="31"/>
              <w:bidi w:val="0"/>
              <w:rPr>
                <w:rFonts w:hint="eastAsia"/>
                <w:lang w:val="en-US" w:eastAsia="zh-CN"/>
              </w:rPr>
            </w:pPr>
            <w:r>
              <w:rPr>
                <w:rFonts w:hint="eastAsia"/>
                <w:lang w:val="en-US" w:eastAsia="zh-CN"/>
              </w:rPr>
              <w:t>6.4</w:t>
            </w:r>
          </w:p>
        </w:tc>
        <w:tc>
          <w:tcPr>
            <w:tcW w:w="1730" w:type="pct"/>
            <w:tcBorders>
              <w:tl2br w:val="nil"/>
              <w:tr2bl w:val="nil"/>
            </w:tcBorders>
            <w:shd w:val="clear" w:color="auto" w:fill="auto"/>
            <w:vAlign w:val="center"/>
          </w:tcPr>
          <w:p w14:paraId="1DCFE9F1">
            <w:pPr>
              <w:pStyle w:val="31"/>
              <w:bidi w:val="0"/>
              <w:rPr>
                <w:rFonts w:hint="eastAsia"/>
                <w:lang w:val="en-US" w:eastAsia="zh-CN"/>
              </w:rPr>
            </w:pPr>
            <w:r>
              <w:rPr>
                <w:rFonts w:hint="eastAsia"/>
                <w:lang w:val="en-US" w:eastAsia="zh-CN"/>
              </w:rPr>
              <w:t>利润总额</w:t>
            </w:r>
          </w:p>
        </w:tc>
        <w:tc>
          <w:tcPr>
            <w:tcW w:w="580" w:type="pct"/>
            <w:tcBorders>
              <w:tl2br w:val="nil"/>
              <w:tr2bl w:val="nil"/>
            </w:tcBorders>
            <w:shd w:val="clear" w:color="auto" w:fill="auto"/>
            <w:vAlign w:val="center"/>
          </w:tcPr>
          <w:p w14:paraId="6258D59C">
            <w:pPr>
              <w:pStyle w:val="31"/>
              <w:bidi w:val="0"/>
              <w:rPr>
                <w:rFonts w:hint="eastAsia"/>
                <w:lang w:val="en-US" w:eastAsia="zh-CN"/>
              </w:rPr>
            </w:pPr>
            <w:r>
              <w:rPr>
                <w:rFonts w:hint="eastAsia"/>
                <w:lang w:val="en-US" w:eastAsia="zh-CN"/>
              </w:rPr>
              <w:t>万元/a</w:t>
            </w:r>
          </w:p>
        </w:tc>
        <w:tc>
          <w:tcPr>
            <w:tcW w:w="1288" w:type="pct"/>
            <w:tcBorders>
              <w:tl2br w:val="nil"/>
              <w:tr2bl w:val="nil"/>
            </w:tcBorders>
            <w:shd w:val="clear" w:color="auto" w:fill="auto"/>
            <w:vAlign w:val="center"/>
          </w:tcPr>
          <w:p w14:paraId="0FF7B97C">
            <w:pPr>
              <w:pStyle w:val="31"/>
              <w:bidi w:val="0"/>
              <w:rPr>
                <w:rFonts w:hint="eastAsia"/>
                <w:lang w:val="en-US" w:eastAsia="zh-CN"/>
              </w:rPr>
            </w:pPr>
            <w:r>
              <w:rPr>
                <w:rFonts w:hint="eastAsia"/>
                <w:lang w:val="en-US" w:eastAsia="zh-CN"/>
              </w:rPr>
              <w:t xml:space="preserve">3128.60 </w:t>
            </w:r>
          </w:p>
        </w:tc>
        <w:tc>
          <w:tcPr>
            <w:tcW w:w="781" w:type="pct"/>
            <w:tcBorders>
              <w:tl2br w:val="nil"/>
              <w:tr2bl w:val="nil"/>
            </w:tcBorders>
            <w:shd w:val="clear" w:color="auto" w:fill="auto"/>
            <w:vAlign w:val="center"/>
          </w:tcPr>
          <w:p w14:paraId="2FB6160B">
            <w:pPr>
              <w:pStyle w:val="31"/>
              <w:bidi w:val="0"/>
              <w:rPr>
                <w:rFonts w:hint="eastAsia"/>
                <w:lang w:val="en-US" w:eastAsia="zh-CN"/>
              </w:rPr>
            </w:pPr>
            <w:r>
              <w:rPr>
                <w:rFonts w:hint="eastAsia"/>
                <w:lang w:val="en-US" w:eastAsia="zh-CN"/>
              </w:rPr>
              <w:t xml:space="preserve">3347.76 </w:t>
            </w:r>
          </w:p>
        </w:tc>
      </w:tr>
      <w:tr w14:paraId="791974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63FF5CD3">
            <w:pPr>
              <w:pStyle w:val="31"/>
              <w:bidi w:val="0"/>
              <w:rPr>
                <w:rFonts w:hint="eastAsia"/>
                <w:lang w:val="en-US" w:eastAsia="zh-CN"/>
              </w:rPr>
            </w:pPr>
            <w:r>
              <w:rPr>
                <w:rFonts w:hint="eastAsia"/>
                <w:lang w:val="en-US" w:eastAsia="zh-CN"/>
              </w:rPr>
              <w:t>6.5</w:t>
            </w:r>
          </w:p>
        </w:tc>
        <w:tc>
          <w:tcPr>
            <w:tcW w:w="1730" w:type="pct"/>
            <w:tcBorders>
              <w:tl2br w:val="nil"/>
              <w:tr2bl w:val="nil"/>
            </w:tcBorders>
            <w:shd w:val="clear" w:color="auto" w:fill="auto"/>
            <w:vAlign w:val="center"/>
          </w:tcPr>
          <w:p w14:paraId="29BAA2D1">
            <w:pPr>
              <w:pStyle w:val="31"/>
              <w:bidi w:val="0"/>
              <w:rPr>
                <w:rFonts w:hint="eastAsia"/>
                <w:lang w:val="en-US" w:eastAsia="zh-CN"/>
              </w:rPr>
            </w:pPr>
            <w:r>
              <w:rPr>
                <w:rFonts w:hint="eastAsia"/>
                <w:lang w:val="en-US" w:eastAsia="zh-CN"/>
              </w:rPr>
              <w:t>所得税</w:t>
            </w:r>
          </w:p>
        </w:tc>
        <w:tc>
          <w:tcPr>
            <w:tcW w:w="580" w:type="pct"/>
            <w:tcBorders>
              <w:tl2br w:val="nil"/>
              <w:tr2bl w:val="nil"/>
            </w:tcBorders>
            <w:shd w:val="clear" w:color="auto" w:fill="auto"/>
            <w:vAlign w:val="center"/>
          </w:tcPr>
          <w:p w14:paraId="18DD7575">
            <w:pPr>
              <w:pStyle w:val="31"/>
              <w:bidi w:val="0"/>
              <w:rPr>
                <w:rFonts w:hint="eastAsia"/>
                <w:lang w:val="en-US" w:eastAsia="zh-CN"/>
              </w:rPr>
            </w:pPr>
            <w:r>
              <w:rPr>
                <w:rFonts w:hint="eastAsia"/>
                <w:lang w:val="en-US" w:eastAsia="zh-CN"/>
              </w:rPr>
              <w:t>万元/a</w:t>
            </w:r>
          </w:p>
        </w:tc>
        <w:tc>
          <w:tcPr>
            <w:tcW w:w="1288" w:type="pct"/>
            <w:tcBorders>
              <w:tl2br w:val="nil"/>
              <w:tr2bl w:val="nil"/>
            </w:tcBorders>
            <w:shd w:val="clear" w:color="auto" w:fill="auto"/>
            <w:vAlign w:val="center"/>
          </w:tcPr>
          <w:p w14:paraId="073416DD">
            <w:pPr>
              <w:pStyle w:val="31"/>
              <w:bidi w:val="0"/>
              <w:rPr>
                <w:rFonts w:hint="eastAsia"/>
                <w:lang w:val="en-US" w:eastAsia="zh-CN"/>
              </w:rPr>
            </w:pPr>
            <w:r>
              <w:rPr>
                <w:rFonts w:hint="eastAsia"/>
                <w:lang w:val="en-US" w:eastAsia="zh-CN"/>
              </w:rPr>
              <w:t xml:space="preserve">782.15 </w:t>
            </w:r>
          </w:p>
        </w:tc>
        <w:tc>
          <w:tcPr>
            <w:tcW w:w="781" w:type="pct"/>
            <w:tcBorders>
              <w:tl2br w:val="nil"/>
              <w:tr2bl w:val="nil"/>
            </w:tcBorders>
            <w:shd w:val="clear" w:color="auto" w:fill="auto"/>
            <w:vAlign w:val="center"/>
          </w:tcPr>
          <w:p w14:paraId="039884E3">
            <w:pPr>
              <w:pStyle w:val="31"/>
              <w:bidi w:val="0"/>
              <w:rPr>
                <w:rFonts w:hint="eastAsia"/>
                <w:lang w:val="en-US" w:eastAsia="zh-CN"/>
              </w:rPr>
            </w:pPr>
            <w:r>
              <w:rPr>
                <w:rFonts w:hint="eastAsia"/>
                <w:lang w:val="en-US" w:eastAsia="zh-CN"/>
              </w:rPr>
              <w:t xml:space="preserve">836.94 </w:t>
            </w:r>
          </w:p>
        </w:tc>
      </w:tr>
      <w:tr w14:paraId="415374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2DBC62BE">
            <w:pPr>
              <w:pStyle w:val="31"/>
              <w:bidi w:val="0"/>
              <w:rPr>
                <w:rFonts w:hint="eastAsia"/>
                <w:lang w:val="en-US" w:eastAsia="zh-CN"/>
              </w:rPr>
            </w:pPr>
            <w:r>
              <w:rPr>
                <w:rFonts w:hint="eastAsia"/>
                <w:lang w:val="en-US" w:eastAsia="zh-CN"/>
              </w:rPr>
              <w:t>6.6</w:t>
            </w:r>
          </w:p>
        </w:tc>
        <w:tc>
          <w:tcPr>
            <w:tcW w:w="1730" w:type="pct"/>
            <w:tcBorders>
              <w:tl2br w:val="nil"/>
              <w:tr2bl w:val="nil"/>
            </w:tcBorders>
            <w:shd w:val="clear" w:color="auto" w:fill="auto"/>
            <w:vAlign w:val="center"/>
          </w:tcPr>
          <w:p w14:paraId="26227D34">
            <w:pPr>
              <w:pStyle w:val="31"/>
              <w:bidi w:val="0"/>
              <w:rPr>
                <w:rFonts w:hint="eastAsia"/>
                <w:lang w:val="en-US" w:eastAsia="zh-CN"/>
              </w:rPr>
            </w:pPr>
            <w:r>
              <w:rPr>
                <w:rFonts w:hint="eastAsia"/>
                <w:lang w:val="en-US" w:eastAsia="zh-CN"/>
              </w:rPr>
              <w:t>净利润</w:t>
            </w:r>
          </w:p>
        </w:tc>
        <w:tc>
          <w:tcPr>
            <w:tcW w:w="580" w:type="pct"/>
            <w:tcBorders>
              <w:tl2br w:val="nil"/>
              <w:tr2bl w:val="nil"/>
            </w:tcBorders>
            <w:shd w:val="clear" w:color="auto" w:fill="auto"/>
            <w:vAlign w:val="center"/>
          </w:tcPr>
          <w:p w14:paraId="3F7B691F">
            <w:pPr>
              <w:pStyle w:val="31"/>
              <w:bidi w:val="0"/>
              <w:rPr>
                <w:rFonts w:hint="eastAsia"/>
                <w:lang w:val="en-US" w:eastAsia="zh-CN"/>
              </w:rPr>
            </w:pPr>
            <w:r>
              <w:rPr>
                <w:rFonts w:hint="eastAsia"/>
                <w:lang w:val="en-US" w:eastAsia="zh-CN"/>
              </w:rPr>
              <w:t>万元/a</w:t>
            </w:r>
          </w:p>
        </w:tc>
        <w:tc>
          <w:tcPr>
            <w:tcW w:w="1288" w:type="pct"/>
            <w:tcBorders>
              <w:tl2br w:val="nil"/>
              <w:tr2bl w:val="nil"/>
            </w:tcBorders>
            <w:shd w:val="clear" w:color="auto" w:fill="auto"/>
            <w:vAlign w:val="center"/>
          </w:tcPr>
          <w:p w14:paraId="7B7BB70D">
            <w:pPr>
              <w:pStyle w:val="31"/>
              <w:bidi w:val="0"/>
              <w:rPr>
                <w:rFonts w:hint="eastAsia"/>
                <w:lang w:val="en-US" w:eastAsia="zh-CN"/>
              </w:rPr>
            </w:pPr>
            <w:r>
              <w:rPr>
                <w:rFonts w:hint="eastAsia"/>
                <w:lang w:val="en-US" w:eastAsia="zh-CN"/>
              </w:rPr>
              <w:t xml:space="preserve">2346.45 </w:t>
            </w:r>
          </w:p>
        </w:tc>
        <w:tc>
          <w:tcPr>
            <w:tcW w:w="781" w:type="pct"/>
            <w:tcBorders>
              <w:tl2br w:val="nil"/>
              <w:tr2bl w:val="nil"/>
            </w:tcBorders>
            <w:shd w:val="clear" w:color="auto" w:fill="auto"/>
            <w:vAlign w:val="center"/>
          </w:tcPr>
          <w:p w14:paraId="1000AC29">
            <w:pPr>
              <w:pStyle w:val="31"/>
              <w:bidi w:val="0"/>
              <w:rPr>
                <w:rFonts w:hint="eastAsia"/>
                <w:lang w:val="en-US" w:eastAsia="zh-CN"/>
              </w:rPr>
            </w:pPr>
            <w:r>
              <w:rPr>
                <w:rFonts w:hint="eastAsia"/>
                <w:lang w:val="en-US" w:eastAsia="zh-CN"/>
              </w:rPr>
              <w:t xml:space="preserve">2510.82 </w:t>
            </w:r>
          </w:p>
        </w:tc>
      </w:tr>
      <w:tr w14:paraId="021231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65D3E11F">
            <w:pPr>
              <w:pStyle w:val="31"/>
              <w:bidi w:val="0"/>
              <w:rPr>
                <w:rFonts w:hint="eastAsia"/>
                <w:lang w:val="en-US" w:eastAsia="zh-CN"/>
              </w:rPr>
            </w:pPr>
            <w:r>
              <w:rPr>
                <w:rFonts w:hint="eastAsia"/>
                <w:lang w:val="en-US" w:eastAsia="zh-CN"/>
              </w:rPr>
              <w:t>7</w:t>
            </w:r>
          </w:p>
        </w:tc>
        <w:tc>
          <w:tcPr>
            <w:tcW w:w="1730" w:type="pct"/>
            <w:tcBorders>
              <w:tl2br w:val="nil"/>
              <w:tr2bl w:val="nil"/>
            </w:tcBorders>
            <w:shd w:val="clear" w:color="auto" w:fill="auto"/>
            <w:vAlign w:val="center"/>
          </w:tcPr>
          <w:p w14:paraId="435B45B6">
            <w:pPr>
              <w:pStyle w:val="31"/>
              <w:bidi w:val="0"/>
              <w:rPr>
                <w:rFonts w:hint="eastAsia"/>
                <w:lang w:val="en-US" w:eastAsia="zh-CN"/>
              </w:rPr>
            </w:pPr>
            <w:r>
              <w:rPr>
                <w:rFonts w:hint="eastAsia"/>
                <w:lang w:val="en-US" w:eastAsia="zh-CN"/>
              </w:rPr>
              <w:t>经济效益指标</w:t>
            </w:r>
          </w:p>
        </w:tc>
        <w:tc>
          <w:tcPr>
            <w:tcW w:w="580" w:type="pct"/>
            <w:tcBorders>
              <w:tl2br w:val="nil"/>
              <w:tr2bl w:val="nil"/>
            </w:tcBorders>
            <w:shd w:val="clear" w:color="auto" w:fill="auto"/>
            <w:vAlign w:val="center"/>
          </w:tcPr>
          <w:p w14:paraId="4EB31169">
            <w:pPr>
              <w:pStyle w:val="31"/>
              <w:bidi w:val="0"/>
              <w:rPr>
                <w:rFonts w:hint="eastAsia"/>
                <w:lang w:val="en-US" w:eastAsia="zh-CN"/>
              </w:rPr>
            </w:pPr>
          </w:p>
        </w:tc>
        <w:tc>
          <w:tcPr>
            <w:tcW w:w="1288" w:type="pct"/>
            <w:tcBorders>
              <w:tl2br w:val="nil"/>
              <w:tr2bl w:val="nil"/>
            </w:tcBorders>
            <w:shd w:val="clear" w:color="auto" w:fill="auto"/>
            <w:vAlign w:val="center"/>
          </w:tcPr>
          <w:p w14:paraId="3F979803">
            <w:pPr>
              <w:pStyle w:val="31"/>
              <w:bidi w:val="0"/>
              <w:rPr>
                <w:rFonts w:hint="eastAsia"/>
                <w:lang w:val="en-US" w:eastAsia="zh-CN"/>
              </w:rPr>
            </w:pPr>
            <w:r>
              <w:rPr>
                <w:rFonts w:hint="eastAsia"/>
                <w:lang w:val="en-US" w:eastAsia="zh-CN"/>
              </w:rPr>
              <w:t>税前</w:t>
            </w:r>
          </w:p>
        </w:tc>
        <w:tc>
          <w:tcPr>
            <w:tcW w:w="781" w:type="pct"/>
            <w:tcBorders>
              <w:tl2br w:val="nil"/>
              <w:tr2bl w:val="nil"/>
            </w:tcBorders>
            <w:shd w:val="clear" w:color="auto" w:fill="auto"/>
            <w:vAlign w:val="center"/>
          </w:tcPr>
          <w:p w14:paraId="1770D8FC">
            <w:pPr>
              <w:pStyle w:val="31"/>
              <w:bidi w:val="0"/>
              <w:rPr>
                <w:rFonts w:hint="eastAsia"/>
                <w:lang w:val="en-US" w:eastAsia="zh-CN"/>
              </w:rPr>
            </w:pPr>
            <w:r>
              <w:rPr>
                <w:rFonts w:hint="eastAsia"/>
                <w:lang w:val="en-US" w:eastAsia="zh-CN"/>
              </w:rPr>
              <w:t>税后</w:t>
            </w:r>
          </w:p>
        </w:tc>
      </w:tr>
      <w:tr w14:paraId="3CE680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040D9E5B">
            <w:pPr>
              <w:pStyle w:val="31"/>
              <w:bidi w:val="0"/>
              <w:rPr>
                <w:rFonts w:hint="eastAsia"/>
                <w:lang w:val="en-US" w:eastAsia="zh-CN"/>
              </w:rPr>
            </w:pPr>
            <w:r>
              <w:rPr>
                <w:rFonts w:hint="eastAsia"/>
                <w:lang w:val="en-US" w:eastAsia="zh-CN"/>
              </w:rPr>
              <w:t>7.1</w:t>
            </w:r>
          </w:p>
        </w:tc>
        <w:tc>
          <w:tcPr>
            <w:tcW w:w="1730" w:type="pct"/>
            <w:tcBorders>
              <w:tl2br w:val="nil"/>
              <w:tr2bl w:val="nil"/>
            </w:tcBorders>
            <w:shd w:val="clear" w:color="auto" w:fill="auto"/>
            <w:vAlign w:val="center"/>
          </w:tcPr>
          <w:p w14:paraId="087958BF">
            <w:pPr>
              <w:pStyle w:val="31"/>
              <w:bidi w:val="0"/>
              <w:rPr>
                <w:rFonts w:hint="eastAsia"/>
                <w:lang w:val="en-US" w:eastAsia="zh-CN"/>
              </w:rPr>
            </w:pPr>
            <w:r>
              <w:rPr>
                <w:rFonts w:hint="eastAsia"/>
                <w:lang w:val="en-US" w:eastAsia="zh-CN"/>
              </w:rPr>
              <w:t>项目投资内部收益率</w:t>
            </w:r>
          </w:p>
        </w:tc>
        <w:tc>
          <w:tcPr>
            <w:tcW w:w="580" w:type="pct"/>
            <w:tcBorders>
              <w:tl2br w:val="nil"/>
              <w:tr2bl w:val="nil"/>
            </w:tcBorders>
            <w:shd w:val="clear" w:color="auto" w:fill="auto"/>
            <w:vAlign w:val="center"/>
          </w:tcPr>
          <w:p w14:paraId="784468AB">
            <w:pPr>
              <w:pStyle w:val="31"/>
              <w:bidi w:val="0"/>
              <w:rPr>
                <w:rFonts w:hint="eastAsia"/>
                <w:lang w:val="en-US" w:eastAsia="zh-CN"/>
              </w:rPr>
            </w:pPr>
            <w:r>
              <w:rPr>
                <w:rFonts w:hint="eastAsia"/>
                <w:lang w:val="en-US" w:eastAsia="zh-CN"/>
              </w:rPr>
              <w:t>％</w:t>
            </w:r>
          </w:p>
        </w:tc>
        <w:tc>
          <w:tcPr>
            <w:tcW w:w="1288" w:type="pct"/>
            <w:tcBorders>
              <w:tl2br w:val="nil"/>
              <w:tr2bl w:val="nil"/>
            </w:tcBorders>
            <w:shd w:val="clear" w:color="auto" w:fill="auto"/>
            <w:vAlign w:val="center"/>
          </w:tcPr>
          <w:p w14:paraId="4456D671">
            <w:pPr>
              <w:pStyle w:val="31"/>
              <w:bidi w:val="0"/>
              <w:rPr>
                <w:rFonts w:hint="eastAsia"/>
                <w:lang w:val="en-US" w:eastAsia="zh-CN"/>
              </w:rPr>
            </w:pPr>
            <w:r>
              <w:rPr>
                <w:rFonts w:hint="eastAsia"/>
                <w:lang w:val="en-US" w:eastAsia="zh-CN"/>
              </w:rPr>
              <w:t>17.69</w:t>
            </w:r>
          </w:p>
        </w:tc>
        <w:tc>
          <w:tcPr>
            <w:tcW w:w="781" w:type="pct"/>
            <w:tcBorders>
              <w:tl2br w:val="nil"/>
              <w:tr2bl w:val="nil"/>
            </w:tcBorders>
            <w:shd w:val="clear" w:color="auto" w:fill="auto"/>
            <w:vAlign w:val="center"/>
          </w:tcPr>
          <w:p w14:paraId="61B4395F">
            <w:pPr>
              <w:pStyle w:val="31"/>
              <w:bidi w:val="0"/>
              <w:rPr>
                <w:rFonts w:hint="eastAsia"/>
                <w:lang w:val="en-US" w:eastAsia="zh-CN"/>
              </w:rPr>
            </w:pPr>
            <w:r>
              <w:rPr>
                <w:rFonts w:hint="eastAsia"/>
                <w:lang w:val="en-US" w:eastAsia="zh-CN"/>
              </w:rPr>
              <w:t>14.34</w:t>
            </w:r>
          </w:p>
        </w:tc>
      </w:tr>
      <w:tr w14:paraId="0D8AB4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5B01316C">
            <w:pPr>
              <w:pStyle w:val="31"/>
              <w:bidi w:val="0"/>
              <w:rPr>
                <w:rFonts w:hint="eastAsia"/>
                <w:lang w:val="en-US" w:eastAsia="zh-CN"/>
              </w:rPr>
            </w:pPr>
            <w:r>
              <w:rPr>
                <w:rFonts w:hint="eastAsia"/>
                <w:lang w:val="en-US" w:eastAsia="zh-CN"/>
              </w:rPr>
              <w:t>7.2</w:t>
            </w:r>
          </w:p>
        </w:tc>
        <w:tc>
          <w:tcPr>
            <w:tcW w:w="1730" w:type="pct"/>
            <w:tcBorders>
              <w:tl2br w:val="nil"/>
              <w:tr2bl w:val="nil"/>
            </w:tcBorders>
            <w:shd w:val="clear" w:color="auto" w:fill="auto"/>
            <w:vAlign w:val="center"/>
          </w:tcPr>
          <w:p w14:paraId="104ED624">
            <w:pPr>
              <w:pStyle w:val="31"/>
              <w:bidi w:val="0"/>
              <w:rPr>
                <w:rFonts w:hint="eastAsia"/>
                <w:lang w:val="en-US" w:eastAsia="zh-CN"/>
              </w:rPr>
            </w:pPr>
            <w:r>
              <w:rPr>
                <w:rFonts w:hint="eastAsia"/>
                <w:lang w:val="en-US" w:eastAsia="zh-CN"/>
              </w:rPr>
              <w:t>项目投资净现值（i＝12％）</w:t>
            </w:r>
          </w:p>
        </w:tc>
        <w:tc>
          <w:tcPr>
            <w:tcW w:w="580" w:type="pct"/>
            <w:tcBorders>
              <w:tl2br w:val="nil"/>
              <w:tr2bl w:val="nil"/>
            </w:tcBorders>
            <w:shd w:val="clear" w:color="auto" w:fill="auto"/>
            <w:vAlign w:val="center"/>
          </w:tcPr>
          <w:p w14:paraId="27C18D7C">
            <w:pPr>
              <w:pStyle w:val="31"/>
              <w:bidi w:val="0"/>
              <w:rPr>
                <w:rFonts w:hint="eastAsia"/>
                <w:lang w:val="en-US" w:eastAsia="zh-CN"/>
              </w:rPr>
            </w:pPr>
            <w:r>
              <w:rPr>
                <w:rFonts w:hint="eastAsia"/>
                <w:lang w:val="en-US" w:eastAsia="zh-CN"/>
              </w:rPr>
              <w:t>万元</w:t>
            </w:r>
          </w:p>
        </w:tc>
        <w:tc>
          <w:tcPr>
            <w:tcW w:w="1288" w:type="pct"/>
            <w:tcBorders>
              <w:tl2br w:val="nil"/>
              <w:tr2bl w:val="nil"/>
            </w:tcBorders>
            <w:shd w:val="clear" w:color="auto" w:fill="auto"/>
            <w:vAlign w:val="center"/>
          </w:tcPr>
          <w:p w14:paraId="67C7A6B2">
            <w:pPr>
              <w:pStyle w:val="31"/>
              <w:bidi w:val="0"/>
              <w:rPr>
                <w:rFonts w:hint="eastAsia"/>
                <w:lang w:val="en-US" w:eastAsia="zh-CN"/>
              </w:rPr>
            </w:pPr>
            <w:r>
              <w:rPr>
                <w:rFonts w:hint="eastAsia"/>
                <w:lang w:val="en-US" w:eastAsia="zh-CN"/>
              </w:rPr>
              <w:t>7571.94</w:t>
            </w:r>
          </w:p>
        </w:tc>
        <w:tc>
          <w:tcPr>
            <w:tcW w:w="781" w:type="pct"/>
            <w:tcBorders>
              <w:tl2br w:val="nil"/>
              <w:tr2bl w:val="nil"/>
            </w:tcBorders>
            <w:shd w:val="clear" w:color="auto" w:fill="auto"/>
            <w:vAlign w:val="center"/>
          </w:tcPr>
          <w:p w14:paraId="0F251141">
            <w:pPr>
              <w:pStyle w:val="31"/>
              <w:bidi w:val="0"/>
              <w:rPr>
                <w:rFonts w:hint="eastAsia"/>
                <w:lang w:val="en-US" w:eastAsia="zh-CN"/>
              </w:rPr>
            </w:pPr>
            <w:r>
              <w:rPr>
                <w:rFonts w:hint="eastAsia"/>
                <w:lang w:val="en-US" w:eastAsia="zh-CN"/>
              </w:rPr>
              <w:t>2937.25</w:t>
            </w:r>
          </w:p>
        </w:tc>
      </w:tr>
      <w:tr w14:paraId="3319A4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334CCBF5">
            <w:pPr>
              <w:pStyle w:val="31"/>
              <w:bidi w:val="0"/>
              <w:rPr>
                <w:rFonts w:hint="eastAsia"/>
                <w:lang w:val="en-US" w:eastAsia="zh-CN"/>
              </w:rPr>
            </w:pPr>
            <w:r>
              <w:rPr>
                <w:rFonts w:hint="eastAsia"/>
                <w:lang w:val="en-US" w:eastAsia="zh-CN"/>
              </w:rPr>
              <w:t>7.3</w:t>
            </w:r>
          </w:p>
        </w:tc>
        <w:tc>
          <w:tcPr>
            <w:tcW w:w="1730" w:type="pct"/>
            <w:tcBorders>
              <w:tl2br w:val="nil"/>
              <w:tr2bl w:val="nil"/>
            </w:tcBorders>
            <w:shd w:val="clear" w:color="auto" w:fill="auto"/>
            <w:vAlign w:val="center"/>
          </w:tcPr>
          <w:p w14:paraId="1F657523">
            <w:pPr>
              <w:pStyle w:val="31"/>
              <w:bidi w:val="0"/>
              <w:rPr>
                <w:rFonts w:hint="eastAsia"/>
                <w:lang w:val="en-US" w:eastAsia="zh-CN"/>
              </w:rPr>
            </w:pPr>
            <w:r>
              <w:rPr>
                <w:rFonts w:hint="eastAsia"/>
                <w:lang w:val="en-US" w:eastAsia="zh-CN"/>
              </w:rPr>
              <w:t>投资回收期</w:t>
            </w:r>
          </w:p>
        </w:tc>
        <w:tc>
          <w:tcPr>
            <w:tcW w:w="580" w:type="pct"/>
            <w:tcBorders>
              <w:tl2br w:val="nil"/>
              <w:tr2bl w:val="nil"/>
            </w:tcBorders>
            <w:shd w:val="clear" w:color="auto" w:fill="auto"/>
            <w:vAlign w:val="center"/>
          </w:tcPr>
          <w:p w14:paraId="6B5E96BC">
            <w:pPr>
              <w:pStyle w:val="31"/>
              <w:bidi w:val="0"/>
              <w:rPr>
                <w:rFonts w:hint="eastAsia"/>
                <w:lang w:val="en-US" w:eastAsia="zh-CN"/>
              </w:rPr>
            </w:pPr>
            <w:r>
              <w:rPr>
                <w:rFonts w:hint="eastAsia"/>
                <w:lang w:val="en-US" w:eastAsia="zh-CN"/>
              </w:rPr>
              <w:t>a</w:t>
            </w:r>
          </w:p>
        </w:tc>
        <w:tc>
          <w:tcPr>
            <w:tcW w:w="1288" w:type="pct"/>
            <w:tcBorders>
              <w:tl2br w:val="nil"/>
              <w:tr2bl w:val="nil"/>
            </w:tcBorders>
            <w:shd w:val="clear" w:color="auto" w:fill="auto"/>
            <w:vAlign w:val="center"/>
          </w:tcPr>
          <w:p w14:paraId="5B34F158">
            <w:pPr>
              <w:pStyle w:val="31"/>
              <w:bidi w:val="0"/>
              <w:rPr>
                <w:rFonts w:hint="eastAsia"/>
                <w:lang w:val="en-US" w:eastAsia="zh-CN"/>
              </w:rPr>
            </w:pPr>
            <w:r>
              <w:rPr>
                <w:rFonts w:hint="eastAsia"/>
                <w:lang w:val="en-US" w:eastAsia="zh-CN"/>
              </w:rPr>
              <w:t>7.75</w:t>
            </w:r>
          </w:p>
        </w:tc>
        <w:tc>
          <w:tcPr>
            <w:tcW w:w="781" w:type="pct"/>
            <w:tcBorders>
              <w:tl2br w:val="nil"/>
              <w:tr2bl w:val="nil"/>
            </w:tcBorders>
            <w:shd w:val="clear" w:color="auto" w:fill="auto"/>
            <w:vAlign w:val="center"/>
          </w:tcPr>
          <w:p w14:paraId="7E79C390">
            <w:pPr>
              <w:pStyle w:val="31"/>
              <w:bidi w:val="0"/>
              <w:rPr>
                <w:rFonts w:hint="eastAsia"/>
                <w:lang w:val="en-US" w:eastAsia="zh-CN"/>
              </w:rPr>
            </w:pPr>
            <w:r>
              <w:rPr>
                <w:rFonts w:hint="eastAsia"/>
                <w:lang w:val="en-US" w:eastAsia="zh-CN"/>
              </w:rPr>
              <w:t>8.86</w:t>
            </w:r>
          </w:p>
        </w:tc>
      </w:tr>
      <w:tr w14:paraId="1EFDDA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0A6E1272">
            <w:pPr>
              <w:pStyle w:val="31"/>
              <w:bidi w:val="0"/>
              <w:rPr>
                <w:rFonts w:hint="eastAsia"/>
                <w:lang w:val="en-US" w:eastAsia="zh-CN"/>
              </w:rPr>
            </w:pPr>
            <w:r>
              <w:rPr>
                <w:rFonts w:hint="eastAsia"/>
                <w:lang w:val="en-US" w:eastAsia="zh-CN"/>
              </w:rPr>
              <w:t>7.4</w:t>
            </w:r>
          </w:p>
        </w:tc>
        <w:tc>
          <w:tcPr>
            <w:tcW w:w="1730" w:type="pct"/>
            <w:tcBorders>
              <w:tl2br w:val="nil"/>
              <w:tr2bl w:val="nil"/>
            </w:tcBorders>
            <w:shd w:val="clear" w:color="auto" w:fill="auto"/>
            <w:vAlign w:val="center"/>
          </w:tcPr>
          <w:p w14:paraId="59CDAFD8">
            <w:pPr>
              <w:pStyle w:val="31"/>
              <w:bidi w:val="0"/>
              <w:rPr>
                <w:rFonts w:hint="eastAsia"/>
                <w:lang w:val="en-US" w:eastAsia="zh-CN"/>
              </w:rPr>
            </w:pPr>
            <w:r>
              <w:rPr>
                <w:rFonts w:hint="eastAsia"/>
                <w:lang w:val="en-US" w:eastAsia="zh-CN"/>
              </w:rPr>
              <w:t>总投资收益率</w:t>
            </w:r>
          </w:p>
        </w:tc>
        <w:tc>
          <w:tcPr>
            <w:tcW w:w="580" w:type="pct"/>
            <w:tcBorders>
              <w:tl2br w:val="nil"/>
              <w:tr2bl w:val="nil"/>
            </w:tcBorders>
            <w:shd w:val="clear" w:color="auto" w:fill="auto"/>
            <w:vAlign w:val="center"/>
          </w:tcPr>
          <w:p w14:paraId="3C915839">
            <w:pPr>
              <w:pStyle w:val="31"/>
              <w:bidi w:val="0"/>
              <w:rPr>
                <w:rFonts w:hint="eastAsia"/>
                <w:lang w:val="en-US" w:eastAsia="zh-CN"/>
              </w:rPr>
            </w:pPr>
            <w:r>
              <w:rPr>
                <w:rFonts w:hint="eastAsia"/>
                <w:lang w:val="en-US" w:eastAsia="zh-CN"/>
              </w:rPr>
              <w:t>％</w:t>
            </w:r>
          </w:p>
        </w:tc>
        <w:tc>
          <w:tcPr>
            <w:tcW w:w="1288" w:type="pct"/>
            <w:tcBorders>
              <w:tl2br w:val="nil"/>
              <w:tr2bl w:val="nil"/>
            </w:tcBorders>
            <w:shd w:val="clear" w:color="auto" w:fill="auto"/>
            <w:vAlign w:val="center"/>
          </w:tcPr>
          <w:p w14:paraId="1E667C36">
            <w:pPr>
              <w:pStyle w:val="31"/>
              <w:bidi w:val="0"/>
              <w:rPr>
                <w:rFonts w:hint="eastAsia"/>
                <w:lang w:val="en-US" w:eastAsia="zh-CN"/>
              </w:rPr>
            </w:pPr>
            <w:r>
              <w:rPr>
                <w:rFonts w:hint="eastAsia"/>
                <w:lang w:val="en-US" w:eastAsia="zh-CN"/>
              </w:rPr>
              <w:t>16.16</w:t>
            </w:r>
          </w:p>
        </w:tc>
        <w:tc>
          <w:tcPr>
            <w:tcW w:w="781" w:type="pct"/>
            <w:tcBorders>
              <w:tl2br w:val="nil"/>
              <w:tr2bl w:val="nil"/>
            </w:tcBorders>
            <w:shd w:val="clear" w:color="auto" w:fill="auto"/>
            <w:vAlign w:val="center"/>
          </w:tcPr>
          <w:p w14:paraId="61C59973">
            <w:pPr>
              <w:pStyle w:val="31"/>
              <w:bidi w:val="0"/>
              <w:rPr>
                <w:rFonts w:hint="eastAsia"/>
                <w:lang w:val="en-US" w:eastAsia="zh-CN"/>
              </w:rPr>
            </w:pPr>
          </w:p>
        </w:tc>
      </w:tr>
      <w:tr w14:paraId="658E70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00" w:hRule="atLeast"/>
        </w:trPr>
        <w:tc>
          <w:tcPr>
            <w:tcW w:w="619" w:type="pct"/>
            <w:tcBorders>
              <w:tl2br w:val="nil"/>
              <w:tr2bl w:val="nil"/>
            </w:tcBorders>
            <w:shd w:val="clear" w:color="auto" w:fill="auto"/>
            <w:vAlign w:val="center"/>
          </w:tcPr>
          <w:p w14:paraId="4148E50E">
            <w:pPr>
              <w:pStyle w:val="31"/>
              <w:bidi w:val="0"/>
              <w:rPr>
                <w:rFonts w:hint="eastAsia"/>
                <w:lang w:val="en-US" w:eastAsia="zh-CN"/>
              </w:rPr>
            </w:pPr>
            <w:r>
              <w:rPr>
                <w:rFonts w:hint="eastAsia"/>
                <w:lang w:val="en-US" w:eastAsia="zh-CN"/>
              </w:rPr>
              <w:t>7.5</w:t>
            </w:r>
          </w:p>
        </w:tc>
        <w:tc>
          <w:tcPr>
            <w:tcW w:w="1730" w:type="pct"/>
            <w:tcBorders>
              <w:tl2br w:val="nil"/>
              <w:tr2bl w:val="nil"/>
            </w:tcBorders>
            <w:shd w:val="clear" w:color="auto" w:fill="auto"/>
            <w:vAlign w:val="center"/>
          </w:tcPr>
          <w:p w14:paraId="0A074A90">
            <w:pPr>
              <w:pStyle w:val="31"/>
              <w:bidi w:val="0"/>
              <w:rPr>
                <w:rFonts w:hint="eastAsia"/>
                <w:lang w:val="en-US" w:eastAsia="zh-CN"/>
              </w:rPr>
            </w:pPr>
            <w:r>
              <w:rPr>
                <w:rFonts w:hint="eastAsia"/>
                <w:lang w:val="en-US" w:eastAsia="zh-CN"/>
              </w:rPr>
              <w:t>项目资本金净利润率</w:t>
            </w:r>
          </w:p>
        </w:tc>
        <w:tc>
          <w:tcPr>
            <w:tcW w:w="580" w:type="pct"/>
            <w:tcBorders>
              <w:tl2br w:val="nil"/>
              <w:tr2bl w:val="nil"/>
            </w:tcBorders>
            <w:shd w:val="clear" w:color="auto" w:fill="auto"/>
            <w:vAlign w:val="center"/>
          </w:tcPr>
          <w:p w14:paraId="097C57D8">
            <w:pPr>
              <w:pStyle w:val="31"/>
              <w:bidi w:val="0"/>
              <w:rPr>
                <w:rFonts w:hint="eastAsia"/>
                <w:lang w:val="en-US" w:eastAsia="zh-CN"/>
              </w:rPr>
            </w:pPr>
            <w:r>
              <w:rPr>
                <w:rFonts w:hint="eastAsia"/>
                <w:lang w:val="en-US" w:eastAsia="zh-CN"/>
              </w:rPr>
              <w:t>％</w:t>
            </w:r>
          </w:p>
        </w:tc>
        <w:tc>
          <w:tcPr>
            <w:tcW w:w="1288" w:type="pct"/>
            <w:tcBorders>
              <w:tl2br w:val="nil"/>
              <w:tr2bl w:val="nil"/>
            </w:tcBorders>
            <w:shd w:val="clear" w:color="auto" w:fill="auto"/>
            <w:vAlign w:val="center"/>
          </w:tcPr>
          <w:p w14:paraId="50A6BB26">
            <w:pPr>
              <w:pStyle w:val="31"/>
              <w:bidi w:val="0"/>
              <w:rPr>
                <w:rFonts w:hint="eastAsia"/>
                <w:lang w:val="en-US" w:eastAsia="zh-CN"/>
              </w:rPr>
            </w:pPr>
            <w:r>
              <w:rPr>
                <w:rFonts w:hint="eastAsia"/>
                <w:lang w:val="en-US" w:eastAsia="zh-CN"/>
              </w:rPr>
              <w:t>12.12</w:t>
            </w:r>
          </w:p>
        </w:tc>
        <w:tc>
          <w:tcPr>
            <w:tcW w:w="781" w:type="pct"/>
            <w:tcBorders>
              <w:tl2br w:val="nil"/>
              <w:tr2bl w:val="nil"/>
            </w:tcBorders>
            <w:shd w:val="clear" w:color="auto" w:fill="auto"/>
            <w:vAlign w:val="center"/>
          </w:tcPr>
          <w:p w14:paraId="680A071B">
            <w:pPr>
              <w:pStyle w:val="31"/>
              <w:bidi w:val="0"/>
              <w:rPr>
                <w:rFonts w:hint="eastAsia"/>
                <w:lang w:val="en-US" w:eastAsia="zh-CN"/>
              </w:rPr>
            </w:pPr>
          </w:p>
        </w:tc>
      </w:tr>
    </w:tbl>
    <w:p w14:paraId="076B7A86">
      <w:pPr>
        <w:pStyle w:val="21"/>
        <w:rPr>
          <w:rFonts w:hint="default"/>
          <w:lang w:val="en-US" w:eastAsia="zh-CN"/>
        </w:rPr>
      </w:pPr>
    </w:p>
    <w:p w14:paraId="321B5750">
      <w:pPr>
        <w:pStyle w:val="21"/>
        <w:rPr>
          <w:rFonts w:hint="default"/>
          <w:lang w:val="en-US" w:eastAsia="zh-CN"/>
        </w:rPr>
      </w:pPr>
    </w:p>
    <w:p w14:paraId="23958A56">
      <w:pPr>
        <w:pStyle w:val="21"/>
        <w:bidi w:val="0"/>
        <w:rPr>
          <w:rFonts w:hint="default"/>
          <w:lang w:val="en-US" w:eastAsia="zh-CN"/>
        </w:rPr>
        <w:sectPr>
          <w:headerReference r:id="rId3" w:type="default"/>
          <w:footerReference r:id="rId4" w:type="default"/>
          <w:pgSz w:w="11906" w:h="16838"/>
          <w:pgMar w:top="1417" w:right="1134" w:bottom="1134" w:left="1587" w:header="851" w:footer="992" w:gutter="0"/>
          <w:pgBorders>
            <w:top w:val="none" w:sz="0" w:space="0"/>
            <w:left w:val="none" w:sz="0" w:space="0"/>
            <w:bottom w:val="none" w:sz="0" w:space="0"/>
            <w:right w:val="none" w:sz="0" w:space="0"/>
          </w:pgBorders>
          <w:pgNumType w:fmt="decimal" w:start="1"/>
          <w:cols w:space="0" w:num="1"/>
          <w:rtlGutter w:val="0"/>
          <w:docGrid w:type="lines" w:linePitch="312" w:charSpace="0"/>
        </w:sectPr>
      </w:pPr>
    </w:p>
    <w:p w14:paraId="51C781C1">
      <w:pPr>
        <w:pStyle w:val="27"/>
        <w:bidi w:val="0"/>
        <w:rPr>
          <w:rFonts w:hint="default"/>
          <w:lang w:val="en-US" w:eastAsia="zh-CN"/>
        </w:rPr>
      </w:pPr>
      <w:bookmarkStart w:id="26" w:name="_Toc19357"/>
      <w:r>
        <w:rPr>
          <w:rFonts w:hint="default"/>
          <w:lang w:val="en-US" w:eastAsia="zh-CN"/>
        </w:rPr>
        <w:t>定性、定量评价</w:t>
      </w:r>
      <w:bookmarkEnd w:id="26"/>
    </w:p>
    <w:p w14:paraId="67BA65C6">
      <w:pPr>
        <w:pStyle w:val="21"/>
        <w:bidi w:val="0"/>
        <w:rPr>
          <w:lang w:val="zh-CN"/>
        </w:rPr>
      </w:pPr>
      <w:r>
        <w:rPr>
          <w:lang w:val="zh-CN"/>
        </w:rPr>
        <w:t>根据项目建设特点，结合该矿山主要危险、有害因素的性质和存在部位，划分为1</w:t>
      </w:r>
      <w:r>
        <w:rPr>
          <w:rFonts w:hint="eastAsia"/>
        </w:rPr>
        <w:t>1</w:t>
      </w:r>
      <w:r>
        <w:rPr>
          <w:rFonts w:hint="eastAsia"/>
          <w:lang w:val="zh-CN"/>
        </w:rPr>
        <w:t>个单元。</w:t>
      </w:r>
    </w:p>
    <w:p w14:paraId="7E0CD20A">
      <w:pPr>
        <w:pStyle w:val="30"/>
        <w:bidi w:val="0"/>
        <w:rPr>
          <w:rFonts w:hint="eastAsia"/>
        </w:rPr>
      </w:pPr>
      <w:r>
        <w:rPr>
          <w:rFonts w:hint="eastAsia"/>
        </w:rPr>
        <w:t>表3 评价单元划分表</w:t>
      </w:r>
    </w:p>
    <w:tbl>
      <w:tblPr>
        <w:tblStyle w:val="24"/>
        <w:tblW w:w="444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6"/>
        <w:gridCol w:w="6849"/>
      </w:tblGrid>
      <w:tr w14:paraId="0707B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blHeader/>
          <w:jc w:val="center"/>
        </w:trPr>
        <w:tc>
          <w:tcPr>
            <w:tcW w:w="906" w:type="pct"/>
            <w:noWrap w:val="0"/>
            <w:vAlign w:val="center"/>
          </w:tcPr>
          <w:p w14:paraId="0FA1DF7F">
            <w:pPr>
              <w:pStyle w:val="31"/>
              <w:bidi w:val="0"/>
              <w:rPr>
                <w:rFonts w:hint="eastAsia"/>
              </w:rPr>
            </w:pPr>
            <w:r>
              <w:rPr>
                <w:rFonts w:hint="eastAsia"/>
              </w:rPr>
              <w:t>序号</w:t>
            </w:r>
          </w:p>
        </w:tc>
        <w:tc>
          <w:tcPr>
            <w:tcW w:w="4094" w:type="pct"/>
            <w:noWrap w:val="0"/>
            <w:vAlign w:val="center"/>
          </w:tcPr>
          <w:p w14:paraId="0CBD1862">
            <w:pPr>
              <w:pStyle w:val="31"/>
              <w:bidi w:val="0"/>
              <w:rPr>
                <w:rFonts w:hint="eastAsia"/>
              </w:rPr>
            </w:pPr>
            <w:r>
              <w:rPr>
                <w:rFonts w:hint="eastAsia"/>
              </w:rPr>
              <w:t>评价单元划分</w:t>
            </w:r>
          </w:p>
        </w:tc>
      </w:tr>
      <w:tr w14:paraId="000FC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blHeader/>
          <w:jc w:val="center"/>
        </w:trPr>
        <w:tc>
          <w:tcPr>
            <w:tcW w:w="906" w:type="pct"/>
            <w:noWrap w:val="0"/>
            <w:vAlign w:val="center"/>
          </w:tcPr>
          <w:p w14:paraId="6D36FE52">
            <w:pPr>
              <w:pStyle w:val="31"/>
              <w:bidi w:val="0"/>
              <w:rPr>
                <w:rFonts w:hint="eastAsia"/>
              </w:rPr>
            </w:pPr>
            <w:r>
              <w:rPr>
                <w:rFonts w:hint="eastAsia"/>
              </w:rPr>
              <w:t>1</w:t>
            </w:r>
          </w:p>
        </w:tc>
        <w:tc>
          <w:tcPr>
            <w:tcW w:w="4094" w:type="pct"/>
            <w:noWrap w:val="0"/>
            <w:vAlign w:val="center"/>
          </w:tcPr>
          <w:p w14:paraId="06994B37">
            <w:pPr>
              <w:pStyle w:val="31"/>
              <w:bidi w:val="0"/>
              <w:rPr>
                <w:rFonts w:hint="eastAsia"/>
              </w:rPr>
            </w:pPr>
            <w:r>
              <w:rPr>
                <w:rFonts w:hint="eastAsia"/>
              </w:rPr>
              <w:t>总平面布置</w:t>
            </w:r>
          </w:p>
        </w:tc>
      </w:tr>
      <w:tr w14:paraId="04270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53DC2762">
            <w:pPr>
              <w:pStyle w:val="31"/>
              <w:bidi w:val="0"/>
              <w:rPr>
                <w:rFonts w:hint="eastAsia"/>
              </w:rPr>
            </w:pPr>
            <w:r>
              <w:rPr>
                <w:rFonts w:hint="eastAsia"/>
              </w:rPr>
              <w:t>2</w:t>
            </w:r>
          </w:p>
        </w:tc>
        <w:tc>
          <w:tcPr>
            <w:tcW w:w="4094" w:type="pct"/>
            <w:noWrap w:val="0"/>
            <w:vAlign w:val="center"/>
          </w:tcPr>
          <w:p w14:paraId="73808EAA">
            <w:pPr>
              <w:pStyle w:val="31"/>
              <w:bidi w:val="0"/>
              <w:rPr>
                <w:rFonts w:hint="eastAsia"/>
              </w:rPr>
            </w:pPr>
            <w:r>
              <w:rPr>
                <w:rFonts w:hint="eastAsia"/>
              </w:rPr>
              <w:t>开拓系统</w:t>
            </w:r>
          </w:p>
        </w:tc>
      </w:tr>
      <w:tr w14:paraId="4B065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7929C7F2">
            <w:pPr>
              <w:pStyle w:val="31"/>
              <w:bidi w:val="0"/>
              <w:rPr>
                <w:rFonts w:hint="eastAsia"/>
              </w:rPr>
            </w:pPr>
            <w:r>
              <w:rPr>
                <w:rFonts w:hint="eastAsia"/>
              </w:rPr>
              <w:t>3</w:t>
            </w:r>
          </w:p>
        </w:tc>
        <w:tc>
          <w:tcPr>
            <w:tcW w:w="4094" w:type="pct"/>
            <w:noWrap w:val="0"/>
            <w:vAlign w:val="center"/>
          </w:tcPr>
          <w:p w14:paraId="56E1D814">
            <w:pPr>
              <w:pStyle w:val="31"/>
              <w:bidi w:val="0"/>
              <w:rPr>
                <w:rFonts w:hint="eastAsia"/>
              </w:rPr>
            </w:pPr>
            <w:r>
              <w:rPr>
                <w:rFonts w:hint="eastAsia"/>
              </w:rPr>
              <w:t>提升和运输</w:t>
            </w:r>
          </w:p>
        </w:tc>
      </w:tr>
      <w:tr w14:paraId="3101B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24AFF1B7">
            <w:pPr>
              <w:pStyle w:val="31"/>
              <w:bidi w:val="0"/>
              <w:rPr>
                <w:rFonts w:hint="eastAsia"/>
              </w:rPr>
            </w:pPr>
            <w:r>
              <w:rPr>
                <w:rFonts w:hint="eastAsia"/>
              </w:rPr>
              <w:t>4</w:t>
            </w:r>
          </w:p>
        </w:tc>
        <w:tc>
          <w:tcPr>
            <w:tcW w:w="4094" w:type="pct"/>
            <w:noWrap w:val="0"/>
            <w:vAlign w:val="center"/>
          </w:tcPr>
          <w:p w14:paraId="2A8A5662">
            <w:pPr>
              <w:pStyle w:val="31"/>
              <w:bidi w:val="0"/>
              <w:rPr>
                <w:rFonts w:hint="eastAsia"/>
              </w:rPr>
            </w:pPr>
            <w:r>
              <w:rPr>
                <w:rFonts w:hint="eastAsia"/>
              </w:rPr>
              <w:t>采掘</w:t>
            </w:r>
          </w:p>
        </w:tc>
      </w:tr>
      <w:tr w14:paraId="26283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7136B068">
            <w:pPr>
              <w:pStyle w:val="31"/>
              <w:bidi w:val="0"/>
              <w:rPr>
                <w:rFonts w:hint="eastAsia"/>
              </w:rPr>
            </w:pPr>
            <w:r>
              <w:rPr>
                <w:rFonts w:hint="eastAsia"/>
              </w:rPr>
              <w:t>5</w:t>
            </w:r>
          </w:p>
        </w:tc>
        <w:tc>
          <w:tcPr>
            <w:tcW w:w="4094" w:type="pct"/>
            <w:noWrap w:val="0"/>
            <w:vAlign w:val="center"/>
          </w:tcPr>
          <w:p w14:paraId="4E107158">
            <w:pPr>
              <w:pStyle w:val="31"/>
              <w:bidi w:val="0"/>
              <w:rPr>
                <w:rFonts w:hint="eastAsia"/>
              </w:rPr>
            </w:pPr>
            <w:r>
              <w:rPr>
                <w:rFonts w:hint="eastAsia"/>
              </w:rPr>
              <w:t>通风防尘</w:t>
            </w:r>
          </w:p>
        </w:tc>
      </w:tr>
      <w:tr w14:paraId="3FDFE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1CDE0C4E">
            <w:pPr>
              <w:pStyle w:val="31"/>
              <w:bidi w:val="0"/>
              <w:rPr>
                <w:rFonts w:hint="eastAsia"/>
              </w:rPr>
            </w:pPr>
            <w:r>
              <w:rPr>
                <w:rFonts w:hint="eastAsia"/>
              </w:rPr>
              <w:t>6</w:t>
            </w:r>
          </w:p>
        </w:tc>
        <w:tc>
          <w:tcPr>
            <w:tcW w:w="4094" w:type="pct"/>
            <w:noWrap w:val="0"/>
            <w:vAlign w:val="center"/>
          </w:tcPr>
          <w:p w14:paraId="535C42E1">
            <w:pPr>
              <w:pStyle w:val="31"/>
              <w:bidi w:val="0"/>
              <w:rPr>
                <w:rFonts w:hint="eastAsia"/>
              </w:rPr>
            </w:pPr>
            <w:r>
              <w:rPr>
                <w:rFonts w:hint="eastAsia"/>
              </w:rPr>
              <w:t>矿山电气</w:t>
            </w:r>
          </w:p>
        </w:tc>
      </w:tr>
      <w:tr w14:paraId="11129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3A1C18CB">
            <w:pPr>
              <w:pStyle w:val="31"/>
              <w:bidi w:val="0"/>
              <w:rPr>
                <w:rFonts w:hint="eastAsia"/>
              </w:rPr>
            </w:pPr>
            <w:r>
              <w:rPr>
                <w:rFonts w:hint="eastAsia"/>
              </w:rPr>
              <w:t>7</w:t>
            </w:r>
          </w:p>
        </w:tc>
        <w:tc>
          <w:tcPr>
            <w:tcW w:w="4094" w:type="pct"/>
            <w:noWrap w:val="0"/>
            <w:vAlign w:val="center"/>
          </w:tcPr>
          <w:p w14:paraId="1F622AC6">
            <w:pPr>
              <w:pStyle w:val="31"/>
              <w:bidi w:val="0"/>
              <w:rPr>
                <w:rFonts w:hint="eastAsia"/>
              </w:rPr>
            </w:pPr>
            <w:r>
              <w:rPr>
                <w:rFonts w:hint="eastAsia"/>
              </w:rPr>
              <w:t>防排水与防灭火</w:t>
            </w:r>
          </w:p>
        </w:tc>
      </w:tr>
      <w:tr w14:paraId="4F2C1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47875778">
            <w:pPr>
              <w:pStyle w:val="31"/>
              <w:bidi w:val="0"/>
              <w:rPr>
                <w:rFonts w:hint="eastAsia"/>
              </w:rPr>
            </w:pPr>
            <w:r>
              <w:rPr>
                <w:rFonts w:hint="eastAsia"/>
              </w:rPr>
              <w:t>8</w:t>
            </w:r>
          </w:p>
        </w:tc>
        <w:tc>
          <w:tcPr>
            <w:tcW w:w="4094" w:type="pct"/>
            <w:noWrap w:val="0"/>
            <w:vAlign w:val="center"/>
          </w:tcPr>
          <w:p w14:paraId="5813117F">
            <w:pPr>
              <w:pStyle w:val="31"/>
              <w:bidi w:val="0"/>
              <w:rPr>
                <w:rFonts w:hint="eastAsia"/>
              </w:rPr>
            </w:pPr>
            <w:r>
              <w:rPr>
                <w:rFonts w:hint="eastAsia"/>
              </w:rPr>
              <w:t>废石场</w:t>
            </w:r>
          </w:p>
        </w:tc>
      </w:tr>
      <w:tr w14:paraId="0F923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4A7B4C58">
            <w:pPr>
              <w:pStyle w:val="31"/>
              <w:bidi w:val="0"/>
              <w:rPr>
                <w:rFonts w:hint="eastAsia"/>
              </w:rPr>
            </w:pPr>
            <w:r>
              <w:rPr>
                <w:rFonts w:hint="eastAsia"/>
              </w:rPr>
              <w:t>9</w:t>
            </w:r>
          </w:p>
        </w:tc>
        <w:tc>
          <w:tcPr>
            <w:tcW w:w="4094" w:type="pct"/>
            <w:noWrap w:val="0"/>
            <w:vAlign w:val="center"/>
          </w:tcPr>
          <w:p w14:paraId="4C19651A">
            <w:pPr>
              <w:pStyle w:val="31"/>
              <w:bidi w:val="0"/>
              <w:rPr>
                <w:rFonts w:hint="eastAsia"/>
              </w:rPr>
            </w:pPr>
            <w:r>
              <w:rPr>
                <w:rFonts w:hint="eastAsia"/>
              </w:rPr>
              <w:t>安全避险“六大系统”</w:t>
            </w:r>
          </w:p>
        </w:tc>
      </w:tr>
      <w:tr w14:paraId="45FBE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4958F30B">
            <w:pPr>
              <w:pStyle w:val="31"/>
              <w:bidi w:val="0"/>
              <w:rPr>
                <w:rFonts w:hint="eastAsia"/>
              </w:rPr>
            </w:pPr>
            <w:r>
              <w:rPr>
                <w:rFonts w:hint="eastAsia"/>
              </w:rPr>
              <w:t>10</w:t>
            </w:r>
          </w:p>
        </w:tc>
        <w:tc>
          <w:tcPr>
            <w:tcW w:w="4094" w:type="pct"/>
            <w:noWrap w:val="0"/>
            <w:vAlign w:val="center"/>
          </w:tcPr>
          <w:p w14:paraId="372CC147">
            <w:pPr>
              <w:pStyle w:val="31"/>
              <w:bidi w:val="0"/>
              <w:rPr>
                <w:rFonts w:hint="eastAsia"/>
              </w:rPr>
            </w:pPr>
            <w:r>
              <w:rPr>
                <w:rFonts w:hint="eastAsia"/>
              </w:rPr>
              <w:t>安全管理</w:t>
            </w:r>
          </w:p>
        </w:tc>
      </w:tr>
      <w:tr w14:paraId="79E57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6F49C069">
            <w:pPr>
              <w:pStyle w:val="31"/>
              <w:bidi w:val="0"/>
              <w:rPr>
                <w:rFonts w:hint="eastAsia"/>
              </w:rPr>
            </w:pPr>
            <w:r>
              <w:rPr>
                <w:rFonts w:hint="eastAsia"/>
              </w:rPr>
              <w:t>11</w:t>
            </w:r>
          </w:p>
        </w:tc>
        <w:tc>
          <w:tcPr>
            <w:tcW w:w="4094" w:type="pct"/>
            <w:noWrap w:val="0"/>
            <w:vAlign w:val="center"/>
          </w:tcPr>
          <w:p w14:paraId="3511653A">
            <w:pPr>
              <w:pStyle w:val="31"/>
              <w:bidi w:val="0"/>
              <w:rPr>
                <w:rFonts w:hint="eastAsia"/>
              </w:rPr>
            </w:pPr>
            <w:r>
              <w:rPr>
                <w:rFonts w:hint="eastAsia"/>
              </w:rPr>
              <w:t>重大危险源辨识</w:t>
            </w:r>
          </w:p>
        </w:tc>
      </w:tr>
    </w:tbl>
    <w:p w14:paraId="37BED405">
      <w:pPr>
        <w:pStyle w:val="21"/>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eastAsia"/>
        </w:rPr>
      </w:pPr>
      <w:r>
        <w:rPr>
          <w:lang w:val="zh-CN"/>
        </w:rPr>
        <w:t>根据《金属非金属矿山地下矿山建设项目安全预评价报告编写提纲》，本章节采用如下评价方法进行评价：安全检查表法、预先危险性分析法等定性评价方法；</w:t>
      </w:r>
      <w:r>
        <w:rPr>
          <w:rFonts w:hint="eastAsia"/>
        </w:rPr>
        <w:t>专家评议法</w:t>
      </w:r>
      <w:r>
        <w:rPr>
          <w:lang w:val="zh-CN"/>
        </w:rPr>
        <w:t>、工程类比法等定量评价方法对</w:t>
      </w:r>
      <w:r>
        <w:rPr>
          <w:rFonts w:hint="eastAsia"/>
        </w:rPr>
        <w:t>提升运输系统</w:t>
      </w:r>
      <w:r>
        <w:rPr>
          <w:lang w:val="zh-CN"/>
        </w:rPr>
        <w:t>、</w:t>
      </w:r>
      <w:r>
        <w:rPr>
          <w:rFonts w:hint="eastAsia"/>
        </w:rPr>
        <w:t>排水系统</w:t>
      </w:r>
      <w:r>
        <w:rPr>
          <w:lang w:val="zh-CN"/>
        </w:rPr>
        <w:t>、</w:t>
      </w:r>
      <w:r>
        <w:rPr>
          <w:rFonts w:hint="eastAsia"/>
        </w:rPr>
        <w:t>矿山电气</w:t>
      </w:r>
      <w:r>
        <w:rPr>
          <w:lang w:val="zh-CN"/>
        </w:rPr>
        <w:t>等进行评价。</w:t>
      </w:r>
    </w:p>
    <w:p w14:paraId="20B79D30">
      <w:pPr>
        <w:pStyle w:val="28"/>
        <w:bidi w:val="0"/>
        <w:rPr>
          <w:rFonts w:hint="default"/>
          <w:lang w:val="en-US" w:eastAsia="zh-CN"/>
        </w:rPr>
      </w:pPr>
      <w:bookmarkStart w:id="27" w:name="_Toc14093"/>
      <w:r>
        <w:rPr>
          <w:rFonts w:hint="default"/>
          <w:lang w:val="en-US" w:eastAsia="zh-CN"/>
        </w:rPr>
        <w:t>总平面布置单元</w:t>
      </w:r>
      <w:bookmarkEnd w:id="27"/>
    </w:p>
    <w:p w14:paraId="1E254522">
      <w:pPr>
        <w:pStyle w:val="29"/>
        <w:bidi w:val="0"/>
        <w:rPr>
          <w:rFonts w:hint="default"/>
          <w:lang w:val="en-US" w:eastAsia="zh-CN"/>
        </w:rPr>
      </w:pPr>
      <w:r>
        <w:rPr>
          <w:rFonts w:hint="default"/>
          <w:lang w:val="en-US" w:eastAsia="zh-CN"/>
        </w:rPr>
        <w:t>危险、有害因素辨识</w:t>
      </w:r>
    </w:p>
    <w:p w14:paraId="7264CFE1">
      <w:pPr>
        <w:pStyle w:val="21"/>
        <w:rPr>
          <w:rFonts w:hint="default"/>
          <w:lang w:val="en-US" w:eastAsia="zh-CN"/>
        </w:rPr>
      </w:pPr>
      <w:r>
        <w:rPr>
          <w:rFonts w:hint="default"/>
          <w:lang w:val="en-US" w:eastAsia="zh-CN"/>
        </w:rPr>
        <w:t>总平面布置单元涉及到的危险、有害因素有山体滑坡、泥石流、暴雨、山洪等。</w:t>
      </w:r>
    </w:p>
    <w:p w14:paraId="18A15E5D">
      <w:pPr>
        <w:pStyle w:val="21"/>
        <w:rPr>
          <w:rFonts w:hint="default"/>
          <w:lang w:val="en-US" w:eastAsia="zh-CN"/>
        </w:rPr>
      </w:pPr>
      <w:r>
        <w:rPr>
          <w:rFonts w:hint="default"/>
          <w:lang w:val="en-US" w:eastAsia="zh-CN"/>
        </w:rPr>
        <w:t>造成山体滑坡、泥石流、暴雨、山洪等危险因素均来自于工业场地周边的山体，如果矿山的工业场地选址不合理，在山体滑坡、泥石流、暴雨及洪水影响范围内，可能造成工业场地被埋没、被洪水淹没的后果。</w:t>
      </w:r>
    </w:p>
    <w:p w14:paraId="128FF879">
      <w:pPr>
        <w:pStyle w:val="29"/>
        <w:bidi w:val="0"/>
        <w:rPr>
          <w:rFonts w:hint="default"/>
          <w:lang w:val="en-US" w:eastAsia="zh-CN"/>
        </w:rPr>
      </w:pPr>
      <w:r>
        <w:rPr>
          <w:rFonts w:hint="default"/>
          <w:lang w:val="en-US" w:eastAsia="zh-CN"/>
        </w:rPr>
        <w:t>安全分析及符合性评价</w:t>
      </w:r>
    </w:p>
    <w:p w14:paraId="778855EF">
      <w:pPr>
        <w:pStyle w:val="21"/>
        <w:rPr>
          <w:rFonts w:hint="default"/>
          <w:lang w:val="en-US" w:eastAsia="zh-CN"/>
        </w:rPr>
      </w:pPr>
      <w:r>
        <w:rPr>
          <w:rFonts w:hint="default"/>
          <w:lang w:val="en-US" w:eastAsia="zh-CN"/>
        </w:rPr>
        <w:t>（1）安全检查表法分析评价</w:t>
      </w:r>
    </w:p>
    <w:p w14:paraId="6D7733B3">
      <w:pPr>
        <w:pStyle w:val="21"/>
        <w:rPr>
          <w:rFonts w:hint="default"/>
          <w:lang w:val="en-US" w:eastAsia="zh-CN"/>
        </w:rPr>
      </w:pPr>
      <w:r>
        <w:rPr>
          <w:rFonts w:hint="default"/>
          <w:lang w:val="en-US" w:eastAsia="zh-CN"/>
        </w:rPr>
        <w:t>对该项目总平面布置单元的安全检查表，见表3.1-1。</w:t>
      </w:r>
    </w:p>
    <w:p w14:paraId="2DEF561B">
      <w:pPr>
        <w:pStyle w:val="30"/>
        <w:bidi w:val="0"/>
        <w:rPr>
          <w:rFonts w:hint="eastAsia"/>
        </w:rPr>
      </w:pPr>
      <w:r>
        <w:rPr>
          <w:rFonts w:hint="eastAsia"/>
        </w:rPr>
        <w:t>表3.1-1  总平面布置单元安全检查表</w:t>
      </w:r>
    </w:p>
    <w:tbl>
      <w:tblPr>
        <w:tblStyle w:val="24"/>
        <w:tblW w:w="8527"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50"/>
        <w:gridCol w:w="2806"/>
        <w:gridCol w:w="1999"/>
        <w:gridCol w:w="1970"/>
        <w:gridCol w:w="1002"/>
      </w:tblGrid>
      <w:tr w14:paraId="79789BD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3556" w:type="dxa"/>
            <w:gridSpan w:val="2"/>
            <w:noWrap w:val="0"/>
            <w:vAlign w:val="center"/>
          </w:tcPr>
          <w:p w14:paraId="3FECA8B0">
            <w:pPr>
              <w:pStyle w:val="31"/>
              <w:bidi w:val="0"/>
              <w:rPr>
                <w:rFonts w:hint="eastAsia"/>
                <w:sz w:val="21"/>
                <w:szCs w:val="21"/>
              </w:rPr>
            </w:pPr>
            <w:r>
              <w:rPr>
                <w:rFonts w:hint="eastAsia"/>
                <w:sz w:val="21"/>
                <w:szCs w:val="21"/>
              </w:rPr>
              <w:t>检查项目和内容</w:t>
            </w:r>
          </w:p>
        </w:tc>
        <w:tc>
          <w:tcPr>
            <w:tcW w:w="1999" w:type="dxa"/>
            <w:noWrap w:val="0"/>
            <w:vAlign w:val="center"/>
          </w:tcPr>
          <w:p w14:paraId="6B9AFA5A">
            <w:pPr>
              <w:pStyle w:val="31"/>
              <w:bidi w:val="0"/>
              <w:rPr>
                <w:rFonts w:hint="eastAsia"/>
                <w:sz w:val="21"/>
                <w:szCs w:val="21"/>
              </w:rPr>
            </w:pPr>
            <w:r>
              <w:rPr>
                <w:rFonts w:hint="eastAsia"/>
                <w:sz w:val="21"/>
                <w:szCs w:val="21"/>
              </w:rPr>
              <w:t>依据标准</w:t>
            </w:r>
          </w:p>
        </w:tc>
        <w:tc>
          <w:tcPr>
            <w:tcW w:w="1970" w:type="dxa"/>
            <w:noWrap w:val="0"/>
            <w:vAlign w:val="center"/>
          </w:tcPr>
          <w:p w14:paraId="0E3E2A6D">
            <w:pPr>
              <w:pStyle w:val="31"/>
              <w:bidi w:val="0"/>
              <w:rPr>
                <w:rFonts w:hint="eastAsia"/>
                <w:sz w:val="21"/>
                <w:szCs w:val="21"/>
              </w:rPr>
            </w:pPr>
            <w:r>
              <w:rPr>
                <w:rFonts w:hint="eastAsia"/>
                <w:sz w:val="21"/>
                <w:szCs w:val="21"/>
              </w:rPr>
              <w:t>事实记录</w:t>
            </w:r>
          </w:p>
        </w:tc>
        <w:tc>
          <w:tcPr>
            <w:tcW w:w="1002" w:type="dxa"/>
            <w:noWrap w:val="0"/>
            <w:vAlign w:val="center"/>
          </w:tcPr>
          <w:p w14:paraId="41E9DC4D">
            <w:pPr>
              <w:pStyle w:val="31"/>
              <w:bidi w:val="0"/>
              <w:rPr>
                <w:rFonts w:hint="eastAsia"/>
                <w:sz w:val="21"/>
                <w:szCs w:val="21"/>
              </w:rPr>
            </w:pPr>
            <w:r>
              <w:rPr>
                <w:rFonts w:hint="eastAsia"/>
                <w:sz w:val="21"/>
                <w:szCs w:val="21"/>
              </w:rPr>
              <w:t>结论</w:t>
            </w:r>
          </w:p>
        </w:tc>
      </w:tr>
      <w:tr w14:paraId="26D0DFA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750" w:type="dxa"/>
            <w:vMerge w:val="restart"/>
            <w:noWrap w:val="0"/>
            <w:vAlign w:val="center"/>
          </w:tcPr>
          <w:p w14:paraId="5E17D8FB">
            <w:pPr>
              <w:pStyle w:val="31"/>
              <w:bidi w:val="0"/>
              <w:rPr>
                <w:rFonts w:hint="eastAsia"/>
                <w:sz w:val="21"/>
                <w:szCs w:val="21"/>
              </w:rPr>
            </w:pPr>
            <w:r>
              <w:rPr>
                <w:rFonts w:hint="eastAsia"/>
                <w:sz w:val="21"/>
                <w:szCs w:val="21"/>
              </w:rPr>
              <w:t>厂址选择</w:t>
            </w:r>
          </w:p>
        </w:tc>
        <w:tc>
          <w:tcPr>
            <w:tcW w:w="2806" w:type="dxa"/>
            <w:noWrap w:val="0"/>
            <w:vAlign w:val="center"/>
          </w:tcPr>
          <w:p w14:paraId="4D73B8F3">
            <w:pPr>
              <w:pStyle w:val="31"/>
              <w:bidi w:val="0"/>
              <w:rPr>
                <w:rFonts w:hint="eastAsia"/>
                <w:sz w:val="21"/>
                <w:szCs w:val="21"/>
              </w:rPr>
            </w:pPr>
            <w:r>
              <w:rPr>
                <w:rFonts w:hint="eastAsia"/>
                <w:sz w:val="21"/>
                <w:szCs w:val="21"/>
              </w:rPr>
              <w:t>1.1厂址应具有满足生产、生活及发展规划所必需的水源和电源</w:t>
            </w:r>
          </w:p>
        </w:tc>
        <w:tc>
          <w:tcPr>
            <w:tcW w:w="1999" w:type="dxa"/>
            <w:noWrap w:val="0"/>
            <w:vAlign w:val="center"/>
          </w:tcPr>
          <w:p w14:paraId="4FCACD86">
            <w:pPr>
              <w:pStyle w:val="31"/>
              <w:bidi w:val="0"/>
              <w:rPr>
                <w:rFonts w:hint="eastAsia"/>
                <w:sz w:val="21"/>
                <w:szCs w:val="21"/>
              </w:rPr>
            </w:pPr>
            <w:r>
              <w:rPr>
                <w:rFonts w:hint="eastAsia"/>
                <w:sz w:val="21"/>
                <w:szCs w:val="21"/>
              </w:rPr>
              <w:t>《工业企业总</w:t>
            </w:r>
          </w:p>
          <w:p w14:paraId="18AC3504">
            <w:pPr>
              <w:pStyle w:val="31"/>
              <w:bidi w:val="0"/>
              <w:rPr>
                <w:rFonts w:hint="eastAsia"/>
                <w:sz w:val="21"/>
                <w:szCs w:val="21"/>
              </w:rPr>
            </w:pPr>
            <w:r>
              <w:rPr>
                <w:rFonts w:hint="eastAsia"/>
                <w:sz w:val="21"/>
                <w:szCs w:val="21"/>
              </w:rPr>
              <w:t>平面设计规范》GB50187-2012第3.0.6条</w:t>
            </w:r>
          </w:p>
        </w:tc>
        <w:tc>
          <w:tcPr>
            <w:tcW w:w="1970" w:type="dxa"/>
            <w:noWrap w:val="0"/>
            <w:vAlign w:val="center"/>
          </w:tcPr>
          <w:p w14:paraId="553B6F70">
            <w:pPr>
              <w:pStyle w:val="31"/>
              <w:bidi w:val="0"/>
              <w:rPr>
                <w:rFonts w:hint="eastAsia"/>
                <w:sz w:val="21"/>
                <w:szCs w:val="21"/>
              </w:rPr>
            </w:pPr>
            <w:r>
              <w:rPr>
                <w:rFonts w:hint="eastAsia"/>
                <w:sz w:val="21"/>
                <w:szCs w:val="21"/>
              </w:rPr>
              <w:t>《可研报告》分析了供水和供电的来源，满足生产需要</w:t>
            </w:r>
          </w:p>
        </w:tc>
        <w:tc>
          <w:tcPr>
            <w:tcW w:w="1002" w:type="dxa"/>
            <w:noWrap w:val="0"/>
            <w:vAlign w:val="center"/>
          </w:tcPr>
          <w:p w14:paraId="0D362550">
            <w:pPr>
              <w:pStyle w:val="31"/>
              <w:bidi w:val="0"/>
              <w:rPr>
                <w:rFonts w:hint="eastAsia"/>
                <w:sz w:val="21"/>
                <w:szCs w:val="21"/>
              </w:rPr>
            </w:pPr>
            <w:r>
              <w:rPr>
                <w:rFonts w:hint="eastAsia"/>
                <w:sz w:val="21"/>
                <w:szCs w:val="21"/>
              </w:rPr>
              <w:t>符合</w:t>
            </w:r>
          </w:p>
          <w:p w14:paraId="60601824">
            <w:pPr>
              <w:pStyle w:val="31"/>
              <w:bidi w:val="0"/>
              <w:rPr>
                <w:rFonts w:hint="eastAsia"/>
                <w:sz w:val="21"/>
                <w:szCs w:val="21"/>
              </w:rPr>
            </w:pPr>
            <w:r>
              <w:rPr>
                <w:rFonts w:hint="eastAsia"/>
                <w:sz w:val="21"/>
                <w:szCs w:val="21"/>
              </w:rPr>
              <w:t>要求</w:t>
            </w:r>
          </w:p>
        </w:tc>
      </w:tr>
      <w:tr w14:paraId="562BECC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750" w:type="dxa"/>
            <w:vMerge w:val="continue"/>
            <w:noWrap w:val="0"/>
            <w:vAlign w:val="center"/>
          </w:tcPr>
          <w:p w14:paraId="22CA17A1">
            <w:pPr>
              <w:pStyle w:val="31"/>
              <w:bidi w:val="0"/>
              <w:rPr>
                <w:rFonts w:hint="eastAsia"/>
                <w:sz w:val="21"/>
                <w:szCs w:val="21"/>
              </w:rPr>
            </w:pPr>
          </w:p>
        </w:tc>
        <w:tc>
          <w:tcPr>
            <w:tcW w:w="2806" w:type="dxa"/>
            <w:noWrap w:val="0"/>
            <w:vAlign w:val="center"/>
          </w:tcPr>
          <w:p w14:paraId="316A3FE6">
            <w:pPr>
              <w:pStyle w:val="31"/>
              <w:bidi w:val="0"/>
              <w:rPr>
                <w:rFonts w:hint="eastAsia"/>
                <w:sz w:val="21"/>
                <w:szCs w:val="21"/>
              </w:rPr>
            </w:pPr>
            <w:r>
              <w:rPr>
                <w:rFonts w:hint="eastAsia"/>
                <w:sz w:val="21"/>
                <w:szCs w:val="21"/>
              </w:rPr>
              <w:t>1.2厂址应具有满足建设工程需要的工程地质条件和水文地质条件</w:t>
            </w:r>
          </w:p>
        </w:tc>
        <w:tc>
          <w:tcPr>
            <w:tcW w:w="1999" w:type="dxa"/>
            <w:noWrap w:val="0"/>
            <w:vAlign w:val="center"/>
          </w:tcPr>
          <w:p w14:paraId="159500C9">
            <w:pPr>
              <w:pStyle w:val="31"/>
              <w:bidi w:val="0"/>
              <w:rPr>
                <w:rFonts w:hint="eastAsia"/>
                <w:sz w:val="21"/>
                <w:szCs w:val="21"/>
              </w:rPr>
            </w:pPr>
            <w:r>
              <w:rPr>
                <w:rFonts w:hint="eastAsia"/>
                <w:sz w:val="21"/>
                <w:szCs w:val="21"/>
              </w:rPr>
              <w:t>《工业企业总</w:t>
            </w:r>
          </w:p>
          <w:p w14:paraId="300D864F">
            <w:pPr>
              <w:pStyle w:val="31"/>
              <w:bidi w:val="0"/>
              <w:rPr>
                <w:rFonts w:hint="eastAsia"/>
                <w:sz w:val="21"/>
                <w:szCs w:val="21"/>
              </w:rPr>
            </w:pPr>
            <w:r>
              <w:rPr>
                <w:rFonts w:hint="eastAsia"/>
                <w:sz w:val="21"/>
                <w:szCs w:val="21"/>
              </w:rPr>
              <w:t>平面设计规范》GB50187-2012第3.0.8条</w:t>
            </w:r>
          </w:p>
        </w:tc>
        <w:tc>
          <w:tcPr>
            <w:tcW w:w="1970" w:type="dxa"/>
            <w:noWrap w:val="0"/>
            <w:vAlign w:val="center"/>
          </w:tcPr>
          <w:p w14:paraId="011677C9">
            <w:pPr>
              <w:pStyle w:val="31"/>
              <w:bidi w:val="0"/>
              <w:rPr>
                <w:rFonts w:hint="eastAsia"/>
                <w:sz w:val="21"/>
                <w:szCs w:val="21"/>
              </w:rPr>
            </w:pPr>
            <w:r>
              <w:rPr>
                <w:rFonts w:hint="eastAsia"/>
                <w:sz w:val="21"/>
                <w:szCs w:val="21"/>
              </w:rPr>
              <w:t>《可研报告》明确</w:t>
            </w:r>
            <w:r>
              <w:rPr>
                <w:rFonts w:hint="eastAsia"/>
                <w:sz w:val="21"/>
                <w:szCs w:val="21"/>
                <w:lang w:eastAsia="zh-CN"/>
              </w:rPr>
              <w:t>水文地质条件简单</w:t>
            </w:r>
            <w:r>
              <w:rPr>
                <w:rFonts w:hint="eastAsia"/>
                <w:sz w:val="21"/>
                <w:szCs w:val="21"/>
              </w:rPr>
              <w:t>，工程地质条件</w:t>
            </w:r>
            <w:r>
              <w:rPr>
                <w:rFonts w:hint="eastAsia"/>
                <w:sz w:val="21"/>
                <w:szCs w:val="21"/>
                <w:lang w:val="en-US" w:eastAsia="zh-CN"/>
              </w:rPr>
              <w:t>中等</w:t>
            </w:r>
            <w:r>
              <w:rPr>
                <w:rFonts w:hint="eastAsia"/>
                <w:sz w:val="21"/>
                <w:szCs w:val="21"/>
              </w:rPr>
              <w:t>。</w:t>
            </w:r>
          </w:p>
        </w:tc>
        <w:tc>
          <w:tcPr>
            <w:tcW w:w="1002" w:type="dxa"/>
            <w:noWrap w:val="0"/>
            <w:vAlign w:val="center"/>
          </w:tcPr>
          <w:p w14:paraId="5FF75F23">
            <w:pPr>
              <w:pStyle w:val="31"/>
              <w:bidi w:val="0"/>
              <w:rPr>
                <w:rFonts w:hint="eastAsia"/>
                <w:sz w:val="21"/>
                <w:szCs w:val="21"/>
              </w:rPr>
            </w:pPr>
            <w:r>
              <w:rPr>
                <w:rFonts w:hint="eastAsia"/>
                <w:sz w:val="21"/>
                <w:szCs w:val="21"/>
              </w:rPr>
              <w:t>符合</w:t>
            </w:r>
          </w:p>
          <w:p w14:paraId="0E50B212">
            <w:pPr>
              <w:pStyle w:val="31"/>
              <w:bidi w:val="0"/>
              <w:rPr>
                <w:rFonts w:hint="eastAsia"/>
                <w:sz w:val="21"/>
                <w:szCs w:val="21"/>
              </w:rPr>
            </w:pPr>
            <w:r>
              <w:rPr>
                <w:rFonts w:hint="eastAsia"/>
                <w:sz w:val="21"/>
                <w:szCs w:val="21"/>
              </w:rPr>
              <w:t>要求</w:t>
            </w:r>
          </w:p>
        </w:tc>
      </w:tr>
      <w:tr w14:paraId="0833E7C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1362" w:hRule="atLeast"/>
          <w:jc w:val="center"/>
        </w:trPr>
        <w:tc>
          <w:tcPr>
            <w:tcW w:w="750" w:type="dxa"/>
            <w:vMerge w:val="continue"/>
            <w:noWrap w:val="0"/>
            <w:vAlign w:val="center"/>
          </w:tcPr>
          <w:p w14:paraId="302A3219">
            <w:pPr>
              <w:pStyle w:val="31"/>
              <w:bidi w:val="0"/>
              <w:rPr>
                <w:rFonts w:hint="eastAsia"/>
                <w:sz w:val="21"/>
                <w:szCs w:val="21"/>
              </w:rPr>
            </w:pPr>
          </w:p>
        </w:tc>
        <w:tc>
          <w:tcPr>
            <w:tcW w:w="2806" w:type="dxa"/>
            <w:noWrap w:val="0"/>
            <w:vAlign w:val="center"/>
          </w:tcPr>
          <w:p w14:paraId="1353DAC1">
            <w:pPr>
              <w:pStyle w:val="31"/>
              <w:bidi w:val="0"/>
              <w:rPr>
                <w:rFonts w:hint="eastAsia"/>
                <w:sz w:val="21"/>
                <w:szCs w:val="21"/>
              </w:rPr>
            </w:pPr>
            <w:r>
              <w:rPr>
                <w:rFonts w:hint="eastAsia"/>
                <w:sz w:val="21"/>
                <w:szCs w:val="21"/>
              </w:rPr>
              <w:t>1.3厂址应位于不受洪水、潮水或内涝威胁的地带</w:t>
            </w:r>
          </w:p>
        </w:tc>
        <w:tc>
          <w:tcPr>
            <w:tcW w:w="1999" w:type="dxa"/>
            <w:noWrap w:val="0"/>
            <w:vAlign w:val="center"/>
          </w:tcPr>
          <w:p w14:paraId="49D67796">
            <w:pPr>
              <w:pStyle w:val="31"/>
              <w:bidi w:val="0"/>
              <w:rPr>
                <w:rFonts w:hint="eastAsia"/>
                <w:sz w:val="21"/>
                <w:szCs w:val="21"/>
              </w:rPr>
            </w:pPr>
            <w:r>
              <w:rPr>
                <w:rFonts w:hint="eastAsia"/>
                <w:sz w:val="21"/>
                <w:szCs w:val="21"/>
              </w:rPr>
              <w:t>《工业企业总</w:t>
            </w:r>
          </w:p>
          <w:p w14:paraId="18010B43">
            <w:pPr>
              <w:pStyle w:val="31"/>
              <w:bidi w:val="0"/>
              <w:rPr>
                <w:rFonts w:hint="eastAsia"/>
                <w:sz w:val="21"/>
                <w:szCs w:val="21"/>
              </w:rPr>
            </w:pPr>
            <w:r>
              <w:rPr>
                <w:rFonts w:hint="eastAsia"/>
                <w:sz w:val="21"/>
                <w:szCs w:val="21"/>
              </w:rPr>
              <w:t>平面设计规范》GB50187-2012第3.0.12条</w:t>
            </w:r>
          </w:p>
        </w:tc>
        <w:tc>
          <w:tcPr>
            <w:tcW w:w="1970" w:type="dxa"/>
            <w:noWrap w:val="0"/>
            <w:vAlign w:val="center"/>
          </w:tcPr>
          <w:p w14:paraId="351DCAC5">
            <w:pPr>
              <w:pStyle w:val="31"/>
              <w:bidi w:val="0"/>
              <w:rPr>
                <w:rFonts w:hint="eastAsia"/>
                <w:sz w:val="21"/>
                <w:szCs w:val="21"/>
              </w:rPr>
            </w:pPr>
            <w:r>
              <w:rPr>
                <w:rFonts w:hint="eastAsia"/>
                <w:sz w:val="21"/>
                <w:szCs w:val="21"/>
              </w:rPr>
              <w:t>工业场地位于管缆井井口和斜坡道硐口附近，工业场地最低标高为64m，高于历史最高洪水位1m以上。矿区历史最高洪水位为61.3m</w:t>
            </w:r>
          </w:p>
        </w:tc>
        <w:tc>
          <w:tcPr>
            <w:tcW w:w="1002" w:type="dxa"/>
            <w:noWrap w:val="0"/>
            <w:vAlign w:val="center"/>
          </w:tcPr>
          <w:p w14:paraId="2C8FF78F">
            <w:pPr>
              <w:pStyle w:val="31"/>
              <w:bidi w:val="0"/>
              <w:rPr>
                <w:rFonts w:hint="eastAsia"/>
                <w:sz w:val="21"/>
                <w:szCs w:val="21"/>
              </w:rPr>
            </w:pPr>
            <w:r>
              <w:rPr>
                <w:rFonts w:hint="eastAsia"/>
                <w:sz w:val="21"/>
                <w:szCs w:val="21"/>
              </w:rPr>
              <w:t>符合</w:t>
            </w:r>
          </w:p>
          <w:p w14:paraId="2226DFED">
            <w:pPr>
              <w:pStyle w:val="31"/>
              <w:bidi w:val="0"/>
              <w:rPr>
                <w:rFonts w:hint="eastAsia"/>
                <w:sz w:val="21"/>
                <w:szCs w:val="21"/>
              </w:rPr>
            </w:pPr>
            <w:r>
              <w:rPr>
                <w:rFonts w:hint="eastAsia"/>
                <w:sz w:val="21"/>
                <w:szCs w:val="21"/>
              </w:rPr>
              <w:t>要求</w:t>
            </w:r>
          </w:p>
        </w:tc>
      </w:tr>
      <w:tr w14:paraId="16C7FAF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1362" w:hRule="atLeast"/>
          <w:jc w:val="center"/>
        </w:trPr>
        <w:tc>
          <w:tcPr>
            <w:tcW w:w="750" w:type="dxa"/>
            <w:vMerge w:val="continue"/>
            <w:noWrap w:val="0"/>
            <w:vAlign w:val="center"/>
          </w:tcPr>
          <w:p w14:paraId="32950BD6">
            <w:pPr>
              <w:pStyle w:val="31"/>
              <w:bidi w:val="0"/>
              <w:rPr>
                <w:rFonts w:hint="eastAsia"/>
                <w:sz w:val="21"/>
                <w:szCs w:val="21"/>
              </w:rPr>
            </w:pPr>
          </w:p>
        </w:tc>
        <w:tc>
          <w:tcPr>
            <w:tcW w:w="2806" w:type="dxa"/>
            <w:noWrap w:val="0"/>
            <w:vAlign w:val="center"/>
          </w:tcPr>
          <w:p w14:paraId="1F4595EB">
            <w:pPr>
              <w:pStyle w:val="31"/>
              <w:bidi w:val="0"/>
              <w:rPr>
                <w:rFonts w:hint="eastAsia"/>
                <w:sz w:val="21"/>
                <w:szCs w:val="21"/>
              </w:rPr>
            </w:pPr>
            <w:r>
              <w:rPr>
                <w:rFonts w:hint="eastAsia"/>
                <w:sz w:val="21"/>
                <w:szCs w:val="21"/>
              </w:rPr>
              <w:t>1.4总平面布置，应防止有害气体、烟、雾、粉尘、强烈振动和高噪声对周围环境的危害</w:t>
            </w:r>
          </w:p>
        </w:tc>
        <w:tc>
          <w:tcPr>
            <w:tcW w:w="1999" w:type="dxa"/>
            <w:noWrap w:val="0"/>
            <w:vAlign w:val="center"/>
          </w:tcPr>
          <w:p w14:paraId="306AB900">
            <w:pPr>
              <w:pStyle w:val="31"/>
              <w:bidi w:val="0"/>
              <w:rPr>
                <w:rFonts w:hint="eastAsia"/>
                <w:sz w:val="21"/>
                <w:szCs w:val="21"/>
              </w:rPr>
            </w:pPr>
            <w:r>
              <w:rPr>
                <w:rFonts w:hint="eastAsia"/>
                <w:sz w:val="21"/>
                <w:szCs w:val="21"/>
              </w:rPr>
              <w:t>《工业企业总</w:t>
            </w:r>
          </w:p>
          <w:p w14:paraId="43451E5C">
            <w:pPr>
              <w:pStyle w:val="31"/>
              <w:bidi w:val="0"/>
              <w:rPr>
                <w:rFonts w:hint="eastAsia"/>
                <w:sz w:val="21"/>
                <w:szCs w:val="21"/>
              </w:rPr>
            </w:pPr>
            <w:r>
              <w:rPr>
                <w:rFonts w:hint="eastAsia"/>
                <w:sz w:val="21"/>
                <w:szCs w:val="21"/>
              </w:rPr>
              <w:t>平面设计规范》GB50187-2012第5.1.7条</w:t>
            </w:r>
          </w:p>
        </w:tc>
        <w:tc>
          <w:tcPr>
            <w:tcW w:w="1970" w:type="dxa"/>
            <w:noWrap w:val="0"/>
            <w:vAlign w:val="center"/>
          </w:tcPr>
          <w:p w14:paraId="5CC9D154">
            <w:pPr>
              <w:pStyle w:val="31"/>
              <w:bidi w:val="0"/>
              <w:rPr>
                <w:rFonts w:hint="eastAsia" w:eastAsia="宋体"/>
                <w:sz w:val="21"/>
                <w:szCs w:val="21"/>
                <w:lang w:eastAsia="zh-CN"/>
              </w:rPr>
            </w:pPr>
            <w:r>
              <w:rPr>
                <w:rFonts w:hint="eastAsia"/>
                <w:sz w:val="21"/>
                <w:szCs w:val="21"/>
              </w:rPr>
              <w:t>本项目矿区范围内有民房存在，一期和二期居民（共计77户）目前已经搬迁完毕，企业已出具承诺，极力配合政府搬迁工作，力争在2025年年底完成三期居民搬迁工作。</w:t>
            </w:r>
          </w:p>
        </w:tc>
        <w:tc>
          <w:tcPr>
            <w:tcW w:w="1002" w:type="dxa"/>
            <w:noWrap w:val="0"/>
            <w:vAlign w:val="center"/>
          </w:tcPr>
          <w:p w14:paraId="35A2D069">
            <w:pPr>
              <w:pStyle w:val="31"/>
              <w:bidi w:val="0"/>
              <w:rPr>
                <w:rFonts w:hint="eastAsia"/>
                <w:sz w:val="21"/>
                <w:szCs w:val="21"/>
              </w:rPr>
            </w:pPr>
            <w:r>
              <w:rPr>
                <w:rFonts w:hint="eastAsia"/>
                <w:sz w:val="21"/>
                <w:szCs w:val="21"/>
              </w:rPr>
              <w:t>符合</w:t>
            </w:r>
          </w:p>
          <w:p w14:paraId="532EDF2D">
            <w:pPr>
              <w:pStyle w:val="31"/>
              <w:bidi w:val="0"/>
              <w:rPr>
                <w:rFonts w:hint="eastAsia"/>
                <w:sz w:val="21"/>
                <w:szCs w:val="21"/>
              </w:rPr>
            </w:pPr>
            <w:r>
              <w:rPr>
                <w:rFonts w:hint="eastAsia"/>
                <w:sz w:val="21"/>
                <w:szCs w:val="21"/>
              </w:rPr>
              <w:t>要求</w:t>
            </w:r>
          </w:p>
        </w:tc>
      </w:tr>
      <w:tr w14:paraId="2389CC8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2633" w:hRule="atLeast"/>
          <w:jc w:val="center"/>
        </w:trPr>
        <w:tc>
          <w:tcPr>
            <w:tcW w:w="750" w:type="dxa"/>
            <w:vMerge w:val="continue"/>
            <w:noWrap w:val="0"/>
            <w:vAlign w:val="center"/>
          </w:tcPr>
          <w:p w14:paraId="6A7BA4AC">
            <w:pPr>
              <w:pStyle w:val="31"/>
              <w:bidi w:val="0"/>
              <w:rPr>
                <w:rFonts w:hint="eastAsia"/>
                <w:sz w:val="21"/>
                <w:szCs w:val="21"/>
              </w:rPr>
            </w:pPr>
          </w:p>
        </w:tc>
        <w:tc>
          <w:tcPr>
            <w:tcW w:w="2806" w:type="dxa"/>
            <w:noWrap w:val="0"/>
            <w:vAlign w:val="center"/>
          </w:tcPr>
          <w:p w14:paraId="3EBA5B1D">
            <w:pPr>
              <w:pStyle w:val="31"/>
              <w:bidi w:val="0"/>
              <w:rPr>
                <w:rFonts w:hint="eastAsia"/>
                <w:sz w:val="21"/>
                <w:szCs w:val="21"/>
              </w:rPr>
            </w:pPr>
            <w:r>
              <w:rPr>
                <w:rFonts w:hint="eastAsia"/>
                <w:sz w:val="21"/>
                <w:szCs w:val="21"/>
              </w:rPr>
              <w:t>1.5厂区的通道宽度，应根据下列因素确定：通道两侧建筑物、构筑物及露天设施对防火、安全与卫生间距的要求；道路等工业运输线路的布置要求；绿化布置的要求；施工、安装要求；竖向设计的要求；预留发展用地的要求</w:t>
            </w:r>
          </w:p>
        </w:tc>
        <w:tc>
          <w:tcPr>
            <w:tcW w:w="1999" w:type="dxa"/>
            <w:noWrap w:val="0"/>
            <w:vAlign w:val="center"/>
          </w:tcPr>
          <w:p w14:paraId="783D6603">
            <w:pPr>
              <w:pStyle w:val="31"/>
              <w:bidi w:val="0"/>
              <w:rPr>
                <w:rFonts w:hint="eastAsia"/>
                <w:sz w:val="21"/>
                <w:szCs w:val="21"/>
              </w:rPr>
            </w:pPr>
            <w:r>
              <w:rPr>
                <w:rFonts w:hint="eastAsia"/>
                <w:sz w:val="21"/>
                <w:szCs w:val="21"/>
              </w:rPr>
              <w:t>《工业企业总</w:t>
            </w:r>
          </w:p>
          <w:p w14:paraId="6BC6A479">
            <w:pPr>
              <w:pStyle w:val="31"/>
              <w:bidi w:val="0"/>
              <w:rPr>
                <w:rFonts w:hint="eastAsia"/>
                <w:sz w:val="21"/>
                <w:szCs w:val="21"/>
              </w:rPr>
            </w:pPr>
            <w:r>
              <w:rPr>
                <w:rFonts w:hint="eastAsia"/>
                <w:sz w:val="21"/>
                <w:szCs w:val="21"/>
              </w:rPr>
              <w:t>平面设计规范》GB50187-2012第5.1.4条</w:t>
            </w:r>
          </w:p>
        </w:tc>
        <w:tc>
          <w:tcPr>
            <w:tcW w:w="1970" w:type="dxa"/>
            <w:noWrap w:val="0"/>
            <w:vAlign w:val="center"/>
          </w:tcPr>
          <w:p w14:paraId="3C047E9F">
            <w:pPr>
              <w:pStyle w:val="31"/>
              <w:bidi w:val="0"/>
              <w:rPr>
                <w:rFonts w:hint="eastAsia"/>
                <w:sz w:val="21"/>
                <w:szCs w:val="21"/>
              </w:rPr>
            </w:pPr>
            <w:r>
              <w:rPr>
                <w:rFonts w:hint="eastAsia"/>
                <w:sz w:val="21"/>
                <w:szCs w:val="21"/>
              </w:rPr>
              <w:t>矿山建（构）筑物防火间距满足建筑防火规范的要求</w:t>
            </w:r>
          </w:p>
        </w:tc>
        <w:tc>
          <w:tcPr>
            <w:tcW w:w="1002" w:type="dxa"/>
            <w:noWrap w:val="0"/>
            <w:vAlign w:val="center"/>
          </w:tcPr>
          <w:p w14:paraId="3ABF33DE">
            <w:pPr>
              <w:pStyle w:val="31"/>
              <w:bidi w:val="0"/>
              <w:rPr>
                <w:rFonts w:hint="eastAsia"/>
                <w:sz w:val="21"/>
                <w:szCs w:val="21"/>
              </w:rPr>
            </w:pPr>
            <w:r>
              <w:rPr>
                <w:rFonts w:hint="eastAsia"/>
                <w:sz w:val="21"/>
                <w:szCs w:val="21"/>
              </w:rPr>
              <w:t>符合</w:t>
            </w:r>
          </w:p>
          <w:p w14:paraId="144C7CBE">
            <w:pPr>
              <w:pStyle w:val="31"/>
              <w:bidi w:val="0"/>
              <w:rPr>
                <w:rFonts w:hint="eastAsia"/>
                <w:sz w:val="21"/>
                <w:szCs w:val="21"/>
              </w:rPr>
            </w:pPr>
            <w:r>
              <w:rPr>
                <w:rFonts w:hint="eastAsia"/>
                <w:sz w:val="21"/>
                <w:szCs w:val="21"/>
              </w:rPr>
              <w:t>要求</w:t>
            </w:r>
          </w:p>
        </w:tc>
      </w:tr>
      <w:tr w14:paraId="4923466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750" w:type="dxa"/>
            <w:noWrap w:val="0"/>
            <w:vAlign w:val="center"/>
          </w:tcPr>
          <w:p w14:paraId="106A46FF">
            <w:pPr>
              <w:pStyle w:val="31"/>
              <w:bidi w:val="0"/>
              <w:rPr>
                <w:rFonts w:hint="eastAsia"/>
                <w:sz w:val="21"/>
                <w:szCs w:val="21"/>
              </w:rPr>
            </w:pPr>
            <w:r>
              <w:rPr>
                <w:rFonts w:hint="eastAsia"/>
                <w:sz w:val="21"/>
                <w:szCs w:val="21"/>
              </w:rPr>
              <w:t>地表塌陷区</w:t>
            </w:r>
          </w:p>
        </w:tc>
        <w:tc>
          <w:tcPr>
            <w:tcW w:w="2806" w:type="dxa"/>
            <w:noWrap w:val="0"/>
            <w:vAlign w:val="center"/>
          </w:tcPr>
          <w:p w14:paraId="15BFCEEC">
            <w:pPr>
              <w:pStyle w:val="31"/>
              <w:bidi w:val="0"/>
              <w:rPr>
                <w:rFonts w:hint="eastAsia"/>
                <w:sz w:val="21"/>
                <w:szCs w:val="21"/>
              </w:rPr>
            </w:pPr>
            <w:r>
              <w:rPr>
                <w:rFonts w:hint="eastAsia"/>
                <w:sz w:val="21"/>
                <w:szCs w:val="21"/>
              </w:rPr>
              <w:t>地下开采时，应圈定岩体移动范围或岩体移动监测范围；地表主要建构筑物、主要井筒应布置在地表岩体移动范围之外，或者留保安矿柱消除其影响。</w:t>
            </w:r>
          </w:p>
        </w:tc>
        <w:tc>
          <w:tcPr>
            <w:tcW w:w="1999" w:type="dxa"/>
            <w:noWrap w:val="0"/>
            <w:vAlign w:val="center"/>
          </w:tcPr>
          <w:p w14:paraId="17087FBE">
            <w:pPr>
              <w:pStyle w:val="31"/>
              <w:bidi w:val="0"/>
              <w:rPr>
                <w:rFonts w:hint="eastAsia"/>
                <w:sz w:val="21"/>
                <w:szCs w:val="21"/>
              </w:rPr>
            </w:pPr>
            <w:r>
              <w:rPr>
                <w:rFonts w:hint="eastAsia"/>
                <w:sz w:val="21"/>
                <w:szCs w:val="21"/>
              </w:rPr>
              <w:t>《金属非金属</w:t>
            </w:r>
          </w:p>
          <w:p w14:paraId="141BE5AE">
            <w:pPr>
              <w:pStyle w:val="31"/>
              <w:bidi w:val="0"/>
              <w:rPr>
                <w:rFonts w:hint="eastAsia"/>
                <w:sz w:val="21"/>
                <w:szCs w:val="21"/>
              </w:rPr>
            </w:pPr>
            <w:r>
              <w:rPr>
                <w:rFonts w:hint="eastAsia"/>
                <w:sz w:val="21"/>
                <w:szCs w:val="21"/>
              </w:rPr>
              <w:t>矿山安全规程》GB16423-2020第6.3.1.2条</w:t>
            </w:r>
          </w:p>
        </w:tc>
        <w:tc>
          <w:tcPr>
            <w:tcW w:w="1970" w:type="dxa"/>
            <w:noWrap w:val="0"/>
            <w:vAlign w:val="center"/>
          </w:tcPr>
          <w:p w14:paraId="76C35488">
            <w:pPr>
              <w:pStyle w:val="31"/>
              <w:bidi w:val="0"/>
              <w:rPr>
                <w:rFonts w:hint="eastAsia"/>
                <w:sz w:val="21"/>
                <w:szCs w:val="21"/>
              </w:rPr>
            </w:pPr>
            <w:r>
              <w:rPr>
                <w:rFonts w:hint="eastAsia"/>
                <w:sz w:val="21"/>
                <w:szCs w:val="21"/>
              </w:rPr>
              <w:t>矿山地表工业场地布置各建构筑及设施均在地表岩体移动范围之外。</w:t>
            </w:r>
          </w:p>
        </w:tc>
        <w:tc>
          <w:tcPr>
            <w:tcW w:w="1002" w:type="dxa"/>
            <w:noWrap w:val="0"/>
            <w:vAlign w:val="center"/>
          </w:tcPr>
          <w:p w14:paraId="61FA684A">
            <w:pPr>
              <w:pStyle w:val="31"/>
              <w:bidi w:val="0"/>
              <w:rPr>
                <w:rFonts w:hint="eastAsia"/>
                <w:sz w:val="21"/>
                <w:szCs w:val="21"/>
              </w:rPr>
            </w:pPr>
            <w:r>
              <w:rPr>
                <w:rFonts w:hint="eastAsia"/>
                <w:sz w:val="21"/>
                <w:szCs w:val="21"/>
              </w:rPr>
              <w:t>符合</w:t>
            </w:r>
          </w:p>
          <w:p w14:paraId="032B5DCA">
            <w:pPr>
              <w:pStyle w:val="31"/>
              <w:bidi w:val="0"/>
              <w:rPr>
                <w:rFonts w:hint="eastAsia"/>
                <w:sz w:val="21"/>
                <w:szCs w:val="21"/>
              </w:rPr>
            </w:pPr>
            <w:r>
              <w:rPr>
                <w:rFonts w:hint="eastAsia"/>
                <w:sz w:val="21"/>
                <w:szCs w:val="21"/>
              </w:rPr>
              <w:t>要求</w:t>
            </w:r>
          </w:p>
        </w:tc>
      </w:tr>
      <w:tr w14:paraId="51CBB54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750" w:type="dxa"/>
            <w:noWrap w:val="0"/>
            <w:vAlign w:val="center"/>
          </w:tcPr>
          <w:p w14:paraId="1A809AAE">
            <w:pPr>
              <w:pStyle w:val="31"/>
              <w:bidi w:val="0"/>
              <w:rPr>
                <w:rFonts w:hint="eastAsia"/>
                <w:sz w:val="21"/>
                <w:szCs w:val="21"/>
              </w:rPr>
            </w:pPr>
            <w:r>
              <w:rPr>
                <w:rFonts w:hint="eastAsia"/>
                <w:sz w:val="21"/>
                <w:szCs w:val="21"/>
              </w:rPr>
              <w:t>空气压缩站的布置</w:t>
            </w:r>
          </w:p>
        </w:tc>
        <w:tc>
          <w:tcPr>
            <w:tcW w:w="2806" w:type="dxa"/>
            <w:noWrap w:val="0"/>
            <w:vAlign w:val="center"/>
          </w:tcPr>
          <w:p w14:paraId="1E51671F">
            <w:pPr>
              <w:pStyle w:val="31"/>
              <w:bidi w:val="0"/>
              <w:rPr>
                <w:rFonts w:hint="eastAsia"/>
                <w:sz w:val="21"/>
                <w:szCs w:val="21"/>
              </w:rPr>
            </w:pPr>
            <w:r>
              <w:rPr>
                <w:rFonts w:hint="eastAsia"/>
                <w:sz w:val="21"/>
                <w:szCs w:val="21"/>
              </w:rPr>
              <w:t>压缩空气站的布置，应符合下列要求：位于空气洁净的地段，避免靠近散发爆炸性、腐蚀性和有害气体及粉尘等的场所，并应位于上述场所全年最小频率风向的下风侧；压缩空气站的朝向，应结合地形、气象条件，使站内有良好的通风和采光。贮气罐宜布置在站房的北侧</w:t>
            </w:r>
          </w:p>
        </w:tc>
        <w:tc>
          <w:tcPr>
            <w:tcW w:w="1999" w:type="dxa"/>
            <w:noWrap w:val="0"/>
            <w:vAlign w:val="center"/>
          </w:tcPr>
          <w:p w14:paraId="279BCDE1">
            <w:pPr>
              <w:pStyle w:val="31"/>
              <w:bidi w:val="0"/>
              <w:rPr>
                <w:rFonts w:hint="eastAsia"/>
                <w:sz w:val="21"/>
                <w:szCs w:val="21"/>
              </w:rPr>
            </w:pPr>
            <w:r>
              <w:rPr>
                <w:rFonts w:hint="eastAsia"/>
                <w:sz w:val="21"/>
                <w:szCs w:val="21"/>
              </w:rPr>
              <w:t>《工业企业总</w:t>
            </w:r>
          </w:p>
          <w:p w14:paraId="4126706B">
            <w:pPr>
              <w:pStyle w:val="31"/>
              <w:bidi w:val="0"/>
              <w:rPr>
                <w:rFonts w:hint="eastAsia"/>
                <w:sz w:val="21"/>
                <w:szCs w:val="21"/>
              </w:rPr>
            </w:pPr>
            <w:r>
              <w:rPr>
                <w:rFonts w:hint="eastAsia"/>
                <w:sz w:val="21"/>
                <w:szCs w:val="21"/>
              </w:rPr>
              <w:t>平面设计规范》GB50187-2012第5.3.4条</w:t>
            </w:r>
          </w:p>
        </w:tc>
        <w:tc>
          <w:tcPr>
            <w:tcW w:w="1970" w:type="dxa"/>
            <w:noWrap w:val="0"/>
            <w:vAlign w:val="center"/>
          </w:tcPr>
          <w:p w14:paraId="1555AAB1">
            <w:pPr>
              <w:pStyle w:val="31"/>
              <w:bidi w:val="0"/>
              <w:rPr>
                <w:rFonts w:hint="eastAsia"/>
                <w:sz w:val="21"/>
                <w:szCs w:val="21"/>
              </w:rPr>
            </w:pPr>
            <w:r>
              <w:rPr>
                <w:rFonts w:hint="eastAsia"/>
                <w:sz w:val="21"/>
                <w:szCs w:val="21"/>
              </w:rPr>
              <w:t>根据《可研报告》总平面布置图和现场勘察可知，空压机房布置在</w:t>
            </w:r>
            <w:r>
              <w:rPr>
                <w:rFonts w:hint="eastAsia"/>
                <w:sz w:val="21"/>
                <w:szCs w:val="21"/>
                <w:lang w:val="en-US" w:eastAsia="zh-CN"/>
              </w:rPr>
              <w:t>管缆井附近</w:t>
            </w:r>
            <w:r>
              <w:rPr>
                <w:rFonts w:hint="eastAsia"/>
                <w:sz w:val="21"/>
                <w:szCs w:val="21"/>
              </w:rPr>
              <w:t>，贮气罐布置在站房的北侧。</w:t>
            </w:r>
          </w:p>
        </w:tc>
        <w:tc>
          <w:tcPr>
            <w:tcW w:w="1002" w:type="dxa"/>
            <w:noWrap w:val="0"/>
            <w:vAlign w:val="center"/>
          </w:tcPr>
          <w:p w14:paraId="64A3760B">
            <w:pPr>
              <w:pStyle w:val="31"/>
              <w:bidi w:val="0"/>
              <w:rPr>
                <w:rFonts w:hint="eastAsia"/>
                <w:sz w:val="21"/>
                <w:szCs w:val="21"/>
              </w:rPr>
            </w:pPr>
            <w:r>
              <w:rPr>
                <w:rFonts w:hint="eastAsia"/>
                <w:sz w:val="21"/>
                <w:szCs w:val="21"/>
              </w:rPr>
              <w:t>符合</w:t>
            </w:r>
          </w:p>
          <w:p w14:paraId="1D7C8426">
            <w:pPr>
              <w:pStyle w:val="31"/>
              <w:bidi w:val="0"/>
              <w:rPr>
                <w:rFonts w:hint="eastAsia"/>
                <w:sz w:val="21"/>
                <w:szCs w:val="21"/>
              </w:rPr>
            </w:pPr>
            <w:r>
              <w:rPr>
                <w:rFonts w:hint="eastAsia"/>
                <w:sz w:val="21"/>
                <w:szCs w:val="21"/>
              </w:rPr>
              <w:t>要求</w:t>
            </w:r>
          </w:p>
        </w:tc>
      </w:tr>
      <w:tr w14:paraId="0F3E40C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750" w:type="dxa"/>
            <w:noWrap w:val="0"/>
            <w:vAlign w:val="center"/>
          </w:tcPr>
          <w:p w14:paraId="42F43800">
            <w:pPr>
              <w:pStyle w:val="31"/>
              <w:bidi w:val="0"/>
              <w:rPr>
                <w:rFonts w:hint="eastAsia"/>
                <w:sz w:val="21"/>
                <w:szCs w:val="21"/>
              </w:rPr>
            </w:pPr>
            <w:r>
              <w:rPr>
                <w:rFonts w:hint="eastAsia"/>
                <w:sz w:val="21"/>
                <w:szCs w:val="21"/>
              </w:rPr>
              <w:t>变电站布置</w:t>
            </w:r>
          </w:p>
        </w:tc>
        <w:tc>
          <w:tcPr>
            <w:tcW w:w="2806" w:type="dxa"/>
            <w:noWrap w:val="0"/>
            <w:vAlign w:val="center"/>
          </w:tcPr>
          <w:p w14:paraId="517B2734">
            <w:pPr>
              <w:pStyle w:val="31"/>
              <w:bidi w:val="0"/>
              <w:rPr>
                <w:rFonts w:hint="eastAsia"/>
                <w:sz w:val="21"/>
                <w:szCs w:val="21"/>
              </w:rPr>
            </w:pPr>
            <w:r>
              <w:rPr>
                <w:rFonts w:hint="eastAsia"/>
                <w:sz w:val="21"/>
                <w:szCs w:val="21"/>
              </w:rPr>
              <w:t>总变电站位置的选择，应符合下列要求：应便于输电线路进出，靠近负荷中心或主要用户；不得受粉尘、水雾、腐蚀性气体等污染源的影响，并应位于散发粉尘、腐蚀性气体污染源全年最小频率风向的下风侧和散发水雾场所冬季盛行风向的上风侧；避免布置在有强烈振动设施的场地附近；应有运输变压器的道路；地势较高，避免位于低洼积水地段</w:t>
            </w:r>
          </w:p>
        </w:tc>
        <w:tc>
          <w:tcPr>
            <w:tcW w:w="1999" w:type="dxa"/>
            <w:noWrap w:val="0"/>
            <w:vAlign w:val="center"/>
          </w:tcPr>
          <w:p w14:paraId="39E3E550">
            <w:pPr>
              <w:pStyle w:val="31"/>
              <w:bidi w:val="0"/>
              <w:rPr>
                <w:rFonts w:hint="eastAsia"/>
                <w:sz w:val="21"/>
                <w:szCs w:val="21"/>
              </w:rPr>
            </w:pPr>
            <w:r>
              <w:rPr>
                <w:rFonts w:hint="eastAsia"/>
                <w:sz w:val="21"/>
                <w:szCs w:val="21"/>
              </w:rPr>
              <w:t>《工业企业总</w:t>
            </w:r>
          </w:p>
          <w:p w14:paraId="52636808">
            <w:pPr>
              <w:pStyle w:val="31"/>
              <w:bidi w:val="0"/>
              <w:rPr>
                <w:rFonts w:hint="eastAsia"/>
                <w:sz w:val="21"/>
                <w:szCs w:val="21"/>
              </w:rPr>
            </w:pPr>
            <w:r>
              <w:rPr>
                <w:rFonts w:hint="eastAsia"/>
                <w:sz w:val="21"/>
                <w:szCs w:val="21"/>
              </w:rPr>
              <w:t>平面设计规范》GB50187-2012第5.3.2条</w:t>
            </w:r>
          </w:p>
        </w:tc>
        <w:tc>
          <w:tcPr>
            <w:tcW w:w="1970" w:type="dxa"/>
            <w:noWrap w:val="0"/>
            <w:vAlign w:val="center"/>
          </w:tcPr>
          <w:p w14:paraId="55513F1B">
            <w:pPr>
              <w:pStyle w:val="31"/>
              <w:bidi w:val="0"/>
              <w:rPr>
                <w:rFonts w:hint="eastAsia"/>
                <w:sz w:val="21"/>
                <w:szCs w:val="21"/>
              </w:rPr>
            </w:pPr>
            <w:r>
              <w:rPr>
                <w:rFonts w:hint="eastAsia"/>
                <w:sz w:val="21"/>
                <w:szCs w:val="21"/>
              </w:rPr>
              <w:t>根据《可研报告》总平面布置图和现场勘察可知，经现场勘</w:t>
            </w:r>
            <w:r>
              <w:rPr>
                <w:rFonts w:hint="eastAsia"/>
                <w:sz w:val="21"/>
                <w:szCs w:val="21"/>
                <w:lang w:val="en-US" w:eastAsia="zh-CN"/>
              </w:rPr>
              <w:t>变</w:t>
            </w:r>
            <w:r>
              <w:rPr>
                <w:rFonts w:hint="eastAsia"/>
                <w:sz w:val="21"/>
                <w:szCs w:val="21"/>
              </w:rPr>
              <w:t>发电站现布置在工业场地。</w:t>
            </w:r>
          </w:p>
        </w:tc>
        <w:tc>
          <w:tcPr>
            <w:tcW w:w="1002" w:type="dxa"/>
            <w:noWrap w:val="0"/>
            <w:vAlign w:val="center"/>
          </w:tcPr>
          <w:p w14:paraId="5A051946">
            <w:pPr>
              <w:pStyle w:val="31"/>
              <w:bidi w:val="0"/>
              <w:rPr>
                <w:rFonts w:hint="eastAsia"/>
                <w:sz w:val="21"/>
                <w:szCs w:val="21"/>
              </w:rPr>
            </w:pPr>
            <w:r>
              <w:rPr>
                <w:rFonts w:hint="eastAsia"/>
                <w:sz w:val="21"/>
                <w:szCs w:val="21"/>
              </w:rPr>
              <w:t>符合</w:t>
            </w:r>
          </w:p>
          <w:p w14:paraId="3F5E0600">
            <w:pPr>
              <w:pStyle w:val="31"/>
              <w:bidi w:val="0"/>
              <w:rPr>
                <w:rFonts w:hint="eastAsia"/>
                <w:sz w:val="21"/>
                <w:szCs w:val="21"/>
              </w:rPr>
            </w:pPr>
            <w:r>
              <w:rPr>
                <w:rFonts w:hint="eastAsia"/>
                <w:sz w:val="21"/>
                <w:szCs w:val="21"/>
              </w:rPr>
              <w:t>要求</w:t>
            </w:r>
          </w:p>
        </w:tc>
      </w:tr>
      <w:tr w14:paraId="753B02F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750" w:type="dxa"/>
            <w:noWrap w:val="0"/>
            <w:vAlign w:val="center"/>
          </w:tcPr>
          <w:p w14:paraId="3CFF74EC">
            <w:pPr>
              <w:pStyle w:val="31"/>
              <w:bidi w:val="0"/>
              <w:rPr>
                <w:rFonts w:hint="eastAsia"/>
                <w:sz w:val="21"/>
                <w:szCs w:val="21"/>
              </w:rPr>
            </w:pPr>
            <w:r>
              <w:rPr>
                <w:rFonts w:hint="eastAsia"/>
                <w:sz w:val="21"/>
                <w:szCs w:val="21"/>
              </w:rPr>
              <w:t>爆破器材库布置</w:t>
            </w:r>
          </w:p>
        </w:tc>
        <w:tc>
          <w:tcPr>
            <w:tcW w:w="2806" w:type="dxa"/>
            <w:noWrap w:val="0"/>
            <w:vAlign w:val="center"/>
          </w:tcPr>
          <w:p w14:paraId="089DAE11">
            <w:pPr>
              <w:pStyle w:val="31"/>
              <w:bidi w:val="0"/>
              <w:rPr>
                <w:rFonts w:hint="eastAsia"/>
                <w:sz w:val="21"/>
                <w:szCs w:val="21"/>
              </w:rPr>
            </w:pPr>
            <w:r>
              <w:rPr>
                <w:rFonts w:hint="eastAsia"/>
                <w:sz w:val="21"/>
                <w:szCs w:val="21"/>
              </w:rPr>
              <w:t>爆破器材库区的布置，应符合现行国家标准《民用爆破器材工厂设计安全规范》的规定</w:t>
            </w:r>
          </w:p>
        </w:tc>
        <w:tc>
          <w:tcPr>
            <w:tcW w:w="1999" w:type="dxa"/>
            <w:noWrap w:val="0"/>
            <w:vAlign w:val="center"/>
          </w:tcPr>
          <w:p w14:paraId="457054F7">
            <w:pPr>
              <w:pStyle w:val="31"/>
              <w:bidi w:val="0"/>
              <w:rPr>
                <w:rFonts w:hint="eastAsia"/>
                <w:sz w:val="21"/>
                <w:szCs w:val="21"/>
              </w:rPr>
            </w:pPr>
            <w:r>
              <w:rPr>
                <w:rFonts w:hint="eastAsia"/>
                <w:sz w:val="21"/>
                <w:szCs w:val="21"/>
              </w:rPr>
              <w:t>《工业企业总</w:t>
            </w:r>
          </w:p>
          <w:p w14:paraId="6445FBB8">
            <w:pPr>
              <w:pStyle w:val="31"/>
              <w:bidi w:val="0"/>
              <w:rPr>
                <w:rFonts w:hint="eastAsia"/>
                <w:sz w:val="21"/>
                <w:szCs w:val="21"/>
              </w:rPr>
            </w:pPr>
            <w:r>
              <w:rPr>
                <w:rFonts w:hint="eastAsia"/>
                <w:sz w:val="21"/>
                <w:szCs w:val="21"/>
              </w:rPr>
              <w:t>平面设计规范》GB50187-2012第5.6.8条</w:t>
            </w:r>
          </w:p>
        </w:tc>
        <w:tc>
          <w:tcPr>
            <w:tcW w:w="1970" w:type="dxa"/>
            <w:noWrap w:val="0"/>
            <w:vAlign w:val="center"/>
          </w:tcPr>
          <w:p w14:paraId="33E663C9">
            <w:pPr>
              <w:pStyle w:val="31"/>
              <w:bidi w:val="0"/>
              <w:rPr>
                <w:rFonts w:hint="eastAsia"/>
                <w:sz w:val="21"/>
                <w:szCs w:val="21"/>
              </w:rPr>
            </w:pPr>
            <w:r>
              <w:rPr>
                <w:rFonts w:hint="eastAsia"/>
                <w:sz w:val="21"/>
                <w:szCs w:val="21"/>
              </w:rPr>
              <w:t>该项目井下不设爆破器材库</w:t>
            </w:r>
          </w:p>
        </w:tc>
        <w:tc>
          <w:tcPr>
            <w:tcW w:w="1002" w:type="dxa"/>
            <w:noWrap w:val="0"/>
            <w:vAlign w:val="center"/>
          </w:tcPr>
          <w:p w14:paraId="18B2524A">
            <w:pPr>
              <w:pStyle w:val="31"/>
              <w:bidi w:val="0"/>
              <w:rPr>
                <w:rFonts w:hint="eastAsia"/>
                <w:sz w:val="21"/>
                <w:szCs w:val="21"/>
              </w:rPr>
            </w:pPr>
            <w:r>
              <w:rPr>
                <w:rFonts w:hint="eastAsia"/>
                <w:sz w:val="21"/>
                <w:szCs w:val="21"/>
              </w:rPr>
              <w:t>不涉及</w:t>
            </w:r>
          </w:p>
        </w:tc>
      </w:tr>
    </w:tbl>
    <w:p w14:paraId="750D0768">
      <w:pPr>
        <w:pStyle w:val="21"/>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default"/>
          <w:lang w:val="en-US" w:eastAsia="zh-CN"/>
        </w:rPr>
      </w:pPr>
      <w:r>
        <w:rPr>
          <w:rFonts w:hint="default"/>
          <w:lang w:val="en-US" w:eastAsia="zh-CN"/>
        </w:rPr>
        <w:t>由以上检查表分析可知，《可研报告》充分考虑了总平面布置方面潜在的危险、有害因素，由安全检查表得出的结论为：该项目选址合理，总平面布置单元符合安全要求。</w:t>
      </w:r>
    </w:p>
    <w:p w14:paraId="00E133EC">
      <w:pPr>
        <w:pStyle w:val="29"/>
        <w:bidi w:val="0"/>
        <w:rPr>
          <w:rFonts w:hint="default"/>
          <w:lang w:val="en-US" w:eastAsia="zh-CN"/>
        </w:rPr>
      </w:pPr>
      <w:r>
        <w:rPr>
          <w:rFonts w:hint="default"/>
          <w:lang w:val="en-US" w:eastAsia="zh-CN"/>
        </w:rPr>
        <w:t>周边环境子单元</w:t>
      </w:r>
    </w:p>
    <w:p w14:paraId="1FC3465D">
      <w:pPr>
        <w:pStyle w:val="21"/>
        <w:numPr>
          <w:ilvl w:val="0"/>
          <w:numId w:val="23"/>
        </w:numPr>
        <w:bidi w:val="0"/>
        <w:rPr>
          <w:rFonts w:hint="eastAsia"/>
          <w:lang w:val="en-US" w:eastAsia="zh-CN"/>
        </w:rPr>
      </w:pPr>
      <w:r>
        <w:rPr>
          <w:rFonts w:hint="eastAsia"/>
          <w:lang w:val="en-US" w:eastAsia="zh-CN"/>
        </w:rPr>
        <w:t>尾矿库</w:t>
      </w:r>
    </w:p>
    <w:p w14:paraId="2A1B2530">
      <w:pPr>
        <w:pStyle w:val="21"/>
        <w:bidi w:val="0"/>
        <w:rPr>
          <w:rFonts w:hint="default"/>
          <w:lang w:val="en-US" w:eastAsia="zh-CN"/>
        </w:rPr>
      </w:pPr>
      <w:r>
        <w:rPr>
          <w:rFonts w:hint="eastAsia"/>
          <w:lang w:val="en-US" w:eastAsia="zh-CN"/>
        </w:rPr>
        <w:t>矿山北侧为自有尾矿库</w:t>
      </w:r>
      <w:r>
        <w:rPr>
          <w:rFonts w:hint="default"/>
          <w:lang w:eastAsia="zh-CN"/>
        </w:rPr>
        <w:t>，该尾矿库为“山谷型”，尾矿库由初期坝及后期堆积坝组成，堆积坝由</w:t>
      </w:r>
      <w:r>
        <w:rPr>
          <w:rFonts w:hint="default"/>
          <w:lang w:val="en-US" w:eastAsia="zh-CN"/>
        </w:rPr>
        <w:t>碎石</w:t>
      </w:r>
      <w:r>
        <w:rPr>
          <w:rFonts w:hint="default"/>
          <w:lang w:eastAsia="zh-CN"/>
        </w:rPr>
        <w:t>堆筑，采用“</w:t>
      </w:r>
      <w:r>
        <w:rPr>
          <w:rFonts w:hint="default"/>
          <w:lang w:val="en-US" w:eastAsia="zh-CN"/>
        </w:rPr>
        <w:t>下</w:t>
      </w:r>
      <w:r>
        <w:rPr>
          <w:rFonts w:hint="default"/>
          <w:lang w:eastAsia="zh-CN"/>
        </w:rPr>
        <w:t>游式”。</w:t>
      </w:r>
      <w:r>
        <w:rPr>
          <w:rFonts w:hint="default"/>
          <w:lang w:val="en-US" w:eastAsia="zh-CN"/>
        </w:rPr>
        <w:t>尾矿库现状总库容约为72万m³，尾矿库现状等别为五等。</w:t>
      </w:r>
      <w:r>
        <w:rPr>
          <w:rFonts w:hint="eastAsia"/>
          <w:lang w:val="en-US" w:eastAsia="zh-CN"/>
        </w:rPr>
        <w:t>尾矿坝位于库区北侧，背离本次开采范围。现该尾矿库正在履行闭库手续，现状条件下库内已完成复垦，无积水区</w:t>
      </w:r>
      <w:r>
        <w:rPr>
          <w:rFonts w:hint="default"/>
          <w:lang w:val="en-US" w:eastAsia="zh-CN"/>
        </w:rPr>
        <w:t>。</w:t>
      </w:r>
      <w:r>
        <w:rPr>
          <w:rFonts w:hint="eastAsia"/>
          <w:lang w:val="en-US" w:eastAsia="zh-CN"/>
        </w:rPr>
        <w:t>该尾矿库距离原地下开采岩石移动范围23m，距离最近井口（斜坡道硐口）187m。根据地质资料，尾矿库与开采范围之间没有导水构造。因此，该尾矿库与本项目之间不会产生相互影响。</w:t>
      </w:r>
    </w:p>
    <w:p w14:paraId="510BF720">
      <w:pPr>
        <w:pStyle w:val="21"/>
        <w:numPr>
          <w:ilvl w:val="0"/>
          <w:numId w:val="23"/>
        </w:numPr>
        <w:bidi w:val="0"/>
        <w:rPr>
          <w:rFonts w:hint="eastAsia"/>
          <w:lang w:val="en-US" w:eastAsia="zh-CN"/>
        </w:rPr>
      </w:pPr>
      <w:r>
        <w:rPr>
          <w:rFonts w:hint="eastAsia"/>
          <w:lang w:val="en-US" w:eastAsia="zh-CN"/>
        </w:rPr>
        <w:t>东山口水库</w:t>
      </w:r>
    </w:p>
    <w:p w14:paraId="0492BAED">
      <w:pPr>
        <w:pStyle w:val="21"/>
        <w:bidi w:val="0"/>
        <w:rPr>
          <w:rFonts w:hint="default"/>
          <w:lang w:val="en-US" w:eastAsia="zh-CN"/>
        </w:rPr>
      </w:pPr>
      <w:r>
        <w:rPr>
          <w:rFonts w:hint="eastAsia"/>
          <w:lang w:val="en-US" w:eastAsia="zh-CN"/>
        </w:rPr>
        <w:t>矿山东北侧为沈阳市苏家屯区东山口水库，东山口水库位于苏家屯区东山口自然村，所在河流为北沙河支流，属于Ⅱ型水库，东山口水库与本项目原地下开采岩石移动范围最小距离772m，与本项目之间相隔两道山梁，因此地下开采对东山口水库无任何影响。</w:t>
      </w:r>
    </w:p>
    <w:p w14:paraId="625DC74F">
      <w:pPr>
        <w:pStyle w:val="21"/>
        <w:numPr>
          <w:ilvl w:val="0"/>
          <w:numId w:val="23"/>
        </w:numPr>
        <w:bidi w:val="0"/>
        <w:rPr>
          <w:rFonts w:hint="eastAsia"/>
          <w:lang w:val="en-US" w:eastAsia="zh-CN"/>
        </w:rPr>
      </w:pPr>
      <w:r>
        <w:rPr>
          <w:rFonts w:hint="eastAsia"/>
          <w:lang w:val="en-US" w:eastAsia="zh-CN"/>
        </w:rPr>
        <w:t>地表水塘</w:t>
      </w:r>
    </w:p>
    <w:p w14:paraId="774D8D9A">
      <w:pPr>
        <w:pStyle w:val="21"/>
        <w:bidi w:val="0"/>
        <w:rPr>
          <w:rFonts w:hint="default"/>
          <w:lang w:val="en-US" w:eastAsia="zh-CN"/>
        </w:rPr>
      </w:pPr>
      <w:r>
        <w:rPr>
          <w:rFonts w:hint="eastAsia"/>
          <w:lang w:val="en-US" w:eastAsia="zh-CN"/>
        </w:rPr>
        <w:t>矿区西侧地表现有七处大小不等的地表水池，为原选矿厂回水水池。矿山计划利用西侧的三个水塘作为生产水池和事故池，在地下基建工程完成前将不再利用地表水池全部进行回填，恢复地表地貌。因此，地表原有水池不会对井下开采造成影响。</w:t>
      </w:r>
    </w:p>
    <w:p w14:paraId="57660C90">
      <w:pPr>
        <w:pStyle w:val="21"/>
        <w:numPr>
          <w:ilvl w:val="0"/>
          <w:numId w:val="23"/>
        </w:numPr>
        <w:bidi w:val="0"/>
        <w:rPr>
          <w:rFonts w:hint="default"/>
          <w:lang w:val="en-US" w:eastAsia="zh-CN"/>
        </w:rPr>
      </w:pPr>
      <w:r>
        <w:rPr>
          <w:rFonts w:hint="eastAsia"/>
          <w:lang w:val="en-US" w:eastAsia="zh-CN"/>
        </w:rPr>
        <w:t>S107省道</w:t>
      </w:r>
    </w:p>
    <w:p w14:paraId="4F79605B">
      <w:pPr>
        <w:pStyle w:val="21"/>
        <w:bidi w:val="0"/>
        <w:rPr>
          <w:rFonts w:hint="default"/>
          <w:lang w:val="en-US" w:eastAsia="zh-CN"/>
        </w:rPr>
      </w:pPr>
      <w:r>
        <w:rPr>
          <w:rFonts w:hint="eastAsia"/>
          <w:lang w:val="en-US" w:eastAsia="zh-CN"/>
        </w:rPr>
        <w:t>本项目南侧为S107省道，根据《公路安保条例》及公路未来发展规划要求，沈阳浑南矿业有限责任公司应将公路保护矿柱设置在距公路用地外缘108m以外（由于省道的公路用地外缘起向外100m禁止从事采矿活动，公路用地范围为公路两侧边沟或外坡1m，未来发展规划需要公路两侧增加7m，因此该公路保护矿柱设置在距公路用地108m以外），确保S107省道的安全。留设保护矿柱后S107省道与矿山新地下开采岩石移动监测范围最小距离为108m，因此地下开采不影响S107省道。</w:t>
      </w:r>
    </w:p>
    <w:p w14:paraId="64175490">
      <w:pPr>
        <w:pStyle w:val="21"/>
        <w:numPr>
          <w:ilvl w:val="0"/>
          <w:numId w:val="23"/>
        </w:numPr>
        <w:bidi w:val="0"/>
        <w:rPr>
          <w:rFonts w:hint="eastAsia"/>
          <w:lang w:val="en-US" w:eastAsia="zh-CN"/>
        </w:rPr>
      </w:pPr>
      <w:r>
        <w:rPr>
          <w:rFonts w:hint="eastAsia"/>
          <w:lang w:val="en-US" w:eastAsia="zh-CN"/>
        </w:rPr>
        <w:t>民房</w:t>
      </w:r>
    </w:p>
    <w:p w14:paraId="4405FC49">
      <w:pPr>
        <w:pStyle w:val="21"/>
        <w:bidi w:val="0"/>
        <w:rPr>
          <w:rFonts w:hint="eastAsia"/>
          <w:lang w:val="en-US" w:eastAsia="zh-CN"/>
        </w:rPr>
      </w:pPr>
      <w:r>
        <w:rPr>
          <w:rFonts w:hint="eastAsia"/>
          <w:lang w:val="en-US" w:eastAsia="zh-CN"/>
        </w:rPr>
        <w:t>矿区北侧为东山口村，与矿界最近距离为170m，与地下开采岩石移动监测范围最近距离870m。</w:t>
      </w:r>
    </w:p>
    <w:p w14:paraId="1DECC49A">
      <w:pPr>
        <w:pStyle w:val="21"/>
        <w:bidi w:val="0"/>
        <w:rPr>
          <w:rFonts w:hint="eastAsia"/>
          <w:lang w:val="en-US" w:eastAsia="zh-CN"/>
        </w:rPr>
      </w:pPr>
      <w:r>
        <w:rPr>
          <w:rFonts w:hint="eastAsia"/>
          <w:lang w:val="en-US" w:eastAsia="zh-CN"/>
        </w:rPr>
        <w:t>矿区南侧为德胜号村，与矿界最近距离为300m，与地下开采岩石移动监测范围最近距离780m。</w:t>
      </w:r>
    </w:p>
    <w:p w14:paraId="2C38D376">
      <w:pPr>
        <w:pStyle w:val="21"/>
        <w:bidi w:val="0"/>
        <w:rPr>
          <w:rFonts w:hint="eastAsia"/>
          <w:lang w:val="en-US" w:eastAsia="zh-CN"/>
        </w:rPr>
      </w:pPr>
      <w:r>
        <w:rPr>
          <w:rFonts w:hint="eastAsia"/>
          <w:lang w:val="en-US" w:eastAsia="zh-CN"/>
        </w:rPr>
        <w:t>矿区范围内有莽公屯村民房共计101户，经统计位于岩石移动监测范围内和井巷工程施工影响范围内的居民共计77户，上述居民需要进行搬迁，同时为改善剩余居民的生活环境，由企业出资将剩余的24户一并考虑进行搬迁。搬迁工作由企业出资，已上交当地政府动迁款7000万用于上述居民搬迁工作，沈阳市苏家屯区十里河街道办事处组织实施，并承诺在矿山正式生产前全部搬迁完毕。</w:t>
      </w:r>
    </w:p>
    <w:p w14:paraId="434E485B">
      <w:pPr>
        <w:pStyle w:val="21"/>
        <w:bidi w:val="0"/>
        <w:rPr>
          <w:rFonts w:hint="eastAsia"/>
          <w:lang w:val="en-US" w:eastAsia="zh-CN"/>
        </w:rPr>
      </w:pPr>
      <w:r>
        <w:rPr>
          <w:rFonts w:hint="eastAsia"/>
          <w:lang w:val="en-US" w:eastAsia="zh-CN"/>
        </w:rPr>
        <w:t>根据搬迁计划，按居民受影响程度划分三期进行搬迁，一期搬迁为岩石移动监测范围内的居民（43户），二期搬迁岩石移动监测范围周边及受井巷工程施工影响的居民（34户），三期搬迁远离开采范围不受开采影响的其余居民（24户）。目前整个搬迁工作进行比较顺利，一期和二期居民（共计77户）目前已经搬迁完毕，企业已出具承诺，极力配合政府搬迁工作，力争在2025年年底完成三期居民搬迁工作。</w:t>
      </w:r>
    </w:p>
    <w:p w14:paraId="03138DB2">
      <w:pPr>
        <w:pStyle w:val="21"/>
        <w:bidi w:val="0"/>
        <w:rPr>
          <w:rFonts w:hint="eastAsia"/>
          <w:lang w:val="en-US" w:eastAsia="zh-CN"/>
        </w:rPr>
      </w:pPr>
      <w:r>
        <w:rPr>
          <w:rFonts w:hint="eastAsia"/>
          <w:lang w:val="en-US" w:eastAsia="zh-CN"/>
        </w:rPr>
        <w:t>矿区范围内有莽公屯村民房存在，企业承诺基建期结束前对矿区范围内民房进行全部搬迁，经统计共涉及搬迁住户101户。搬迁工作由企业出资，已上交当地政府动迁款7000万用于上述居民搬迁工作，沈阳市苏家屯区十里河街道办事处组织实施，并承诺在矿山正式生产前全部搬迁完毕。</w:t>
      </w:r>
    </w:p>
    <w:p w14:paraId="4FBB65CF">
      <w:pPr>
        <w:pStyle w:val="21"/>
        <w:bidi w:val="0"/>
        <w:rPr>
          <w:rFonts w:hint="eastAsia"/>
          <w:lang w:val="en-US" w:eastAsia="zh-CN"/>
        </w:rPr>
      </w:pPr>
      <w:r>
        <w:rPr>
          <w:rFonts w:hint="eastAsia"/>
          <w:lang w:val="en-US" w:eastAsia="zh-CN"/>
        </w:rPr>
        <w:t>莽公屯村范围内还有两处厂房和村部不在动迁范围内，其中厂房与地下开采岩石移动监测范围最近距离108m，村部与地下开采岩石移动监测范围最近距离228m。</w:t>
      </w:r>
    </w:p>
    <w:p w14:paraId="1483C652">
      <w:pPr>
        <w:pStyle w:val="21"/>
        <w:numPr>
          <w:ilvl w:val="0"/>
          <w:numId w:val="23"/>
        </w:numPr>
        <w:bidi w:val="0"/>
        <w:rPr>
          <w:rFonts w:hint="default"/>
          <w:lang w:val="en-US" w:eastAsia="zh-CN"/>
        </w:rPr>
      </w:pPr>
      <w:r>
        <w:rPr>
          <w:rFonts w:hint="default"/>
          <w:lang w:val="en-US" w:eastAsia="zh-CN"/>
        </w:rPr>
        <w:t>信号塔</w:t>
      </w:r>
    </w:p>
    <w:p w14:paraId="23FB2CC1">
      <w:pPr>
        <w:pStyle w:val="21"/>
        <w:bidi w:val="0"/>
        <w:rPr>
          <w:rFonts w:hint="default"/>
          <w:lang w:val="en-US" w:eastAsia="zh-CN"/>
        </w:rPr>
      </w:pPr>
      <w:r>
        <w:rPr>
          <w:rFonts w:hint="default"/>
          <w:lang w:val="en-US" w:eastAsia="zh-CN"/>
        </w:rPr>
        <w:t>矿区周边分布两个信号塔，分别位于矿区的东西两侧。其中西侧信号塔位于村部边缘，与地下开采岩石移动监测范围最近距离231m；东侧信号塔位于矿区外3m，与地下开采岩石移动监测范围最近距离202m。</w:t>
      </w:r>
    </w:p>
    <w:p w14:paraId="025ECA72">
      <w:pPr>
        <w:pStyle w:val="21"/>
        <w:numPr>
          <w:ilvl w:val="0"/>
          <w:numId w:val="23"/>
        </w:numPr>
        <w:bidi w:val="0"/>
        <w:rPr>
          <w:rFonts w:hint="default"/>
          <w:lang w:val="en-US" w:eastAsia="zh-CN"/>
        </w:rPr>
      </w:pPr>
      <w:r>
        <w:rPr>
          <w:rFonts w:hint="eastAsia"/>
          <w:lang w:val="en-US" w:eastAsia="zh-CN"/>
        </w:rPr>
        <w:t>基本农田</w:t>
      </w:r>
    </w:p>
    <w:p w14:paraId="075EF891">
      <w:pPr>
        <w:pStyle w:val="21"/>
        <w:bidi w:val="0"/>
        <w:rPr>
          <w:rFonts w:hint="eastAsia"/>
          <w:lang w:val="en-US" w:eastAsia="zh-CN"/>
        </w:rPr>
      </w:pPr>
      <w:r>
        <w:t>矿区范围内</w:t>
      </w:r>
      <w:r>
        <w:rPr>
          <w:rFonts w:hint="eastAsia"/>
        </w:rPr>
        <w:t>共分布7个地块为</w:t>
      </w:r>
      <w:r>
        <w:t>基本农田</w:t>
      </w:r>
      <w:r>
        <w:rPr>
          <w:rFonts w:hint="eastAsia"/>
        </w:rPr>
        <w:t>。矿区内基本农田</w:t>
      </w:r>
      <w:r>
        <w:t>总面积为</w:t>
      </w:r>
      <w:r>
        <w:rPr>
          <w:rFonts w:hint="eastAsia"/>
          <w:lang w:val="en-US" w:eastAsia="zh-CN"/>
        </w:rPr>
        <w:t>17.0809</w:t>
      </w:r>
      <w:r>
        <w:t>公顷，</w:t>
      </w:r>
      <w:r>
        <w:rPr>
          <w:rFonts w:hint="eastAsia"/>
        </w:rPr>
        <w:t>基本农田土地类型为水田、旱地</w:t>
      </w:r>
      <w:r>
        <w:rPr>
          <w:rFonts w:hint="eastAsia"/>
          <w:lang w:val="en-US" w:eastAsia="zh-CN"/>
        </w:rPr>
        <w:t>。</w:t>
      </w:r>
    </w:p>
    <w:p w14:paraId="412600A9">
      <w:pPr>
        <w:pStyle w:val="21"/>
        <w:bidi w:val="0"/>
        <w:rPr>
          <w:rFonts w:hint="default"/>
          <w:lang w:val="en-US" w:eastAsia="zh-CN"/>
        </w:rPr>
      </w:pPr>
      <w:r>
        <w:rPr>
          <w:rFonts w:hint="eastAsia"/>
        </w:rPr>
        <w:t>2020年4月委托辽宁鼎唐生态环境咨询有限公司编制《沈阳浑南矿业有限责任公司（铁矿）矿产资源开发对矿区范围内基本农田影响论证报告》，2020年7月27日沈阳市自然资源局苏家屯分局出具了《关于沈阳浑南矿业有限责任公司（铁矿）划定矿区范围涉及基本农田保护区和永久基本农田审核和论证情况报告》，经专家充分论证和核实审查，矿山地上设施和其他建设不涉及占用永久基本农田，地下开采活动不会对耕作层造成破坏。</w:t>
      </w:r>
    </w:p>
    <w:p w14:paraId="2AE437A1">
      <w:pPr>
        <w:pStyle w:val="21"/>
        <w:numPr>
          <w:ilvl w:val="0"/>
          <w:numId w:val="23"/>
        </w:numPr>
        <w:bidi w:val="0"/>
        <w:rPr>
          <w:rFonts w:hint="default"/>
          <w:lang w:val="en-US" w:eastAsia="zh-CN"/>
        </w:rPr>
      </w:pPr>
      <w:r>
        <w:rPr>
          <w:rFonts w:hint="eastAsia"/>
          <w:lang w:val="en-US" w:eastAsia="zh-CN"/>
        </w:rPr>
        <w:t>其他</w:t>
      </w:r>
    </w:p>
    <w:p w14:paraId="358BFEA6">
      <w:pPr>
        <w:pStyle w:val="21"/>
        <w:rPr>
          <w:rFonts w:hint="default"/>
          <w:lang w:val="en-US" w:eastAsia="zh-CN"/>
        </w:rPr>
      </w:pPr>
      <w:r>
        <w:rPr>
          <w:rFonts w:hint="eastAsia"/>
          <w:lang w:eastAsia="zh-CN"/>
        </w:rPr>
        <w:t>除此之外，</w:t>
      </w:r>
      <w:r>
        <w:rPr>
          <w:rFonts w:hint="eastAsia"/>
          <w:lang w:val="en-US" w:eastAsia="zh-CN"/>
        </w:rPr>
        <w:t>矿区范围周边300m范围内无村庄、居民、学校、医院、文物古迹、旅游风景区、饮用水源保护区等需要保护的重要公共设施；500m范围内无高压线等电力设施、名胜古迹等；1000m及1000m外可视范围内无铁路、高速公路、国道。经苏家屯自然资源局核实，该矿不存在或涉及各级保护区，包括：土地、林业、环境等保护区，周边环境良好。</w:t>
      </w:r>
    </w:p>
    <w:p w14:paraId="5D588081">
      <w:pPr>
        <w:pStyle w:val="21"/>
        <w:rPr>
          <w:rFonts w:hint="default"/>
          <w:lang w:val="en-US" w:eastAsia="zh-CN"/>
        </w:rPr>
      </w:pPr>
      <w:r>
        <w:rPr>
          <w:rFonts w:hint="default"/>
          <w:lang w:val="en-US" w:eastAsia="zh-CN"/>
        </w:rPr>
        <w:t>综上所述，建设单位在建设和生产中落实《可研报告》及本预评价报告提出的相关安全措施并严格执行后，本项目周边环境单元符合安全要求。</w:t>
      </w:r>
    </w:p>
    <w:p w14:paraId="51F3E5AB">
      <w:pPr>
        <w:pStyle w:val="29"/>
        <w:bidi w:val="0"/>
        <w:rPr>
          <w:rFonts w:hint="default"/>
          <w:lang w:val="en-US" w:eastAsia="zh-CN"/>
        </w:rPr>
      </w:pPr>
      <w:r>
        <w:rPr>
          <w:rFonts w:hint="default"/>
          <w:lang w:val="en-US" w:eastAsia="zh-CN"/>
        </w:rPr>
        <w:t>评价结果小结</w:t>
      </w:r>
    </w:p>
    <w:p w14:paraId="4FDE4AA8">
      <w:pPr>
        <w:pStyle w:val="21"/>
        <w:rPr>
          <w:rFonts w:hint="default"/>
          <w:lang w:val="en-US" w:eastAsia="zh-CN"/>
        </w:rPr>
      </w:pPr>
      <w:r>
        <w:rPr>
          <w:rFonts w:hint="default"/>
          <w:lang w:val="en-US" w:eastAsia="zh-CN"/>
        </w:rPr>
        <w:t>通过以上专家评议法评价得出的结论为：该项目移动带的圈定符合要求、各井口及建筑物与移动带的距离、工业场地各建筑物之间防火间距均符合安全要求。</w:t>
      </w:r>
    </w:p>
    <w:p w14:paraId="61F852FB">
      <w:pPr>
        <w:pStyle w:val="21"/>
        <w:rPr>
          <w:rFonts w:hint="default"/>
          <w:lang w:val="en-US" w:eastAsia="zh-CN"/>
        </w:rPr>
      </w:pPr>
      <w:r>
        <w:rPr>
          <w:rFonts w:hint="default"/>
          <w:lang w:val="en-US" w:eastAsia="zh-CN"/>
        </w:rPr>
        <w:t>采用安全检查表法及专家评议法通过不同的角度对总平面布置单元进行评价，得出结论为该项目选址合理，总平面布置单元符合安全要求。</w:t>
      </w:r>
    </w:p>
    <w:p w14:paraId="20FFAF13">
      <w:pPr>
        <w:pStyle w:val="28"/>
        <w:bidi w:val="0"/>
        <w:rPr>
          <w:rFonts w:hint="default"/>
          <w:lang w:val="en-US" w:eastAsia="zh-CN"/>
        </w:rPr>
      </w:pPr>
      <w:bookmarkStart w:id="28" w:name="_Toc11957"/>
      <w:r>
        <w:rPr>
          <w:rFonts w:hint="default"/>
          <w:lang w:val="en-US" w:eastAsia="zh-CN"/>
        </w:rPr>
        <w:t>开拓系统单元评价</w:t>
      </w:r>
      <w:bookmarkEnd w:id="28"/>
    </w:p>
    <w:p w14:paraId="1F3E34BC">
      <w:pPr>
        <w:pStyle w:val="29"/>
        <w:rPr>
          <w:rFonts w:hint="default"/>
          <w:lang w:val="en-US" w:eastAsia="zh-CN"/>
        </w:rPr>
      </w:pPr>
      <w:r>
        <w:rPr>
          <w:rFonts w:hint="default"/>
          <w:lang w:val="en-US" w:eastAsia="zh-CN"/>
        </w:rPr>
        <w:t>危险、有害因素辨识</w:t>
      </w:r>
    </w:p>
    <w:p w14:paraId="61768D5F">
      <w:pPr>
        <w:pStyle w:val="21"/>
        <w:rPr>
          <w:rFonts w:hint="default"/>
          <w:lang w:val="en-US" w:eastAsia="zh-CN"/>
        </w:rPr>
      </w:pPr>
      <w:r>
        <w:rPr>
          <w:rFonts w:hint="default"/>
          <w:lang w:val="en-US" w:eastAsia="zh-CN"/>
        </w:rPr>
        <w:t>该项目开拓方式为</w:t>
      </w:r>
      <w:r>
        <w:rPr>
          <w:rFonts w:hint="eastAsia"/>
          <w:lang w:val="en-US" w:eastAsia="zh-CN"/>
        </w:rPr>
        <w:t>斜坡道-竖井开拓</w:t>
      </w:r>
      <w:r>
        <w:rPr>
          <w:rFonts w:hint="default"/>
          <w:lang w:val="en-US" w:eastAsia="zh-CN"/>
        </w:rPr>
        <w:t>方案，根据设计的安全出口、中段布置、井筒支护、巷道支护、保护矿柱等方面，可能涉及到的危险、有害因素为高处坠落、物体打击、冒顶片帮、</w:t>
      </w:r>
      <w:r>
        <w:rPr>
          <w:rFonts w:hint="eastAsia"/>
          <w:lang w:val="en-US" w:eastAsia="zh-CN"/>
        </w:rPr>
        <w:t>机械伤害</w:t>
      </w:r>
      <w:r>
        <w:rPr>
          <w:rFonts w:hint="default"/>
          <w:lang w:val="en-US" w:eastAsia="zh-CN"/>
        </w:rPr>
        <w:t>等。</w:t>
      </w:r>
    </w:p>
    <w:p w14:paraId="642CC557">
      <w:pPr>
        <w:pStyle w:val="21"/>
        <w:numPr>
          <w:ilvl w:val="0"/>
          <w:numId w:val="24"/>
        </w:numPr>
        <w:bidi w:val="0"/>
        <w:rPr>
          <w:rFonts w:hint="eastAsia" w:ascii="Times New Roman" w:hAnsi="Times New Roman"/>
          <w:caps w:val="0"/>
          <w:smallCaps w:val="0"/>
          <w:sz w:val="28"/>
          <w:szCs w:val="28"/>
        </w:rPr>
      </w:pPr>
      <w:r>
        <w:rPr>
          <w:rFonts w:hint="eastAsia" w:ascii="Times New Roman" w:hAnsi="Times New Roman"/>
          <w:caps w:val="0"/>
          <w:smallCaps w:val="0"/>
          <w:sz w:val="28"/>
          <w:szCs w:val="28"/>
        </w:rPr>
        <w:t>高出坠落</w:t>
      </w:r>
    </w:p>
    <w:p w14:paraId="44B2B93F">
      <w:pPr>
        <w:pStyle w:val="21"/>
        <w:bidi w:val="0"/>
      </w:pPr>
      <w:bookmarkStart w:id="29" w:name="_Toc178849928"/>
      <w:r>
        <w:rPr>
          <w:rFonts w:hint="eastAsia"/>
        </w:rPr>
        <w:t>在矿山生产中坠落事故是一种普遍存在的事故。</w:t>
      </w:r>
    </w:p>
    <w:p w14:paraId="532D366F">
      <w:pPr>
        <w:pStyle w:val="21"/>
        <w:bidi w:val="0"/>
      </w:pPr>
      <w:r>
        <w:rPr>
          <w:rFonts w:hint="eastAsia"/>
        </w:rPr>
        <w:t>造成高处坠落的主要原因有以下几方面：</w:t>
      </w:r>
    </w:p>
    <w:p w14:paraId="01E0E4FD">
      <w:pPr>
        <w:pStyle w:val="21"/>
        <w:bidi w:val="0"/>
      </w:pPr>
      <w:r>
        <w:rPr>
          <w:rFonts w:hint="eastAsia"/>
          <w:lang w:val="en-US" w:eastAsia="zh-CN"/>
        </w:rPr>
        <w:t>①</w:t>
      </w:r>
      <w:r>
        <w:rPr>
          <w:rFonts w:hint="eastAsia"/>
        </w:rPr>
        <w:t>高处作业时没有按要求佩带安全防护用品。</w:t>
      </w:r>
    </w:p>
    <w:p w14:paraId="7F8F8E08">
      <w:pPr>
        <w:pStyle w:val="21"/>
        <w:bidi w:val="0"/>
      </w:pPr>
      <w:r>
        <w:rPr>
          <w:rFonts w:hint="eastAsia"/>
          <w:lang w:val="en-US" w:eastAsia="zh-CN"/>
        </w:rPr>
        <w:t>②</w:t>
      </w:r>
      <w:r>
        <w:rPr>
          <w:rFonts w:hint="eastAsia"/>
        </w:rPr>
        <w:t>高处作业时，缺少照明、作业环境不良等。</w:t>
      </w:r>
    </w:p>
    <w:p w14:paraId="4E84A185">
      <w:pPr>
        <w:pStyle w:val="21"/>
        <w:bidi w:val="0"/>
      </w:pPr>
      <w:r>
        <w:rPr>
          <w:rFonts w:hint="eastAsia"/>
          <w:lang w:val="en-US" w:eastAsia="zh-CN"/>
        </w:rPr>
        <w:t>③</w:t>
      </w:r>
      <w:r>
        <w:rPr>
          <w:rFonts w:hint="eastAsia"/>
        </w:rPr>
        <w:t>可能发生人员坠落的危险地点，没有设置明显的警示标志、良好的照明以及可靠的护栏、格筛或盖板等。</w:t>
      </w:r>
    </w:p>
    <w:p w14:paraId="5C7575FF">
      <w:pPr>
        <w:pStyle w:val="21"/>
        <w:bidi w:val="0"/>
      </w:pPr>
      <w:r>
        <w:rPr>
          <w:rFonts w:hint="eastAsia"/>
        </w:rPr>
        <w:t>对于本项目，可能发生高处坠落的部位主要是：</w:t>
      </w:r>
      <w:r>
        <w:rPr>
          <w:rFonts w:hint="eastAsia"/>
          <w:lang w:val="en-US" w:eastAsia="zh-CN"/>
        </w:rPr>
        <w:t>三号斜井、三号盲斜井、一号斜井、四号斜井、四号盲斜井的人行阶梯高差较大或者阶梯破坏的位置</w:t>
      </w:r>
      <w:r>
        <w:rPr>
          <w:rFonts w:hint="eastAsia"/>
        </w:rPr>
        <w:t>。</w:t>
      </w:r>
    </w:p>
    <w:bookmarkEnd w:id="29"/>
    <w:p w14:paraId="775C0D39">
      <w:pPr>
        <w:pStyle w:val="21"/>
        <w:numPr>
          <w:ilvl w:val="0"/>
          <w:numId w:val="24"/>
        </w:numPr>
        <w:bidi w:val="0"/>
        <w:rPr>
          <w:rFonts w:hint="default"/>
          <w:lang w:val="en-US" w:eastAsia="zh-CN"/>
        </w:rPr>
      </w:pPr>
      <w:r>
        <w:rPr>
          <w:rFonts w:hint="default"/>
          <w:lang w:val="en-US" w:eastAsia="zh-CN"/>
        </w:rPr>
        <w:t>物体打击</w:t>
      </w:r>
    </w:p>
    <w:p w14:paraId="07E6C902">
      <w:pPr>
        <w:pStyle w:val="21"/>
        <w:rPr>
          <w:rFonts w:hint="default"/>
          <w:lang w:val="en-US" w:eastAsia="zh-CN"/>
        </w:rPr>
      </w:pPr>
      <w:r>
        <w:rPr>
          <w:rFonts w:hint="default"/>
          <w:lang w:val="en-US" w:eastAsia="zh-CN"/>
        </w:rPr>
        <w:t>物体打击是物体在重力或其它外力的作用下产生动力，打击人体造成人身伤亡事故。本项目中，物体打击的危险因素主要来自：</w:t>
      </w:r>
    </w:p>
    <w:p w14:paraId="0967C94B">
      <w:pPr>
        <w:pStyle w:val="21"/>
        <w:rPr>
          <w:rFonts w:hint="default"/>
          <w:lang w:val="en-US" w:eastAsia="zh-CN"/>
        </w:rPr>
      </w:pPr>
      <w:r>
        <w:rPr>
          <w:rFonts w:hint="default"/>
          <w:lang w:val="en-US" w:eastAsia="zh-CN"/>
        </w:rPr>
        <w:t>各</w:t>
      </w:r>
      <w:r>
        <w:rPr>
          <w:rFonts w:hint="eastAsia"/>
          <w:lang w:val="en-US" w:eastAsia="zh-CN"/>
        </w:rPr>
        <w:t>斜井井筒</w:t>
      </w:r>
      <w:r>
        <w:rPr>
          <w:rFonts w:hint="default"/>
          <w:lang w:val="en-US" w:eastAsia="zh-CN"/>
        </w:rPr>
        <w:t>的</w:t>
      </w:r>
      <w:r>
        <w:rPr>
          <w:rFonts w:hint="eastAsia"/>
          <w:lang w:val="en-US" w:eastAsia="zh-CN"/>
        </w:rPr>
        <w:t>危石</w:t>
      </w:r>
      <w:r>
        <w:rPr>
          <w:rFonts w:hint="default"/>
          <w:lang w:val="en-US" w:eastAsia="zh-CN"/>
        </w:rPr>
        <w:t>未及时处理或处理不干净，</w:t>
      </w:r>
      <w:r>
        <w:rPr>
          <w:rFonts w:hint="eastAsia"/>
          <w:lang w:val="en-US" w:eastAsia="zh-CN"/>
        </w:rPr>
        <w:t>危石</w:t>
      </w:r>
      <w:r>
        <w:rPr>
          <w:rFonts w:hint="default"/>
          <w:lang w:val="en-US" w:eastAsia="zh-CN"/>
        </w:rPr>
        <w:t>坠落伤人。设备、工具等坠落物砸伤经过的人员。</w:t>
      </w:r>
    </w:p>
    <w:p w14:paraId="01EE8349">
      <w:pPr>
        <w:pStyle w:val="21"/>
        <w:numPr>
          <w:ilvl w:val="0"/>
          <w:numId w:val="24"/>
        </w:numPr>
        <w:bidi w:val="0"/>
        <w:rPr>
          <w:rFonts w:hint="default"/>
          <w:lang w:val="en-US" w:eastAsia="zh-CN"/>
        </w:rPr>
      </w:pPr>
      <w:r>
        <w:rPr>
          <w:rFonts w:hint="default"/>
          <w:lang w:val="en-US" w:eastAsia="zh-CN"/>
        </w:rPr>
        <w:t>冒顶片帮</w:t>
      </w:r>
    </w:p>
    <w:p w14:paraId="4325B0E6">
      <w:pPr>
        <w:pStyle w:val="21"/>
        <w:rPr>
          <w:rFonts w:hint="default"/>
          <w:lang w:val="en-US" w:eastAsia="zh-CN"/>
        </w:rPr>
      </w:pPr>
      <w:r>
        <w:rPr>
          <w:rFonts w:hint="default"/>
          <w:lang w:val="en-US" w:eastAsia="zh-CN"/>
        </w:rPr>
        <w:t>巷道受岩石压力的影响，都可能引起冒顶片帮的发生。</w:t>
      </w:r>
    </w:p>
    <w:p w14:paraId="48D94286">
      <w:pPr>
        <w:pStyle w:val="21"/>
        <w:rPr>
          <w:rFonts w:hint="default"/>
          <w:b/>
          <w:bCs/>
          <w:lang w:val="en-US" w:eastAsia="zh-CN"/>
        </w:rPr>
      </w:pPr>
      <w:r>
        <w:rPr>
          <w:rFonts w:hint="default"/>
          <w:b/>
          <w:bCs/>
          <w:lang w:val="en-US" w:eastAsia="zh-CN"/>
        </w:rPr>
        <w:t>引起冒顶片帮的原因及部位：</w:t>
      </w:r>
    </w:p>
    <w:p w14:paraId="3C1EA2F1">
      <w:pPr>
        <w:pStyle w:val="21"/>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eastAsia"/>
          <w:lang w:val="en-US" w:eastAsia="zh-CN"/>
        </w:rPr>
        <w:t>①</w:t>
      </w:r>
      <w:r>
        <w:rPr>
          <w:rFonts w:hint="default"/>
          <w:lang w:val="en-US" w:eastAsia="zh-CN"/>
        </w:rPr>
        <w:t>井巷工程布置在不稳定的岩层、断层、破碎带地段等，容易发生片帮、冒顶。</w:t>
      </w:r>
    </w:p>
    <w:p w14:paraId="79681BFA">
      <w:pPr>
        <w:pStyle w:val="21"/>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eastAsia"/>
          <w:lang w:val="en-US" w:eastAsia="zh-CN"/>
        </w:rPr>
        <w:t>②</w:t>
      </w:r>
      <w:r>
        <w:rPr>
          <w:rFonts w:hint="default"/>
          <w:lang w:val="en-US" w:eastAsia="zh-CN"/>
        </w:rPr>
        <w:t>矿岩节理裂隙发育，开拓工程施工和使用过程中，因应力变化、爆破震动、地表水的侵入等均会引起岩层结构面强度下降，导致岩石沿岩层结构面脱落，在井巷的贯通口、巷道交岔口等易产生冒顶片帮。</w:t>
      </w:r>
    </w:p>
    <w:p w14:paraId="401DF63E">
      <w:pPr>
        <w:pStyle w:val="21"/>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eastAsia"/>
          <w:lang w:val="en-US" w:eastAsia="zh-CN"/>
        </w:rPr>
        <w:t>③</w:t>
      </w:r>
      <w:r>
        <w:rPr>
          <w:rFonts w:hint="default"/>
          <w:lang w:val="en-US" w:eastAsia="zh-CN"/>
        </w:rPr>
        <w:t>工程布置密集地段，平巷交岔口等因暴露面积较大缺乏有效支护，导致巷道顶板、侧板垮塌诱发冒顶片帮。</w:t>
      </w:r>
    </w:p>
    <w:p w14:paraId="0CFEA913">
      <w:pPr>
        <w:pStyle w:val="21"/>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eastAsia"/>
          <w:lang w:val="en-US" w:eastAsia="zh-CN"/>
        </w:rPr>
        <w:t>④</w:t>
      </w:r>
      <w:r>
        <w:rPr>
          <w:rFonts w:hint="default"/>
          <w:lang w:val="en-US" w:eastAsia="zh-CN"/>
        </w:rPr>
        <w:t>爆破参数确定不合理、爆破工序不合理、爆破施工时违章作业等。</w:t>
      </w:r>
    </w:p>
    <w:p w14:paraId="5DAD564F">
      <w:pPr>
        <w:pStyle w:val="21"/>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eastAsia"/>
          <w:lang w:val="en-US" w:eastAsia="zh-CN"/>
        </w:rPr>
        <w:t>⑤</w:t>
      </w:r>
      <w:r>
        <w:rPr>
          <w:rFonts w:hint="default"/>
          <w:lang w:val="en-US" w:eastAsia="zh-CN"/>
        </w:rPr>
        <w:t>遇到新的地质构造而没有及时采取措施或没有按岩性进行施工。</w:t>
      </w:r>
    </w:p>
    <w:p w14:paraId="4E4A9E74">
      <w:pPr>
        <w:pStyle w:val="21"/>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eastAsia"/>
          <w:lang w:val="en-US" w:eastAsia="zh-CN"/>
        </w:rPr>
        <w:t>⑥</w:t>
      </w:r>
      <w:r>
        <w:rPr>
          <w:rFonts w:hint="default"/>
          <w:lang w:val="en-US" w:eastAsia="zh-CN"/>
        </w:rPr>
        <w:t>在应该进行支护的井巷没有支护或支护质量差。</w:t>
      </w:r>
    </w:p>
    <w:p w14:paraId="39C47646">
      <w:pPr>
        <w:pStyle w:val="21"/>
        <w:bidi w:val="0"/>
        <w:rPr>
          <w:rFonts w:hint="eastAsia"/>
          <w:b/>
          <w:bCs/>
        </w:rPr>
      </w:pPr>
      <w:r>
        <w:rPr>
          <w:rFonts w:hint="eastAsia"/>
          <w:b/>
          <w:bCs/>
        </w:rPr>
        <w:t>冒顶片帮的危害形式：</w:t>
      </w:r>
    </w:p>
    <w:p w14:paraId="11957EE8">
      <w:pPr>
        <w:pStyle w:val="21"/>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eastAsia"/>
          <w:lang w:val="en-US" w:eastAsia="zh-CN"/>
        </w:rPr>
        <w:t>①</w:t>
      </w:r>
      <w:r>
        <w:rPr>
          <w:rFonts w:hint="default"/>
          <w:lang w:val="en-US" w:eastAsia="zh-CN"/>
        </w:rPr>
        <w:t>破坏</w:t>
      </w:r>
      <w:r>
        <w:rPr>
          <w:rFonts w:hint="eastAsia"/>
          <w:lang w:val="en-US" w:eastAsia="zh-CN"/>
        </w:rPr>
        <w:t>井巷</w:t>
      </w:r>
      <w:r>
        <w:rPr>
          <w:rFonts w:hint="default"/>
          <w:lang w:val="en-US" w:eastAsia="zh-CN"/>
        </w:rPr>
        <w:t>和周围的巷道。</w:t>
      </w:r>
    </w:p>
    <w:p w14:paraId="6DB3A363">
      <w:pPr>
        <w:pStyle w:val="21"/>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eastAsia"/>
          <w:lang w:val="en-US" w:eastAsia="zh-CN"/>
        </w:rPr>
        <w:t>②</w:t>
      </w:r>
      <w:r>
        <w:rPr>
          <w:rFonts w:hint="default"/>
          <w:lang w:val="en-US" w:eastAsia="zh-CN"/>
        </w:rPr>
        <w:t>造成</w:t>
      </w:r>
      <w:r>
        <w:rPr>
          <w:rFonts w:hint="eastAsia"/>
          <w:lang w:val="en-US" w:eastAsia="zh-CN"/>
        </w:rPr>
        <w:t>井巷</w:t>
      </w:r>
      <w:r>
        <w:rPr>
          <w:rFonts w:hint="default"/>
          <w:lang w:val="en-US" w:eastAsia="zh-CN"/>
        </w:rPr>
        <w:t>内人员的伤亡。</w:t>
      </w:r>
    </w:p>
    <w:p w14:paraId="7B762BD8">
      <w:pPr>
        <w:pStyle w:val="21"/>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eastAsia"/>
          <w:lang w:val="en-US" w:eastAsia="zh-CN"/>
        </w:rPr>
        <w:t>③</w:t>
      </w:r>
      <w:r>
        <w:rPr>
          <w:rFonts w:hint="default"/>
          <w:lang w:val="en-US" w:eastAsia="zh-CN"/>
        </w:rPr>
        <w:t>破坏采场内的设备和设施。</w:t>
      </w:r>
    </w:p>
    <w:p w14:paraId="2C655405">
      <w:pPr>
        <w:pStyle w:val="21"/>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eastAsia"/>
          <w:lang w:val="en-US" w:eastAsia="zh-CN"/>
        </w:rPr>
        <w:t>④</w:t>
      </w:r>
      <w:r>
        <w:rPr>
          <w:rFonts w:hint="default"/>
          <w:lang w:val="en-US" w:eastAsia="zh-CN"/>
        </w:rPr>
        <w:t>破坏矿井的正常通风系统。</w:t>
      </w:r>
    </w:p>
    <w:p w14:paraId="03324B5E">
      <w:pPr>
        <w:pStyle w:val="21"/>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eastAsia"/>
          <w:lang w:val="en-US" w:eastAsia="zh-CN"/>
        </w:rPr>
        <w:t>⑤</w:t>
      </w:r>
      <w:r>
        <w:rPr>
          <w:rFonts w:hint="default"/>
          <w:lang w:val="en-US" w:eastAsia="zh-CN"/>
        </w:rPr>
        <w:t>造成生产秩序的紊乱。</w:t>
      </w:r>
    </w:p>
    <w:p w14:paraId="57C2C936">
      <w:pPr>
        <w:pStyle w:val="21"/>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eastAsia"/>
          <w:lang w:val="en-US" w:eastAsia="zh-CN"/>
        </w:rPr>
        <w:t>⑥</w:t>
      </w:r>
      <w:r>
        <w:rPr>
          <w:rFonts w:hint="default"/>
          <w:lang w:val="en-US" w:eastAsia="zh-CN"/>
        </w:rPr>
        <w:t>其他危害：如破坏矿井的供电系统等。</w:t>
      </w:r>
    </w:p>
    <w:p w14:paraId="525F64B4">
      <w:pPr>
        <w:pStyle w:val="21"/>
        <w:bidi w:val="0"/>
        <w:rPr>
          <w:rFonts w:hint="default"/>
          <w:b/>
          <w:bCs/>
          <w:lang w:val="en-US" w:eastAsia="zh-CN"/>
        </w:rPr>
      </w:pPr>
      <w:r>
        <w:rPr>
          <w:rFonts w:hint="eastAsia"/>
          <w:b/>
          <w:bCs/>
          <w:lang w:val="en-US" w:eastAsia="zh-CN"/>
        </w:rPr>
        <w:t>井筒或开拓</w:t>
      </w:r>
      <w:r>
        <w:rPr>
          <w:rFonts w:hint="default"/>
          <w:b/>
          <w:bCs/>
          <w:lang w:val="en-US" w:eastAsia="zh-CN"/>
        </w:rPr>
        <w:t>巷道片帮、冒顶：</w:t>
      </w:r>
    </w:p>
    <w:p w14:paraId="0167BB12">
      <w:pPr>
        <w:pStyle w:val="21"/>
        <w:bidi w:val="0"/>
        <w:rPr>
          <w:rFonts w:hint="default"/>
          <w:lang w:val="en-US" w:eastAsia="zh-CN"/>
        </w:rPr>
      </w:pPr>
      <w:r>
        <w:rPr>
          <w:rFonts w:hint="default"/>
          <w:lang w:val="en-US" w:eastAsia="zh-CN"/>
        </w:rPr>
        <w:t>岩体的矿压活动造成井筒或开拓巷道的片帮和冒顶，产生的直接危害是：</w:t>
      </w:r>
    </w:p>
    <w:p w14:paraId="73966206">
      <w:pPr>
        <w:pStyle w:val="21"/>
        <w:bidi w:val="0"/>
        <w:rPr>
          <w:rFonts w:hint="default"/>
          <w:lang w:val="en-US" w:eastAsia="zh-CN"/>
        </w:rPr>
      </w:pPr>
      <w:r>
        <w:rPr>
          <w:rFonts w:hint="default"/>
          <w:lang w:val="en-US" w:eastAsia="zh-CN"/>
        </w:rPr>
        <w:t>1）巷道内人员的伤亡。</w:t>
      </w:r>
    </w:p>
    <w:p w14:paraId="5EA14951">
      <w:pPr>
        <w:pStyle w:val="21"/>
        <w:bidi w:val="0"/>
        <w:rPr>
          <w:rFonts w:hint="default"/>
          <w:lang w:val="en-US" w:eastAsia="zh-CN"/>
        </w:rPr>
      </w:pPr>
      <w:r>
        <w:rPr>
          <w:rFonts w:hint="default"/>
          <w:lang w:val="en-US" w:eastAsia="zh-CN"/>
        </w:rPr>
        <w:t>2）破坏巷道内的设备、设施。</w:t>
      </w:r>
    </w:p>
    <w:p w14:paraId="72F781D4">
      <w:pPr>
        <w:pStyle w:val="21"/>
        <w:bidi w:val="0"/>
        <w:rPr>
          <w:rFonts w:hint="default"/>
          <w:lang w:val="en-US" w:eastAsia="zh-CN"/>
        </w:rPr>
      </w:pPr>
      <w:r>
        <w:rPr>
          <w:rFonts w:hint="default"/>
          <w:lang w:val="en-US" w:eastAsia="zh-CN"/>
        </w:rPr>
        <w:t>3）破坏正常的生产系统。</w:t>
      </w:r>
    </w:p>
    <w:p w14:paraId="1F450FDF">
      <w:pPr>
        <w:pStyle w:val="21"/>
        <w:bidi w:val="0"/>
        <w:rPr>
          <w:rFonts w:hint="default"/>
          <w:lang w:val="en-US" w:eastAsia="zh-CN"/>
        </w:rPr>
      </w:pPr>
      <w:r>
        <w:rPr>
          <w:rFonts w:hint="default"/>
          <w:lang w:val="en-US" w:eastAsia="zh-CN"/>
        </w:rPr>
        <w:t>4）破坏巷道等。</w:t>
      </w:r>
    </w:p>
    <w:p w14:paraId="451D1F4D">
      <w:pPr>
        <w:pStyle w:val="21"/>
        <w:numPr>
          <w:ilvl w:val="0"/>
          <w:numId w:val="24"/>
        </w:numPr>
        <w:bidi w:val="0"/>
        <w:rPr>
          <w:rFonts w:hint="default"/>
          <w:lang w:val="en-US" w:eastAsia="zh-CN"/>
        </w:rPr>
      </w:pPr>
      <w:r>
        <w:rPr>
          <w:rFonts w:hint="eastAsia"/>
          <w:lang w:val="en-US" w:eastAsia="zh-CN"/>
        </w:rPr>
        <w:t>机械伤害</w:t>
      </w:r>
    </w:p>
    <w:p w14:paraId="42DFC679">
      <w:pPr>
        <w:pStyle w:val="21"/>
        <w:bidi w:val="0"/>
        <w:rPr>
          <w:rFonts w:hint="default"/>
          <w:lang w:val="en-US" w:eastAsia="zh-CN"/>
        </w:rPr>
      </w:pPr>
      <w:r>
        <w:rPr>
          <w:rFonts w:hint="default"/>
          <w:lang w:val="en-US" w:eastAsia="zh-CN"/>
        </w:rPr>
        <w:t>机械伤害是指机械设备运动（静止）部件、工具、加工件直接与人体接触引起的夹击、碰撞、剪切、卷入、绞、碾、割、刺等伤害，不包括车辆、起重机械引起的机械伤害。</w:t>
      </w:r>
    </w:p>
    <w:p w14:paraId="66E25E03">
      <w:pPr>
        <w:pStyle w:val="21"/>
        <w:bidi w:val="0"/>
        <w:rPr>
          <w:rFonts w:hint="default"/>
          <w:lang w:val="en-US" w:eastAsia="zh-CN"/>
        </w:rPr>
      </w:pPr>
      <w:r>
        <w:rPr>
          <w:rFonts w:hint="default"/>
          <w:lang w:val="en-US" w:eastAsia="zh-CN"/>
        </w:rPr>
        <w:t>矿山造成的机械伤害事故，主要是由于人的违章指挥、违章操作造成的。常见的因素有：</w:t>
      </w:r>
    </w:p>
    <w:p w14:paraId="5999D2D5">
      <w:pPr>
        <w:pStyle w:val="21"/>
        <w:bidi w:val="0"/>
        <w:rPr>
          <w:rFonts w:hint="default"/>
          <w:lang w:val="en-US" w:eastAsia="zh-CN"/>
        </w:rPr>
      </w:pPr>
      <w:r>
        <w:rPr>
          <w:rFonts w:hint="eastAsia"/>
          <w:lang w:val="en-US" w:eastAsia="zh-CN"/>
        </w:rPr>
        <w:t>①</w:t>
      </w:r>
      <w:r>
        <w:rPr>
          <w:rFonts w:hint="default"/>
          <w:lang w:val="en-US" w:eastAsia="zh-CN"/>
        </w:rPr>
        <w:t>穿戴不符合安全规定的服装进行操作；</w:t>
      </w:r>
    </w:p>
    <w:p w14:paraId="05247C0B">
      <w:pPr>
        <w:pStyle w:val="21"/>
        <w:bidi w:val="0"/>
        <w:rPr>
          <w:rFonts w:hint="default"/>
          <w:lang w:val="en-US" w:eastAsia="zh-CN"/>
        </w:rPr>
      </w:pPr>
      <w:r>
        <w:rPr>
          <w:rFonts w:hint="eastAsia"/>
          <w:lang w:val="en-US" w:eastAsia="zh-CN"/>
        </w:rPr>
        <w:t>②</w:t>
      </w:r>
      <w:r>
        <w:rPr>
          <w:rFonts w:hint="default"/>
          <w:lang w:val="en-US" w:eastAsia="zh-CN"/>
        </w:rPr>
        <w:t>违章操作；</w:t>
      </w:r>
    </w:p>
    <w:p w14:paraId="07E585C0">
      <w:pPr>
        <w:pStyle w:val="21"/>
        <w:bidi w:val="0"/>
        <w:rPr>
          <w:rFonts w:hint="default"/>
          <w:lang w:val="en-US" w:eastAsia="zh-CN"/>
        </w:rPr>
      </w:pPr>
      <w:r>
        <w:rPr>
          <w:rFonts w:hint="eastAsia"/>
          <w:lang w:val="en-US" w:eastAsia="zh-CN"/>
        </w:rPr>
        <w:t>③</w:t>
      </w:r>
      <w:r>
        <w:rPr>
          <w:rFonts w:hint="default"/>
          <w:lang w:val="en-US" w:eastAsia="zh-CN"/>
        </w:rPr>
        <w:t>机械设备安全防护装置缺乏或损坏、被拆除等，导致事故发生；</w:t>
      </w:r>
    </w:p>
    <w:p w14:paraId="10747857">
      <w:pPr>
        <w:pStyle w:val="21"/>
        <w:bidi w:val="0"/>
        <w:rPr>
          <w:rFonts w:hint="default"/>
          <w:lang w:val="en-US" w:eastAsia="zh-CN"/>
        </w:rPr>
      </w:pPr>
      <w:r>
        <w:rPr>
          <w:rFonts w:hint="eastAsia"/>
          <w:lang w:val="en-US" w:eastAsia="zh-CN"/>
        </w:rPr>
        <w:t>④</w:t>
      </w:r>
      <w:r>
        <w:rPr>
          <w:rFonts w:hint="default"/>
          <w:lang w:val="en-US" w:eastAsia="zh-CN"/>
        </w:rPr>
        <w:t>操作过程中衣物、头发、工具进入运转机械导致身体被运动机械拖带伤害；</w:t>
      </w:r>
    </w:p>
    <w:p w14:paraId="3509A844">
      <w:pPr>
        <w:pStyle w:val="21"/>
        <w:bidi w:val="0"/>
        <w:rPr>
          <w:rFonts w:hint="default"/>
          <w:lang w:val="en-US" w:eastAsia="zh-CN"/>
        </w:rPr>
      </w:pPr>
      <w:r>
        <w:rPr>
          <w:rFonts w:hint="eastAsia"/>
          <w:lang w:val="en-US" w:eastAsia="zh-CN"/>
        </w:rPr>
        <w:t>⑤</w:t>
      </w:r>
      <w:r>
        <w:rPr>
          <w:rFonts w:hint="default"/>
          <w:lang w:val="en-US" w:eastAsia="zh-CN"/>
        </w:rPr>
        <w:t>操作人员疏忽大意，身体进入机械危险部位；</w:t>
      </w:r>
    </w:p>
    <w:p w14:paraId="419E59C1">
      <w:pPr>
        <w:pStyle w:val="21"/>
        <w:bidi w:val="0"/>
        <w:rPr>
          <w:rFonts w:hint="default"/>
          <w:lang w:val="en-US" w:eastAsia="zh-CN"/>
        </w:rPr>
      </w:pPr>
      <w:r>
        <w:rPr>
          <w:rFonts w:hint="eastAsia"/>
          <w:lang w:val="en-US" w:eastAsia="zh-CN"/>
        </w:rPr>
        <w:t>⑥</w:t>
      </w:r>
      <w:r>
        <w:rPr>
          <w:rFonts w:hint="default"/>
          <w:lang w:val="en-US" w:eastAsia="zh-CN"/>
        </w:rPr>
        <w:t>在检修和正常工作时，机器突然被别人随意启动，导致事故发生；</w:t>
      </w:r>
    </w:p>
    <w:p w14:paraId="04D10F18">
      <w:pPr>
        <w:pStyle w:val="21"/>
        <w:bidi w:val="0"/>
        <w:rPr>
          <w:rFonts w:hint="default"/>
          <w:lang w:val="en-US" w:eastAsia="zh-CN"/>
        </w:rPr>
      </w:pPr>
      <w:r>
        <w:rPr>
          <w:rFonts w:hint="eastAsia"/>
          <w:lang w:val="en-US" w:eastAsia="zh-CN"/>
        </w:rPr>
        <w:t>⑦</w:t>
      </w:r>
      <w:r>
        <w:rPr>
          <w:rFonts w:hint="default"/>
          <w:lang w:val="en-US" w:eastAsia="zh-CN"/>
        </w:rPr>
        <w:t>在不安全的机械上停留、休息，导致事故发生；</w:t>
      </w:r>
    </w:p>
    <w:p w14:paraId="504954CC">
      <w:pPr>
        <w:pStyle w:val="21"/>
        <w:bidi w:val="0"/>
        <w:rPr>
          <w:rFonts w:hint="default"/>
          <w:lang w:val="en-US" w:eastAsia="zh-CN"/>
        </w:rPr>
      </w:pPr>
      <w:r>
        <w:rPr>
          <w:rFonts w:hint="eastAsia"/>
          <w:lang w:val="en-US" w:eastAsia="zh-CN"/>
        </w:rPr>
        <w:t>⑧</w:t>
      </w:r>
      <w:r>
        <w:rPr>
          <w:rFonts w:hint="default"/>
          <w:lang w:val="en-US" w:eastAsia="zh-CN"/>
        </w:rPr>
        <w:t>设备设施设计、选型不合理或安装存在缺陷；</w:t>
      </w:r>
    </w:p>
    <w:p w14:paraId="5C90017C">
      <w:pPr>
        <w:pStyle w:val="21"/>
        <w:bidi w:val="0"/>
        <w:rPr>
          <w:rFonts w:hint="default"/>
          <w:lang w:val="en-US" w:eastAsia="zh-CN"/>
        </w:rPr>
      </w:pPr>
      <w:r>
        <w:rPr>
          <w:rFonts w:hint="eastAsia"/>
          <w:lang w:val="en-US" w:eastAsia="zh-CN"/>
        </w:rPr>
        <w:t>⑨</w:t>
      </w:r>
      <w:r>
        <w:rPr>
          <w:rFonts w:hint="default"/>
          <w:lang w:val="en-US" w:eastAsia="zh-CN"/>
        </w:rPr>
        <w:t>设备设施没有按规定进行维护或特种设备没有定期检测检验；</w:t>
      </w:r>
    </w:p>
    <w:p w14:paraId="125783E8">
      <w:pPr>
        <w:pStyle w:val="21"/>
        <w:bidi w:val="0"/>
        <w:rPr>
          <w:rFonts w:hint="default"/>
          <w:lang w:val="en-US" w:eastAsia="zh-CN"/>
        </w:rPr>
      </w:pPr>
      <w:r>
        <w:rPr>
          <w:rFonts w:hint="eastAsia"/>
          <w:lang w:val="en-US" w:eastAsia="zh-CN"/>
        </w:rPr>
        <w:t>⑩</w:t>
      </w:r>
      <w:r>
        <w:rPr>
          <w:rFonts w:hint="default"/>
          <w:lang w:val="en-US" w:eastAsia="zh-CN"/>
        </w:rPr>
        <w:t>安全管理上存在不足。</w:t>
      </w:r>
    </w:p>
    <w:p w14:paraId="310E49A0">
      <w:pPr>
        <w:pStyle w:val="21"/>
        <w:bidi w:val="0"/>
        <w:rPr>
          <w:rFonts w:hint="default"/>
          <w:lang w:val="en-US" w:eastAsia="zh-CN"/>
        </w:rPr>
      </w:pPr>
      <w:r>
        <w:rPr>
          <w:rFonts w:hint="default"/>
          <w:lang w:val="en-US" w:eastAsia="zh-CN"/>
        </w:rPr>
        <w:t>该矿山</w:t>
      </w:r>
      <w:r>
        <w:rPr>
          <w:rFonts w:hint="eastAsia"/>
          <w:lang w:val="en-US" w:eastAsia="zh-CN"/>
        </w:rPr>
        <w:t>提升</w:t>
      </w:r>
      <w:r>
        <w:rPr>
          <w:rFonts w:hint="default"/>
          <w:lang w:val="en-US" w:eastAsia="zh-CN"/>
        </w:rPr>
        <w:t>系统在使用和检修过程中存在着机械伤害的可能性。</w:t>
      </w:r>
    </w:p>
    <w:p w14:paraId="479DB335">
      <w:pPr>
        <w:pStyle w:val="29"/>
        <w:bidi w:val="0"/>
        <w:rPr>
          <w:rFonts w:hint="default"/>
          <w:lang w:val="en-US" w:eastAsia="zh-CN"/>
        </w:rPr>
      </w:pPr>
      <w:r>
        <w:rPr>
          <w:rFonts w:hint="default"/>
          <w:lang w:val="en-US" w:eastAsia="zh-CN"/>
        </w:rPr>
        <w:t>安全分析及符合性评价</w:t>
      </w:r>
    </w:p>
    <w:p w14:paraId="63E00789">
      <w:pPr>
        <w:pStyle w:val="21"/>
        <w:numPr>
          <w:ilvl w:val="0"/>
          <w:numId w:val="25"/>
        </w:numPr>
        <w:bidi w:val="0"/>
        <w:rPr>
          <w:rFonts w:hint="eastAsia" w:ascii="Times New Roman" w:hAnsi="Times New Roman"/>
          <w:caps w:val="0"/>
          <w:smallCaps w:val="0"/>
          <w:snapToGrid w:val="0"/>
          <w:color w:val="000000"/>
          <w:kern w:val="0"/>
          <w:sz w:val="28"/>
          <w:szCs w:val="28"/>
        </w:rPr>
      </w:pPr>
      <w:r>
        <w:rPr>
          <w:rFonts w:hint="eastAsia" w:ascii="Times New Roman" w:hAnsi="Times New Roman"/>
          <w:caps w:val="0"/>
          <w:smallCaps w:val="0"/>
          <w:snapToGrid w:val="0"/>
          <w:color w:val="000000"/>
          <w:kern w:val="0"/>
          <w:sz w:val="28"/>
          <w:szCs w:val="28"/>
        </w:rPr>
        <w:t>预先危险性分析法评价</w:t>
      </w:r>
    </w:p>
    <w:p w14:paraId="6941A586">
      <w:pPr>
        <w:snapToGrid w:val="0"/>
        <w:spacing w:line="360" w:lineRule="auto"/>
        <w:ind w:firstLine="560" w:firstLineChars="200"/>
        <w:rPr>
          <w:rFonts w:hint="eastAsia" w:ascii="Times New Roman" w:hAnsi="Times New Roman"/>
          <w:caps w:val="0"/>
          <w:smallCaps w:val="0"/>
          <w:sz w:val="28"/>
          <w:szCs w:val="28"/>
        </w:rPr>
      </w:pPr>
      <w:r>
        <w:rPr>
          <w:rFonts w:hint="eastAsia" w:ascii="Times New Roman" w:hAnsi="Times New Roman"/>
          <w:caps w:val="0"/>
          <w:smallCaps w:val="0"/>
          <w:sz w:val="28"/>
          <w:szCs w:val="28"/>
        </w:rPr>
        <w:t>对该项目开拓单元的预先危险性分析表，见表3.2-1。</w:t>
      </w:r>
    </w:p>
    <w:p w14:paraId="61C11706">
      <w:pPr>
        <w:pStyle w:val="30"/>
        <w:bidi w:val="0"/>
        <w:rPr>
          <w:rFonts w:hint="eastAsia"/>
        </w:rPr>
      </w:pPr>
      <w:r>
        <w:rPr>
          <w:rFonts w:hint="eastAsia"/>
        </w:rPr>
        <w:t>表3.2-1 开拓单元预先危险性分析表</w:t>
      </w:r>
    </w:p>
    <w:tbl>
      <w:tblPr>
        <w:tblStyle w:val="24"/>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534"/>
        <w:gridCol w:w="889"/>
        <w:gridCol w:w="1536"/>
        <w:gridCol w:w="1265"/>
        <w:gridCol w:w="1499"/>
        <w:gridCol w:w="889"/>
        <w:gridCol w:w="534"/>
        <w:gridCol w:w="2255"/>
      </w:tblGrid>
      <w:tr w14:paraId="2DF5873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0" w:type="auto"/>
            <w:noWrap w:val="0"/>
            <w:vAlign w:val="center"/>
          </w:tcPr>
          <w:p w14:paraId="04423F84">
            <w:pPr>
              <w:pStyle w:val="31"/>
              <w:bidi w:val="0"/>
              <w:rPr>
                <w:rFonts w:hint="eastAsia"/>
                <w:sz w:val="21"/>
                <w:szCs w:val="21"/>
              </w:rPr>
            </w:pPr>
            <w:r>
              <w:rPr>
                <w:rFonts w:hint="eastAsia"/>
                <w:sz w:val="21"/>
                <w:szCs w:val="21"/>
              </w:rPr>
              <w:t>潜在事故</w:t>
            </w:r>
          </w:p>
        </w:tc>
        <w:tc>
          <w:tcPr>
            <w:tcW w:w="0" w:type="auto"/>
            <w:noWrap w:val="0"/>
            <w:vAlign w:val="center"/>
          </w:tcPr>
          <w:p w14:paraId="455C0222">
            <w:pPr>
              <w:pStyle w:val="31"/>
              <w:bidi w:val="0"/>
              <w:rPr>
                <w:rFonts w:hint="eastAsia"/>
                <w:sz w:val="21"/>
                <w:szCs w:val="21"/>
              </w:rPr>
            </w:pPr>
            <w:r>
              <w:rPr>
                <w:rFonts w:hint="eastAsia"/>
                <w:sz w:val="21"/>
                <w:szCs w:val="21"/>
              </w:rPr>
              <w:t>危险因素</w:t>
            </w:r>
          </w:p>
        </w:tc>
        <w:tc>
          <w:tcPr>
            <w:tcW w:w="0" w:type="auto"/>
            <w:noWrap w:val="0"/>
            <w:vAlign w:val="center"/>
          </w:tcPr>
          <w:p w14:paraId="542EBF9B">
            <w:pPr>
              <w:pStyle w:val="31"/>
              <w:bidi w:val="0"/>
              <w:rPr>
                <w:rFonts w:hint="eastAsia"/>
                <w:sz w:val="21"/>
                <w:szCs w:val="21"/>
              </w:rPr>
            </w:pPr>
            <w:r>
              <w:rPr>
                <w:rFonts w:hint="eastAsia"/>
                <w:sz w:val="21"/>
                <w:szCs w:val="21"/>
              </w:rPr>
              <w:t>触发条件（1）</w:t>
            </w:r>
          </w:p>
        </w:tc>
        <w:tc>
          <w:tcPr>
            <w:tcW w:w="0" w:type="auto"/>
            <w:noWrap w:val="0"/>
            <w:vAlign w:val="center"/>
          </w:tcPr>
          <w:p w14:paraId="1861605E">
            <w:pPr>
              <w:pStyle w:val="31"/>
              <w:bidi w:val="0"/>
              <w:rPr>
                <w:rFonts w:hint="eastAsia"/>
                <w:sz w:val="21"/>
                <w:szCs w:val="21"/>
              </w:rPr>
            </w:pPr>
            <w:r>
              <w:rPr>
                <w:rFonts w:hint="eastAsia"/>
                <w:sz w:val="21"/>
                <w:szCs w:val="21"/>
              </w:rPr>
              <w:t>发生条件</w:t>
            </w:r>
          </w:p>
        </w:tc>
        <w:tc>
          <w:tcPr>
            <w:tcW w:w="0" w:type="auto"/>
            <w:noWrap w:val="0"/>
            <w:vAlign w:val="center"/>
          </w:tcPr>
          <w:p w14:paraId="2F72CF18">
            <w:pPr>
              <w:pStyle w:val="31"/>
              <w:bidi w:val="0"/>
              <w:rPr>
                <w:rFonts w:hint="eastAsia"/>
                <w:sz w:val="21"/>
                <w:szCs w:val="21"/>
              </w:rPr>
            </w:pPr>
            <w:r>
              <w:rPr>
                <w:rFonts w:hint="eastAsia"/>
                <w:sz w:val="21"/>
                <w:szCs w:val="21"/>
              </w:rPr>
              <w:t>触发条件（2）</w:t>
            </w:r>
          </w:p>
        </w:tc>
        <w:tc>
          <w:tcPr>
            <w:tcW w:w="0" w:type="auto"/>
            <w:noWrap w:val="0"/>
            <w:vAlign w:val="center"/>
          </w:tcPr>
          <w:p w14:paraId="5E2AF7D9">
            <w:pPr>
              <w:pStyle w:val="31"/>
              <w:bidi w:val="0"/>
              <w:rPr>
                <w:rFonts w:hint="eastAsia"/>
                <w:sz w:val="21"/>
                <w:szCs w:val="21"/>
              </w:rPr>
            </w:pPr>
            <w:r>
              <w:rPr>
                <w:rFonts w:hint="eastAsia"/>
                <w:sz w:val="21"/>
                <w:szCs w:val="21"/>
              </w:rPr>
              <w:t>事故后果</w:t>
            </w:r>
          </w:p>
        </w:tc>
        <w:tc>
          <w:tcPr>
            <w:tcW w:w="0" w:type="auto"/>
            <w:noWrap w:val="0"/>
            <w:vAlign w:val="center"/>
          </w:tcPr>
          <w:p w14:paraId="1BDE08FF">
            <w:pPr>
              <w:pStyle w:val="31"/>
              <w:bidi w:val="0"/>
              <w:rPr>
                <w:rFonts w:hint="eastAsia"/>
                <w:sz w:val="21"/>
                <w:szCs w:val="21"/>
              </w:rPr>
            </w:pPr>
            <w:r>
              <w:rPr>
                <w:rFonts w:hint="eastAsia"/>
                <w:sz w:val="21"/>
                <w:szCs w:val="21"/>
              </w:rPr>
              <w:t>危险等级</w:t>
            </w:r>
          </w:p>
        </w:tc>
        <w:tc>
          <w:tcPr>
            <w:tcW w:w="0" w:type="auto"/>
            <w:noWrap w:val="0"/>
            <w:vAlign w:val="center"/>
          </w:tcPr>
          <w:p w14:paraId="40D1EE23">
            <w:pPr>
              <w:pStyle w:val="31"/>
              <w:bidi w:val="0"/>
              <w:rPr>
                <w:rFonts w:hint="eastAsia"/>
                <w:sz w:val="21"/>
                <w:szCs w:val="21"/>
              </w:rPr>
            </w:pPr>
            <w:r>
              <w:rPr>
                <w:rFonts w:hint="eastAsia"/>
                <w:sz w:val="21"/>
                <w:szCs w:val="21"/>
              </w:rPr>
              <w:t>防范措施</w:t>
            </w:r>
          </w:p>
        </w:tc>
      </w:tr>
      <w:tr w14:paraId="43D4134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0" w:type="auto"/>
            <w:noWrap w:val="0"/>
            <w:vAlign w:val="center"/>
          </w:tcPr>
          <w:p w14:paraId="6CA1D6BA">
            <w:pPr>
              <w:pStyle w:val="31"/>
              <w:bidi w:val="0"/>
              <w:rPr>
                <w:rFonts w:hint="eastAsia"/>
                <w:sz w:val="21"/>
                <w:szCs w:val="21"/>
              </w:rPr>
            </w:pPr>
            <w:r>
              <w:rPr>
                <w:rFonts w:hint="eastAsia"/>
                <w:sz w:val="21"/>
                <w:szCs w:val="21"/>
              </w:rPr>
              <w:t>物体打击</w:t>
            </w:r>
          </w:p>
        </w:tc>
        <w:tc>
          <w:tcPr>
            <w:tcW w:w="0" w:type="auto"/>
            <w:noWrap w:val="0"/>
            <w:vAlign w:val="center"/>
          </w:tcPr>
          <w:p w14:paraId="71FC77F5">
            <w:pPr>
              <w:pStyle w:val="31"/>
              <w:bidi w:val="0"/>
              <w:rPr>
                <w:rFonts w:hint="eastAsia"/>
                <w:sz w:val="21"/>
                <w:szCs w:val="21"/>
              </w:rPr>
            </w:pPr>
            <w:r>
              <w:rPr>
                <w:rFonts w:hint="eastAsia"/>
                <w:sz w:val="21"/>
                <w:szCs w:val="21"/>
              </w:rPr>
              <w:t>高处坠落的物体</w:t>
            </w:r>
          </w:p>
        </w:tc>
        <w:tc>
          <w:tcPr>
            <w:tcW w:w="0" w:type="auto"/>
            <w:noWrap w:val="0"/>
            <w:vAlign w:val="center"/>
          </w:tcPr>
          <w:p w14:paraId="6D10DF7A">
            <w:pPr>
              <w:pStyle w:val="31"/>
              <w:bidi w:val="0"/>
              <w:jc w:val="both"/>
              <w:rPr>
                <w:rFonts w:hint="eastAsia"/>
                <w:sz w:val="21"/>
                <w:szCs w:val="21"/>
              </w:rPr>
            </w:pPr>
            <w:r>
              <w:rPr>
                <w:rFonts w:hint="eastAsia"/>
                <w:sz w:val="21"/>
                <w:szCs w:val="21"/>
              </w:rPr>
              <w:t>各水平马头门及井框上的浮石未及时处理或处理不干净</w:t>
            </w:r>
          </w:p>
          <w:p w14:paraId="40CB5999">
            <w:pPr>
              <w:pStyle w:val="31"/>
              <w:bidi w:val="0"/>
              <w:jc w:val="both"/>
              <w:rPr>
                <w:rFonts w:hint="eastAsia"/>
                <w:sz w:val="21"/>
                <w:szCs w:val="21"/>
              </w:rPr>
            </w:pPr>
            <w:r>
              <w:rPr>
                <w:rFonts w:hint="eastAsia"/>
                <w:sz w:val="21"/>
                <w:szCs w:val="21"/>
              </w:rPr>
              <w:t>设备工具等坠落物砸伤经过的人员</w:t>
            </w:r>
          </w:p>
        </w:tc>
        <w:tc>
          <w:tcPr>
            <w:tcW w:w="0" w:type="auto"/>
            <w:noWrap w:val="0"/>
            <w:vAlign w:val="center"/>
          </w:tcPr>
          <w:p w14:paraId="660B858E">
            <w:pPr>
              <w:pStyle w:val="31"/>
              <w:bidi w:val="0"/>
              <w:jc w:val="both"/>
              <w:rPr>
                <w:rFonts w:hint="eastAsia"/>
                <w:sz w:val="21"/>
                <w:szCs w:val="21"/>
              </w:rPr>
            </w:pPr>
            <w:r>
              <w:rPr>
                <w:rFonts w:hint="eastAsia"/>
                <w:sz w:val="21"/>
                <w:szCs w:val="21"/>
              </w:rPr>
              <w:t>工作人员从可能坠落的物体下通过</w:t>
            </w:r>
          </w:p>
        </w:tc>
        <w:tc>
          <w:tcPr>
            <w:tcW w:w="0" w:type="auto"/>
            <w:noWrap w:val="0"/>
            <w:vAlign w:val="center"/>
          </w:tcPr>
          <w:p w14:paraId="3C3D16F5">
            <w:pPr>
              <w:pStyle w:val="31"/>
              <w:bidi w:val="0"/>
              <w:jc w:val="both"/>
              <w:rPr>
                <w:rFonts w:hint="eastAsia"/>
                <w:sz w:val="21"/>
                <w:szCs w:val="21"/>
              </w:rPr>
            </w:pPr>
            <w:r>
              <w:rPr>
                <w:rFonts w:hint="eastAsia"/>
                <w:sz w:val="21"/>
                <w:szCs w:val="21"/>
              </w:rPr>
              <w:t>工作人员违章进入危险区域</w:t>
            </w:r>
          </w:p>
          <w:p w14:paraId="60C09B3A">
            <w:pPr>
              <w:pStyle w:val="31"/>
              <w:bidi w:val="0"/>
              <w:jc w:val="both"/>
              <w:rPr>
                <w:rFonts w:hint="eastAsia"/>
                <w:sz w:val="21"/>
                <w:szCs w:val="21"/>
              </w:rPr>
            </w:pPr>
            <w:r>
              <w:rPr>
                <w:rFonts w:hint="eastAsia"/>
                <w:sz w:val="21"/>
                <w:szCs w:val="21"/>
              </w:rPr>
              <w:t>作业环境差，作业人员未发现坠物</w:t>
            </w:r>
          </w:p>
        </w:tc>
        <w:tc>
          <w:tcPr>
            <w:tcW w:w="0" w:type="auto"/>
            <w:noWrap w:val="0"/>
            <w:vAlign w:val="center"/>
          </w:tcPr>
          <w:p w14:paraId="39B065A5">
            <w:pPr>
              <w:pStyle w:val="31"/>
              <w:bidi w:val="0"/>
              <w:rPr>
                <w:rFonts w:hint="eastAsia"/>
                <w:sz w:val="21"/>
                <w:szCs w:val="21"/>
              </w:rPr>
            </w:pPr>
            <w:r>
              <w:rPr>
                <w:rFonts w:hint="eastAsia"/>
                <w:sz w:val="21"/>
                <w:szCs w:val="21"/>
              </w:rPr>
              <w:t>人员伤亡</w:t>
            </w:r>
          </w:p>
        </w:tc>
        <w:tc>
          <w:tcPr>
            <w:tcW w:w="0" w:type="auto"/>
            <w:noWrap w:val="0"/>
            <w:vAlign w:val="center"/>
          </w:tcPr>
          <w:p w14:paraId="7BF7082B">
            <w:pPr>
              <w:pStyle w:val="31"/>
              <w:bidi w:val="0"/>
              <w:rPr>
                <w:rFonts w:hint="eastAsia"/>
                <w:sz w:val="21"/>
                <w:szCs w:val="21"/>
              </w:rPr>
            </w:pPr>
            <w:r>
              <w:rPr>
                <w:rFonts w:hint="eastAsia"/>
                <w:sz w:val="21"/>
                <w:szCs w:val="21"/>
              </w:rPr>
              <w:t>Ⅱ级</w:t>
            </w:r>
          </w:p>
        </w:tc>
        <w:tc>
          <w:tcPr>
            <w:tcW w:w="0" w:type="auto"/>
            <w:noWrap w:val="0"/>
            <w:vAlign w:val="center"/>
          </w:tcPr>
          <w:p w14:paraId="56F56650">
            <w:pPr>
              <w:pStyle w:val="31"/>
              <w:bidi w:val="0"/>
              <w:jc w:val="both"/>
              <w:rPr>
                <w:rFonts w:hint="eastAsia"/>
                <w:sz w:val="21"/>
                <w:szCs w:val="21"/>
              </w:rPr>
            </w:pPr>
            <w:r>
              <w:rPr>
                <w:rFonts w:hint="eastAsia"/>
                <w:sz w:val="21"/>
                <w:szCs w:val="21"/>
              </w:rPr>
              <w:t>（1）严禁在高处抛掷工具</w:t>
            </w:r>
          </w:p>
          <w:p w14:paraId="45AED2EE">
            <w:pPr>
              <w:pStyle w:val="31"/>
              <w:bidi w:val="0"/>
              <w:jc w:val="both"/>
              <w:rPr>
                <w:rFonts w:hint="eastAsia"/>
                <w:sz w:val="21"/>
                <w:szCs w:val="21"/>
              </w:rPr>
            </w:pPr>
            <w:r>
              <w:rPr>
                <w:rFonts w:hint="eastAsia"/>
                <w:sz w:val="21"/>
                <w:szCs w:val="21"/>
              </w:rPr>
              <w:t>（2）人员不得进入有坠物危险的区域</w:t>
            </w:r>
          </w:p>
          <w:p w14:paraId="7924D6BA">
            <w:pPr>
              <w:pStyle w:val="31"/>
              <w:bidi w:val="0"/>
              <w:jc w:val="both"/>
              <w:rPr>
                <w:rFonts w:hint="eastAsia"/>
                <w:sz w:val="21"/>
                <w:szCs w:val="21"/>
              </w:rPr>
            </w:pPr>
            <w:r>
              <w:rPr>
                <w:rFonts w:hint="eastAsia"/>
                <w:sz w:val="21"/>
                <w:szCs w:val="21"/>
              </w:rPr>
              <w:t>（3）各中段马头门及井框上的浮石及时处理干净</w:t>
            </w:r>
          </w:p>
        </w:tc>
      </w:tr>
      <w:tr w14:paraId="50DABF1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0" w:type="auto"/>
            <w:noWrap w:val="0"/>
            <w:vAlign w:val="center"/>
          </w:tcPr>
          <w:p w14:paraId="74C6BF78">
            <w:pPr>
              <w:pStyle w:val="31"/>
              <w:bidi w:val="0"/>
              <w:rPr>
                <w:rFonts w:hint="eastAsia"/>
                <w:sz w:val="21"/>
                <w:szCs w:val="21"/>
              </w:rPr>
            </w:pPr>
            <w:r>
              <w:rPr>
                <w:rFonts w:hint="eastAsia"/>
                <w:sz w:val="21"/>
                <w:szCs w:val="21"/>
              </w:rPr>
              <w:t>高处坠落</w:t>
            </w:r>
          </w:p>
        </w:tc>
        <w:tc>
          <w:tcPr>
            <w:tcW w:w="0" w:type="auto"/>
            <w:noWrap w:val="0"/>
            <w:vAlign w:val="center"/>
          </w:tcPr>
          <w:p w14:paraId="04B207A4">
            <w:pPr>
              <w:pStyle w:val="31"/>
              <w:bidi w:val="0"/>
              <w:rPr>
                <w:rFonts w:hint="eastAsia"/>
                <w:sz w:val="21"/>
                <w:szCs w:val="21"/>
              </w:rPr>
            </w:pPr>
            <w:r>
              <w:rPr>
                <w:rFonts w:hint="eastAsia"/>
                <w:sz w:val="21"/>
                <w:szCs w:val="21"/>
              </w:rPr>
              <w:t>登高作业</w:t>
            </w:r>
          </w:p>
        </w:tc>
        <w:tc>
          <w:tcPr>
            <w:tcW w:w="0" w:type="auto"/>
            <w:noWrap w:val="0"/>
            <w:vAlign w:val="center"/>
          </w:tcPr>
          <w:p w14:paraId="73856BBF">
            <w:pPr>
              <w:pStyle w:val="31"/>
              <w:bidi w:val="0"/>
              <w:jc w:val="both"/>
              <w:rPr>
                <w:rFonts w:hint="eastAsia"/>
                <w:sz w:val="21"/>
                <w:szCs w:val="21"/>
              </w:rPr>
            </w:pPr>
            <w:r>
              <w:rPr>
                <w:rFonts w:hint="eastAsia"/>
                <w:sz w:val="21"/>
                <w:szCs w:val="21"/>
              </w:rPr>
              <w:t>作业场所边缘无围栏</w:t>
            </w:r>
          </w:p>
          <w:p w14:paraId="11B35EBC">
            <w:pPr>
              <w:pStyle w:val="31"/>
              <w:bidi w:val="0"/>
              <w:jc w:val="both"/>
              <w:rPr>
                <w:rFonts w:hint="eastAsia"/>
                <w:sz w:val="21"/>
                <w:szCs w:val="21"/>
              </w:rPr>
            </w:pPr>
            <w:r>
              <w:rPr>
                <w:rFonts w:hint="eastAsia"/>
                <w:sz w:val="21"/>
                <w:szCs w:val="21"/>
              </w:rPr>
              <w:t>防护栏不牢固或高度不够</w:t>
            </w:r>
          </w:p>
          <w:p w14:paraId="04D6F648">
            <w:pPr>
              <w:pStyle w:val="31"/>
              <w:bidi w:val="0"/>
              <w:jc w:val="both"/>
              <w:rPr>
                <w:rFonts w:hint="eastAsia"/>
                <w:sz w:val="21"/>
                <w:szCs w:val="21"/>
              </w:rPr>
            </w:pPr>
            <w:r>
              <w:rPr>
                <w:rFonts w:hint="eastAsia"/>
                <w:sz w:val="21"/>
                <w:szCs w:val="21"/>
              </w:rPr>
              <w:t>未穿防滑鞋或防护用品穿戴不当</w:t>
            </w:r>
          </w:p>
          <w:p w14:paraId="780ADC6F">
            <w:pPr>
              <w:pStyle w:val="31"/>
              <w:bidi w:val="0"/>
              <w:jc w:val="both"/>
              <w:rPr>
                <w:rFonts w:hint="eastAsia"/>
                <w:sz w:val="21"/>
                <w:szCs w:val="21"/>
              </w:rPr>
            </w:pPr>
            <w:r>
              <w:rPr>
                <w:rFonts w:hint="eastAsia"/>
                <w:sz w:val="21"/>
                <w:szCs w:val="21"/>
              </w:rPr>
              <w:t>身体不适造成跌落</w:t>
            </w:r>
          </w:p>
        </w:tc>
        <w:tc>
          <w:tcPr>
            <w:tcW w:w="0" w:type="auto"/>
            <w:noWrap w:val="0"/>
            <w:vAlign w:val="center"/>
          </w:tcPr>
          <w:p w14:paraId="2DF962F3">
            <w:pPr>
              <w:pStyle w:val="31"/>
              <w:bidi w:val="0"/>
              <w:jc w:val="both"/>
              <w:rPr>
                <w:rFonts w:hint="eastAsia"/>
                <w:sz w:val="21"/>
                <w:szCs w:val="21"/>
              </w:rPr>
            </w:pPr>
            <w:r>
              <w:rPr>
                <w:rFonts w:hint="eastAsia"/>
              </w:rPr>
              <w:t>人行阶梯高差较大或者阶梯破坏的位置</w:t>
            </w:r>
          </w:p>
        </w:tc>
        <w:tc>
          <w:tcPr>
            <w:tcW w:w="0" w:type="auto"/>
            <w:noWrap w:val="0"/>
            <w:vAlign w:val="center"/>
          </w:tcPr>
          <w:p w14:paraId="2084F985">
            <w:pPr>
              <w:pStyle w:val="31"/>
              <w:bidi w:val="0"/>
              <w:jc w:val="both"/>
              <w:rPr>
                <w:rFonts w:hint="eastAsia"/>
                <w:sz w:val="21"/>
                <w:szCs w:val="21"/>
              </w:rPr>
            </w:pPr>
            <w:r>
              <w:rPr>
                <w:rFonts w:hint="eastAsia"/>
                <w:sz w:val="21"/>
                <w:szCs w:val="21"/>
              </w:rPr>
              <w:t>踩空或支撑物倒塌</w:t>
            </w:r>
          </w:p>
          <w:p w14:paraId="341EDD6B">
            <w:pPr>
              <w:pStyle w:val="31"/>
              <w:bidi w:val="0"/>
              <w:jc w:val="both"/>
              <w:rPr>
                <w:rFonts w:hint="default"/>
                <w:sz w:val="21"/>
                <w:szCs w:val="21"/>
                <w:lang w:val="en-US"/>
              </w:rPr>
            </w:pPr>
            <w:r>
              <w:rPr>
                <w:rFonts w:hint="eastAsia"/>
                <w:sz w:val="21"/>
                <w:szCs w:val="21"/>
                <w:lang w:val="en-US" w:eastAsia="zh-CN"/>
              </w:rPr>
              <w:t>携带重物</w:t>
            </w:r>
          </w:p>
          <w:p w14:paraId="62EAB322">
            <w:pPr>
              <w:pStyle w:val="31"/>
              <w:bidi w:val="0"/>
              <w:jc w:val="both"/>
              <w:rPr>
                <w:rFonts w:hint="eastAsia"/>
                <w:sz w:val="21"/>
                <w:szCs w:val="21"/>
              </w:rPr>
            </w:pPr>
            <w:r>
              <w:rPr>
                <w:rFonts w:hint="eastAsia"/>
                <w:sz w:val="21"/>
                <w:szCs w:val="21"/>
              </w:rPr>
              <w:t>未穿防滑鞋及紧身工作服</w:t>
            </w:r>
          </w:p>
          <w:p w14:paraId="406FD442">
            <w:pPr>
              <w:pStyle w:val="31"/>
              <w:bidi w:val="0"/>
              <w:jc w:val="both"/>
              <w:rPr>
                <w:rFonts w:hint="eastAsia"/>
                <w:sz w:val="21"/>
                <w:szCs w:val="21"/>
              </w:rPr>
            </w:pPr>
            <w:r>
              <w:rPr>
                <w:rFonts w:hint="eastAsia"/>
                <w:sz w:val="21"/>
                <w:szCs w:val="21"/>
              </w:rPr>
              <w:t>违章指挥、违章作业、违反劳动纪律</w:t>
            </w:r>
          </w:p>
        </w:tc>
        <w:tc>
          <w:tcPr>
            <w:tcW w:w="0" w:type="auto"/>
            <w:noWrap w:val="0"/>
            <w:vAlign w:val="center"/>
          </w:tcPr>
          <w:p w14:paraId="59894E2B">
            <w:pPr>
              <w:pStyle w:val="31"/>
              <w:bidi w:val="0"/>
              <w:rPr>
                <w:rFonts w:hint="eastAsia"/>
                <w:sz w:val="21"/>
                <w:szCs w:val="21"/>
              </w:rPr>
            </w:pPr>
            <w:r>
              <w:rPr>
                <w:rFonts w:hint="eastAsia"/>
                <w:sz w:val="21"/>
                <w:szCs w:val="21"/>
              </w:rPr>
              <w:t>人员伤亡</w:t>
            </w:r>
          </w:p>
        </w:tc>
        <w:tc>
          <w:tcPr>
            <w:tcW w:w="0" w:type="auto"/>
            <w:noWrap w:val="0"/>
            <w:vAlign w:val="center"/>
          </w:tcPr>
          <w:p w14:paraId="60A963F4">
            <w:pPr>
              <w:pStyle w:val="31"/>
              <w:bidi w:val="0"/>
              <w:rPr>
                <w:rFonts w:hint="eastAsia"/>
                <w:sz w:val="21"/>
                <w:szCs w:val="21"/>
              </w:rPr>
            </w:pPr>
            <w:r>
              <w:rPr>
                <w:rFonts w:hint="eastAsia"/>
                <w:sz w:val="21"/>
                <w:szCs w:val="21"/>
              </w:rPr>
              <w:t>Ⅱ级</w:t>
            </w:r>
          </w:p>
        </w:tc>
        <w:tc>
          <w:tcPr>
            <w:tcW w:w="0" w:type="auto"/>
            <w:noWrap w:val="0"/>
            <w:vAlign w:val="center"/>
          </w:tcPr>
          <w:p w14:paraId="2E7FEC3E">
            <w:pPr>
              <w:pStyle w:val="31"/>
              <w:bidi w:val="0"/>
              <w:jc w:val="both"/>
              <w:rPr>
                <w:rFonts w:hint="default" w:eastAsia="宋体"/>
                <w:sz w:val="21"/>
                <w:szCs w:val="21"/>
                <w:lang w:val="en-US" w:eastAsia="zh-CN"/>
              </w:rPr>
            </w:pPr>
            <w:r>
              <w:rPr>
                <w:rFonts w:hint="eastAsia"/>
                <w:sz w:val="21"/>
                <w:szCs w:val="21"/>
                <w:lang w:val="en-US" w:eastAsia="zh-CN"/>
              </w:rPr>
              <w:t>及时修整台阶</w:t>
            </w:r>
          </w:p>
          <w:p w14:paraId="5D2CED54">
            <w:pPr>
              <w:pStyle w:val="31"/>
              <w:bidi w:val="0"/>
              <w:jc w:val="both"/>
              <w:rPr>
                <w:rFonts w:hint="eastAsia"/>
                <w:sz w:val="21"/>
                <w:szCs w:val="21"/>
              </w:rPr>
            </w:pPr>
            <w:r>
              <w:rPr>
                <w:rFonts w:hint="eastAsia"/>
                <w:sz w:val="21"/>
                <w:szCs w:val="21"/>
              </w:rPr>
              <w:t>制定并严格遵守高处作业安全管理制度</w:t>
            </w:r>
          </w:p>
          <w:p w14:paraId="7C1AA801">
            <w:pPr>
              <w:pStyle w:val="31"/>
              <w:bidi w:val="0"/>
              <w:jc w:val="both"/>
              <w:rPr>
                <w:rFonts w:hint="eastAsia"/>
                <w:sz w:val="21"/>
                <w:szCs w:val="21"/>
              </w:rPr>
            </w:pPr>
            <w:r>
              <w:rPr>
                <w:rFonts w:hint="eastAsia"/>
                <w:sz w:val="21"/>
                <w:szCs w:val="21"/>
              </w:rPr>
              <w:t xml:space="preserve">2m以上的高处作业，设轩梯、围栏、盖、平台、走道等等 </w:t>
            </w:r>
          </w:p>
          <w:p w14:paraId="12021FF1">
            <w:pPr>
              <w:pStyle w:val="31"/>
              <w:bidi w:val="0"/>
              <w:jc w:val="both"/>
              <w:rPr>
                <w:rFonts w:hint="eastAsia"/>
                <w:sz w:val="21"/>
                <w:szCs w:val="21"/>
              </w:rPr>
            </w:pPr>
            <w:r>
              <w:rPr>
                <w:rFonts w:hint="eastAsia"/>
                <w:sz w:val="21"/>
                <w:szCs w:val="21"/>
              </w:rPr>
              <w:t>登高作业人员必须严格执行高处作业安全规定</w:t>
            </w:r>
          </w:p>
          <w:p w14:paraId="6A714F92">
            <w:pPr>
              <w:pStyle w:val="31"/>
              <w:bidi w:val="0"/>
              <w:jc w:val="both"/>
              <w:rPr>
                <w:rFonts w:hint="eastAsia"/>
                <w:sz w:val="21"/>
                <w:szCs w:val="21"/>
              </w:rPr>
            </w:pPr>
            <w:r>
              <w:rPr>
                <w:rFonts w:hint="eastAsia"/>
                <w:sz w:val="21"/>
                <w:szCs w:val="21"/>
              </w:rPr>
              <w:t>登高作业人员必须戴好安全帽，系挂好安全带</w:t>
            </w:r>
          </w:p>
          <w:p w14:paraId="4405FCC7">
            <w:pPr>
              <w:pStyle w:val="31"/>
              <w:bidi w:val="0"/>
              <w:jc w:val="both"/>
              <w:rPr>
                <w:rFonts w:hint="eastAsia"/>
                <w:sz w:val="21"/>
                <w:szCs w:val="21"/>
              </w:rPr>
            </w:pPr>
            <w:r>
              <w:rPr>
                <w:rFonts w:hint="eastAsia"/>
                <w:sz w:val="21"/>
                <w:szCs w:val="21"/>
              </w:rPr>
              <w:t>对平台、栏杆、护墙及安全带等要定期检查，确保完好</w:t>
            </w:r>
          </w:p>
          <w:p w14:paraId="270E7268">
            <w:pPr>
              <w:pStyle w:val="31"/>
              <w:bidi w:val="0"/>
              <w:jc w:val="both"/>
              <w:rPr>
                <w:rFonts w:hint="eastAsia"/>
                <w:sz w:val="21"/>
                <w:szCs w:val="21"/>
              </w:rPr>
            </w:pPr>
            <w:r>
              <w:rPr>
                <w:rFonts w:hint="eastAsia"/>
                <w:sz w:val="21"/>
                <w:szCs w:val="21"/>
              </w:rPr>
              <w:t>杜绝“三违”</w:t>
            </w:r>
          </w:p>
        </w:tc>
      </w:tr>
      <w:tr w14:paraId="687FCFD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0" w:type="auto"/>
            <w:noWrap w:val="0"/>
            <w:vAlign w:val="center"/>
          </w:tcPr>
          <w:p w14:paraId="66E2AB0D">
            <w:pPr>
              <w:pStyle w:val="31"/>
              <w:bidi w:val="0"/>
              <w:rPr>
                <w:rFonts w:hint="eastAsia"/>
                <w:sz w:val="21"/>
                <w:szCs w:val="21"/>
              </w:rPr>
            </w:pPr>
            <w:r>
              <w:rPr>
                <w:rFonts w:hint="eastAsia"/>
                <w:sz w:val="21"/>
                <w:szCs w:val="21"/>
              </w:rPr>
              <w:t>冒顶片帮</w:t>
            </w:r>
          </w:p>
        </w:tc>
        <w:tc>
          <w:tcPr>
            <w:tcW w:w="0" w:type="auto"/>
            <w:noWrap w:val="0"/>
            <w:vAlign w:val="center"/>
          </w:tcPr>
          <w:p w14:paraId="78E7FAF4">
            <w:pPr>
              <w:pStyle w:val="31"/>
              <w:bidi w:val="0"/>
              <w:rPr>
                <w:rFonts w:hint="eastAsia"/>
                <w:sz w:val="21"/>
                <w:szCs w:val="21"/>
              </w:rPr>
            </w:pPr>
            <w:r>
              <w:rPr>
                <w:rFonts w:hint="eastAsia"/>
                <w:sz w:val="21"/>
                <w:szCs w:val="21"/>
              </w:rPr>
              <w:t>滚石、滑坡、坍塌</w:t>
            </w:r>
          </w:p>
        </w:tc>
        <w:tc>
          <w:tcPr>
            <w:tcW w:w="0" w:type="auto"/>
            <w:noWrap w:val="0"/>
            <w:vAlign w:val="center"/>
          </w:tcPr>
          <w:p w14:paraId="7060A8F4">
            <w:pPr>
              <w:pStyle w:val="31"/>
              <w:bidi w:val="0"/>
              <w:jc w:val="both"/>
              <w:rPr>
                <w:rFonts w:hint="eastAsia"/>
                <w:sz w:val="21"/>
                <w:szCs w:val="21"/>
              </w:rPr>
            </w:pPr>
            <w:r>
              <w:rPr>
                <w:rFonts w:hint="eastAsia"/>
                <w:sz w:val="21"/>
                <w:szCs w:val="21"/>
              </w:rPr>
              <w:t>（1）开拓井巷井口布置在不良工程地质地段。</w:t>
            </w:r>
          </w:p>
          <w:p w14:paraId="05488A21">
            <w:pPr>
              <w:pStyle w:val="31"/>
              <w:bidi w:val="0"/>
              <w:jc w:val="both"/>
              <w:rPr>
                <w:rFonts w:hint="eastAsia"/>
                <w:sz w:val="21"/>
                <w:szCs w:val="21"/>
              </w:rPr>
            </w:pPr>
            <w:r>
              <w:rPr>
                <w:rFonts w:hint="eastAsia"/>
                <w:sz w:val="21"/>
                <w:szCs w:val="21"/>
              </w:rPr>
              <w:t>（2）井巷布置不合理。</w:t>
            </w:r>
          </w:p>
          <w:p w14:paraId="50D58224">
            <w:pPr>
              <w:pStyle w:val="31"/>
              <w:bidi w:val="0"/>
              <w:jc w:val="both"/>
              <w:rPr>
                <w:rFonts w:hint="eastAsia"/>
                <w:sz w:val="21"/>
                <w:szCs w:val="21"/>
              </w:rPr>
            </w:pPr>
            <w:r>
              <w:rPr>
                <w:rFonts w:hint="eastAsia"/>
                <w:sz w:val="21"/>
                <w:szCs w:val="21"/>
              </w:rPr>
              <w:t>（3）开拓、采准、切割和回采井巷穿越断层或破碎带。</w:t>
            </w:r>
          </w:p>
        </w:tc>
        <w:tc>
          <w:tcPr>
            <w:tcW w:w="0" w:type="auto"/>
            <w:noWrap w:val="0"/>
            <w:vAlign w:val="center"/>
          </w:tcPr>
          <w:p w14:paraId="7F7B6728">
            <w:pPr>
              <w:pStyle w:val="31"/>
              <w:bidi w:val="0"/>
              <w:jc w:val="both"/>
              <w:rPr>
                <w:rFonts w:hint="eastAsia"/>
                <w:sz w:val="21"/>
                <w:szCs w:val="21"/>
              </w:rPr>
            </w:pPr>
            <w:r>
              <w:rPr>
                <w:rFonts w:hint="eastAsia"/>
                <w:sz w:val="21"/>
                <w:szCs w:val="21"/>
              </w:rPr>
              <w:t>作业人员位于可能冒顶片帮位置处</w:t>
            </w:r>
          </w:p>
        </w:tc>
        <w:tc>
          <w:tcPr>
            <w:tcW w:w="0" w:type="auto"/>
            <w:noWrap w:val="0"/>
            <w:vAlign w:val="center"/>
          </w:tcPr>
          <w:p w14:paraId="4F6F8714">
            <w:pPr>
              <w:pStyle w:val="31"/>
              <w:bidi w:val="0"/>
              <w:jc w:val="both"/>
              <w:rPr>
                <w:rFonts w:hint="eastAsia"/>
                <w:sz w:val="21"/>
                <w:szCs w:val="21"/>
              </w:rPr>
            </w:pPr>
            <w:r>
              <w:rPr>
                <w:rFonts w:hint="eastAsia"/>
                <w:sz w:val="21"/>
                <w:szCs w:val="21"/>
              </w:rPr>
              <w:t>（1）工作人员违章进入危险区域</w:t>
            </w:r>
          </w:p>
          <w:p w14:paraId="6B7582C7">
            <w:pPr>
              <w:pStyle w:val="31"/>
              <w:bidi w:val="0"/>
              <w:jc w:val="both"/>
              <w:rPr>
                <w:rFonts w:hint="eastAsia"/>
                <w:sz w:val="21"/>
                <w:szCs w:val="21"/>
              </w:rPr>
            </w:pPr>
            <w:r>
              <w:rPr>
                <w:rFonts w:hint="eastAsia"/>
                <w:sz w:val="21"/>
                <w:szCs w:val="21"/>
              </w:rPr>
              <w:t>（2）工作人员未佩戴符合要求的劳保防护用品</w:t>
            </w:r>
          </w:p>
        </w:tc>
        <w:tc>
          <w:tcPr>
            <w:tcW w:w="0" w:type="auto"/>
            <w:noWrap w:val="0"/>
            <w:vAlign w:val="center"/>
          </w:tcPr>
          <w:p w14:paraId="4364E5C5">
            <w:pPr>
              <w:pStyle w:val="31"/>
              <w:bidi w:val="0"/>
              <w:rPr>
                <w:rFonts w:hint="eastAsia"/>
                <w:sz w:val="21"/>
                <w:szCs w:val="21"/>
              </w:rPr>
            </w:pPr>
            <w:r>
              <w:rPr>
                <w:rFonts w:hint="eastAsia"/>
                <w:sz w:val="21"/>
                <w:szCs w:val="21"/>
              </w:rPr>
              <w:t>人员伤亡</w:t>
            </w:r>
          </w:p>
        </w:tc>
        <w:tc>
          <w:tcPr>
            <w:tcW w:w="0" w:type="auto"/>
            <w:noWrap w:val="0"/>
            <w:vAlign w:val="center"/>
          </w:tcPr>
          <w:p w14:paraId="2CC49117">
            <w:pPr>
              <w:pStyle w:val="31"/>
              <w:bidi w:val="0"/>
              <w:rPr>
                <w:rFonts w:hint="eastAsia"/>
                <w:sz w:val="21"/>
                <w:szCs w:val="21"/>
              </w:rPr>
            </w:pPr>
            <w:r>
              <w:rPr>
                <w:rFonts w:hint="eastAsia"/>
                <w:sz w:val="21"/>
                <w:szCs w:val="21"/>
              </w:rPr>
              <w:t>Ⅱ级</w:t>
            </w:r>
          </w:p>
        </w:tc>
        <w:tc>
          <w:tcPr>
            <w:tcW w:w="0" w:type="auto"/>
            <w:noWrap w:val="0"/>
            <w:vAlign w:val="center"/>
          </w:tcPr>
          <w:p w14:paraId="333F817F">
            <w:pPr>
              <w:pStyle w:val="31"/>
              <w:bidi w:val="0"/>
              <w:jc w:val="both"/>
              <w:rPr>
                <w:rFonts w:hint="eastAsia"/>
                <w:sz w:val="21"/>
                <w:szCs w:val="21"/>
              </w:rPr>
            </w:pPr>
            <w:r>
              <w:rPr>
                <w:rFonts w:hint="eastAsia"/>
                <w:sz w:val="21"/>
                <w:szCs w:val="21"/>
              </w:rPr>
              <w:t>（1）开拓井巷入口应尽量避免布置在各种具有崩塌、滑坡危险及不良工程地质地段；</w:t>
            </w:r>
          </w:p>
          <w:p w14:paraId="25F95510">
            <w:pPr>
              <w:pStyle w:val="31"/>
              <w:bidi w:val="0"/>
              <w:jc w:val="both"/>
              <w:rPr>
                <w:rFonts w:hint="eastAsia"/>
                <w:sz w:val="21"/>
                <w:szCs w:val="21"/>
              </w:rPr>
            </w:pPr>
            <w:r>
              <w:rPr>
                <w:rFonts w:hint="eastAsia"/>
                <w:sz w:val="21"/>
                <w:szCs w:val="21"/>
              </w:rPr>
              <w:t>（2）加强井巷入口段的支护工作；</w:t>
            </w:r>
          </w:p>
          <w:p w14:paraId="02B72EC3">
            <w:pPr>
              <w:pStyle w:val="31"/>
              <w:bidi w:val="0"/>
              <w:jc w:val="both"/>
              <w:rPr>
                <w:rFonts w:hint="eastAsia"/>
                <w:sz w:val="21"/>
                <w:szCs w:val="21"/>
              </w:rPr>
            </w:pPr>
            <w:r>
              <w:rPr>
                <w:rFonts w:hint="eastAsia"/>
                <w:sz w:val="21"/>
                <w:szCs w:val="21"/>
              </w:rPr>
              <w:t>（3）合理控制临近地表处的地下采场爆破的一次爆破药量；</w:t>
            </w:r>
          </w:p>
          <w:p w14:paraId="79E54623">
            <w:pPr>
              <w:pStyle w:val="31"/>
              <w:bidi w:val="0"/>
              <w:jc w:val="both"/>
              <w:rPr>
                <w:rFonts w:hint="eastAsia"/>
                <w:sz w:val="21"/>
                <w:szCs w:val="21"/>
              </w:rPr>
            </w:pPr>
            <w:r>
              <w:rPr>
                <w:rFonts w:hint="eastAsia"/>
                <w:sz w:val="21"/>
                <w:szCs w:val="21"/>
              </w:rPr>
              <w:t>（4）加强对该崩塌、滑坡危险地段的移动监测工作。（5）加强地质工作，了解工程地质条件；</w:t>
            </w:r>
          </w:p>
          <w:p w14:paraId="6F4C06EE">
            <w:pPr>
              <w:pStyle w:val="31"/>
              <w:bidi w:val="0"/>
              <w:jc w:val="both"/>
              <w:rPr>
                <w:rFonts w:hint="eastAsia"/>
                <w:sz w:val="21"/>
                <w:szCs w:val="21"/>
              </w:rPr>
            </w:pPr>
            <w:r>
              <w:rPr>
                <w:rFonts w:hint="eastAsia"/>
                <w:sz w:val="21"/>
                <w:szCs w:val="21"/>
              </w:rPr>
              <w:t>（6）聘请有经验的设计人员进行井巷工程的系统设计；</w:t>
            </w:r>
          </w:p>
          <w:p w14:paraId="318F099C">
            <w:pPr>
              <w:pStyle w:val="31"/>
              <w:bidi w:val="0"/>
              <w:jc w:val="both"/>
              <w:rPr>
                <w:rFonts w:hint="eastAsia"/>
                <w:sz w:val="21"/>
                <w:szCs w:val="21"/>
              </w:rPr>
            </w:pPr>
            <w:r>
              <w:rPr>
                <w:rFonts w:hint="eastAsia"/>
                <w:sz w:val="21"/>
                <w:szCs w:val="21"/>
              </w:rPr>
              <w:t>（7）留有足够的隔离矿柱；</w:t>
            </w:r>
          </w:p>
          <w:p w14:paraId="56D1EA4F">
            <w:pPr>
              <w:pStyle w:val="31"/>
              <w:bidi w:val="0"/>
              <w:jc w:val="both"/>
              <w:rPr>
                <w:rFonts w:hint="eastAsia"/>
                <w:sz w:val="21"/>
                <w:szCs w:val="21"/>
              </w:rPr>
            </w:pPr>
            <w:r>
              <w:rPr>
                <w:rFonts w:hint="eastAsia"/>
                <w:sz w:val="21"/>
                <w:szCs w:val="21"/>
              </w:rPr>
              <w:t>（8）选用合适的掘进方法；</w:t>
            </w:r>
          </w:p>
          <w:p w14:paraId="29A1ED35">
            <w:pPr>
              <w:pStyle w:val="31"/>
              <w:bidi w:val="0"/>
              <w:jc w:val="both"/>
              <w:rPr>
                <w:rFonts w:hint="eastAsia"/>
                <w:sz w:val="21"/>
                <w:szCs w:val="21"/>
              </w:rPr>
            </w:pPr>
            <w:r>
              <w:rPr>
                <w:rFonts w:hint="eastAsia"/>
                <w:sz w:val="21"/>
                <w:szCs w:val="21"/>
              </w:rPr>
              <w:t>（9）严格按规程作业；</w:t>
            </w:r>
          </w:p>
          <w:p w14:paraId="43BD00A3">
            <w:pPr>
              <w:pStyle w:val="31"/>
              <w:bidi w:val="0"/>
              <w:jc w:val="both"/>
              <w:rPr>
                <w:rFonts w:hint="eastAsia"/>
                <w:sz w:val="21"/>
                <w:szCs w:val="21"/>
              </w:rPr>
            </w:pPr>
            <w:r>
              <w:rPr>
                <w:rFonts w:hint="eastAsia"/>
                <w:sz w:val="21"/>
                <w:szCs w:val="21"/>
              </w:rPr>
              <w:t>（10）重视井巷的支护和维护，加强断层、破碎带井巷支护工作。</w:t>
            </w:r>
          </w:p>
        </w:tc>
      </w:tr>
      <w:tr w14:paraId="3D7B803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0" w:type="auto"/>
            <w:noWrap w:val="0"/>
            <w:vAlign w:val="center"/>
          </w:tcPr>
          <w:p w14:paraId="05F87A94">
            <w:pPr>
              <w:pStyle w:val="31"/>
              <w:bidi w:val="0"/>
              <w:rPr>
                <w:rFonts w:hint="eastAsia"/>
                <w:sz w:val="21"/>
                <w:szCs w:val="21"/>
              </w:rPr>
            </w:pPr>
            <w:r>
              <w:rPr>
                <w:rFonts w:hint="eastAsia"/>
                <w:sz w:val="21"/>
                <w:szCs w:val="21"/>
              </w:rPr>
              <w:t>机械伤害</w:t>
            </w:r>
          </w:p>
        </w:tc>
        <w:tc>
          <w:tcPr>
            <w:tcW w:w="0" w:type="auto"/>
            <w:noWrap w:val="0"/>
            <w:vAlign w:val="center"/>
          </w:tcPr>
          <w:p w14:paraId="4F097204">
            <w:pPr>
              <w:pStyle w:val="31"/>
              <w:bidi w:val="0"/>
              <w:rPr>
                <w:rFonts w:hint="default" w:eastAsia="宋体"/>
                <w:sz w:val="21"/>
                <w:szCs w:val="21"/>
                <w:lang w:val="en-US" w:eastAsia="zh-CN"/>
              </w:rPr>
            </w:pPr>
            <w:r>
              <w:rPr>
                <w:rFonts w:hint="eastAsia"/>
                <w:sz w:val="21"/>
                <w:szCs w:val="21"/>
                <w:lang w:val="en-US" w:eastAsia="zh-CN"/>
              </w:rPr>
              <w:t>辅助绞车非正常运行</w:t>
            </w:r>
          </w:p>
        </w:tc>
        <w:tc>
          <w:tcPr>
            <w:tcW w:w="0" w:type="auto"/>
            <w:noWrap w:val="0"/>
            <w:vAlign w:val="center"/>
          </w:tcPr>
          <w:p w14:paraId="494B52C6">
            <w:pPr>
              <w:pStyle w:val="31"/>
              <w:bidi w:val="0"/>
              <w:jc w:val="both"/>
              <w:rPr>
                <w:rFonts w:hint="eastAsia"/>
                <w:sz w:val="21"/>
                <w:szCs w:val="21"/>
              </w:rPr>
            </w:pPr>
            <w:r>
              <w:rPr>
                <w:rFonts w:hint="eastAsia"/>
                <w:sz w:val="21"/>
                <w:szCs w:val="21"/>
              </w:rPr>
              <w:t>（1）钢丝绳强度不够</w:t>
            </w:r>
          </w:p>
          <w:p w14:paraId="525456C2">
            <w:pPr>
              <w:pStyle w:val="31"/>
              <w:bidi w:val="0"/>
              <w:jc w:val="both"/>
              <w:rPr>
                <w:rFonts w:hint="eastAsia"/>
                <w:sz w:val="21"/>
                <w:szCs w:val="21"/>
              </w:rPr>
            </w:pPr>
            <w:r>
              <w:rPr>
                <w:rFonts w:hint="eastAsia"/>
                <w:sz w:val="21"/>
                <w:szCs w:val="21"/>
              </w:rPr>
              <w:t>（2）设备的保护装置存在缺陷</w:t>
            </w:r>
          </w:p>
          <w:p w14:paraId="7EA4D7D3">
            <w:pPr>
              <w:pStyle w:val="31"/>
              <w:bidi w:val="0"/>
              <w:jc w:val="both"/>
              <w:rPr>
                <w:rFonts w:hint="eastAsia"/>
                <w:sz w:val="21"/>
                <w:szCs w:val="21"/>
              </w:rPr>
            </w:pPr>
            <w:r>
              <w:rPr>
                <w:rFonts w:hint="eastAsia"/>
                <w:sz w:val="21"/>
                <w:szCs w:val="21"/>
              </w:rPr>
              <w:t>（</w:t>
            </w:r>
            <w:r>
              <w:rPr>
                <w:rFonts w:hint="eastAsia"/>
                <w:sz w:val="21"/>
                <w:szCs w:val="21"/>
                <w:lang w:val="en-US" w:eastAsia="zh-CN"/>
              </w:rPr>
              <w:t>3</w:t>
            </w:r>
            <w:r>
              <w:rPr>
                <w:rFonts w:hint="eastAsia"/>
                <w:sz w:val="21"/>
                <w:szCs w:val="21"/>
              </w:rPr>
              <w:t>）提升信号不完善。</w:t>
            </w:r>
          </w:p>
        </w:tc>
        <w:tc>
          <w:tcPr>
            <w:tcW w:w="0" w:type="auto"/>
            <w:noWrap w:val="0"/>
            <w:vAlign w:val="center"/>
          </w:tcPr>
          <w:p w14:paraId="1B44B450">
            <w:pPr>
              <w:pStyle w:val="31"/>
              <w:bidi w:val="0"/>
              <w:jc w:val="both"/>
              <w:rPr>
                <w:rFonts w:hint="eastAsia"/>
                <w:sz w:val="21"/>
                <w:szCs w:val="21"/>
              </w:rPr>
            </w:pPr>
            <w:r>
              <w:rPr>
                <w:rFonts w:hint="eastAsia"/>
                <w:sz w:val="21"/>
                <w:szCs w:val="21"/>
              </w:rPr>
              <w:t>提升系统在提升人员、设备时发生故障</w:t>
            </w:r>
          </w:p>
        </w:tc>
        <w:tc>
          <w:tcPr>
            <w:tcW w:w="0" w:type="auto"/>
            <w:noWrap w:val="0"/>
            <w:vAlign w:val="center"/>
          </w:tcPr>
          <w:p w14:paraId="0BD4A217">
            <w:pPr>
              <w:pStyle w:val="31"/>
              <w:bidi w:val="0"/>
              <w:jc w:val="both"/>
              <w:rPr>
                <w:rFonts w:hint="eastAsia"/>
                <w:sz w:val="21"/>
                <w:szCs w:val="21"/>
              </w:rPr>
            </w:pPr>
            <w:r>
              <w:rPr>
                <w:rFonts w:hint="eastAsia"/>
                <w:sz w:val="21"/>
                <w:szCs w:val="21"/>
              </w:rPr>
              <w:t>（1）操作人员缺乏安全知识</w:t>
            </w:r>
          </w:p>
          <w:p w14:paraId="2D55FF4C">
            <w:pPr>
              <w:pStyle w:val="31"/>
              <w:bidi w:val="0"/>
              <w:jc w:val="both"/>
              <w:rPr>
                <w:rFonts w:hint="eastAsia"/>
                <w:sz w:val="21"/>
                <w:szCs w:val="21"/>
              </w:rPr>
            </w:pPr>
            <w:r>
              <w:rPr>
                <w:rFonts w:hint="eastAsia"/>
                <w:sz w:val="21"/>
                <w:szCs w:val="21"/>
                <w:lang w:eastAsia="zh-CN"/>
              </w:rPr>
              <w:t>（</w:t>
            </w:r>
            <w:r>
              <w:rPr>
                <w:rFonts w:hint="eastAsia"/>
                <w:sz w:val="21"/>
                <w:szCs w:val="21"/>
                <w:lang w:val="en-US" w:eastAsia="zh-CN"/>
              </w:rPr>
              <w:t>2</w:t>
            </w:r>
            <w:r>
              <w:rPr>
                <w:rFonts w:hint="eastAsia"/>
                <w:sz w:val="21"/>
                <w:szCs w:val="21"/>
                <w:lang w:eastAsia="zh-CN"/>
              </w:rPr>
              <w:t>）</w:t>
            </w:r>
            <w:r>
              <w:rPr>
                <w:rFonts w:hint="eastAsia"/>
                <w:sz w:val="21"/>
                <w:szCs w:val="21"/>
              </w:rPr>
              <w:t>信号工和卷扬司机在收发信号时，忽视相互确认</w:t>
            </w:r>
          </w:p>
        </w:tc>
        <w:tc>
          <w:tcPr>
            <w:tcW w:w="0" w:type="auto"/>
            <w:noWrap w:val="0"/>
            <w:vAlign w:val="center"/>
          </w:tcPr>
          <w:p w14:paraId="5C94BCD0">
            <w:pPr>
              <w:pStyle w:val="31"/>
              <w:bidi w:val="0"/>
              <w:rPr>
                <w:rFonts w:hint="eastAsia"/>
                <w:sz w:val="21"/>
                <w:szCs w:val="21"/>
              </w:rPr>
            </w:pPr>
            <w:r>
              <w:rPr>
                <w:rFonts w:hint="eastAsia" w:ascii="Times New Roman" w:hAnsi="Times New Roman" w:cs="宋体"/>
                <w:caps w:val="0"/>
                <w:smallCaps w:val="0"/>
                <w:sz w:val="21"/>
                <w:szCs w:val="21"/>
              </w:rPr>
              <w:t>损坏设备、人员伤亡</w:t>
            </w:r>
          </w:p>
        </w:tc>
        <w:tc>
          <w:tcPr>
            <w:tcW w:w="0" w:type="auto"/>
            <w:noWrap w:val="0"/>
            <w:vAlign w:val="center"/>
          </w:tcPr>
          <w:p w14:paraId="1F8F9301">
            <w:pPr>
              <w:pStyle w:val="31"/>
              <w:bidi w:val="0"/>
              <w:rPr>
                <w:rFonts w:hint="eastAsia"/>
                <w:sz w:val="21"/>
                <w:szCs w:val="21"/>
              </w:rPr>
            </w:pPr>
            <w:r>
              <w:rPr>
                <w:rFonts w:hint="eastAsia"/>
                <w:sz w:val="21"/>
                <w:szCs w:val="21"/>
              </w:rPr>
              <w:t>Ⅱ</w:t>
            </w:r>
            <w:r>
              <w:rPr>
                <w:rFonts w:hint="eastAsia" w:ascii="Times New Roman" w:hAnsi="Times New Roman" w:cs="宋体"/>
                <w:caps w:val="0"/>
                <w:smallCaps w:val="0"/>
                <w:sz w:val="21"/>
                <w:szCs w:val="21"/>
              </w:rPr>
              <w:t>级</w:t>
            </w:r>
          </w:p>
        </w:tc>
        <w:tc>
          <w:tcPr>
            <w:tcW w:w="0" w:type="auto"/>
            <w:noWrap w:val="0"/>
            <w:vAlign w:val="center"/>
          </w:tcPr>
          <w:p w14:paraId="324842C9">
            <w:pPr>
              <w:pStyle w:val="31"/>
              <w:bidi w:val="0"/>
              <w:jc w:val="both"/>
              <w:rPr>
                <w:rFonts w:hint="eastAsia"/>
                <w:sz w:val="21"/>
                <w:szCs w:val="21"/>
              </w:rPr>
            </w:pPr>
            <w:r>
              <w:rPr>
                <w:rFonts w:hint="eastAsia"/>
                <w:sz w:val="21"/>
                <w:szCs w:val="21"/>
              </w:rPr>
              <w:t>（1）提升设备的设计、安装、制造都应该符合有关的技术规范和安全规程的要求</w:t>
            </w:r>
          </w:p>
          <w:p w14:paraId="7B537BE3">
            <w:pPr>
              <w:pStyle w:val="31"/>
              <w:bidi w:val="0"/>
              <w:jc w:val="both"/>
              <w:rPr>
                <w:rFonts w:hint="eastAsia"/>
                <w:sz w:val="21"/>
                <w:szCs w:val="21"/>
              </w:rPr>
            </w:pPr>
            <w:r>
              <w:rPr>
                <w:rFonts w:hint="eastAsia"/>
                <w:sz w:val="21"/>
                <w:szCs w:val="21"/>
              </w:rPr>
              <w:t>（2）提升容器、钢丝绳及提升绞车，都必须定期进行检查</w:t>
            </w:r>
          </w:p>
          <w:p w14:paraId="696C4EB7">
            <w:pPr>
              <w:pStyle w:val="31"/>
              <w:bidi w:val="0"/>
              <w:jc w:val="both"/>
              <w:rPr>
                <w:rFonts w:hint="eastAsia"/>
                <w:sz w:val="21"/>
                <w:szCs w:val="21"/>
              </w:rPr>
            </w:pPr>
            <w:r>
              <w:rPr>
                <w:rFonts w:hint="eastAsia"/>
                <w:sz w:val="21"/>
                <w:szCs w:val="21"/>
              </w:rPr>
              <w:t>（</w:t>
            </w:r>
            <w:r>
              <w:rPr>
                <w:rFonts w:hint="eastAsia"/>
                <w:sz w:val="21"/>
                <w:szCs w:val="21"/>
                <w:lang w:val="en-US" w:eastAsia="zh-CN"/>
              </w:rPr>
              <w:t>3</w:t>
            </w:r>
            <w:r>
              <w:rPr>
                <w:rFonts w:hint="eastAsia"/>
                <w:sz w:val="21"/>
                <w:szCs w:val="21"/>
              </w:rPr>
              <w:t>）加强对信号工教育，信号工要准确无误的传发信号。</w:t>
            </w:r>
          </w:p>
        </w:tc>
      </w:tr>
    </w:tbl>
    <w:p w14:paraId="7A15B819">
      <w:pPr>
        <w:pStyle w:val="21"/>
        <w:bidi w:val="0"/>
        <w:rPr>
          <w:rFonts w:hint="eastAsia"/>
        </w:rPr>
      </w:pPr>
      <w:r>
        <w:rPr>
          <w:rFonts w:hint="eastAsia"/>
        </w:rPr>
        <w:t>开拓单元潜在的危险因素是高处坠落、物体打击、冒顶片帮以及机械伤害，其危险程度为“临界的”，应采取防范措施，做好各井口的安全防护。</w:t>
      </w:r>
    </w:p>
    <w:p w14:paraId="6260C245">
      <w:pPr>
        <w:pStyle w:val="21"/>
        <w:numPr>
          <w:ilvl w:val="0"/>
          <w:numId w:val="25"/>
        </w:numPr>
        <w:bidi w:val="0"/>
        <w:rPr>
          <w:rFonts w:hint="eastAsia" w:ascii="Times New Roman" w:hAnsi="Times New Roman"/>
          <w:caps w:val="0"/>
          <w:smallCaps w:val="0"/>
          <w:sz w:val="28"/>
          <w:szCs w:val="28"/>
        </w:rPr>
      </w:pPr>
      <w:r>
        <w:rPr>
          <w:rFonts w:hint="eastAsia" w:ascii="Times New Roman" w:hAnsi="Times New Roman"/>
          <w:caps w:val="0"/>
          <w:smallCaps w:val="0"/>
          <w:sz w:val="28"/>
          <w:szCs w:val="28"/>
        </w:rPr>
        <w:t>专家评议法评价</w:t>
      </w:r>
    </w:p>
    <w:p w14:paraId="693BA5D1">
      <w:pPr>
        <w:pStyle w:val="21"/>
        <w:bidi w:val="0"/>
        <w:rPr>
          <w:rFonts w:hint="default"/>
          <w:lang w:val="en-US" w:eastAsia="zh-CN"/>
        </w:rPr>
      </w:pPr>
      <w:r>
        <w:rPr>
          <w:rFonts w:hint="eastAsia"/>
          <w:lang w:val="en-US" w:eastAsia="zh-CN"/>
        </w:rPr>
        <w:t>1、</w:t>
      </w:r>
      <w:r>
        <w:rPr>
          <w:rFonts w:hint="default"/>
          <w:lang w:val="en-US" w:eastAsia="zh-CN"/>
        </w:rPr>
        <w:t>井巷布置安全可靠性评价</w:t>
      </w:r>
    </w:p>
    <w:p w14:paraId="3743EC3E">
      <w:pPr>
        <w:numPr>
          <w:ilvl w:val="0"/>
          <w:numId w:val="0"/>
        </w:numPr>
        <w:snapToGrid w:val="0"/>
        <w:spacing w:line="360" w:lineRule="auto"/>
        <w:ind w:left="560" w:leftChars="0"/>
        <w:rPr>
          <w:rFonts w:hint="eastAsia" w:ascii="Times New Roman" w:hAnsi="Times New Roman"/>
          <w:caps w:val="0"/>
          <w:smallCaps w:val="0"/>
          <w:sz w:val="28"/>
          <w:szCs w:val="28"/>
        </w:rPr>
      </w:pPr>
      <w:r>
        <w:rPr>
          <w:rFonts w:hint="eastAsia" w:ascii="Times New Roman" w:hAnsi="Times New Roman"/>
          <w:caps w:val="0"/>
          <w:smallCaps w:val="0"/>
          <w:sz w:val="28"/>
          <w:szCs w:val="28"/>
          <w:lang w:val="en-US" w:eastAsia="zh-CN"/>
        </w:rPr>
        <w:t>①</w:t>
      </w:r>
      <w:r>
        <w:rPr>
          <w:rFonts w:hint="eastAsia" w:ascii="Times New Roman" w:hAnsi="Times New Roman"/>
          <w:caps w:val="0"/>
          <w:smallCaps w:val="0"/>
          <w:sz w:val="28"/>
          <w:szCs w:val="28"/>
        </w:rPr>
        <w:t>新设计井巷工程安全可靠性分析</w:t>
      </w:r>
    </w:p>
    <w:p w14:paraId="199F3866">
      <w:pPr>
        <w:pStyle w:val="21"/>
        <w:bidi w:val="0"/>
        <w:rPr>
          <w:rFonts w:hint="default"/>
          <w:lang w:val="en-US" w:eastAsia="zh-CN"/>
        </w:rPr>
      </w:pPr>
      <w:r>
        <w:rPr>
          <w:rFonts w:hint="default"/>
          <w:lang w:val="en-US" w:eastAsia="zh-CN"/>
        </w:rPr>
        <w:t>第四系松散堆积物软弱岩组层厚约3.0-15m；块状岩类变质岩组属较硬岩～坚硬岩，未见明显软弱夹层。岩体表层风化裂隙发育，风化带和井下局部地段较破碎，岩体稳定性较差。矿区工程地质勘探类型属于块状岩类、工程地质条件中等型，即第三类第二型。因此《可研报告》设计的井巷工程从岩石性质上安全可行。</w:t>
      </w:r>
    </w:p>
    <w:p w14:paraId="2F030E18">
      <w:pPr>
        <w:pStyle w:val="21"/>
        <w:bidi w:val="0"/>
        <w:rPr>
          <w:rFonts w:hint="default"/>
          <w:lang w:val="en-US" w:eastAsia="zh-CN"/>
        </w:rPr>
      </w:pPr>
      <w:r>
        <w:rPr>
          <w:rFonts w:hint="default"/>
          <w:lang w:val="en-US" w:eastAsia="zh-CN"/>
        </w:rPr>
        <w:t>《可研报告》明确掘进过程中如果遇到断裂构造应尽量垂直通过断裂构造并及时进行支护，遇到不稳固的岩层应及时进行支护，在松软岩层中掘进，永久性支护至掘进工作面之间应架设临时支护或特殊支护。满足《金属非金属矿山安全规程》（GB16423-2020）第6.2.7.2条“在不稳固的岩层中掘进时应进行支护；在松软、破碎或流砂地层中掘进时应在永久性支护与掘进工作面之间进行临时支护或者特殊支护。”规定的要求。</w:t>
      </w:r>
    </w:p>
    <w:p w14:paraId="7C9473E1">
      <w:pPr>
        <w:pStyle w:val="21"/>
        <w:bidi w:val="0"/>
        <w:rPr>
          <w:rFonts w:hint="default"/>
          <w:lang w:val="en-US" w:eastAsia="zh-CN"/>
        </w:rPr>
      </w:pPr>
      <w:r>
        <w:rPr>
          <w:rFonts w:hint="default"/>
          <w:lang w:val="en-US" w:eastAsia="zh-CN"/>
        </w:rPr>
        <w:t>②原有废弃井巷、采空区处理措施安全可靠性分析</w:t>
      </w:r>
    </w:p>
    <w:p w14:paraId="4CF08C66">
      <w:pPr>
        <w:pStyle w:val="21"/>
        <w:bidi w:val="0"/>
        <w:rPr>
          <w:rFonts w:hint="default"/>
          <w:lang w:val="en-US" w:eastAsia="zh-CN"/>
        </w:rPr>
      </w:pPr>
      <w:r>
        <w:rPr>
          <w:rFonts w:hint="default"/>
          <w:lang w:val="en-US" w:eastAsia="zh-CN"/>
        </w:rPr>
        <w:t>根据《可研报告》及图纸本次利用的有：</w:t>
      </w:r>
    </w:p>
    <w:p w14:paraId="7CCBA115">
      <w:pPr>
        <w:pStyle w:val="21"/>
        <w:bidi w:val="0"/>
        <w:rPr>
          <w:rFonts w:hint="default"/>
          <w:lang w:val="en-US" w:eastAsia="zh-CN"/>
        </w:rPr>
      </w:pPr>
      <w:r>
        <w:rPr>
          <w:rFonts w:hint="default"/>
          <w:lang w:val="en-US" w:eastAsia="zh-CN"/>
        </w:rPr>
        <w:t>矿山为优化开拓系统</w:t>
      </w:r>
      <w:r>
        <w:rPr>
          <w:rFonts w:hint="eastAsia"/>
          <w:lang w:val="en-US" w:eastAsia="zh-CN"/>
        </w:rPr>
        <w:t>，</w:t>
      </w:r>
      <w:r>
        <w:rPr>
          <w:rFonts w:hint="default"/>
          <w:lang w:val="en-US" w:eastAsia="zh-CN"/>
        </w:rPr>
        <w:t>计划对</w:t>
      </w:r>
      <w:r>
        <w:rPr>
          <w:rFonts w:hint="eastAsia"/>
          <w:lang w:val="en-US" w:eastAsia="zh-CN"/>
        </w:rPr>
        <w:t>斜坡道、原回风井</w:t>
      </w:r>
      <w:r>
        <w:rPr>
          <w:rFonts w:hint="default"/>
          <w:lang w:val="en-US" w:eastAsia="zh-CN"/>
        </w:rPr>
        <w:t>继续利用。</w:t>
      </w:r>
    </w:p>
    <w:p w14:paraId="2A044AF6">
      <w:pPr>
        <w:pStyle w:val="21"/>
        <w:bidi w:val="0"/>
        <w:rPr>
          <w:rFonts w:hint="default"/>
          <w:lang w:val="en-US" w:eastAsia="zh-CN"/>
        </w:rPr>
      </w:pPr>
      <w:r>
        <w:rPr>
          <w:rFonts w:hint="default"/>
          <w:lang w:val="en-US" w:eastAsia="zh-CN"/>
        </w:rPr>
        <w:t>废弃不在利用的井筒及工程有：-24m、-48m、-96m</w:t>
      </w:r>
      <w:r>
        <w:rPr>
          <w:rFonts w:hint="eastAsia"/>
          <w:lang w:val="en-US" w:eastAsia="zh-CN"/>
        </w:rPr>
        <w:t>中段</w:t>
      </w:r>
      <w:r>
        <w:rPr>
          <w:rFonts w:hint="default"/>
          <w:lang w:val="en-US" w:eastAsia="zh-CN"/>
        </w:rPr>
        <w:t>、-36m分段、-60m分段、-72m分段及-84m分段等工程进行废弃。斜坡道利用至-15.9m，井下所有中段、分段均废弃封堵。</w:t>
      </w:r>
    </w:p>
    <w:p w14:paraId="2DD4346D">
      <w:pPr>
        <w:pStyle w:val="21"/>
        <w:bidi w:val="0"/>
        <w:rPr>
          <w:rFonts w:hint="default"/>
          <w:lang w:val="en-US" w:eastAsia="zh-CN"/>
        </w:rPr>
      </w:pPr>
      <w:r>
        <w:rPr>
          <w:rFonts w:hint="default"/>
          <w:lang w:val="en-US" w:eastAsia="zh-CN"/>
        </w:rPr>
        <w:t>《可研报告》未明确对通往采空区的原有井巷工程的处理措施，评价组认为应采用混凝土对其进行封堵，并要保证封堵效果，同时需要留有泄水孔与中段巷道相连，及时排出井内的积水。</w:t>
      </w:r>
    </w:p>
    <w:p w14:paraId="6FF3B9EF">
      <w:pPr>
        <w:pStyle w:val="21"/>
        <w:bidi w:val="0"/>
        <w:rPr>
          <w:rFonts w:hint="default"/>
          <w:lang w:val="en-US" w:eastAsia="zh-CN"/>
        </w:rPr>
      </w:pPr>
      <w:r>
        <w:rPr>
          <w:rFonts w:hint="default"/>
          <w:lang w:val="en-US" w:eastAsia="zh-CN"/>
        </w:rPr>
        <w:t>建设单位应按照《</w:t>
      </w:r>
      <w:r>
        <w:rPr>
          <w:rFonts w:hint="eastAsia"/>
          <w:lang w:val="en-US" w:eastAsia="zh-CN"/>
        </w:rPr>
        <w:t>隐蔽致灾因素普查</w:t>
      </w:r>
      <w:r>
        <w:rPr>
          <w:rFonts w:hint="default"/>
          <w:lang w:val="en-US" w:eastAsia="zh-CN"/>
        </w:rPr>
        <w:t>》处理原有采空区，保证在矿山基建前对原有采空区和废弃不利用的井巷处理完毕，如能够按照本预评价报告、《可研报告》及《</w:t>
      </w:r>
      <w:r>
        <w:rPr>
          <w:rFonts w:hint="eastAsia"/>
          <w:lang w:val="en-US" w:eastAsia="zh-CN"/>
        </w:rPr>
        <w:t>隐蔽致灾因素普查</w:t>
      </w:r>
      <w:r>
        <w:rPr>
          <w:rFonts w:hint="default"/>
          <w:lang w:val="en-US" w:eastAsia="zh-CN"/>
        </w:rPr>
        <w:t>》提出的安全对策措施对原有的矿山井巷和采空区进行处理，可以保证该项目井巷工程的安全可靠。</w:t>
      </w:r>
    </w:p>
    <w:p w14:paraId="0A75D297">
      <w:pPr>
        <w:pStyle w:val="21"/>
        <w:bidi w:val="0"/>
        <w:rPr>
          <w:rFonts w:hint="eastAsia"/>
          <w:lang w:val="en-US" w:eastAsia="zh-CN"/>
        </w:rPr>
      </w:pPr>
      <w:r>
        <w:rPr>
          <w:rFonts w:hint="eastAsia"/>
          <w:lang w:val="en-US" w:eastAsia="zh-CN"/>
        </w:rPr>
        <w:t>2、安全出口可靠性评价</w:t>
      </w:r>
    </w:p>
    <w:p w14:paraId="7CD01C6E">
      <w:pPr>
        <w:pStyle w:val="21"/>
        <w:bidi w:val="0"/>
        <w:rPr>
          <w:rFonts w:hint="default"/>
          <w:lang w:val="en-US" w:eastAsia="zh-CN"/>
        </w:rPr>
      </w:pPr>
      <w:r>
        <w:rPr>
          <w:rFonts w:hint="default"/>
          <w:lang w:val="en-US" w:eastAsia="zh-CN"/>
        </w:rPr>
        <w:t>《可研报告》中明确</w:t>
      </w:r>
      <w:r>
        <w:rPr>
          <w:rFonts w:hint="eastAsia"/>
          <w:lang w:val="en-US" w:eastAsia="zh-CN"/>
        </w:rPr>
        <w:t>矿山采用斜坡道</w:t>
      </w:r>
      <w:r>
        <w:rPr>
          <w:rFonts w:hint="default"/>
          <w:lang w:val="en-US" w:eastAsia="zh-CN"/>
        </w:rPr>
        <w:t>—</w:t>
      </w:r>
      <w:r>
        <w:rPr>
          <w:rFonts w:hint="eastAsia"/>
          <w:lang w:val="en-US" w:eastAsia="zh-CN"/>
        </w:rPr>
        <w:t>竖井</w:t>
      </w:r>
      <w:r>
        <w:rPr>
          <w:rFonts w:hint="default"/>
          <w:lang w:val="en-US" w:eastAsia="zh-CN"/>
        </w:rPr>
        <w:t>开拓方案。</w:t>
      </w:r>
    </w:p>
    <w:p w14:paraId="7BE19A62">
      <w:pPr>
        <w:pStyle w:val="21"/>
        <w:bidi w:val="0"/>
        <w:rPr>
          <w:rFonts w:hint="eastAsia"/>
          <w:lang w:val="en-US" w:eastAsia="zh-CN"/>
        </w:rPr>
      </w:pPr>
      <w:r>
        <w:rPr>
          <w:rFonts w:hint="default"/>
          <w:lang w:val="en-US" w:eastAsia="zh-CN"/>
        </w:rPr>
        <w:t>一期开拓系统现有斜坡道开口位于矿体下盘N8线南侧，位于岩石移动监测范围界线20m以外</w:t>
      </w:r>
      <w:r>
        <w:rPr>
          <w:rFonts w:hint="eastAsia"/>
          <w:lang w:val="en-US" w:eastAsia="zh-CN"/>
        </w:rPr>
        <w:t>，限制坡度12％，水平距离每100m-200m设有30m长错车道，同时作为缓坡段，缓坡段坡度3%。最小转弯半径15m。斜坡道长约2002m，净宽5.0m，净高4.7m，净断面21.78m</w:t>
      </w:r>
      <w:r>
        <w:rPr>
          <w:rFonts w:hint="eastAsia"/>
          <w:vertAlign w:val="superscript"/>
          <w:lang w:val="en-US" w:eastAsia="zh-CN"/>
        </w:rPr>
        <w:t>2</w:t>
      </w:r>
      <w:r>
        <w:rPr>
          <w:rFonts w:hint="eastAsia"/>
          <w:lang w:val="en-US" w:eastAsia="zh-CN"/>
        </w:rPr>
        <w:t>，斜坡道内设有人行道。设计利用现有斜坡道开拓工程，在N2线+50号勘探线-15.6m标高处下掘-15.6m～-300m斜坡道工程，上掘-15.6m～0m斜坡道工程，现有斜坡道-15.6m标高以下进行封堵，不再进行利用。利旧斜坡道长约900m，设计斜坡道总长3857m，做为运输矿石、废石、升降人员、材料、设备等提升任务，斜坡道内设有人行道，作为主要安全出口。</w:t>
      </w:r>
    </w:p>
    <w:p w14:paraId="37CF7803">
      <w:pPr>
        <w:pStyle w:val="21"/>
        <w:bidi w:val="0"/>
        <w:rPr>
          <w:rFonts w:hint="eastAsia"/>
          <w:lang w:val="en-US" w:eastAsia="zh-CN"/>
        </w:rPr>
      </w:pPr>
      <w:r>
        <w:rPr>
          <w:rFonts w:hint="eastAsia"/>
          <w:lang w:val="en-US" w:eastAsia="zh-CN"/>
        </w:rPr>
        <w:t>二期开拓系统利用一期斜坡道延深至-450m标高，斜坡道限制坡度12％，水平距离每100m-200m设有30m长错车道，同时作为缓坡段，缓坡段坡度3%。最小转弯半径20m。新掘斜坡道长约1654m，净宽5.0m，净高4.70m，净断面21.78m²。斜坡道总长5511m，做为运输矿石、废石、升降人员、材料、设备等提升任务，斜坡道内设有人行道。</w:t>
      </w:r>
    </w:p>
    <w:p w14:paraId="57D3EACF">
      <w:pPr>
        <w:pStyle w:val="21"/>
        <w:bidi w:val="0"/>
        <w:rPr>
          <w:rFonts w:hint="default"/>
          <w:lang w:val="en-US" w:eastAsia="zh-CN"/>
        </w:rPr>
      </w:pPr>
      <w:r>
        <w:rPr>
          <w:rFonts w:hint="default"/>
          <w:highlight w:val="none"/>
          <w:lang w:val="en-US" w:eastAsia="zh-CN"/>
        </w:rPr>
        <w:t>回风井</w:t>
      </w:r>
      <w:r>
        <w:rPr>
          <w:rFonts w:hint="eastAsia"/>
          <w:highlight w:val="none"/>
          <w:lang w:val="en-US" w:eastAsia="zh-CN"/>
        </w:rPr>
        <w:t>，</w:t>
      </w:r>
      <w:r>
        <w:rPr>
          <w:rFonts w:hint="default"/>
          <w:highlight w:val="none"/>
          <w:lang w:val="en-US" w:eastAsia="zh-CN"/>
        </w:rPr>
        <w:t>采用竖井形式，风井断面为圆形Φ</w:t>
      </w:r>
      <w:r>
        <w:rPr>
          <w:rFonts w:hint="eastAsia"/>
          <w:highlight w:val="none"/>
          <w:lang w:val="en-US" w:eastAsia="zh-CN"/>
        </w:rPr>
        <w:t>5</w:t>
      </w:r>
      <w:r>
        <w:rPr>
          <w:rFonts w:hint="default"/>
          <w:highlight w:val="none"/>
          <w:lang w:val="en-US" w:eastAsia="zh-CN"/>
        </w:rPr>
        <w:t>m，井筒内设有梯子间，做为应急安全出口。</w:t>
      </w:r>
    </w:p>
    <w:p w14:paraId="5EF8D964">
      <w:pPr>
        <w:pStyle w:val="21"/>
        <w:bidi w:val="0"/>
        <w:rPr>
          <w:rFonts w:hint="default"/>
          <w:lang w:val="en-US" w:eastAsia="zh-CN"/>
        </w:rPr>
      </w:pPr>
      <w:r>
        <w:rPr>
          <w:rFonts w:hint="default"/>
          <w:lang w:val="en-US" w:eastAsia="zh-CN"/>
        </w:rPr>
        <w:t>《可研报告》中明确</w:t>
      </w:r>
      <w:r>
        <w:rPr>
          <w:rFonts w:hint="eastAsia"/>
          <w:lang w:val="en-US" w:eastAsia="zh-CN"/>
        </w:rPr>
        <w:t>矿山</w:t>
      </w:r>
      <w:r>
        <w:rPr>
          <w:rFonts w:hint="default"/>
          <w:lang w:val="en-US" w:eastAsia="zh-CN"/>
        </w:rPr>
        <w:t>1个</w:t>
      </w:r>
      <w:r>
        <w:rPr>
          <w:rFonts w:hint="eastAsia"/>
          <w:lang w:val="en-US" w:eastAsia="zh-CN"/>
        </w:rPr>
        <w:t>主要</w:t>
      </w:r>
      <w:r>
        <w:rPr>
          <w:rFonts w:hint="default"/>
          <w:lang w:val="en-US" w:eastAsia="zh-CN"/>
        </w:rPr>
        <w:t>安全出口（</w:t>
      </w:r>
      <w:r>
        <w:rPr>
          <w:rFonts w:hint="eastAsia"/>
          <w:lang w:val="en-US" w:eastAsia="zh-CN"/>
        </w:rPr>
        <w:t>斜坡道</w:t>
      </w:r>
      <w:r>
        <w:rPr>
          <w:rFonts w:hint="default"/>
          <w:lang w:val="en-US" w:eastAsia="zh-CN"/>
        </w:rPr>
        <w:t>），</w:t>
      </w:r>
      <w:r>
        <w:rPr>
          <w:rFonts w:hint="eastAsia"/>
          <w:lang w:val="en-US" w:eastAsia="zh-CN"/>
        </w:rPr>
        <w:t>1</w:t>
      </w:r>
      <w:r>
        <w:rPr>
          <w:rFonts w:hint="default"/>
          <w:lang w:val="en-US" w:eastAsia="zh-CN"/>
        </w:rPr>
        <w:t>个应急安全出口（</w:t>
      </w:r>
      <w:r>
        <w:rPr>
          <w:rFonts w:hint="default"/>
          <w:highlight w:val="none"/>
          <w:lang w:val="en-US" w:eastAsia="zh-CN"/>
        </w:rPr>
        <w:t>回风井</w:t>
      </w:r>
      <w:r>
        <w:rPr>
          <w:rFonts w:hint="default"/>
          <w:lang w:val="en-US" w:eastAsia="zh-CN"/>
        </w:rPr>
        <w:t>）符合《金属非金属矿山安全规程》（GB16423-2020）第6.1.1.1条规定“每个矿井至少应有两个相互独立、间距不小于30m直达地面的安全出口”的要求。</w:t>
      </w:r>
    </w:p>
    <w:p w14:paraId="57F2E6D5">
      <w:pPr>
        <w:pStyle w:val="29"/>
        <w:bidi w:val="0"/>
        <w:rPr>
          <w:rFonts w:hint="default"/>
          <w:lang w:val="en-US" w:eastAsia="zh-CN"/>
        </w:rPr>
      </w:pPr>
      <w:r>
        <w:rPr>
          <w:rFonts w:hint="default"/>
          <w:lang w:val="en-US" w:eastAsia="zh-CN"/>
        </w:rPr>
        <w:t>评价结果小结</w:t>
      </w:r>
    </w:p>
    <w:p w14:paraId="51ED40D4">
      <w:pPr>
        <w:pStyle w:val="21"/>
        <w:bidi w:val="0"/>
        <w:rPr>
          <w:rFonts w:hint="default"/>
          <w:lang w:val="en-US" w:eastAsia="zh-CN"/>
        </w:rPr>
      </w:pPr>
      <w:r>
        <w:rPr>
          <w:rFonts w:hint="default"/>
          <w:lang w:val="en-US" w:eastAsia="zh-CN"/>
        </w:rPr>
        <w:t>通过对开拓工程布置、安全出口安全可靠性评价，建设单位只要按照设计要求及本预评价单位提出的安全对策措施对开拓系统进行施工，合理布置井巷、及时支护，并保证安全出口的畅通，则《可研报告》设计的开拓系统是安全可靠的。</w:t>
      </w:r>
    </w:p>
    <w:p w14:paraId="08A0B653">
      <w:pPr>
        <w:pStyle w:val="28"/>
        <w:bidi w:val="0"/>
        <w:rPr>
          <w:rFonts w:hint="default"/>
          <w:lang w:val="en-US" w:eastAsia="zh-CN"/>
        </w:rPr>
      </w:pPr>
      <w:bookmarkStart w:id="30" w:name="_Toc31230"/>
      <w:r>
        <w:rPr>
          <w:rFonts w:hint="default"/>
          <w:lang w:val="en-US" w:eastAsia="zh-CN"/>
        </w:rPr>
        <w:t>提升和运输单元评价</w:t>
      </w:r>
      <w:bookmarkEnd w:id="30"/>
    </w:p>
    <w:p w14:paraId="19CDB790">
      <w:pPr>
        <w:pStyle w:val="29"/>
        <w:rPr>
          <w:rFonts w:hint="default"/>
          <w:lang w:val="en-US" w:eastAsia="zh-CN"/>
        </w:rPr>
      </w:pPr>
      <w:r>
        <w:rPr>
          <w:rFonts w:hint="default"/>
          <w:lang w:val="en-US" w:eastAsia="zh-CN"/>
        </w:rPr>
        <w:t>危险、有害因素辨识</w:t>
      </w:r>
    </w:p>
    <w:p w14:paraId="528F18F6">
      <w:pPr>
        <w:pStyle w:val="21"/>
        <w:bidi w:val="0"/>
        <w:rPr>
          <w:rFonts w:hint="default"/>
          <w:lang w:val="en-US" w:eastAsia="zh-CN"/>
        </w:rPr>
      </w:pPr>
      <w:r>
        <w:rPr>
          <w:rFonts w:hint="eastAsia"/>
          <w:lang w:val="en-US" w:eastAsia="zh-CN"/>
        </w:rPr>
        <w:t>井下各生产中段均为无轨运输方式，各中段矿石通过装载机装入自卸汽车，经中段运输巷道、斜坡道运至地表矿石堆场。井下废石通过装载机装入自卸汽车，通过斜坡道运至地表回填地表露天坑。人员可通过斜坡道出入井，井下作业人员乘坐无轨人车经斜坡道上、下井。</w:t>
      </w:r>
    </w:p>
    <w:p w14:paraId="5561603D">
      <w:pPr>
        <w:pStyle w:val="21"/>
        <w:rPr>
          <w:rFonts w:hint="default"/>
          <w:lang w:val="en-US" w:eastAsia="zh-CN"/>
        </w:rPr>
      </w:pPr>
      <w:r>
        <w:rPr>
          <w:rFonts w:hint="default"/>
          <w:lang w:val="en-US" w:eastAsia="zh-CN"/>
        </w:rPr>
        <w:t>运输系统存在的主要危险有害因素有：车辆伤害、机械伤害、物体打击及粉尘等。</w:t>
      </w:r>
    </w:p>
    <w:p w14:paraId="1EF4366A">
      <w:pPr>
        <w:pStyle w:val="21"/>
        <w:numPr>
          <w:ilvl w:val="0"/>
          <w:numId w:val="26"/>
        </w:numPr>
        <w:bidi w:val="0"/>
        <w:rPr>
          <w:b/>
          <w:bCs/>
        </w:rPr>
      </w:pPr>
      <w:r>
        <w:rPr>
          <w:b/>
          <w:bCs/>
        </w:rPr>
        <w:t>车辆伤害</w:t>
      </w:r>
    </w:p>
    <w:p w14:paraId="30063209">
      <w:pPr>
        <w:snapToGrid w:val="0"/>
        <w:spacing w:line="360" w:lineRule="auto"/>
        <w:ind w:firstLine="560" w:firstLineChars="200"/>
        <w:rPr>
          <w:rFonts w:ascii="Times New Roman" w:hAnsi="Times New Roman"/>
          <w:caps w:val="0"/>
          <w:smallCaps w:val="0"/>
          <w:snapToGrid w:val="0"/>
          <w:color w:val="000000"/>
          <w:kern w:val="0"/>
          <w:sz w:val="28"/>
          <w:szCs w:val="28"/>
        </w:rPr>
      </w:pPr>
      <w:r>
        <w:rPr>
          <w:rFonts w:ascii="Times New Roman" w:hAnsi="Times New Roman"/>
          <w:caps w:val="0"/>
          <w:smallCaps w:val="0"/>
          <w:snapToGrid w:val="0"/>
          <w:color w:val="000000"/>
          <w:kern w:val="0"/>
          <w:sz w:val="28"/>
          <w:szCs w:val="28"/>
        </w:rPr>
        <w:t>该项目车辆伤害包括井下</w:t>
      </w:r>
      <w:r>
        <w:rPr>
          <w:rFonts w:hint="eastAsia" w:ascii="Times New Roman" w:hAnsi="Times New Roman"/>
          <w:caps w:val="0"/>
          <w:smallCaps w:val="0"/>
          <w:snapToGrid w:val="0"/>
          <w:color w:val="000000"/>
          <w:kern w:val="0"/>
          <w:sz w:val="28"/>
          <w:szCs w:val="28"/>
        </w:rPr>
        <w:t>蓄电池电机车</w:t>
      </w:r>
      <w:r>
        <w:rPr>
          <w:rFonts w:hint="eastAsia" w:ascii="Times New Roman" w:hAnsi="Times New Roman"/>
          <w:caps w:val="0"/>
          <w:smallCaps w:val="0"/>
          <w:snapToGrid w:val="0"/>
          <w:color w:val="000000"/>
          <w:kern w:val="0"/>
          <w:sz w:val="28"/>
          <w:szCs w:val="28"/>
          <w:lang w:eastAsia="zh-CN"/>
        </w:rPr>
        <w:t>、</w:t>
      </w:r>
      <w:r>
        <w:rPr>
          <w:rFonts w:hint="eastAsia" w:ascii="Times New Roman" w:hAnsi="Times New Roman"/>
          <w:caps w:val="0"/>
          <w:smallCaps w:val="0"/>
          <w:snapToGrid w:val="0"/>
          <w:color w:val="000000"/>
          <w:kern w:val="0"/>
          <w:sz w:val="28"/>
          <w:szCs w:val="28"/>
        </w:rPr>
        <w:t>翻转式矿车</w:t>
      </w:r>
      <w:r>
        <w:rPr>
          <w:rFonts w:hint="eastAsia" w:ascii="Times New Roman" w:hAnsi="Times New Roman"/>
          <w:caps w:val="0"/>
          <w:smallCaps w:val="0"/>
          <w:snapToGrid w:val="0"/>
          <w:color w:val="000000"/>
          <w:kern w:val="0"/>
          <w:sz w:val="28"/>
          <w:szCs w:val="28"/>
          <w:lang w:val="en-US" w:eastAsia="zh-CN"/>
        </w:rPr>
        <w:t>及地面运输车辆</w:t>
      </w:r>
      <w:r>
        <w:rPr>
          <w:rFonts w:ascii="Times New Roman" w:hAnsi="Times New Roman"/>
          <w:caps w:val="0"/>
          <w:smallCaps w:val="0"/>
          <w:snapToGrid w:val="0"/>
          <w:color w:val="000000"/>
          <w:kern w:val="0"/>
          <w:sz w:val="28"/>
          <w:szCs w:val="28"/>
        </w:rPr>
        <w:t>等车辆的伤害。这些车辆在运行过程中，由于以下原因，可能造成车辆伤害。</w:t>
      </w:r>
    </w:p>
    <w:p w14:paraId="3D4EEE33">
      <w:pPr>
        <w:snapToGrid w:val="0"/>
        <w:spacing w:line="360" w:lineRule="auto"/>
        <w:ind w:firstLine="560" w:firstLineChars="200"/>
        <w:rPr>
          <w:rFonts w:ascii="Times New Roman" w:hAnsi="Times New Roman"/>
          <w:caps w:val="0"/>
          <w:smallCaps w:val="0"/>
          <w:snapToGrid w:val="0"/>
          <w:color w:val="000000"/>
          <w:kern w:val="0"/>
          <w:sz w:val="28"/>
          <w:szCs w:val="28"/>
        </w:rPr>
      </w:pPr>
      <w:r>
        <w:rPr>
          <w:rFonts w:hint="eastAsia" w:ascii="Times New Roman" w:hAnsi="Times New Roman"/>
          <w:caps w:val="0"/>
          <w:smallCaps w:val="0"/>
          <w:snapToGrid w:val="0"/>
          <w:color w:val="000000"/>
          <w:kern w:val="0"/>
          <w:sz w:val="28"/>
          <w:szCs w:val="28"/>
          <w:lang w:val="en-US" w:eastAsia="zh-CN"/>
        </w:rPr>
        <w:t>①</w:t>
      </w:r>
      <w:r>
        <w:rPr>
          <w:rFonts w:ascii="Times New Roman" w:hAnsi="Times New Roman"/>
          <w:caps w:val="0"/>
          <w:smallCaps w:val="0"/>
          <w:snapToGrid w:val="0"/>
          <w:color w:val="000000"/>
          <w:kern w:val="0"/>
          <w:sz w:val="28"/>
          <w:szCs w:val="28"/>
        </w:rPr>
        <w:t>由于局部巷道断面小，达不到规范要求；</w:t>
      </w:r>
    </w:p>
    <w:p w14:paraId="4220AC69">
      <w:pPr>
        <w:snapToGrid w:val="0"/>
        <w:spacing w:line="360" w:lineRule="auto"/>
        <w:ind w:firstLine="560" w:firstLineChars="200"/>
        <w:rPr>
          <w:rFonts w:ascii="Times New Roman" w:hAnsi="Times New Roman"/>
          <w:caps w:val="0"/>
          <w:smallCaps w:val="0"/>
          <w:snapToGrid w:val="0"/>
          <w:color w:val="000000"/>
          <w:kern w:val="0"/>
          <w:sz w:val="28"/>
          <w:szCs w:val="28"/>
        </w:rPr>
      </w:pPr>
      <w:r>
        <w:rPr>
          <w:rFonts w:hint="eastAsia" w:ascii="Times New Roman" w:hAnsi="Times New Roman"/>
          <w:caps w:val="0"/>
          <w:smallCaps w:val="0"/>
          <w:snapToGrid w:val="0"/>
          <w:color w:val="000000"/>
          <w:kern w:val="0"/>
          <w:sz w:val="28"/>
          <w:szCs w:val="28"/>
          <w:lang w:val="en-US" w:eastAsia="zh-CN"/>
        </w:rPr>
        <w:t>②</w:t>
      </w:r>
      <w:r>
        <w:rPr>
          <w:rFonts w:ascii="Times New Roman" w:hAnsi="Times New Roman"/>
          <w:caps w:val="0"/>
          <w:smallCaps w:val="0"/>
          <w:snapToGrid w:val="0"/>
          <w:color w:val="000000"/>
          <w:kern w:val="0"/>
          <w:sz w:val="28"/>
          <w:szCs w:val="28"/>
        </w:rPr>
        <w:t>车辆运输过程中因无信号装置提示行人和未按规定设置错车道、人行道或未掘躲避硐室导致人员避让不及受车辆的挤夹伤害；</w:t>
      </w:r>
    </w:p>
    <w:p w14:paraId="6BAD559B">
      <w:pPr>
        <w:snapToGrid w:val="0"/>
        <w:spacing w:line="360" w:lineRule="auto"/>
        <w:ind w:firstLine="560" w:firstLineChars="200"/>
        <w:rPr>
          <w:rFonts w:ascii="Times New Roman" w:hAnsi="Times New Roman"/>
          <w:caps w:val="0"/>
          <w:smallCaps w:val="0"/>
          <w:snapToGrid w:val="0"/>
          <w:color w:val="000000"/>
          <w:kern w:val="0"/>
          <w:sz w:val="28"/>
          <w:szCs w:val="28"/>
        </w:rPr>
      </w:pPr>
      <w:r>
        <w:rPr>
          <w:rFonts w:hint="eastAsia" w:ascii="Times New Roman" w:hAnsi="Times New Roman"/>
          <w:caps w:val="0"/>
          <w:smallCaps w:val="0"/>
          <w:snapToGrid w:val="0"/>
          <w:color w:val="000000"/>
          <w:kern w:val="0"/>
          <w:sz w:val="28"/>
          <w:szCs w:val="28"/>
          <w:lang w:val="en-US" w:eastAsia="zh-CN"/>
        </w:rPr>
        <w:t>③</w:t>
      </w:r>
      <w:r>
        <w:rPr>
          <w:rFonts w:ascii="Times New Roman" w:hAnsi="Times New Roman"/>
          <w:caps w:val="0"/>
          <w:smallCaps w:val="0"/>
          <w:snapToGrid w:val="0"/>
          <w:color w:val="000000"/>
          <w:kern w:val="0"/>
          <w:sz w:val="28"/>
          <w:szCs w:val="28"/>
        </w:rPr>
        <w:t>巷道底板坡度大，车辆制动装置失灵，车况不好，都易发生车辆倾翻，导致人员伤害，设备、设施损坏事故；</w:t>
      </w:r>
    </w:p>
    <w:p w14:paraId="59E9ED94">
      <w:pPr>
        <w:snapToGrid w:val="0"/>
        <w:spacing w:line="360" w:lineRule="auto"/>
        <w:ind w:firstLine="560" w:firstLineChars="200"/>
        <w:rPr>
          <w:rFonts w:ascii="Times New Roman" w:hAnsi="Times New Roman"/>
          <w:caps w:val="0"/>
          <w:smallCaps w:val="0"/>
          <w:snapToGrid w:val="0"/>
          <w:color w:val="000000"/>
          <w:kern w:val="0"/>
          <w:sz w:val="28"/>
          <w:szCs w:val="28"/>
        </w:rPr>
      </w:pPr>
      <w:r>
        <w:rPr>
          <w:rFonts w:hint="eastAsia" w:ascii="Times New Roman" w:hAnsi="Times New Roman"/>
          <w:caps w:val="0"/>
          <w:smallCaps w:val="0"/>
          <w:snapToGrid w:val="0"/>
          <w:color w:val="000000"/>
          <w:kern w:val="0"/>
          <w:sz w:val="28"/>
          <w:szCs w:val="28"/>
          <w:lang w:val="en-US" w:eastAsia="zh-CN"/>
        </w:rPr>
        <w:t>④</w:t>
      </w:r>
      <w:r>
        <w:rPr>
          <w:rFonts w:ascii="Times New Roman" w:hAnsi="Times New Roman"/>
          <w:caps w:val="0"/>
          <w:smallCaps w:val="0"/>
          <w:snapToGrid w:val="0"/>
          <w:color w:val="000000"/>
          <w:kern w:val="0"/>
          <w:sz w:val="28"/>
          <w:szCs w:val="28"/>
        </w:rPr>
        <w:t>在运输过程中，由于运输信号联络不畅或信号失灵、设备故障、无相应的安全设施、安全标志等，也很容易发生翻车、挤伤、撞坏设备和撞死撞伤人员等事故；</w:t>
      </w:r>
    </w:p>
    <w:p w14:paraId="78C0C402">
      <w:pPr>
        <w:snapToGrid w:val="0"/>
        <w:spacing w:line="360" w:lineRule="auto"/>
        <w:ind w:firstLine="560" w:firstLineChars="200"/>
        <w:rPr>
          <w:rFonts w:ascii="Times New Roman" w:hAnsi="Times New Roman"/>
          <w:caps w:val="0"/>
          <w:smallCaps w:val="0"/>
          <w:snapToGrid w:val="0"/>
          <w:color w:val="000000"/>
          <w:kern w:val="0"/>
          <w:sz w:val="28"/>
          <w:szCs w:val="28"/>
        </w:rPr>
      </w:pPr>
      <w:r>
        <w:rPr>
          <w:rFonts w:hint="eastAsia" w:ascii="Times New Roman" w:hAnsi="Times New Roman"/>
          <w:caps w:val="0"/>
          <w:smallCaps w:val="0"/>
          <w:snapToGrid w:val="0"/>
          <w:color w:val="000000"/>
          <w:kern w:val="0"/>
          <w:sz w:val="28"/>
          <w:szCs w:val="28"/>
          <w:lang w:val="en-US" w:eastAsia="zh-CN"/>
        </w:rPr>
        <w:t>⑤</w:t>
      </w:r>
      <w:r>
        <w:rPr>
          <w:rFonts w:ascii="Times New Roman" w:hAnsi="Times New Roman"/>
          <w:caps w:val="0"/>
          <w:smallCaps w:val="0"/>
          <w:snapToGrid w:val="0"/>
          <w:color w:val="000000"/>
          <w:kern w:val="0"/>
          <w:sz w:val="28"/>
          <w:szCs w:val="28"/>
        </w:rPr>
        <w:t>在地表废石运输过程中由于车辆制动装置失灵、道路坡度过大、运行速度过快、路面设计不合理、道路局部坍塌、下沉、路况质量差、狭窄、路不平、雨季冲刷严重，很容易发生车辆倾覆、车辆相撞等事故；</w:t>
      </w:r>
    </w:p>
    <w:p w14:paraId="2D724396">
      <w:pPr>
        <w:snapToGrid w:val="0"/>
        <w:spacing w:line="360" w:lineRule="auto"/>
        <w:ind w:firstLine="560" w:firstLineChars="200"/>
        <w:rPr>
          <w:rFonts w:ascii="Times New Roman" w:hAnsi="Times New Roman"/>
          <w:caps w:val="0"/>
          <w:smallCaps w:val="0"/>
          <w:snapToGrid w:val="0"/>
          <w:color w:val="000000"/>
          <w:kern w:val="0"/>
          <w:sz w:val="28"/>
          <w:szCs w:val="28"/>
        </w:rPr>
      </w:pPr>
      <w:r>
        <w:rPr>
          <w:rFonts w:hint="eastAsia" w:ascii="Times New Roman" w:hAnsi="Times New Roman"/>
          <w:caps w:val="0"/>
          <w:smallCaps w:val="0"/>
          <w:snapToGrid w:val="0"/>
          <w:color w:val="000000"/>
          <w:kern w:val="0"/>
          <w:sz w:val="28"/>
          <w:szCs w:val="28"/>
          <w:lang w:val="en-US" w:eastAsia="zh-CN"/>
        </w:rPr>
        <w:t>⑥</w:t>
      </w:r>
      <w:r>
        <w:rPr>
          <w:rFonts w:hint="eastAsia" w:ascii="Times New Roman" w:hAnsi="Times New Roman"/>
          <w:caps w:val="0"/>
          <w:smallCaps w:val="0"/>
          <w:snapToGrid w:val="0"/>
          <w:color w:val="000000"/>
          <w:kern w:val="0"/>
          <w:sz w:val="28"/>
          <w:szCs w:val="28"/>
        </w:rPr>
        <w:t>地面</w:t>
      </w:r>
      <w:r>
        <w:rPr>
          <w:rFonts w:ascii="Times New Roman" w:hAnsi="Times New Roman"/>
          <w:caps w:val="0"/>
          <w:smallCaps w:val="0"/>
          <w:snapToGrid w:val="0"/>
          <w:color w:val="000000"/>
          <w:kern w:val="0"/>
          <w:sz w:val="28"/>
          <w:szCs w:val="28"/>
        </w:rPr>
        <w:t>雨天运输车辆未采取防滑措施、违章驾驶等。</w:t>
      </w:r>
    </w:p>
    <w:p w14:paraId="3770B7AC">
      <w:pPr>
        <w:snapToGrid w:val="0"/>
        <w:spacing w:line="360" w:lineRule="auto"/>
        <w:ind w:firstLine="560" w:firstLineChars="200"/>
        <w:rPr>
          <w:rFonts w:ascii="Times New Roman" w:hAnsi="Times New Roman"/>
          <w:caps w:val="0"/>
          <w:smallCaps w:val="0"/>
          <w:snapToGrid w:val="0"/>
          <w:color w:val="000000"/>
          <w:kern w:val="0"/>
          <w:sz w:val="28"/>
          <w:szCs w:val="28"/>
        </w:rPr>
      </w:pPr>
      <w:r>
        <w:rPr>
          <w:rFonts w:ascii="Times New Roman" w:hAnsi="Times New Roman"/>
          <w:caps w:val="0"/>
          <w:smallCaps w:val="0"/>
          <w:snapToGrid w:val="0"/>
          <w:color w:val="000000"/>
          <w:kern w:val="0"/>
          <w:sz w:val="28"/>
          <w:szCs w:val="28"/>
        </w:rPr>
        <w:t>在生产过程中安全管理职责不明、安全管理制度及操作规程缺陷以及运输车辆故障等情况均有可能导致各种危及人身和设备的安全事故。</w:t>
      </w:r>
    </w:p>
    <w:p w14:paraId="099174E8">
      <w:pPr>
        <w:snapToGrid w:val="0"/>
        <w:spacing w:line="360" w:lineRule="auto"/>
        <w:ind w:firstLine="560" w:firstLineChars="200"/>
        <w:rPr>
          <w:rFonts w:ascii="Times New Roman" w:hAnsi="Times New Roman"/>
          <w:caps w:val="0"/>
          <w:smallCaps w:val="0"/>
          <w:snapToGrid w:val="0"/>
          <w:color w:val="000000"/>
          <w:kern w:val="0"/>
          <w:sz w:val="28"/>
          <w:szCs w:val="28"/>
        </w:rPr>
      </w:pPr>
      <w:r>
        <w:rPr>
          <w:rFonts w:ascii="Times New Roman" w:hAnsi="Times New Roman"/>
          <w:caps w:val="0"/>
          <w:smallCaps w:val="0"/>
          <w:snapToGrid w:val="0"/>
          <w:color w:val="000000"/>
          <w:kern w:val="0"/>
          <w:sz w:val="28"/>
          <w:szCs w:val="28"/>
        </w:rPr>
        <w:t>可能存在的部位：运输过程中的各种车辆设备、运输设备、运输巷道、运输公路及废石场等。</w:t>
      </w:r>
    </w:p>
    <w:p w14:paraId="58F480A5">
      <w:pPr>
        <w:pStyle w:val="21"/>
        <w:numPr>
          <w:ilvl w:val="0"/>
          <w:numId w:val="26"/>
        </w:numPr>
        <w:bidi w:val="0"/>
        <w:rPr>
          <w:rFonts w:hint="eastAsia"/>
          <w:b/>
          <w:bCs/>
        </w:rPr>
      </w:pPr>
      <w:r>
        <w:rPr>
          <w:rFonts w:hint="eastAsia"/>
          <w:b/>
          <w:bCs/>
        </w:rPr>
        <w:t>机械伤害</w:t>
      </w:r>
    </w:p>
    <w:p w14:paraId="7ED6C3A9">
      <w:pPr>
        <w:pStyle w:val="21"/>
        <w:bidi w:val="0"/>
        <w:rPr>
          <w:rFonts w:hint="eastAsia"/>
        </w:rPr>
      </w:pPr>
      <w:r>
        <w:rPr>
          <w:rFonts w:hint="eastAsia"/>
        </w:rPr>
        <w:t>机械伤害是指机械设备运动（静止）部件、工具、加工件直接与人体接触引起的夹击、碰撞、剪切、卷入、绞、碾、割、刺等伤害，不包括车辆、起重机械引起的机械伤害。</w:t>
      </w:r>
    </w:p>
    <w:p w14:paraId="6BBA308E">
      <w:pPr>
        <w:pStyle w:val="21"/>
        <w:bidi w:val="0"/>
        <w:rPr>
          <w:rFonts w:hint="eastAsia"/>
        </w:rPr>
      </w:pPr>
      <w:r>
        <w:rPr>
          <w:rFonts w:hint="eastAsia"/>
        </w:rPr>
        <w:t>矿山造成的机械伤害事故，主要是由于人的违章指挥、违章操作造成的。常见的因素有：</w:t>
      </w:r>
    </w:p>
    <w:p w14:paraId="780380F8">
      <w:pPr>
        <w:pStyle w:val="21"/>
        <w:bidi w:val="0"/>
        <w:rPr>
          <w:rFonts w:hint="eastAsia"/>
        </w:rPr>
      </w:pPr>
      <w:r>
        <w:rPr>
          <w:rFonts w:hint="eastAsia"/>
          <w:lang w:val="en-US" w:eastAsia="zh-CN"/>
        </w:rPr>
        <w:t>①</w:t>
      </w:r>
      <w:r>
        <w:rPr>
          <w:rFonts w:hint="eastAsia"/>
        </w:rPr>
        <w:t>穿戴不符合安全规定的服装进行操作；</w:t>
      </w:r>
    </w:p>
    <w:p w14:paraId="6381459D">
      <w:pPr>
        <w:pStyle w:val="21"/>
        <w:bidi w:val="0"/>
        <w:rPr>
          <w:rFonts w:hint="eastAsia"/>
        </w:rPr>
      </w:pPr>
      <w:r>
        <w:rPr>
          <w:rFonts w:hint="eastAsia"/>
          <w:lang w:val="en-US" w:eastAsia="zh-CN"/>
        </w:rPr>
        <w:t>②</w:t>
      </w:r>
      <w:r>
        <w:rPr>
          <w:rFonts w:hint="eastAsia"/>
        </w:rPr>
        <w:t>违章操作；</w:t>
      </w:r>
    </w:p>
    <w:p w14:paraId="5CB1EEC1">
      <w:pPr>
        <w:pStyle w:val="21"/>
        <w:bidi w:val="0"/>
        <w:rPr>
          <w:rFonts w:hint="eastAsia"/>
        </w:rPr>
      </w:pPr>
      <w:r>
        <w:rPr>
          <w:rFonts w:hint="eastAsia"/>
          <w:lang w:val="en-US" w:eastAsia="zh-CN"/>
        </w:rPr>
        <w:t>③</w:t>
      </w:r>
      <w:r>
        <w:rPr>
          <w:rFonts w:hint="eastAsia"/>
        </w:rPr>
        <w:t>机械设备安全防护装置缺乏或损坏、被拆除等，导致事故发生；</w:t>
      </w:r>
    </w:p>
    <w:p w14:paraId="1528AA04">
      <w:pPr>
        <w:pStyle w:val="21"/>
        <w:bidi w:val="0"/>
        <w:rPr>
          <w:rFonts w:hint="eastAsia"/>
        </w:rPr>
      </w:pPr>
      <w:r>
        <w:rPr>
          <w:rFonts w:hint="eastAsia"/>
          <w:lang w:val="en-US" w:eastAsia="zh-CN"/>
        </w:rPr>
        <w:t>④</w:t>
      </w:r>
      <w:r>
        <w:rPr>
          <w:rFonts w:hint="eastAsia"/>
        </w:rPr>
        <w:t>操作过程中衣物、头发、工具进入运转机械导致身体被运动机械拖带伤害；</w:t>
      </w:r>
    </w:p>
    <w:p w14:paraId="17DBBEE9">
      <w:pPr>
        <w:pStyle w:val="21"/>
        <w:bidi w:val="0"/>
        <w:rPr>
          <w:rFonts w:hint="eastAsia"/>
        </w:rPr>
      </w:pPr>
      <w:r>
        <w:rPr>
          <w:rFonts w:hint="eastAsia"/>
          <w:lang w:val="en-US" w:eastAsia="zh-CN"/>
        </w:rPr>
        <w:t>⑤</w:t>
      </w:r>
      <w:r>
        <w:rPr>
          <w:rFonts w:hint="eastAsia"/>
        </w:rPr>
        <w:t>操作人员疏忽大意，身体进入机械危险部位；</w:t>
      </w:r>
    </w:p>
    <w:p w14:paraId="2B6F7F65">
      <w:pPr>
        <w:pStyle w:val="21"/>
        <w:bidi w:val="0"/>
        <w:rPr>
          <w:rFonts w:hint="eastAsia"/>
        </w:rPr>
      </w:pPr>
      <w:r>
        <w:rPr>
          <w:rFonts w:hint="eastAsia"/>
          <w:lang w:val="en-US" w:eastAsia="zh-CN"/>
        </w:rPr>
        <w:t>⑥</w:t>
      </w:r>
      <w:r>
        <w:rPr>
          <w:rFonts w:hint="eastAsia"/>
        </w:rPr>
        <w:t>在检修和正常工作时，机器突然被别人随意启动，导致事故发生；</w:t>
      </w:r>
    </w:p>
    <w:p w14:paraId="29954ECE">
      <w:pPr>
        <w:pStyle w:val="21"/>
        <w:bidi w:val="0"/>
        <w:rPr>
          <w:rFonts w:hint="eastAsia"/>
        </w:rPr>
      </w:pPr>
      <w:r>
        <w:rPr>
          <w:rFonts w:hint="eastAsia"/>
          <w:lang w:val="en-US" w:eastAsia="zh-CN"/>
        </w:rPr>
        <w:t>⑦</w:t>
      </w:r>
      <w:r>
        <w:rPr>
          <w:rFonts w:hint="eastAsia"/>
        </w:rPr>
        <w:t>在不安全的机械上停留、休息，导致事故发生；</w:t>
      </w:r>
    </w:p>
    <w:p w14:paraId="4DC4F474">
      <w:pPr>
        <w:pStyle w:val="21"/>
        <w:bidi w:val="0"/>
        <w:rPr>
          <w:rFonts w:hint="eastAsia"/>
        </w:rPr>
      </w:pPr>
      <w:r>
        <w:rPr>
          <w:rFonts w:hint="eastAsia"/>
          <w:lang w:val="en-US" w:eastAsia="zh-CN"/>
        </w:rPr>
        <w:t>⑧</w:t>
      </w:r>
      <w:r>
        <w:rPr>
          <w:rFonts w:hint="eastAsia"/>
        </w:rPr>
        <w:t>设备设施设计、选型不合理或安装存在缺陷；</w:t>
      </w:r>
    </w:p>
    <w:p w14:paraId="4D0185B9">
      <w:pPr>
        <w:pStyle w:val="21"/>
        <w:bidi w:val="0"/>
        <w:rPr>
          <w:rFonts w:hint="eastAsia"/>
        </w:rPr>
      </w:pPr>
      <w:r>
        <w:rPr>
          <w:rFonts w:hint="eastAsia"/>
          <w:lang w:val="en-US" w:eastAsia="zh-CN"/>
        </w:rPr>
        <w:t>⑨</w:t>
      </w:r>
      <w:r>
        <w:rPr>
          <w:rFonts w:hint="eastAsia"/>
        </w:rPr>
        <w:t>设备设施没有按规定进行维护或特种设备没有定期检测检验；</w:t>
      </w:r>
    </w:p>
    <w:p w14:paraId="47A6269A">
      <w:pPr>
        <w:pStyle w:val="21"/>
        <w:bidi w:val="0"/>
        <w:rPr>
          <w:rFonts w:hint="eastAsia"/>
        </w:rPr>
      </w:pPr>
      <w:r>
        <w:rPr>
          <w:rFonts w:hint="eastAsia"/>
          <w:lang w:val="en-US" w:eastAsia="zh-CN"/>
        </w:rPr>
        <w:t>⑩</w:t>
      </w:r>
      <w:r>
        <w:rPr>
          <w:rFonts w:hint="eastAsia"/>
        </w:rPr>
        <w:t>安全管理上存在不足。</w:t>
      </w:r>
    </w:p>
    <w:p w14:paraId="411637A5">
      <w:pPr>
        <w:pStyle w:val="21"/>
        <w:bidi w:val="0"/>
      </w:pPr>
      <w:r>
        <w:rPr>
          <w:rFonts w:hint="eastAsia"/>
        </w:rPr>
        <w:t>该矿山运输系统在使用和检修过程中存在着机械伤害的可能性。</w:t>
      </w:r>
    </w:p>
    <w:p w14:paraId="235BA2BF">
      <w:pPr>
        <w:pStyle w:val="21"/>
        <w:numPr>
          <w:ilvl w:val="0"/>
          <w:numId w:val="26"/>
        </w:numPr>
        <w:bidi w:val="0"/>
        <w:rPr>
          <w:b/>
          <w:bCs/>
        </w:rPr>
      </w:pPr>
      <w:r>
        <w:rPr>
          <w:b/>
          <w:bCs/>
        </w:rPr>
        <w:t>物体打击</w:t>
      </w:r>
    </w:p>
    <w:p w14:paraId="5808A412">
      <w:pPr>
        <w:pStyle w:val="21"/>
        <w:bidi w:val="0"/>
      </w:pPr>
      <w:r>
        <w:t>运输过程中造成物体打击伤害的原因主要有：</w:t>
      </w:r>
    </w:p>
    <w:p w14:paraId="36DAB979">
      <w:pPr>
        <w:pStyle w:val="21"/>
        <w:bidi w:val="0"/>
      </w:pPr>
      <w:r>
        <w:rPr>
          <w:rFonts w:hint="eastAsia"/>
          <w:lang w:val="en-US" w:eastAsia="zh-CN"/>
        </w:rPr>
        <w:t>①</w:t>
      </w:r>
      <w:r>
        <w:t>浮石清理不及时、排浮不净或排浮不按规程操作；</w:t>
      </w:r>
    </w:p>
    <w:p w14:paraId="23D0432C">
      <w:pPr>
        <w:pStyle w:val="21"/>
        <w:bidi w:val="0"/>
      </w:pPr>
      <w:r>
        <w:rPr>
          <w:rFonts w:hint="eastAsia"/>
          <w:lang w:val="en-US" w:eastAsia="zh-CN"/>
        </w:rPr>
        <w:t>②</w:t>
      </w:r>
      <w:r>
        <w:t>对排不下的危石，未及时支护或支护质量差；</w:t>
      </w:r>
    </w:p>
    <w:p w14:paraId="0394E740">
      <w:pPr>
        <w:pStyle w:val="21"/>
        <w:bidi w:val="0"/>
      </w:pPr>
      <w:r>
        <w:rPr>
          <w:rFonts w:hint="eastAsia"/>
          <w:lang w:val="en-US" w:eastAsia="zh-CN"/>
        </w:rPr>
        <w:t>③</w:t>
      </w:r>
      <w:r>
        <w:t>安全帽等劳保用品穿戴不齐；</w:t>
      </w:r>
    </w:p>
    <w:p w14:paraId="5EBBF90D">
      <w:pPr>
        <w:pStyle w:val="21"/>
        <w:bidi w:val="0"/>
      </w:pPr>
      <w:r>
        <w:rPr>
          <w:rFonts w:hint="eastAsia"/>
          <w:lang w:val="en-US" w:eastAsia="zh-CN"/>
        </w:rPr>
        <w:t>④</w:t>
      </w:r>
      <w:r>
        <w:t>出矿、出渣时精力不集中，对出现的危险不能及时做出反应；</w:t>
      </w:r>
    </w:p>
    <w:p w14:paraId="3AE5531D">
      <w:pPr>
        <w:pStyle w:val="21"/>
        <w:bidi w:val="0"/>
      </w:pPr>
      <w:r>
        <w:rPr>
          <w:rFonts w:hint="eastAsia"/>
          <w:lang w:val="en-US" w:eastAsia="zh-CN"/>
        </w:rPr>
        <w:t>⑤</w:t>
      </w:r>
      <w:r>
        <w:t>地表装矿（岩）作业等均可能发生掉块伤人；</w:t>
      </w:r>
    </w:p>
    <w:p w14:paraId="1AFE3A02">
      <w:pPr>
        <w:pStyle w:val="21"/>
        <w:bidi w:val="0"/>
      </w:pPr>
      <w:r>
        <w:rPr>
          <w:rFonts w:hint="eastAsia"/>
          <w:lang w:val="en-US" w:eastAsia="zh-CN"/>
        </w:rPr>
        <w:t>⑥</w:t>
      </w:r>
      <w:r>
        <w:t>坑口卸载点、地表废石场排弃作业范围未设置安全警示标志，人员误入可能发生滚石伤人。</w:t>
      </w:r>
    </w:p>
    <w:p w14:paraId="4A132595">
      <w:pPr>
        <w:pStyle w:val="21"/>
        <w:numPr>
          <w:ilvl w:val="0"/>
          <w:numId w:val="26"/>
        </w:numPr>
        <w:bidi w:val="0"/>
        <w:rPr>
          <w:rFonts w:hint="eastAsia" w:ascii="Times New Roman" w:hAnsi="Times New Roman" w:eastAsia="宋体"/>
          <w:b/>
          <w:bCs/>
        </w:rPr>
      </w:pPr>
      <w:r>
        <w:rPr>
          <w:rFonts w:hint="eastAsia" w:ascii="Times New Roman" w:hAnsi="Times New Roman" w:eastAsia="宋体"/>
          <w:b/>
          <w:bCs/>
        </w:rPr>
        <w:t>粉尘</w:t>
      </w:r>
    </w:p>
    <w:p w14:paraId="1502B6AA">
      <w:pPr>
        <w:pStyle w:val="21"/>
        <w:bidi w:val="0"/>
        <w:rPr>
          <w:rFonts w:hint="default"/>
          <w:lang w:val="en-US" w:eastAsia="zh-CN"/>
        </w:rPr>
      </w:pPr>
      <w:r>
        <w:rPr>
          <w:rFonts w:hint="default"/>
          <w:lang w:val="en-US" w:eastAsia="zh-CN"/>
        </w:rPr>
        <w:t>粉尘主要来源于：矿岩转运作业等过程，产生大量有害的粉尘，如未采取湿式作业、井下通风不良或通风质量达不到要求，易造成粉尘危害。井下主要产尘点分布在铲装工作面、回风道、装矿（废）石巷道、卸矿漏斗等处。</w:t>
      </w:r>
    </w:p>
    <w:p w14:paraId="08376CB3">
      <w:pPr>
        <w:pStyle w:val="29"/>
        <w:bidi w:val="0"/>
        <w:rPr>
          <w:rFonts w:hint="default"/>
          <w:lang w:val="en-US" w:eastAsia="zh-CN"/>
        </w:rPr>
      </w:pPr>
      <w:r>
        <w:rPr>
          <w:rFonts w:hint="default"/>
          <w:lang w:val="en-US" w:eastAsia="zh-CN"/>
        </w:rPr>
        <w:t>安全分析及符合性评价</w:t>
      </w:r>
    </w:p>
    <w:p w14:paraId="28F90F74">
      <w:pPr>
        <w:pStyle w:val="21"/>
        <w:numPr>
          <w:ilvl w:val="0"/>
          <w:numId w:val="27"/>
        </w:numPr>
        <w:bidi w:val="0"/>
        <w:rPr>
          <w:rFonts w:hint="eastAsia"/>
        </w:rPr>
      </w:pPr>
      <w:r>
        <w:rPr>
          <w:rFonts w:hint="eastAsia"/>
        </w:rPr>
        <w:t>预先危险性分析法</w:t>
      </w:r>
    </w:p>
    <w:p w14:paraId="175FF958">
      <w:pPr>
        <w:pStyle w:val="30"/>
        <w:bidi w:val="0"/>
      </w:pPr>
      <w:r>
        <w:rPr>
          <w:rFonts w:hint="eastAsia"/>
        </w:rPr>
        <w:t>表3.3-1</w:t>
      </w:r>
      <w:r>
        <w:t xml:space="preserve">  </w:t>
      </w:r>
      <w:r>
        <w:rPr>
          <w:rFonts w:hint="eastAsia"/>
        </w:rPr>
        <w:t>提升和运输单元预先危险性分析表</w:t>
      </w:r>
    </w:p>
    <w:tbl>
      <w:tblPr>
        <w:tblStyle w:val="24"/>
        <w:tblW w:w="8577"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96"/>
        <w:gridCol w:w="816"/>
        <w:gridCol w:w="1188"/>
        <w:gridCol w:w="1078"/>
        <w:gridCol w:w="1123"/>
        <w:gridCol w:w="765"/>
        <w:gridCol w:w="772"/>
        <w:gridCol w:w="2139"/>
      </w:tblGrid>
      <w:tr w14:paraId="16DF144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696" w:type="dxa"/>
            <w:noWrap w:val="0"/>
            <w:vAlign w:val="center"/>
          </w:tcPr>
          <w:p w14:paraId="4F45DB96">
            <w:pPr>
              <w:pStyle w:val="31"/>
              <w:bidi w:val="0"/>
              <w:rPr>
                <w:rFonts w:hint="eastAsia"/>
                <w:sz w:val="21"/>
                <w:szCs w:val="21"/>
              </w:rPr>
            </w:pPr>
            <w:r>
              <w:rPr>
                <w:rFonts w:hint="eastAsia"/>
                <w:sz w:val="21"/>
                <w:szCs w:val="21"/>
              </w:rPr>
              <w:t>潜在事故</w:t>
            </w:r>
          </w:p>
        </w:tc>
        <w:tc>
          <w:tcPr>
            <w:tcW w:w="816" w:type="dxa"/>
            <w:noWrap w:val="0"/>
            <w:vAlign w:val="center"/>
          </w:tcPr>
          <w:p w14:paraId="18211290">
            <w:pPr>
              <w:pStyle w:val="31"/>
              <w:bidi w:val="0"/>
              <w:rPr>
                <w:rFonts w:hint="eastAsia"/>
                <w:sz w:val="21"/>
                <w:szCs w:val="21"/>
              </w:rPr>
            </w:pPr>
            <w:r>
              <w:rPr>
                <w:rFonts w:hint="eastAsia"/>
                <w:sz w:val="21"/>
                <w:szCs w:val="21"/>
              </w:rPr>
              <w:t>危险因素</w:t>
            </w:r>
          </w:p>
        </w:tc>
        <w:tc>
          <w:tcPr>
            <w:tcW w:w="1188" w:type="dxa"/>
            <w:noWrap w:val="0"/>
            <w:vAlign w:val="center"/>
          </w:tcPr>
          <w:p w14:paraId="4810FAE4">
            <w:pPr>
              <w:pStyle w:val="31"/>
              <w:bidi w:val="0"/>
              <w:rPr>
                <w:rFonts w:hint="eastAsia"/>
                <w:sz w:val="21"/>
                <w:szCs w:val="21"/>
              </w:rPr>
            </w:pPr>
            <w:r>
              <w:rPr>
                <w:rFonts w:hint="eastAsia"/>
                <w:sz w:val="21"/>
                <w:szCs w:val="21"/>
              </w:rPr>
              <w:t>触发条件（1）</w:t>
            </w:r>
          </w:p>
        </w:tc>
        <w:tc>
          <w:tcPr>
            <w:tcW w:w="1078" w:type="dxa"/>
            <w:noWrap w:val="0"/>
            <w:vAlign w:val="center"/>
          </w:tcPr>
          <w:p w14:paraId="5E44A10C">
            <w:pPr>
              <w:pStyle w:val="31"/>
              <w:bidi w:val="0"/>
              <w:rPr>
                <w:rFonts w:hint="eastAsia"/>
                <w:sz w:val="21"/>
                <w:szCs w:val="21"/>
              </w:rPr>
            </w:pPr>
            <w:r>
              <w:rPr>
                <w:rFonts w:hint="eastAsia"/>
                <w:sz w:val="21"/>
                <w:szCs w:val="21"/>
              </w:rPr>
              <w:t>发生条件</w:t>
            </w:r>
          </w:p>
        </w:tc>
        <w:tc>
          <w:tcPr>
            <w:tcW w:w="1123" w:type="dxa"/>
            <w:noWrap w:val="0"/>
            <w:vAlign w:val="center"/>
          </w:tcPr>
          <w:p w14:paraId="58962570">
            <w:pPr>
              <w:pStyle w:val="31"/>
              <w:bidi w:val="0"/>
              <w:rPr>
                <w:rFonts w:hint="eastAsia"/>
                <w:sz w:val="21"/>
                <w:szCs w:val="21"/>
              </w:rPr>
            </w:pPr>
            <w:r>
              <w:rPr>
                <w:rFonts w:hint="eastAsia"/>
                <w:sz w:val="21"/>
                <w:szCs w:val="21"/>
              </w:rPr>
              <w:t>触发条件（2）</w:t>
            </w:r>
          </w:p>
        </w:tc>
        <w:tc>
          <w:tcPr>
            <w:tcW w:w="765" w:type="dxa"/>
            <w:noWrap w:val="0"/>
            <w:vAlign w:val="center"/>
          </w:tcPr>
          <w:p w14:paraId="53BE8DBA">
            <w:pPr>
              <w:pStyle w:val="31"/>
              <w:bidi w:val="0"/>
              <w:rPr>
                <w:rFonts w:hint="eastAsia"/>
                <w:sz w:val="21"/>
                <w:szCs w:val="21"/>
              </w:rPr>
            </w:pPr>
            <w:r>
              <w:rPr>
                <w:rFonts w:hint="eastAsia"/>
                <w:sz w:val="21"/>
                <w:szCs w:val="21"/>
              </w:rPr>
              <w:t>事故后果</w:t>
            </w:r>
          </w:p>
        </w:tc>
        <w:tc>
          <w:tcPr>
            <w:tcW w:w="772" w:type="dxa"/>
            <w:noWrap w:val="0"/>
            <w:vAlign w:val="center"/>
          </w:tcPr>
          <w:p w14:paraId="17217688">
            <w:pPr>
              <w:pStyle w:val="31"/>
              <w:bidi w:val="0"/>
              <w:rPr>
                <w:rFonts w:hint="eastAsia"/>
                <w:sz w:val="21"/>
                <w:szCs w:val="21"/>
              </w:rPr>
            </w:pPr>
            <w:r>
              <w:rPr>
                <w:rFonts w:hint="eastAsia"/>
                <w:sz w:val="21"/>
                <w:szCs w:val="21"/>
              </w:rPr>
              <w:t>危险等级</w:t>
            </w:r>
          </w:p>
        </w:tc>
        <w:tc>
          <w:tcPr>
            <w:tcW w:w="2139" w:type="dxa"/>
            <w:noWrap w:val="0"/>
            <w:vAlign w:val="center"/>
          </w:tcPr>
          <w:p w14:paraId="2B86106E">
            <w:pPr>
              <w:pStyle w:val="31"/>
              <w:bidi w:val="0"/>
              <w:rPr>
                <w:rFonts w:hint="eastAsia"/>
                <w:sz w:val="21"/>
                <w:szCs w:val="21"/>
              </w:rPr>
            </w:pPr>
            <w:r>
              <w:rPr>
                <w:rFonts w:hint="eastAsia"/>
                <w:sz w:val="21"/>
                <w:szCs w:val="21"/>
              </w:rPr>
              <w:t>防范措施</w:t>
            </w:r>
          </w:p>
        </w:tc>
      </w:tr>
      <w:tr w14:paraId="01987D4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696" w:type="dxa"/>
            <w:noWrap w:val="0"/>
            <w:vAlign w:val="center"/>
          </w:tcPr>
          <w:p w14:paraId="175B2F14">
            <w:pPr>
              <w:pStyle w:val="31"/>
              <w:bidi w:val="0"/>
              <w:rPr>
                <w:rFonts w:hint="eastAsia"/>
                <w:sz w:val="21"/>
                <w:szCs w:val="21"/>
              </w:rPr>
            </w:pPr>
            <w:r>
              <w:rPr>
                <w:rFonts w:hint="eastAsia"/>
                <w:sz w:val="21"/>
                <w:szCs w:val="21"/>
              </w:rPr>
              <w:t>车辆伤害</w:t>
            </w:r>
          </w:p>
        </w:tc>
        <w:tc>
          <w:tcPr>
            <w:tcW w:w="816" w:type="dxa"/>
            <w:noWrap w:val="0"/>
            <w:vAlign w:val="center"/>
          </w:tcPr>
          <w:p w14:paraId="4A72D59C">
            <w:pPr>
              <w:pStyle w:val="31"/>
              <w:bidi w:val="0"/>
              <w:rPr>
                <w:rFonts w:hint="eastAsia"/>
                <w:sz w:val="21"/>
                <w:szCs w:val="21"/>
              </w:rPr>
            </w:pPr>
            <w:r>
              <w:rPr>
                <w:rFonts w:hint="eastAsia"/>
                <w:sz w:val="21"/>
                <w:szCs w:val="21"/>
              </w:rPr>
              <w:t>井下运输</w:t>
            </w:r>
          </w:p>
        </w:tc>
        <w:tc>
          <w:tcPr>
            <w:tcW w:w="1188" w:type="dxa"/>
            <w:noWrap w:val="0"/>
            <w:vAlign w:val="center"/>
          </w:tcPr>
          <w:p w14:paraId="5F8267FA">
            <w:pPr>
              <w:pStyle w:val="31"/>
              <w:bidi w:val="0"/>
              <w:rPr>
                <w:rFonts w:hint="eastAsia"/>
                <w:sz w:val="21"/>
                <w:szCs w:val="21"/>
              </w:rPr>
            </w:pPr>
            <w:r>
              <w:rPr>
                <w:rFonts w:hint="eastAsia"/>
                <w:sz w:val="21"/>
                <w:szCs w:val="21"/>
                <w:lang w:val="en-US" w:eastAsia="zh-CN"/>
              </w:rPr>
              <w:t>矿车</w:t>
            </w:r>
            <w:r>
              <w:rPr>
                <w:rFonts w:hint="eastAsia"/>
                <w:sz w:val="21"/>
                <w:szCs w:val="21"/>
              </w:rPr>
              <w:t>惯性、车速过快、无警示信号。</w:t>
            </w:r>
          </w:p>
        </w:tc>
        <w:tc>
          <w:tcPr>
            <w:tcW w:w="1078" w:type="dxa"/>
            <w:noWrap w:val="0"/>
            <w:vAlign w:val="center"/>
          </w:tcPr>
          <w:p w14:paraId="4AA1D0DA">
            <w:pPr>
              <w:pStyle w:val="31"/>
              <w:bidi w:val="0"/>
              <w:rPr>
                <w:rFonts w:hint="eastAsia"/>
                <w:sz w:val="21"/>
                <w:szCs w:val="21"/>
              </w:rPr>
            </w:pPr>
            <w:r>
              <w:rPr>
                <w:rFonts w:hint="eastAsia"/>
                <w:sz w:val="21"/>
                <w:szCs w:val="21"/>
              </w:rPr>
              <w:t>人员在有矿车经过的危险区域内行走</w:t>
            </w:r>
          </w:p>
        </w:tc>
        <w:tc>
          <w:tcPr>
            <w:tcW w:w="1123" w:type="dxa"/>
            <w:noWrap w:val="0"/>
            <w:vAlign w:val="center"/>
          </w:tcPr>
          <w:p w14:paraId="38C673A1">
            <w:pPr>
              <w:pStyle w:val="31"/>
              <w:bidi w:val="0"/>
              <w:jc w:val="both"/>
              <w:rPr>
                <w:rFonts w:hint="eastAsia"/>
                <w:sz w:val="21"/>
                <w:szCs w:val="21"/>
              </w:rPr>
            </w:pPr>
            <w:r>
              <w:rPr>
                <w:rFonts w:hint="eastAsia"/>
                <w:sz w:val="21"/>
                <w:szCs w:val="21"/>
              </w:rPr>
              <w:t>行人在巷道窄侧行走</w:t>
            </w:r>
          </w:p>
          <w:p w14:paraId="24BE75FA">
            <w:pPr>
              <w:pStyle w:val="31"/>
              <w:bidi w:val="0"/>
              <w:jc w:val="both"/>
              <w:rPr>
                <w:rFonts w:hint="eastAsia"/>
                <w:sz w:val="21"/>
                <w:szCs w:val="21"/>
              </w:rPr>
            </w:pPr>
            <w:r>
              <w:rPr>
                <w:rFonts w:hint="eastAsia"/>
                <w:sz w:val="21"/>
                <w:szCs w:val="21"/>
              </w:rPr>
              <w:t>行人安全意识差或精神不集中</w:t>
            </w:r>
          </w:p>
          <w:p w14:paraId="14D94D3F">
            <w:pPr>
              <w:pStyle w:val="31"/>
              <w:bidi w:val="0"/>
              <w:jc w:val="both"/>
              <w:rPr>
                <w:rFonts w:hint="eastAsia"/>
                <w:sz w:val="21"/>
                <w:szCs w:val="21"/>
              </w:rPr>
            </w:pPr>
            <w:r>
              <w:rPr>
                <w:rFonts w:hint="eastAsia"/>
                <w:sz w:val="21"/>
                <w:szCs w:val="21"/>
              </w:rPr>
              <w:t>驾驶人员违章操作、判断失误、操作失控等</w:t>
            </w:r>
          </w:p>
        </w:tc>
        <w:tc>
          <w:tcPr>
            <w:tcW w:w="765" w:type="dxa"/>
            <w:noWrap w:val="0"/>
            <w:vAlign w:val="center"/>
          </w:tcPr>
          <w:p w14:paraId="455F7D17">
            <w:pPr>
              <w:pStyle w:val="31"/>
              <w:bidi w:val="0"/>
              <w:rPr>
                <w:rFonts w:hint="eastAsia"/>
                <w:sz w:val="21"/>
                <w:szCs w:val="21"/>
              </w:rPr>
            </w:pPr>
            <w:r>
              <w:rPr>
                <w:rFonts w:hint="eastAsia"/>
                <w:sz w:val="21"/>
                <w:szCs w:val="21"/>
              </w:rPr>
              <w:t>人员伤害、撞坏管线、设备等</w:t>
            </w:r>
          </w:p>
        </w:tc>
        <w:tc>
          <w:tcPr>
            <w:tcW w:w="772" w:type="dxa"/>
            <w:noWrap w:val="0"/>
            <w:vAlign w:val="center"/>
          </w:tcPr>
          <w:p w14:paraId="3BDEC1EE">
            <w:pPr>
              <w:pStyle w:val="31"/>
              <w:bidi w:val="0"/>
              <w:rPr>
                <w:rFonts w:hint="eastAsia"/>
                <w:sz w:val="21"/>
                <w:szCs w:val="21"/>
              </w:rPr>
            </w:pPr>
            <w:r>
              <w:rPr>
                <w:rFonts w:hint="eastAsia"/>
                <w:sz w:val="21"/>
                <w:szCs w:val="21"/>
              </w:rPr>
              <w:t>Ⅱ～Ⅲ级</w:t>
            </w:r>
          </w:p>
        </w:tc>
        <w:tc>
          <w:tcPr>
            <w:tcW w:w="2139" w:type="dxa"/>
            <w:noWrap w:val="0"/>
            <w:vAlign w:val="center"/>
          </w:tcPr>
          <w:p w14:paraId="766CC061">
            <w:pPr>
              <w:pStyle w:val="31"/>
              <w:bidi w:val="0"/>
              <w:jc w:val="both"/>
              <w:rPr>
                <w:rFonts w:hint="eastAsia"/>
                <w:sz w:val="21"/>
                <w:szCs w:val="21"/>
              </w:rPr>
            </w:pPr>
            <w:r>
              <w:rPr>
                <w:rFonts w:hint="eastAsia"/>
                <w:sz w:val="21"/>
                <w:szCs w:val="21"/>
              </w:rPr>
              <w:t>防止人员在危险区行走</w:t>
            </w:r>
          </w:p>
          <w:p w14:paraId="2FBC8ABA">
            <w:pPr>
              <w:pStyle w:val="31"/>
              <w:bidi w:val="0"/>
              <w:jc w:val="both"/>
              <w:rPr>
                <w:rFonts w:hint="eastAsia"/>
                <w:sz w:val="21"/>
                <w:szCs w:val="21"/>
              </w:rPr>
            </w:pPr>
            <w:r>
              <w:rPr>
                <w:rFonts w:hint="eastAsia"/>
                <w:sz w:val="21"/>
                <w:szCs w:val="21"/>
              </w:rPr>
              <w:t>司机必须经培训考核，持证上岗</w:t>
            </w:r>
          </w:p>
          <w:p w14:paraId="5E014E0E">
            <w:pPr>
              <w:pStyle w:val="31"/>
              <w:bidi w:val="0"/>
              <w:jc w:val="both"/>
              <w:rPr>
                <w:rFonts w:hint="eastAsia"/>
                <w:sz w:val="21"/>
                <w:szCs w:val="21"/>
              </w:rPr>
            </w:pPr>
            <w:r>
              <w:rPr>
                <w:rFonts w:hint="eastAsia"/>
                <w:sz w:val="21"/>
                <w:szCs w:val="21"/>
              </w:rPr>
              <w:t>行车时必须随时注意前方有无障碍物、行人或其他危险情况</w:t>
            </w:r>
          </w:p>
          <w:p w14:paraId="70833BEE">
            <w:pPr>
              <w:pStyle w:val="31"/>
              <w:bidi w:val="0"/>
              <w:jc w:val="both"/>
              <w:rPr>
                <w:rFonts w:hint="eastAsia"/>
                <w:sz w:val="21"/>
                <w:szCs w:val="21"/>
              </w:rPr>
            </w:pPr>
            <w:r>
              <w:rPr>
                <w:rFonts w:hint="eastAsia"/>
                <w:sz w:val="21"/>
                <w:szCs w:val="21"/>
              </w:rPr>
              <w:t>严格按照设施施工中段运输巷道</w:t>
            </w:r>
          </w:p>
        </w:tc>
      </w:tr>
    </w:tbl>
    <w:p w14:paraId="6954D6B1">
      <w:pPr>
        <w:pStyle w:val="21"/>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default"/>
          <w:lang w:val="en-US" w:eastAsia="zh-CN"/>
        </w:rPr>
      </w:pPr>
      <w:r>
        <w:rPr>
          <w:rFonts w:hint="default"/>
          <w:lang w:val="en-US" w:eastAsia="zh-CN"/>
        </w:rPr>
        <w:t>运输是矿山开采的主要工艺之一，其危险程度为“临界的”，应采取相应的控制措施。</w:t>
      </w:r>
    </w:p>
    <w:p w14:paraId="72198B31">
      <w:pPr>
        <w:pStyle w:val="21"/>
        <w:numPr>
          <w:ilvl w:val="0"/>
          <w:numId w:val="27"/>
        </w:numPr>
        <w:bidi w:val="0"/>
        <w:rPr>
          <w:rFonts w:hint="eastAsia"/>
        </w:rPr>
      </w:pPr>
      <w:r>
        <w:rPr>
          <w:rFonts w:hint="eastAsia"/>
        </w:rPr>
        <w:t>专家评议法</w:t>
      </w:r>
    </w:p>
    <w:p w14:paraId="181DC1C3">
      <w:pPr>
        <w:pStyle w:val="21"/>
        <w:bidi w:val="0"/>
        <w:rPr>
          <w:rFonts w:hint="eastAsia"/>
          <w:lang w:val="en-US" w:eastAsia="zh-CN"/>
        </w:rPr>
      </w:pPr>
      <w:r>
        <w:rPr>
          <w:rFonts w:hint="eastAsia"/>
          <w:lang w:val="en-US" w:eastAsia="zh-CN"/>
        </w:rPr>
        <w:t>1、运输系统安全可靠性分析</w:t>
      </w:r>
    </w:p>
    <w:p w14:paraId="3C3D1C82">
      <w:pPr>
        <w:pStyle w:val="21"/>
        <w:bidi w:val="0"/>
        <w:rPr>
          <w:rFonts w:hint="eastAsia"/>
          <w:lang w:val="en-US" w:eastAsia="zh-CN"/>
        </w:rPr>
      </w:pPr>
      <w:r>
        <w:rPr>
          <w:rFonts w:hint="eastAsia"/>
          <w:lang w:val="en-US" w:eastAsia="zh-CN"/>
        </w:rPr>
        <w:t>《可研报告》中明确矿山井下无轨运输设备选用UQ-40型地下自卸车,装载设备选用ZL50E装载机。无轨铲运设备均为具备矿安标志的产品。人员运输设备选用UR-10型无轨人车。</w:t>
      </w:r>
    </w:p>
    <w:p w14:paraId="65E5F904">
      <w:pPr>
        <w:pStyle w:val="21"/>
        <w:bidi w:val="0"/>
        <w:rPr>
          <w:rFonts w:hint="default"/>
          <w:lang w:val="en-US" w:eastAsia="zh-CN"/>
        </w:rPr>
      </w:pPr>
      <w:r>
        <w:rPr>
          <w:rFonts w:hint="default"/>
          <w:lang w:val="en-US" w:eastAsia="zh-CN"/>
        </w:rPr>
        <w:t>井下各生产中段均为</w:t>
      </w:r>
      <w:r>
        <w:rPr>
          <w:rFonts w:hint="eastAsia"/>
          <w:lang w:val="en-US" w:eastAsia="zh-CN"/>
        </w:rPr>
        <w:t>无</w:t>
      </w:r>
      <w:r>
        <w:rPr>
          <w:rFonts w:hint="default"/>
          <w:lang w:val="en-US" w:eastAsia="zh-CN"/>
        </w:rPr>
        <w:t>轨运输方式，</w:t>
      </w:r>
      <w:r>
        <w:rPr>
          <w:rFonts w:hint="eastAsia"/>
          <w:lang w:val="en-US" w:eastAsia="zh-CN"/>
        </w:rPr>
        <w:t>井下各生产中段巷道规格5.0×4.7m，净断面</w:t>
      </w:r>
      <w:r>
        <w:rPr>
          <w:rFonts w:hint="default"/>
          <w:lang w:val="en-US" w:eastAsia="zh-CN"/>
        </w:rPr>
        <w:t>21.78</w:t>
      </w:r>
      <w:r>
        <w:rPr>
          <w:rFonts w:hint="eastAsia"/>
          <w:lang w:val="en-US" w:eastAsia="zh-CN"/>
        </w:rPr>
        <w:t>m²。穿脉巷道规格4.5×4.0m，净断面16.58m²。</w:t>
      </w:r>
      <w:r>
        <w:rPr>
          <w:rFonts w:hint="default"/>
          <w:lang w:val="en-US" w:eastAsia="zh-CN"/>
        </w:rPr>
        <w:t>所选矿车尺寸远远小于巷道断面，矿车于巷道中通行无困难，需要注意的是：</w:t>
      </w:r>
    </w:p>
    <w:p w14:paraId="1284D52B">
      <w:pPr>
        <w:pStyle w:val="21"/>
        <w:bidi w:val="0"/>
        <w:rPr>
          <w:rFonts w:hint="default"/>
          <w:lang w:val="en-US" w:eastAsia="zh-CN"/>
        </w:rPr>
      </w:pPr>
      <w:r>
        <w:rPr>
          <w:rFonts w:hint="default"/>
          <w:lang w:val="en-US" w:eastAsia="zh-CN"/>
        </w:rPr>
        <w:t>利旧的原中段巷道尺寸不够处应进行扩刷断面符合设计要求；</w:t>
      </w:r>
    </w:p>
    <w:p w14:paraId="3686A441">
      <w:pPr>
        <w:pStyle w:val="21"/>
        <w:bidi w:val="0"/>
        <w:rPr>
          <w:rFonts w:hint="default"/>
          <w:lang w:val="en-US" w:eastAsia="zh-CN"/>
        </w:rPr>
      </w:pPr>
      <w:r>
        <w:rPr>
          <w:rFonts w:hint="default"/>
          <w:lang w:val="en-US" w:eastAsia="zh-CN"/>
        </w:rPr>
        <w:t>建设单位只要按照设计要求布置井下运输系统，以及设计单位落实本预评价报告提出的以上安全措施，井下运输作业是安全可靠的。</w:t>
      </w:r>
    </w:p>
    <w:p w14:paraId="4292EDA9">
      <w:pPr>
        <w:pStyle w:val="29"/>
        <w:bidi w:val="0"/>
        <w:rPr>
          <w:rFonts w:hint="default"/>
          <w:lang w:val="en-US" w:eastAsia="zh-CN"/>
        </w:rPr>
      </w:pPr>
      <w:r>
        <w:rPr>
          <w:rFonts w:hint="default"/>
          <w:lang w:val="en-US" w:eastAsia="zh-CN"/>
        </w:rPr>
        <w:t>评价结果小结</w:t>
      </w:r>
    </w:p>
    <w:p w14:paraId="701061B6">
      <w:pPr>
        <w:pStyle w:val="21"/>
        <w:bidi w:val="0"/>
        <w:rPr>
          <w:rFonts w:hint="default"/>
          <w:lang w:val="en-US" w:eastAsia="zh-CN"/>
        </w:rPr>
      </w:pPr>
      <w:r>
        <w:rPr>
          <w:rFonts w:hint="default"/>
          <w:lang w:val="en-US" w:eastAsia="zh-CN"/>
        </w:rPr>
        <w:t>建设单位应对运输方面的安全措施重视，在施工及生产中，保证运输巷道断面尺寸满足运输要求，定期清理巷道内杂物，保证运输畅通，杜绝违章作业，定期检查运输设备，能够保证运输系统安全可靠。</w:t>
      </w:r>
    </w:p>
    <w:p w14:paraId="08E8937F">
      <w:pPr>
        <w:pStyle w:val="21"/>
        <w:bidi w:val="0"/>
        <w:rPr>
          <w:rFonts w:hint="default"/>
          <w:lang w:val="en-US" w:eastAsia="zh-CN"/>
        </w:rPr>
      </w:pPr>
      <w:r>
        <w:rPr>
          <w:rFonts w:hint="default"/>
          <w:lang w:val="en-US" w:eastAsia="zh-CN"/>
        </w:rPr>
        <w:t>《可研报告》中确定的</w:t>
      </w:r>
      <w:r>
        <w:rPr>
          <w:rFonts w:hint="eastAsia"/>
          <w:lang w:val="en-US" w:eastAsia="zh-CN"/>
        </w:rPr>
        <w:t>运输</w:t>
      </w:r>
      <w:r>
        <w:rPr>
          <w:rFonts w:hint="default"/>
          <w:lang w:val="en-US" w:eastAsia="zh-CN"/>
        </w:rPr>
        <w:t>设备安全可靠，建设单位在以后的施工及生产中，只要严格落实可行性研究报告及本评价报告提出的安全措施，能保证</w:t>
      </w:r>
      <w:r>
        <w:rPr>
          <w:rFonts w:hint="eastAsia"/>
          <w:lang w:val="en-US" w:eastAsia="zh-CN"/>
        </w:rPr>
        <w:t>运输</w:t>
      </w:r>
      <w:r>
        <w:rPr>
          <w:rFonts w:hint="default"/>
          <w:lang w:val="en-US" w:eastAsia="zh-CN"/>
        </w:rPr>
        <w:t>系统安全可靠。</w:t>
      </w:r>
    </w:p>
    <w:p w14:paraId="66686504">
      <w:pPr>
        <w:pStyle w:val="28"/>
        <w:bidi w:val="0"/>
        <w:rPr>
          <w:rFonts w:hint="default"/>
          <w:lang w:val="en-US" w:eastAsia="zh-CN"/>
        </w:rPr>
      </w:pPr>
      <w:bookmarkStart w:id="31" w:name="_Toc8400"/>
      <w:r>
        <w:rPr>
          <w:rFonts w:hint="eastAsia"/>
          <w:lang w:val="en-US" w:eastAsia="zh-CN"/>
        </w:rPr>
        <w:t>采掘单元评价</w:t>
      </w:r>
      <w:bookmarkEnd w:id="31"/>
    </w:p>
    <w:p w14:paraId="7B499C1E">
      <w:pPr>
        <w:pStyle w:val="29"/>
        <w:rPr>
          <w:rFonts w:hint="default"/>
          <w:lang w:val="en-US" w:eastAsia="zh-CN"/>
        </w:rPr>
      </w:pPr>
      <w:r>
        <w:rPr>
          <w:rFonts w:hint="default"/>
          <w:lang w:val="en-US" w:eastAsia="zh-CN"/>
        </w:rPr>
        <w:t>危险、有害因素辨识</w:t>
      </w:r>
    </w:p>
    <w:p w14:paraId="37E44B4D">
      <w:pPr>
        <w:pStyle w:val="21"/>
        <w:rPr>
          <w:rFonts w:hint="default"/>
          <w:lang w:val="en-US" w:eastAsia="zh-CN"/>
        </w:rPr>
      </w:pPr>
      <w:r>
        <w:rPr>
          <w:rFonts w:hint="default"/>
          <w:lang w:val="en-US" w:eastAsia="zh-CN"/>
        </w:rPr>
        <w:t>采掘单元存在的主要危险有害因素有：冒顶片帮、地表塌陷、中毒窒息、爆破伤害、火药爆炸、高处坠落、物体打击、机械伤害、容器爆炸、粉尘、噪声及振动等。</w:t>
      </w:r>
    </w:p>
    <w:p w14:paraId="78ABBEB7">
      <w:pPr>
        <w:pStyle w:val="21"/>
        <w:numPr>
          <w:ilvl w:val="0"/>
          <w:numId w:val="28"/>
        </w:numPr>
        <w:bidi w:val="0"/>
        <w:rPr>
          <w:rFonts w:hint="default"/>
          <w:b/>
          <w:bCs/>
          <w:lang w:val="en-US" w:eastAsia="zh-CN"/>
        </w:rPr>
      </w:pPr>
      <w:r>
        <w:rPr>
          <w:rFonts w:hint="default"/>
          <w:b/>
          <w:bCs/>
          <w:lang w:val="en-US" w:eastAsia="zh-CN"/>
        </w:rPr>
        <w:t>冒顶片帮</w:t>
      </w:r>
    </w:p>
    <w:p w14:paraId="797C416B">
      <w:pPr>
        <w:pStyle w:val="21"/>
        <w:rPr>
          <w:rFonts w:hint="default"/>
          <w:lang w:val="en-US" w:eastAsia="zh-CN"/>
        </w:rPr>
      </w:pPr>
      <w:r>
        <w:rPr>
          <w:rFonts w:hint="default"/>
          <w:lang w:val="en-US" w:eastAsia="zh-CN"/>
        </w:rPr>
        <w:t>在采矿生产活动中，冒顶片帮是最常见的矿山安全事故之一。井下采掘生产作业破坏了原岩的初始平衡状态，导致岩体内部应力集中。当重新分布的应力超过岩体或其构造的强度时，将会发生岩体失稳。如果支护不及时或支护方法不当，就会发生顶板冒落或侧帮片帮。造成冒顶片帮事故的主要原因：</w:t>
      </w:r>
    </w:p>
    <w:p w14:paraId="689B616C">
      <w:pPr>
        <w:pStyle w:val="21"/>
        <w:rPr>
          <w:rFonts w:hint="default"/>
          <w:lang w:val="en-US" w:eastAsia="zh-CN"/>
        </w:rPr>
      </w:pPr>
      <w:r>
        <w:rPr>
          <w:rFonts w:hint="default"/>
          <w:lang w:val="en-US" w:eastAsia="zh-CN"/>
        </w:rPr>
        <w:t>1</w:t>
      </w:r>
      <w:r>
        <w:rPr>
          <w:rFonts w:hint="eastAsia"/>
          <w:lang w:val="en-US" w:eastAsia="zh-CN"/>
        </w:rPr>
        <w:t>、</w:t>
      </w:r>
      <w:r>
        <w:rPr>
          <w:rFonts w:hint="default"/>
          <w:lang w:val="en-US" w:eastAsia="zh-CN"/>
        </w:rPr>
        <w:t>引起冒顶片帮的原因及部位</w:t>
      </w:r>
    </w:p>
    <w:p w14:paraId="09A8EF7D">
      <w:pPr>
        <w:pStyle w:val="21"/>
        <w:numPr>
          <w:ilvl w:val="0"/>
          <w:numId w:val="29"/>
        </w:numPr>
        <w:ind w:left="0" w:leftChars="0" w:firstLine="560" w:firstLineChars="200"/>
        <w:rPr>
          <w:rFonts w:hint="default"/>
          <w:lang w:val="en-US" w:eastAsia="zh-CN"/>
        </w:rPr>
      </w:pPr>
      <w:r>
        <w:rPr>
          <w:rFonts w:hint="default"/>
          <w:lang w:val="en-US" w:eastAsia="zh-CN"/>
        </w:rPr>
        <w:t>矿山岩体本身稳定性差，原岩应力高。如：岩体或其构造的强度低、岩体内节理裂隙发育、采场或巷道所在岩体的原岩应力高等。</w:t>
      </w:r>
    </w:p>
    <w:p w14:paraId="6B95BA5F">
      <w:pPr>
        <w:pStyle w:val="21"/>
        <w:numPr>
          <w:ilvl w:val="0"/>
          <w:numId w:val="2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井巷工程布置在不稳定的岩层、断层、破碎带地段等，容易发生片帮、冒顶。</w:t>
      </w:r>
    </w:p>
    <w:p w14:paraId="1EC5B238">
      <w:pPr>
        <w:pStyle w:val="21"/>
        <w:numPr>
          <w:ilvl w:val="0"/>
          <w:numId w:val="2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矿岩节理裂隙发育，开拓工程施工和使用过程中，因应力变化、爆破震动、地表水的侵入等均会引起岩层结构面强度下降，导致岩石沿岩层结构面脱落，在井巷的贯通口、巷道交岔口等易产生冒顶片帮。</w:t>
      </w:r>
    </w:p>
    <w:p w14:paraId="3C33A3C4">
      <w:pPr>
        <w:pStyle w:val="21"/>
        <w:numPr>
          <w:ilvl w:val="0"/>
          <w:numId w:val="2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工程布置密集地段，平巷交岔口等因暴露面积较大缺乏有效支护，导致巷道顶板、侧板垮塌诱发冒顶片帮。</w:t>
      </w:r>
    </w:p>
    <w:p w14:paraId="32352BCC">
      <w:pPr>
        <w:pStyle w:val="21"/>
        <w:numPr>
          <w:ilvl w:val="0"/>
          <w:numId w:val="2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爆破参数确定不合理、爆破工序不合理、爆破施工时违章作业等。</w:t>
      </w:r>
    </w:p>
    <w:p w14:paraId="004D95FD">
      <w:pPr>
        <w:pStyle w:val="21"/>
        <w:numPr>
          <w:ilvl w:val="0"/>
          <w:numId w:val="2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遇到新的地质构造而没有及时采取措施或没有按岩性进行施工。</w:t>
      </w:r>
    </w:p>
    <w:p w14:paraId="6CAB2EF6">
      <w:pPr>
        <w:pStyle w:val="21"/>
        <w:numPr>
          <w:ilvl w:val="0"/>
          <w:numId w:val="2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采矿方法不合理，巷道或采场设计不合理，采场或巷道施工工艺不合理，采场或巷道施工时违章作业。</w:t>
      </w:r>
    </w:p>
    <w:p w14:paraId="310D6BC2">
      <w:pPr>
        <w:pStyle w:val="21"/>
        <w:numPr>
          <w:ilvl w:val="0"/>
          <w:numId w:val="2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采场矿柱设计不合理或矿柱被破坏，未保留保安矿柱或不明确，无相应的安全对策措施。</w:t>
      </w:r>
    </w:p>
    <w:p w14:paraId="38994594">
      <w:pPr>
        <w:pStyle w:val="21"/>
        <w:numPr>
          <w:ilvl w:val="0"/>
          <w:numId w:val="2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在应该进行支护的井巷没有支护或支护质量差。</w:t>
      </w:r>
    </w:p>
    <w:p w14:paraId="41318EB4">
      <w:pPr>
        <w:pStyle w:val="21"/>
        <w:numPr>
          <w:ilvl w:val="0"/>
          <w:numId w:val="2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采动影响或采动破坏，采空区大面积暴露，未及时处理等。</w:t>
      </w:r>
    </w:p>
    <w:p w14:paraId="2CFF0986">
      <w:pPr>
        <w:pStyle w:val="21"/>
        <w:numPr>
          <w:ilvl w:val="0"/>
          <w:numId w:val="2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区域地压活动。长期大规模采矿作业，导致矿区总体应力场重新分布，如果发生大规模地压活动，将急剧恶化生产采场和巷道的稳定性，发生冒顶和片帮。</w:t>
      </w:r>
    </w:p>
    <w:p w14:paraId="494FB624">
      <w:pPr>
        <w:pStyle w:val="21"/>
        <w:numPr>
          <w:ilvl w:val="0"/>
          <w:numId w:val="2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地质报告级别等级低，导致设计的采矿方法和工艺、开拓运输、通风、供配电设施及防排水等系统不合理或不完善。</w:t>
      </w:r>
    </w:p>
    <w:p w14:paraId="03D7B926">
      <w:pPr>
        <w:pStyle w:val="21"/>
        <w:rPr>
          <w:rFonts w:hint="default"/>
          <w:lang w:val="en-US" w:eastAsia="zh-CN"/>
        </w:rPr>
      </w:pPr>
      <w:r>
        <w:rPr>
          <w:rFonts w:hint="default"/>
          <w:lang w:val="en-US" w:eastAsia="zh-CN"/>
        </w:rPr>
        <w:t>2</w:t>
      </w:r>
      <w:r>
        <w:rPr>
          <w:rFonts w:hint="eastAsia"/>
          <w:lang w:val="en-US" w:eastAsia="zh-CN"/>
        </w:rPr>
        <w:t>、</w:t>
      </w:r>
      <w:r>
        <w:rPr>
          <w:rFonts w:hint="default"/>
          <w:lang w:val="en-US" w:eastAsia="zh-CN"/>
        </w:rPr>
        <w:t>冒顶片帮的危害形式</w:t>
      </w:r>
    </w:p>
    <w:p w14:paraId="595AABA8">
      <w:pPr>
        <w:pStyle w:val="21"/>
        <w:numPr>
          <w:ilvl w:val="0"/>
          <w:numId w:val="3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破坏采场和周围的巷道。</w:t>
      </w:r>
    </w:p>
    <w:p w14:paraId="42425729">
      <w:pPr>
        <w:pStyle w:val="21"/>
        <w:numPr>
          <w:ilvl w:val="0"/>
          <w:numId w:val="3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造成采场内人员的伤亡。</w:t>
      </w:r>
    </w:p>
    <w:p w14:paraId="5AEE9592">
      <w:pPr>
        <w:pStyle w:val="21"/>
        <w:numPr>
          <w:ilvl w:val="0"/>
          <w:numId w:val="3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破坏采场内的设备和设施。</w:t>
      </w:r>
    </w:p>
    <w:p w14:paraId="0B45EC74">
      <w:pPr>
        <w:pStyle w:val="21"/>
        <w:numPr>
          <w:ilvl w:val="0"/>
          <w:numId w:val="3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破坏矿井的正常通风系统。</w:t>
      </w:r>
    </w:p>
    <w:p w14:paraId="7363099E">
      <w:pPr>
        <w:pStyle w:val="21"/>
        <w:numPr>
          <w:ilvl w:val="0"/>
          <w:numId w:val="3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造成生产秩序的紊乱。</w:t>
      </w:r>
    </w:p>
    <w:p w14:paraId="1FDA74DB">
      <w:pPr>
        <w:pStyle w:val="21"/>
        <w:numPr>
          <w:ilvl w:val="0"/>
          <w:numId w:val="3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其他危害：如破坏矿井的供电系统等。</w:t>
      </w:r>
    </w:p>
    <w:p w14:paraId="4BBAA32A">
      <w:pPr>
        <w:pStyle w:val="21"/>
        <w:rPr>
          <w:rFonts w:hint="default"/>
          <w:lang w:val="en-US" w:eastAsia="zh-CN"/>
        </w:rPr>
      </w:pPr>
      <w:r>
        <w:rPr>
          <w:rFonts w:hint="default"/>
          <w:lang w:val="en-US" w:eastAsia="zh-CN"/>
        </w:rPr>
        <w:t>3</w:t>
      </w:r>
      <w:r>
        <w:rPr>
          <w:rFonts w:hint="eastAsia"/>
          <w:lang w:val="en-US" w:eastAsia="zh-CN"/>
        </w:rPr>
        <w:t>、</w:t>
      </w:r>
      <w:r>
        <w:rPr>
          <w:rFonts w:hint="default"/>
          <w:lang w:val="en-US" w:eastAsia="zh-CN"/>
        </w:rPr>
        <w:t>巷道或采掘工作面的片帮、冒顶</w:t>
      </w:r>
    </w:p>
    <w:p w14:paraId="01B2584C">
      <w:pPr>
        <w:pStyle w:val="21"/>
        <w:rPr>
          <w:rFonts w:hint="default"/>
          <w:lang w:val="en-US" w:eastAsia="zh-CN"/>
        </w:rPr>
      </w:pPr>
      <w:r>
        <w:rPr>
          <w:rFonts w:hint="default"/>
          <w:lang w:val="en-US" w:eastAsia="zh-CN"/>
        </w:rPr>
        <w:t>岩体的矿压活动造成巷道的片帮和冒顶，产生的直接危害是：</w:t>
      </w:r>
    </w:p>
    <w:p w14:paraId="42668A90">
      <w:pPr>
        <w:pStyle w:val="21"/>
        <w:numPr>
          <w:ilvl w:val="0"/>
          <w:numId w:val="3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巷道内人员的伤亡。</w:t>
      </w:r>
    </w:p>
    <w:p w14:paraId="5FECD564">
      <w:pPr>
        <w:pStyle w:val="21"/>
        <w:numPr>
          <w:ilvl w:val="0"/>
          <w:numId w:val="3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破坏巷道内的设备、设施。</w:t>
      </w:r>
    </w:p>
    <w:p w14:paraId="0A08B400">
      <w:pPr>
        <w:pStyle w:val="21"/>
        <w:numPr>
          <w:ilvl w:val="0"/>
          <w:numId w:val="3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破坏正常的生产系统。</w:t>
      </w:r>
    </w:p>
    <w:p w14:paraId="193CCAFC">
      <w:pPr>
        <w:pStyle w:val="21"/>
        <w:numPr>
          <w:ilvl w:val="0"/>
          <w:numId w:val="3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破坏巷道等。</w:t>
      </w:r>
    </w:p>
    <w:p w14:paraId="60BD872D">
      <w:pPr>
        <w:pStyle w:val="21"/>
        <w:rPr>
          <w:rFonts w:hint="default"/>
          <w:lang w:val="en-US" w:eastAsia="zh-CN"/>
        </w:rPr>
      </w:pPr>
      <w:r>
        <w:rPr>
          <w:rFonts w:hint="default"/>
          <w:lang w:val="en-US" w:eastAsia="zh-CN"/>
        </w:rPr>
        <w:t>矿区部分巷道围岩稳固性差，局部较破碎地段采用喷浆支护，如果支护不及时或支护失效则可能导致冒顶片帮事故的发生，可能导致人员伤亡。</w:t>
      </w:r>
    </w:p>
    <w:p w14:paraId="1751CC04">
      <w:pPr>
        <w:pStyle w:val="21"/>
        <w:numPr>
          <w:ilvl w:val="0"/>
          <w:numId w:val="28"/>
        </w:numPr>
        <w:bidi w:val="0"/>
        <w:rPr>
          <w:rFonts w:hint="default" w:ascii="Times New Roman" w:hAnsi="Times New Roman" w:eastAsia="宋体"/>
          <w:b/>
          <w:bCs/>
          <w:lang w:val="en-US" w:eastAsia="zh-CN"/>
        </w:rPr>
      </w:pPr>
      <w:r>
        <w:rPr>
          <w:rFonts w:hint="default" w:ascii="Times New Roman" w:hAnsi="Times New Roman" w:eastAsia="宋体"/>
          <w:b/>
          <w:bCs/>
          <w:lang w:val="en-US" w:eastAsia="zh-CN"/>
        </w:rPr>
        <w:t>地表塌陷</w:t>
      </w:r>
    </w:p>
    <w:p w14:paraId="1D2CC006">
      <w:pPr>
        <w:pStyle w:val="21"/>
        <w:rPr>
          <w:rFonts w:hint="default"/>
          <w:lang w:val="en-US" w:eastAsia="zh-CN"/>
        </w:rPr>
      </w:pPr>
      <w:r>
        <w:rPr>
          <w:rFonts w:hint="default"/>
          <w:lang w:val="en-US" w:eastAsia="zh-CN"/>
        </w:rPr>
        <w:t>采空区垮塌后导致上下盘围岩崩落，进而引起地表移动和塌陷。</w:t>
      </w:r>
    </w:p>
    <w:p w14:paraId="2FA84D75">
      <w:pPr>
        <w:pStyle w:val="21"/>
        <w:numPr>
          <w:ilvl w:val="0"/>
          <w:numId w:val="32"/>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地表水可能由塌陷处进入矿井，淹没人员和设备，若在洪水季节出现地表塌陷，后果更为严重；</w:t>
      </w:r>
    </w:p>
    <w:p w14:paraId="3C3E9039">
      <w:pPr>
        <w:pStyle w:val="21"/>
        <w:numPr>
          <w:ilvl w:val="0"/>
          <w:numId w:val="32"/>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地表塌陷可能导致塌陷区内建筑受损并危及人身安全；</w:t>
      </w:r>
    </w:p>
    <w:p w14:paraId="17449D5F">
      <w:pPr>
        <w:pStyle w:val="21"/>
        <w:numPr>
          <w:ilvl w:val="0"/>
          <w:numId w:val="32"/>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地表塌陷可能导致路基的破坏；</w:t>
      </w:r>
    </w:p>
    <w:p w14:paraId="2ECA9105">
      <w:pPr>
        <w:pStyle w:val="21"/>
        <w:numPr>
          <w:ilvl w:val="0"/>
          <w:numId w:val="32"/>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人员如误入塌陷区易造成人员伤亡；</w:t>
      </w:r>
    </w:p>
    <w:p w14:paraId="7EB5ACA5">
      <w:pPr>
        <w:pStyle w:val="21"/>
        <w:numPr>
          <w:ilvl w:val="0"/>
          <w:numId w:val="32"/>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矿井附近的地表塌陷可能危及矿井的安全生产。</w:t>
      </w:r>
    </w:p>
    <w:p w14:paraId="29C27860">
      <w:pPr>
        <w:pStyle w:val="21"/>
        <w:numPr>
          <w:ilvl w:val="0"/>
          <w:numId w:val="28"/>
        </w:numPr>
        <w:bidi w:val="0"/>
        <w:rPr>
          <w:rFonts w:hint="default" w:ascii="Times New Roman" w:hAnsi="Times New Roman" w:eastAsia="宋体"/>
          <w:b/>
          <w:bCs/>
          <w:lang w:val="en-US" w:eastAsia="zh-CN"/>
        </w:rPr>
      </w:pPr>
      <w:r>
        <w:rPr>
          <w:rFonts w:hint="default" w:ascii="Times New Roman" w:hAnsi="Times New Roman" w:eastAsia="宋体"/>
          <w:b/>
          <w:bCs/>
          <w:lang w:val="en-US" w:eastAsia="zh-CN"/>
        </w:rPr>
        <w:t>中毒窒息</w:t>
      </w:r>
    </w:p>
    <w:p w14:paraId="2F16403D">
      <w:pPr>
        <w:pStyle w:val="21"/>
        <w:rPr>
          <w:rFonts w:hint="default"/>
          <w:lang w:val="en-US" w:eastAsia="zh-CN"/>
        </w:rPr>
      </w:pPr>
      <w:r>
        <w:rPr>
          <w:rFonts w:hint="default"/>
          <w:lang w:val="en-US" w:eastAsia="zh-CN"/>
        </w:rPr>
        <w:t>井下可燃物着火时，由于没有足够的氧气供应，燃烧不充分，容易产生大量的有毒有害气体，发生中毒窒息事故。</w:t>
      </w:r>
    </w:p>
    <w:p w14:paraId="7D54717D">
      <w:pPr>
        <w:pStyle w:val="21"/>
        <w:rPr>
          <w:rFonts w:hint="default"/>
          <w:lang w:val="en-US" w:eastAsia="zh-CN"/>
        </w:rPr>
      </w:pPr>
      <w:r>
        <w:rPr>
          <w:rFonts w:hint="default"/>
          <w:lang w:val="en-US" w:eastAsia="zh-CN"/>
        </w:rPr>
        <w:t>1</w:t>
      </w:r>
      <w:r>
        <w:rPr>
          <w:rFonts w:hint="eastAsia"/>
          <w:lang w:val="en-US" w:eastAsia="zh-CN"/>
        </w:rPr>
        <w:t>、</w:t>
      </w:r>
      <w:r>
        <w:rPr>
          <w:rFonts w:hint="default"/>
          <w:lang w:val="en-US" w:eastAsia="zh-CN"/>
        </w:rPr>
        <w:t>引起中毒、窒息的原因：</w:t>
      </w:r>
    </w:p>
    <w:p w14:paraId="59195983">
      <w:pPr>
        <w:pStyle w:val="21"/>
        <w:rPr>
          <w:rFonts w:hint="default"/>
          <w:lang w:val="en-US" w:eastAsia="zh-CN"/>
        </w:rPr>
      </w:pPr>
      <w:r>
        <w:rPr>
          <w:rFonts w:hint="default"/>
          <w:lang w:val="en-US" w:eastAsia="zh-CN"/>
        </w:rPr>
        <w:t>引起中毒的因素主要有：爆破后形成的炮烟和其他有毒烟尘。其他有毒烟尘如：开采过程中遇到的溶洞、采空区、巷道中存在的有毒气体，火灾后产生的有毒烟流等。</w:t>
      </w:r>
    </w:p>
    <w:p w14:paraId="254F1E24">
      <w:pPr>
        <w:pStyle w:val="21"/>
        <w:rPr>
          <w:rFonts w:hint="default"/>
          <w:lang w:val="en-US" w:eastAsia="zh-CN"/>
        </w:rPr>
      </w:pPr>
      <w:r>
        <w:rPr>
          <w:rFonts w:hint="default"/>
          <w:lang w:val="en-US" w:eastAsia="zh-CN"/>
        </w:rPr>
        <w:t>爆破后形成的炮烟因井下通风不畅和违章作业造成井下人员中毒是主要因素之一。发生人员中毒、窒息的原因包括：</w:t>
      </w:r>
    </w:p>
    <w:p w14:paraId="3BCEAC76">
      <w:pPr>
        <w:pStyle w:val="21"/>
        <w:numPr>
          <w:ilvl w:val="0"/>
          <w:numId w:val="33"/>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违章作业。如放炮后没有足够的通风时间就进入工作面作业，人员没有按要求撤离到不致发生炮烟中毒的巷道等。</w:t>
      </w:r>
    </w:p>
    <w:p w14:paraId="7614B8E2">
      <w:pPr>
        <w:pStyle w:val="21"/>
        <w:numPr>
          <w:ilvl w:val="0"/>
          <w:numId w:val="33"/>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通风设计不合理。如通风设计不合理使炮烟长时间在作业人员工作区滞留，没有足够的风量稀释炮烟，设计的通风时间过短，进风口新鲜风受到污染等。</w:t>
      </w:r>
    </w:p>
    <w:p w14:paraId="6D3A17BA">
      <w:pPr>
        <w:pStyle w:val="21"/>
        <w:numPr>
          <w:ilvl w:val="0"/>
          <w:numId w:val="33"/>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通风系统不完善，造成井下工作面风量不足，引起中毒窒息事故的发生。</w:t>
      </w:r>
    </w:p>
    <w:p w14:paraId="07FEB759">
      <w:pPr>
        <w:pStyle w:val="21"/>
        <w:numPr>
          <w:ilvl w:val="0"/>
          <w:numId w:val="33"/>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用风点计算不准确或实际与计算存在差异，造成风量不足，不能及时排出炮烟，除尘效果差，而发生中毒窒息事故的发生。</w:t>
      </w:r>
    </w:p>
    <w:p w14:paraId="01409662">
      <w:pPr>
        <w:pStyle w:val="21"/>
        <w:numPr>
          <w:ilvl w:val="0"/>
          <w:numId w:val="33"/>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巷道漏风，通风构筑物不符合规定，坑内温度高等会导致发生炮烟中毒窒息事故的发生。</w:t>
      </w:r>
    </w:p>
    <w:p w14:paraId="19DCFB48">
      <w:pPr>
        <w:pStyle w:val="21"/>
        <w:numPr>
          <w:ilvl w:val="0"/>
          <w:numId w:val="33"/>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由于标志不合理或没有标志，人员意外进入通风不畅、长期不通风的盲巷、采空区、硐室等。</w:t>
      </w:r>
    </w:p>
    <w:p w14:paraId="4B5BF53D">
      <w:pPr>
        <w:pStyle w:val="21"/>
        <w:numPr>
          <w:ilvl w:val="0"/>
          <w:numId w:val="33"/>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突然遇到含有大量窒息性气体、有毒气体、粉尘的地质构造，大量窒息性气体、有毒气体、粉尘突然涌出进入到采掘工作面或其他人员作业场所，人员没有防护措施等。</w:t>
      </w:r>
    </w:p>
    <w:p w14:paraId="403FD06D">
      <w:pPr>
        <w:pStyle w:val="21"/>
        <w:numPr>
          <w:ilvl w:val="0"/>
          <w:numId w:val="33"/>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出现意外情况。如意外的风流短路，人员意外进入炮烟污染区并长时间停留，意外的停风等。</w:t>
      </w:r>
    </w:p>
    <w:p w14:paraId="5F882078">
      <w:pPr>
        <w:pStyle w:val="21"/>
        <w:numPr>
          <w:ilvl w:val="0"/>
          <w:numId w:val="33"/>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井下发生火灾后，通风系统没有安装反风装置或反风装置损坏，造成有毒有害气体在坑内循环，不能及时排出坑外。</w:t>
      </w:r>
    </w:p>
    <w:p w14:paraId="12DB059F">
      <w:pPr>
        <w:pStyle w:val="21"/>
        <w:rPr>
          <w:rFonts w:hint="default"/>
          <w:lang w:val="en-US" w:eastAsia="zh-CN"/>
        </w:rPr>
      </w:pPr>
      <w:r>
        <w:rPr>
          <w:rFonts w:hint="default"/>
          <w:lang w:val="en-US" w:eastAsia="zh-CN"/>
        </w:rPr>
        <w:t>2</w:t>
      </w:r>
      <w:r>
        <w:rPr>
          <w:rFonts w:hint="eastAsia"/>
          <w:lang w:val="en-US" w:eastAsia="zh-CN"/>
        </w:rPr>
        <w:t>、</w:t>
      </w:r>
      <w:r>
        <w:rPr>
          <w:rFonts w:hint="default"/>
          <w:lang w:val="en-US" w:eastAsia="zh-CN"/>
        </w:rPr>
        <w:t>中毒、窒息场所</w:t>
      </w:r>
    </w:p>
    <w:p w14:paraId="57966937">
      <w:pPr>
        <w:pStyle w:val="21"/>
        <w:numPr>
          <w:ilvl w:val="0"/>
          <w:numId w:val="34"/>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爆破作业面。</w:t>
      </w:r>
    </w:p>
    <w:p w14:paraId="15938598">
      <w:pPr>
        <w:pStyle w:val="21"/>
        <w:numPr>
          <w:ilvl w:val="0"/>
          <w:numId w:val="34"/>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炮烟流经的巷道。</w:t>
      </w:r>
    </w:p>
    <w:p w14:paraId="6C8A28D2">
      <w:pPr>
        <w:pStyle w:val="21"/>
        <w:numPr>
          <w:ilvl w:val="0"/>
          <w:numId w:val="34"/>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炮烟积聚的采空区。</w:t>
      </w:r>
    </w:p>
    <w:p w14:paraId="167631E4">
      <w:pPr>
        <w:pStyle w:val="21"/>
        <w:numPr>
          <w:ilvl w:val="0"/>
          <w:numId w:val="34"/>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炮烟进入的硐室。</w:t>
      </w:r>
    </w:p>
    <w:p w14:paraId="3606709C">
      <w:pPr>
        <w:pStyle w:val="21"/>
        <w:numPr>
          <w:ilvl w:val="0"/>
          <w:numId w:val="34"/>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盲巷、盲井。</w:t>
      </w:r>
    </w:p>
    <w:p w14:paraId="2671B879">
      <w:pPr>
        <w:pStyle w:val="21"/>
        <w:numPr>
          <w:ilvl w:val="0"/>
          <w:numId w:val="34"/>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通风不良的巷道。</w:t>
      </w:r>
    </w:p>
    <w:p w14:paraId="6C514275">
      <w:pPr>
        <w:pStyle w:val="21"/>
        <w:numPr>
          <w:ilvl w:val="0"/>
          <w:numId w:val="34"/>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采空区等。</w:t>
      </w:r>
    </w:p>
    <w:p w14:paraId="68C99E44">
      <w:pPr>
        <w:pStyle w:val="21"/>
        <w:bidi w:val="0"/>
        <w:rPr>
          <w:rFonts w:hint="default"/>
          <w:lang w:val="en-US" w:eastAsia="zh-CN"/>
        </w:rPr>
      </w:pPr>
      <w:r>
        <w:rPr>
          <w:rFonts w:hint="default"/>
          <w:lang w:val="en-US" w:eastAsia="zh-CN"/>
        </w:rPr>
        <w:t>该矿山采用机械通风，辅以局扇辅助通风。如中段掘进或探矿巷道仅形成局扇压入式通风而没有把污风抽出地表的设施，导致污风在巷道内混流，最终导致独头掘进作业中的新鲜风量不足，易导致中毒或窒息事故。</w:t>
      </w:r>
    </w:p>
    <w:p w14:paraId="6606EF86">
      <w:pPr>
        <w:pStyle w:val="21"/>
        <w:bidi w:val="0"/>
        <w:rPr>
          <w:rFonts w:hint="default"/>
          <w:lang w:val="en-US" w:eastAsia="zh-CN"/>
        </w:rPr>
      </w:pPr>
      <w:r>
        <w:rPr>
          <w:rFonts w:hint="default"/>
          <w:lang w:val="en-US" w:eastAsia="zh-CN"/>
        </w:rPr>
        <w:t>在井下进行爆破作业过程中，由于炮烟不能及时排出地表或人行材料通风井内有人员停留，导致井下炮烟浓度过高，爆破后作业人员过早进入作业场所，且未采取可靠的检测手段对进行空气质量进行检测、也未采取有效的个体防护措施等可能会发生炮烟中毒或窒息事故。</w:t>
      </w:r>
    </w:p>
    <w:p w14:paraId="0FB3D036">
      <w:pPr>
        <w:pStyle w:val="21"/>
        <w:numPr>
          <w:ilvl w:val="0"/>
          <w:numId w:val="28"/>
        </w:numPr>
        <w:bidi w:val="0"/>
        <w:rPr>
          <w:rFonts w:hint="default" w:ascii="Times New Roman" w:hAnsi="Times New Roman" w:eastAsia="宋体"/>
          <w:b/>
          <w:bCs/>
          <w:lang w:val="en-US" w:eastAsia="zh-CN"/>
        </w:rPr>
      </w:pPr>
      <w:r>
        <w:rPr>
          <w:rFonts w:hint="default" w:ascii="Times New Roman" w:hAnsi="Times New Roman" w:eastAsia="宋体"/>
          <w:b/>
          <w:bCs/>
          <w:lang w:val="en-US" w:eastAsia="zh-CN"/>
        </w:rPr>
        <w:t>爆破伤害</w:t>
      </w:r>
    </w:p>
    <w:p w14:paraId="3F965A35">
      <w:pPr>
        <w:pStyle w:val="21"/>
        <w:bidi w:val="0"/>
        <w:rPr>
          <w:rFonts w:hint="default"/>
          <w:lang w:val="en-US" w:eastAsia="zh-CN"/>
        </w:rPr>
      </w:pPr>
      <w:r>
        <w:rPr>
          <w:rFonts w:hint="default"/>
          <w:lang w:val="en-US" w:eastAsia="zh-CN"/>
        </w:rPr>
        <w:t>爆破伤害（放炮），是指爆破作业中发生的伤亡事故。</w:t>
      </w:r>
    </w:p>
    <w:p w14:paraId="7C1907CC">
      <w:pPr>
        <w:pStyle w:val="21"/>
        <w:bidi w:val="0"/>
        <w:rPr>
          <w:rFonts w:hint="default"/>
          <w:lang w:val="en-US" w:eastAsia="zh-CN"/>
        </w:rPr>
      </w:pPr>
      <w:r>
        <w:rPr>
          <w:rFonts w:hint="default"/>
          <w:lang w:val="en-US" w:eastAsia="zh-CN"/>
        </w:rPr>
        <w:t>爆破是矿山矿岩开采的主要工艺，也是矿山事故的主要来源。爆破事故的发生原因主要有爆破器材质量事故及爆破设计事故、爆破施工事故等，且大部分是因为违章指挥、违章操作引起的。故加强爆破设计工作，提高放炮工的安全意识和爆破操作技能，避免冒险作业；加强爆破安全管理，积极做好放炮警戒，及时通知有关人员躲避，都是预防事故的有效措施。</w:t>
      </w:r>
    </w:p>
    <w:p w14:paraId="7F009ABF">
      <w:pPr>
        <w:pStyle w:val="21"/>
        <w:rPr>
          <w:rFonts w:hint="default"/>
          <w:lang w:val="en-US" w:eastAsia="zh-CN"/>
        </w:rPr>
      </w:pPr>
      <w:r>
        <w:rPr>
          <w:rFonts w:hint="default"/>
          <w:lang w:val="en-US" w:eastAsia="zh-CN"/>
        </w:rPr>
        <w:t>1</w:t>
      </w:r>
      <w:r>
        <w:rPr>
          <w:rFonts w:hint="eastAsia"/>
          <w:lang w:val="en-US" w:eastAsia="zh-CN"/>
        </w:rPr>
        <w:t>、</w:t>
      </w:r>
      <w:r>
        <w:rPr>
          <w:rFonts w:hint="default"/>
          <w:lang w:val="en-US" w:eastAsia="zh-CN"/>
        </w:rPr>
        <w:t>引起爆破伤害的原因：</w:t>
      </w:r>
    </w:p>
    <w:p w14:paraId="202E1EDA">
      <w:pPr>
        <w:pStyle w:val="21"/>
        <w:numPr>
          <w:ilvl w:val="0"/>
          <w:numId w:val="35"/>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爆破作业后，没有检查或检查不彻底，瞎炮处理不当，没有清理出未爆炸的残余炸药，打老孔、残孔。</w:t>
      </w:r>
    </w:p>
    <w:p w14:paraId="702141BA">
      <w:pPr>
        <w:pStyle w:val="21"/>
        <w:numPr>
          <w:ilvl w:val="0"/>
          <w:numId w:val="35"/>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装药工艺不合理或违章作业。</w:t>
      </w:r>
    </w:p>
    <w:p w14:paraId="7C32B750">
      <w:pPr>
        <w:pStyle w:val="21"/>
        <w:numPr>
          <w:ilvl w:val="0"/>
          <w:numId w:val="35"/>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起爆工艺不合理或违章作业。</w:t>
      </w:r>
    </w:p>
    <w:p w14:paraId="4E75B471">
      <w:pPr>
        <w:pStyle w:val="21"/>
        <w:numPr>
          <w:ilvl w:val="0"/>
          <w:numId w:val="35"/>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人员没有撤离到安全区域就起爆，或其他人员误入爆破区。</w:t>
      </w:r>
    </w:p>
    <w:p w14:paraId="23460A30">
      <w:pPr>
        <w:pStyle w:val="21"/>
        <w:numPr>
          <w:ilvl w:val="0"/>
          <w:numId w:val="35"/>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爆破时使用不合格的雷管或导爆索（管）、炸药。</w:t>
      </w:r>
    </w:p>
    <w:p w14:paraId="67DF727A">
      <w:pPr>
        <w:pStyle w:val="21"/>
        <w:numPr>
          <w:ilvl w:val="0"/>
          <w:numId w:val="35"/>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其他违章作业。</w:t>
      </w:r>
    </w:p>
    <w:p w14:paraId="2BFB502B">
      <w:pPr>
        <w:pStyle w:val="21"/>
        <w:rPr>
          <w:rFonts w:hint="default"/>
          <w:lang w:val="en-US" w:eastAsia="zh-CN"/>
        </w:rPr>
      </w:pPr>
      <w:r>
        <w:rPr>
          <w:rFonts w:hint="default"/>
          <w:lang w:val="en-US" w:eastAsia="zh-CN"/>
        </w:rPr>
        <w:t>2</w:t>
      </w:r>
      <w:r>
        <w:rPr>
          <w:rFonts w:hint="eastAsia"/>
          <w:lang w:val="en-US" w:eastAsia="zh-CN"/>
        </w:rPr>
        <w:t>、</w:t>
      </w:r>
      <w:r>
        <w:rPr>
          <w:rFonts w:hint="default"/>
          <w:lang w:val="en-US" w:eastAsia="zh-CN"/>
        </w:rPr>
        <w:t>容易发生爆破事故的场所：</w:t>
      </w:r>
    </w:p>
    <w:p w14:paraId="68EC7344">
      <w:pPr>
        <w:pStyle w:val="21"/>
        <w:numPr>
          <w:ilvl w:val="0"/>
          <w:numId w:val="36"/>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爆破作业点。</w:t>
      </w:r>
    </w:p>
    <w:p w14:paraId="6EC96689">
      <w:pPr>
        <w:pStyle w:val="21"/>
        <w:numPr>
          <w:ilvl w:val="0"/>
          <w:numId w:val="36"/>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爆破作业时的采场。</w:t>
      </w:r>
    </w:p>
    <w:p w14:paraId="22918BAE">
      <w:pPr>
        <w:pStyle w:val="21"/>
        <w:numPr>
          <w:ilvl w:val="0"/>
          <w:numId w:val="36"/>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爆破后的采场。</w:t>
      </w:r>
    </w:p>
    <w:p w14:paraId="0E9F995B">
      <w:pPr>
        <w:pStyle w:val="21"/>
        <w:numPr>
          <w:ilvl w:val="0"/>
          <w:numId w:val="36"/>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矿岩装运的过程中。</w:t>
      </w:r>
    </w:p>
    <w:p w14:paraId="7C8B0DB5">
      <w:pPr>
        <w:pStyle w:val="21"/>
        <w:numPr>
          <w:ilvl w:val="0"/>
          <w:numId w:val="36"/>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瞎炮处理及凿岩过程中。</w:t>
      </w:r>
    </w:p>
    <w:p w14:paraId="2CCCAC26">
      <w:pPr>
        <w:pStyle w:val="21"/>
        <w:numPr>
          <w:ilvl w:val="0"/>
          <w:numId w:val="28"/>
        </w:numPr>
        <w:bidi w:val="0"/>
        <w:rPr>
          <w:rFonts w:hint="default" w:ascii="Times New Roman" w:hAnsi="Times New Roman" w:eastAsia="宋体"/>
          <w:b/>
          <w:bCs/>
          <w:lang w:val="en-US" w:eastAsia="zh-CN"/>
        </w:rPr>
      </w:pPr>
      <w:r>
        <w:rPr>
          <w:rFonts w:hint="default" w:ascii="Times New Roman" w:hAnsi="Times New Roman" w:eastAsia="宋体"/>
          <w:b/>
          <w:bCs/>
          <w:lang w:val="en-US" w:eastAsia="zh-CN"/>
        </w:rPr>
        <w:t>高处坠落</w:t>
      </w:r>
    </w:p>
    <w:p w14:paraId="0FBD446E">
      <w:pPr>
        <w:pStyle w:val="21"/>
        <w:rPr>
          <w:rFonts w:hint="default"/>
          <w:lang w:val="en-US" w:eastAsia="zh-CN"/>
        </w:rPr>
      </w:pPr>
      <w:r>
        <w:rPr>
          <w:rFonts w:hint="default"/>
          <w:lang w:val="en-US" w:eastAsia="zh-CN"/>
        </w:rPr>
        <w:t>在地下开采过程中，进入采场的各类天井、上山的施工和使用过程中，因施工方法不当，安全平台、爬梯不规范或不牢靠、缺少安全警示、安全防护设施，照明条件差等均可能导致人员坠落的危险。</w:t>
      </w:r>
    </w:p>
    <w:p w14:paraId="77B97080">
      <w:pPr>
        <w:pStyle w:val="21"/>
        <w:rPr>
          <w:rFonts w:hint="default"/>
          <w:lang w:val="en-US" w:eastAsia="zh-CN"/>
        </w:rPr>
      </w:pPr>
      <w:r>
        <w:rPr>
          <w:rFonts w:hint="default"/>
          <w:lang w:val="en-US" w:eastAsia="zh-CN"/>
        </w:rPr>
        <w:t>产生高处坠落的诱因为：</w:t>
      </w:r>
    </w:p>
    <w:p w14:paraId="3F56D227">
      <w:pPr>
        <w:pStyle w:val="21"/>
        <w:numPr>
          <w:ilvl w:val="0"/>
          <w:numId w:val="37"/>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高处作业人员没有按要求使用安全防护用品（安全帽、安全带）；</w:t>
      </w:r>
    </w:p>
    <w:p w14:paraId="6A3CE38A">
      <w:pPr>
        <w:pStyle w:val="21"/>
        <w:numPr>
          <w:ilvl w:val="0"/>
          <w:numId w:val="37"/>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作业人员疏忽大意，疲劳过度；</w:t>
      </w:r>
    </w:p>
    <w:p w14:paraId="41DB2A54">
      <w:pPr>
        <w:pStyle w:val="21"/>
        <w:numPr>
          <w:ilvl w:val="0"/>
          <w:numId w:val="37"/>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缺少照明，无安全警示标志；</w:t>
      </w:r>
    </w:p>
    <w:p w14:paraId="59863FCA">
      <w:pPr>
        <w:pStyle w:val="21"/>
        <w:numPr>
          <w:ilvl w:val="0"/>
          <w:numId w:val="37"/>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溜矿井不加格筛；</w:t>
      </w:r>
    </w:p>
    <w:p w14:paraId="032A0B02">
      <w:pPr>
        <w:pStyle w:val="21"/>
        <w:numPr>
          <w:ilvl w:val="0"/>
          <w:numId w:val="37"/>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溜井及高处作业未设置防护设施及安全警示；</w:t>
      </w:r>
    </w:p>
    <w:p w14:paraId="2015404F">
      <w:pPr>
        <w:pStyle w:val="21"/>
        <w:numPr>
          <w:ilvl w:val="0"/>
          <w:numId w:val="37"/>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高处作业时安全防护设施损坏；</w:t>
      </w:r>
    </w:p>
    <w:p w14:paraId="1FC216B0">
      <w:pPr>
        <w:pStyle w:val="21"/>
        <w:numPr>
          <w:ilvl w:val="0"/>
          <w:numId w:val="37"/>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人行通风井口、井下和地表卸矿（废）点未设置安全设施或警示标志，卸矿（废）作业可能发生高处坠落。</w:t>
      </w:r>
    </w:p>
    <w:p w14:paraId="3D43A4E3">
      <w:pPr>
        <w:pStyle w:val="21"/>
        <w:rPr>
          <w:rFonts w:hint="default"/>
          <w:lang w:val="en-US" w:eastAsia="zh-CN"/>
        </w:rPr>
      </w:pPr>
      <w:r>
        <w:rPr>
          <w:rFonts w:hint="default"/>
          <w:lang w:val="en-US" w:eastAsia="zh-CN"/>
        </w:rPr>
        <w:t>该项目高处坠落可能发生的场所：各类相对于坠落基准面2m及以上的作业平台、溜矿井口和回风井坑口、采场人行通风天井井口、地表卸矿（废）点等处。</w:t>
      </w:r>
    </w:p>
    <w:p w14:paraId="03E03B5F">
      <w:pPr>
        <w:pStyle w:val="21"/>
        <w:numPr>
          <w:ilvl w:val="0"/>
          <w:numId w:val="28"/>
        </w:numPr>
        <w:bidi w:val="0"/>
        <w:rPr>
          <w:rFonts w:hint="default" w:ascii="Times New Roman" w:hAnsi="Times New Roman" w:eastAsia="宋体"/>
          <w:b/>
          <w:bCs/>
          <w:lang w:val="en-US" w:eastAsia="zh-CN"/>
        </w:rPr>
      </w:pPr>
      <w:r>
        <w:rPr>
          <w:rFonts w:hint="default" w:ascii="Times New Roman" w:hAnsi="Times New Roman" w:eastAsia="宋体"/>
          <w:b/>
          <w:bCs/>
          <w:lang w:val="en-US" w:eastAsia="zh-CN"/>
        </w:rPr>
        <w:t>物体打击</w:t>
      </w:r>
    </w:p>
    <w:p w14:paraId="549ABBCB">
      <w:pPr>
        <w:pStyle w:val="21"/>
        <w:rPr>
          <w:rFonts w:hint="default"/>
          <w:lang w:val="en-US" w:eastAsia="zh-CN"/>
        </w:rPr>
      </w:pPr>
      <w:r>
        <w:rPr>
          <w:rFonts w:hint="default"/>
          <w:lang w:val="en-US" w:eastAsia="zh-CN"/>
        </w:rPr>
        <w:t>造成物体打击伤害的原因多种多样，主要有：</w:t>
      </w:r>
    </w:p>
    <w:p w14:paraId="4AEAC8C7">
      <w:pPr>
        <w:pStyle w:val="21"/>
        <w:numPr>
          <w:ilvl w:val="0"/>
          <w:numId w:val="3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浮石清理不及时、排浮不净或排浮不按规程操作；单人作业；撬小落大、撬前落后等；</w:t>
      </w:r>
    </w:p>
    <w:p w14:paraId="01A986C0">
      <w:pPr>
        <w:pStyle w:val="21"/>
        <w:numPr>
          <w:ilvl w:val="0"/>
          <w:numId w:val="3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对排不下的危石，不及时支护或支护质量差；</w:t>
      </w:r>
    </w:p>
    <w:p w14:paraId="2ABB4558">
      <w:pPr>
        <w:pStyle w:val="21"/>
        <w:numPr>
          <w:ilvl w:val="0"/>
          <w:numId w:val="3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安全帽等劳保用品穿戴不齐；</w:t>
      </w:r>
    </w:p>
    <w:p w14:paraId="48E4F9FB">
      <w:pPr>
        <w:pStyle w:val="21"/>
        <w:numPr>
          <w:ilvl w:val="0"/>
          <w:numId w:val="3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出矿、出渣时精力不集中，对出现的危险不能及时做出反应；</w:t>
      </w:r>
    </w:p>
    <w:p w14:paraId="5E8E42A1">
      <w:pPr>
        <w:pStyle w:val="21"/>
        <w:numPr>
          <w:ilvl w:val="0"/>
          <w:numId w:val="3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工作场所狭小，缺乏躲避空间；</w:t>
      </w:r>
    </w:p>
    <w:p w14:paraId="1DC9927C">
      <w:pPr>
        <w:pStyle w:val="21"/>
        <w:numPr>
          <w:ilvl w:val="0"/>
          <w:numId w:val="3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照明不足或没有照明；</w:t>
      </w:r>
    </w:p>
    <w:p w14:paraId="5D679B01">
      <w:pPr>
        <w:pStyle w:val="21"/>
        <w:numPr>
          <w:ilvl w:val="0"/>
          <w:numId w:val="3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没有排险工具或排险工具长度不够；</w:t>
      </w:r>
    </w:p>
    <w:p w14:paraId="4E86451D">
      <w:pPr>
        <w:pStyle w:val="21"/>
        <w:numPr>
          <w:ilvl w:val="0"/>
          <w:numId w:val="3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联络井无相应的防护设施，放矿缺乏有效管理</w:t>
      </w:r>
    </w:p>
    <w:p w14:paraId="0FF9B329">
      <w:pPr>
        <w:pStyle w:val="21"/>
        <w:numPr>
          <w:ilvl w:val="0"/>
          <w:numId w:val="3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采场人行通道、巷道、作业硐室等在爆破作业后，缺乏检查维护等；</w:t>
      </w:r>
    </w:p>
    <w:p w14:paraId="13754E3C">
      <w:pPr>
        <w:pStyle w:val="21"/>
        <w:numPr>
          <w:ilvl w:val="0"/>
          <w:numId w:val="3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地表装矿（岩）作业等均可能发生掉块伤人；</w:t>
      </w:r>
    </w:p>
    <w:p w14:paraId="6EE192B0">
      <w:pPr>
        <w:pStyle w:val="21"/>
        <w:numPr>
          <w:ilvl w:val="0"/>
          <w:numId w:val="3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坑口卸载点、地表废石场排弃作业范围未设置安全警示标志，人员误入可能发生滚石伤人。</w:t>
      </w:r>
    </w:p>
    <w:p w14:paraId="635B0CD3">
      <w:pPr>
        <w:pStyle w:val="21"/>
        <w:numPr>
          <w:ilvl w:val="0"/>
          <w:numId w:val="28"/>
        </w:numPr>
        <w:bidi w:val="0"/>
        <w:rPr>
          <w:rFonts w:hint="default" w:ascii="Times New Roman" w:hAnsi="Times New Roman" w:eastAsia="宋体"/>
          <w:b/>
          <w:bCs/>
          <w:lang w:val="en-US" w:eastAsia="zh-CN"/>
        </w:rPr>
      </w:pPr>
      <w:r>
        <w:rPr>
          <w:rFonts w:hint="default" w:ascii="Times New Roman" w:hAnsi="Times New Roman" w:eastAsia="宋体"/>
          <w:b/>
          <w:bCs/>
          <w:lang w:val="en-US" w:eastAsia="zh-CN"/>
        </w:rPr>
        <w:t>机械伤害</w:t>
      </w:r>
    </w:p>
    <w:p w14:paraId="3022516E">
      <w:pPr>
        <w:pStyle w:val="21"/>
        <w:rPr>
          <w:rFonts w:hint="default"/>
          <w:lang w:val="en-US" w:eastAsia="zh-CN"/>
        </w:rPr>
      </w:pPr>
      <w:r>
        <w:rPr>
          <w:rFonts w:hint="default"/>
          <w:lang w:val="en-US" w:eastAsia="zh-CN"/>
        </w:rPr>
        <w:t>机械伤害是指机械设备运动（静止）部件、工具、加工件直接与人体接触引起的夹击、碰撞、剪切、卷入、绞、碾、割、刺等伤害，不包括车辆、起重机械引起的机械伤害。</w:t>
      </w:r>
    </w:p>
    <w:p w14:paraId="3F0FF6F8">
      <w:pPr>
        <w:pStyle w:val="21"/>
        <w:rPr>
          <w:rFonts w:hint="default"/>
          <w:lang w:val="en-US" w:eastAsia="zh-CN"/>
        </w:rPr>
      </w:pPr>
      <w:r>
        <w:rPr>
          <w:rFonts w:hint="default"/>
          <w:lang w:val="en-US" w:eastAsia="zh-CN"/>
        </w:rPr>
        <w:t>矿山造成的机械伤害事故，主要是由于人的违章指挥、违章操作造成的。常见的因素有：</w:t>
      </w:r>
    </w:p>
    <w:p w14:paraId="62BC5A8B">
      <w:pPr>
        <w:pStyle w:val="21"/>
        <w:numPr>
          <w:ilvl w:val="0"/>
          <w:numId w:val="3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穿戴不符合安全规定的服装进行操作；</w:t>
      </w:r>
    </w:p>
    <w:p w14:paraId="4CB74F33">
      <w:pPr>
        <w:pStyle w:val="21"/>
        <w:numPr>
          <w:ilvl w:val="0"/>
          <w:numId w:val="3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违章操作；</w:t>
      </w:r>
    </w:p>
    <w:p w14:paraId="13FE4C65">
      <w:pPr>
        <w:pStyle w:val="21"/>
        <w:numPr>
          <w:ilvl w:val="0"/>
          <w:numId w:val="3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机械设备安全防护装置缺乏或损坏、被拆除等，导致事故发生；</w:t>
      </w:r>
    </w:p>
    <w:p w14:paraId="1D1B0C55">
      <w:pPr>
        <w:pStyle w:val="21"/>
        <w:numPr>
          <w:ilvl w:val="0"/>
          <w:numId w:val="3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操作过程中衣物、头发、工具进入运转机械导致身体被运动机械拖带伤害；</w:t>
      </w:r>
    </w:p>
    <w:p w14:paraId="1A955ABF">
      <w:pPr>
        <w:pStyle w:val="21"/>
        <w:numPr>
          <w:ilvl w:val="0"/>
          <w:numId w:val="3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操作人员疏忽大意，身体进入机械危险部位；</w:t>
      </w:r>
    </w:p>
    <w:p w14:paraId="159E3CDF">
      <w:pPr>
        <w:pStyle w:val="21"/>
        <w:numPr>
          <w:ilvl w:val="0"/>
          <w:numId w:val="3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在检修和正常工作时，机器突然被别人随意启动，导致事故发生；</w:t>
      </w:r>
    </w:p>
    <w:p w14:paraId="6A8C59EE">
      <w:pPr>
        <w:pStyle w:val="21"/>
        <w:numPr>
          <w:ilvl w:val="0"/>
          <w:numId w:val="3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在不安全的机械上停留、休息，导致事故发生；</w:t>
      </w:r>
    </w:p>
    <w:p w14:paraId="2734AC7D">
      <w:pPr>
        <w:pStyle w:val="21"/>
        <w:numPr>
          <w:ilvl w:val="0"/>
          <w:numId w:val="3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凿岩机砸、夹、挤伤人，断钎伤人，钻架倾倒， 风、水管摆动或飞出伤人等；</w:t>
      </w:r>
    </w:p>
    <w:p w14:paraId="23EBDADD">
      <w:pPr>
        <w:pStyle w:val="21"/>
        <w:numPr>
          <w:ilvl w:val="0"/>
          <w:numId w:val="3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设备设施设计、选型不合理或安装存在缺陷；</w:t>
      </w:r>
    </w:p>
    <w:p w14:paraId="1010EBAC">
      <w:pPr>
        <w:pStyle w:val="21"/>
        <w:numPr>
          <w:ilvl w:val="0"/>
          <w:numId w:val="3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设备设施没有按规定进行维护或特种设备没有定期检测检验；</w:t>
      </w:r>
    </w:p>
    <w:p w14:paraId="0CBFA3F7">
      <w:pPr>
        <w:pStyle w:val="21"/>
        <w:numPr>
          <w:ilvl w:val="0"/>
          <w:numId w:val="3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安全管理上存在不足。</w:t>
      </w:r>
    </w:p>
    <w:p w14:paraId="3B323888">
      <w:pPr>
        <w:pStyle w:val="21"/>
        <w:rPr>
          <w:rFonts w:hint="default"/>
          <w:lang w:val="en-US" w:eastAsia="zh-CN"/>
        </w:rPr>
      </w:pPr>
      <w:r>
        <w:rPr>
          <w:rFonts w:hint="default"/>
          <w:lang w:val="en-US" w:eastAsia="zh-CN"/>
        </w:rPr>
        <w:t>该矿山采掘有凿岩机、空压机、通风机、机械设备在使用和检修过程中存在着机械伤害的可能性。</w:t>
      </w:r>
    </w:p>
    <w:p w14:paraId="21304F00">
      <w:pPr>
        <w:pStyle w:val="21"/>
        <w:numPr>
          <w:ilvl w:val="0"/>
          <w:numId w:val="28"/>
        </w:numPr>
        <w:bidi w:val="0"/>
        <w:rPr>
          <w:rFonts w:hint="default" w:ascii="Times New Roman" w:hAnsi="Times New Roman" w:eastAsia="宋体"/>
          <w:b/>
          <w:bCs/>
          <w:lang w:val="en-US" w:eastAsia="zh-CN"/>
        </w:rPr>
      </w:pPr>
      <w:r>
        <w:rPr>
          <w:rFonts w:hint="default" w:ascii="Times New Roman" w:hAnsi="Times New Roman" w:eastAsia="宋体"/>
          <w:b/>
          <w:bCs/>
          <w:lang w:val="en-US" w:eastAsia="zh-CN"/>
        </w:rPr>
        <w:t>容器爆炸</w:t>
      </w:r>
    </w:p>
    <w:p w14:paraId="0AC2C1B7">
      <w:pPr>
        <w:pStyle w:val="21"/>
        <w:rPr>
          <w:rFonts w:hint="default"/>
          <w:lang w:val="en-US" w:eastAsia="zh-CN"/>
        </w:rPr>
      </w:pPr>
      <w:r>
        <w:rPr>
          <w:rFonts w:hint="default"/>
          <w:lang w:val="en-US" w:eastAsia="zh-CN"/>
        </w:rPr>
        <w:t>储气罐属压力容器，如果管理不善、设备缺限、安全附件（压力表、安全阀等）故障等存在压力容器爆炸的危险。一旦发生爆炸事故，其爆炸能量在向外释放时以冲击波能量、碎片能量和容器残余变形能量三种形式表现出来。后两者消耗的能量只占爆炸能量的3%～15%，即大部分能量是产生的冲击波。冲击波会对周边的厂房设施造成不同程度地破坏，造成作业人员的伤亡，严重影响生产的正常进行。</w:t>
      </w:r>
    </w:p>
    <w:p w14:paraId="1EDBA96D">
      <w:pPr>
        <w:pStyle w:val="21"/>
        <w:rPr>
          <w:rFonts w:hint="default"/>
          <w:lang w:val="en-US" w:eastAsia="zh-CN"/>
        </w:rPr>
      </w:pPr>
      <w:r>
        <w:rPr>
          <w:rFonts w:hint="default"/>
          <w:lang w:val="en-US" w:eastAsia="zh-CN"/>
        </w:rPr>
        <w:t>造成容器爆炸事故的主要因素：</w:t>
      </w:r>
    </w:p>
    <w:p w14:paraId="3076FF9B">
      <w:pPr>
        <w:pStyle w:val="21"/>
        <w:numPr>
          <w:ilvl w:val="0"/>
          <w:numId w:val="4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压力容器受到机械损伤，在高压下发生爆炸事故；</w:t>
      </w:r>
    </w:p>
    <w:p w14:paraId="08890B6C">
      <w:pPr>
        <w:pStyle w:val="21"/>
        <w:numPr>
          <w:ilvl w:val="0"/>
          <w:numId w:val="4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压力容器遇到突然撞击或遇到高温而发生爆炸。</w:t>
      </w:r>
    </w:p>
    <w:p w14:paraId="54A3F59A">
      <w:pPr>
        <w:pStyle w:val="21"/>
        <w:numPr>
          <w:ilvl w:val="0"/>
          <w:numId w:val="4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未制订安全操作规程或操作人员违章操作，引起超温、超压、压力突然增大等。</w:t>
      </w:r>
    </w:p>
    <w:p w14:paraId="49040976">
      <w:pPr>
        <w:pStyle w:val="21"/>
        <w:numPr>
          <w:ilvl w:val="0"/>
          <w:numId w:val="4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管理不善或操作人员不具备特种作业资格进行操作。</w:t>
      </w:r>
    </w:p>
    <w:p w14:paraId="7571D1F0">
      <w:pPr>
        <w:pStyle w:val="21"/>
        <w:numPr>
          <w:ilvl w:val="0"/>
          <w:numId w:val="4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压力容器、空压机上的安全附件未按规定定期进行检验测检验，造成安全附件失效。</w:t>
      </w:r>
    </w:p>
    <w:p w14:paraId="0C719B6C">
      <w:pPr>
        <w:pStyle w:val="21"/>
        <w:numPr>
          <w:ilvl w:val="0"/>
          <w:numId w:val="28"/>
        </w:numPr>
        <w:bidi w:val="0"/>
        <w:rPr>
          <w:rFonts w:hint="default" w:ascii="Times New Roman" w:hAnsi="Times New Roman" w:eastAsia="宋体"/>
          <w:b/>
          <w:bCs/>
          <w:lang w:val="en-US" w:eastAsia="zh-CN"/>
        </w:rPr>
      </w:pPr>
      <w:r>
        <w:rPr>
          <w:rFonts w:hint="default" w:ascii="Times New Roman" w:hAnsi="Times New Roman" w:eastAsia="宋体"/>
          <w:b/>
          <w:bCs/>
          <w:lang w:val="en-US" w:eastAsia="zh-CN"/>
        </w:rPr>
        <w:t>粉尘</w:t>
      </w:r>
    </w:p>
    <w:p w14:paraId="641E10FE">
      <w:pPr>
        <w:pStyle w:val="21"/>
        <w:bidi w:val="0"/>
        <w:rPr>
          <w:rFonts w:hint="default"/>
          <w:lang w:val="en-US" w:eastAsia="zh-CN"/>
        </w:rPr>
      </w:pPr>
      <w:r>
        <w:rPr>
          <w:rFonts w:hint="default"/>
          <w:lang w:val="en-US" w:eastAsia="zh-CN"/>
        </w:rPr>
        <w:t>粉尘是矿物开采或加工过程中产生的细小固体颗粒集合体。常把沉积于器物表面或井巷四壁之上的粉尘称为落尘，悬浮于井巷空间空气中的粉尘称为浮尘。落尘与浮尘在不同风流环境下可以相互转化。粉尘的主要危害是能引起矽肺病，该病是因为长期大量吸入含游离二氧化硅的粉尘引起的，是矿山的一种主要职业病。</w:t>
      </w:r>
    </w:p>
    <w:p w14:paraId="4C1C324F">
      <w:pPr>
        <w:pStyle w:val="21"/>
        <w:bidi w:val="0"/>
        <w:rPr>
          <w:rFonts w:hint="default"/>
          <w:lang w:val="en-US" w:eastAsia="zh-CN"/>
        </w:rPr>
      </w:pPr>
      <w:r>
        <w:rPr>
          <w:rFonts w:hint="default"/>
          <w:lang w:val="en-US" w:eastAsia="zh-CN"/>
        </w:rPr>
        <w:t>该项目的粉尘主要来源于：矿岩转运作业等过程，产生大量有害的粉尘，凿岩爆破产生大量的粉尘，如未采取湿式作业、井下通风不良或通风质量达不到要求，易造成粉尘危害。井下主要产尘点分布在采掘工作面、回风道、装矿（废）石巷道、卸矿漏斗等处。</w:t>
      </w:r>
    </w:p>
    <w:p w14:paraId="0FEFF1F3">
      <w:pPr>
        <w:pStyle w:val="29"/>
        <w:bidi w:val="0"/>
        <w:rPr>
          <w:rFonts w:hint="default"/>
          <w:lang w:val="en-US" w:eastAsia="zh-CN"/>
        </w:rPr>
      </w:pPr>
      <w:r>
        <w:rPr>
          <w:rFonts w:hint="default"/>
          <w:lang w:val="en-US" w:eastAsia="zh-CN"/>
        </w:rPr>
        <w:t>安全分析及符合性评价</w:t>
      </w:r>
    </w:p>
    <w:p w14:paraId="34EE1B06">
      <w:pPr>
        <w:pStyle w:val="21"/>
        <w:numPr>
          <w:ilvl w:val="0"/>
          <w:numId w:val="41"/>
        </w:numPr>
        <w:bidi w:val="0"/>
        <w:rPr>
          <w:rFonts w:hint="default"/>
          <w:lang w:val="en-US" w:eastAsia="zh-CN"/>
        </w:rPr>
      </w:pPr>
      <w:r>
        <w:rPr>
          <w:rFonts w:hint="default"/>
          <w:lang w:val="en-US" w:eastAsia="zh-CN"/>
        </w:rPr>
        <w:t>预先危险性分析法</w:t>
      </w:r>
    </w:p>
    <w:p w14:paraId="619E6FBD">
      <w:pPr>
        <w:pStyle w:val="30"/>
        <w:bidi w:val="0"/>
        <w:rPr>
          <w:rFonts w:hint="eastAsia"/>
        </w:rPr>
      </w:pPr>
      <w:r>
        <w:rPr>
          <w:rFonts w:hint="eastAsia"/>
        </w:rPr>
        <w:t>表3.4-1  地压管理单元预先危险性分析表</w:t>
      </w:r>
    </w:p>
    <w:tbl>
      <w:tblPr>
        <w:tblStyle w:val="24"/>
        <w:tblW w:w="4996"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267"/>
        <w:gridCol w:w="748"/>
        <w:gridCol w:w="1700"/>
        <w:gridCol w:w="756"/>
        <w:gridCol w:w="1141"/>
        <w:gridCol w:w="1222"/>
        <w:gridCol w:w="782"/>
        <w:gridCol w:w="1777"/>
      </w:tblGrid>
      <w:tr w14:paraId="63E95FE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674" w:type="pct"/>
            <w:noWrap w:val="0"/>
            <w:vAlign w:val="center"/>
          </w:tcPr>
          <w:p w14:paraId="2E6A9043">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潜在</w:t>
            </w:r>
          </w:p>
          <w:p w14:paraId="14AD8ED6">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事故</w:t>
            </w:r>
          </w:p>
        </w:tc>
        <w:tc>
          <w:tcPr>
            <w:tcW w:w="398" w:type="pct"/>
            <w:noWrap w:val="0"/>
            <w:vAlign w:val="center"/>
          </w:tcPr>
          <w:p w14:paraId="3764E12F">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危险因素</w:t>
            </w:r>
          </w:p>
        </w:tc>
        <w:tc>
          <w:tcPr>
            <w:tcW w:w="904" w:type="pct"/>
            <w:noWrap w:val="0"/>
            <w:vAlign w:val="center"/>
          </w:tcPr>
          <w:p w14:paraId="071A3030">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触发条件（1）</w:t>
            </w:r>
          </w:p>
        </w:tc>
        <w:tc>
          <w:tcPr>
            <w:tcW w:w="402" w:type="pct"/>
            <w:noWrap w:val="0"/>
            <w:vAlign w:val="center"/>
          </w:tcPr>
          <w:p w14:paraId="6D5DD56C">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发生条件</w:t>
            </w:r>
          </w:p>
        </w:tc>
        <w:tc>
          <w:tcPr>
            <w:tcW w:w="607" w:type="pct"/>
            <w:noWrap w:val="0"/>
            <w:vAlign w:val="center"/>
          </w:tcPr>
          <w:p w14:paraId="1FD5D720">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触发条件（2）</w:t>
            </w:r>
          </w:p>
        </w:tc>
        <w:tc>
          <w:tcPr>
            <w:tcW w:w="650" w:type="pct"/>
            <w:noWrap w:val="0"/>
            <w:vAlign w:val="center"/>
          </w:tcPr>
          <w:p w14:paraId="5CAFC69C">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事故后果</w:t>
            </w:r>
          </w:p>
        </w:tc>
        <w:tc>
          <w:tcPr>
            <w:tcW w:w="416" w:type="pct"/>
            <w:noWrap w:val="0"/>
            <w:vAlign w:val="center"/>
          </w:tcPr>
          <w:p w14:paraId="43318BFB">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危险等级</w:t>
            </w:r>
          </w:p>
        </w:tc>
        <w:tc>
          <w:tcPr>
            <w:tcW w:w="945" w:type="pct"/>
            <w:noWrap w:val="0"/>
            <w:vAlign w:val="center"/>
          </w:tcPr>
          <w:p w14:paraId="4D3EB1BB">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防范措施</w:t>
            </w:r>
          </w:p>
        </w:tc>
      </w:tr>
      <w:tr w14:paraId="27B3FAD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68" w:hRule="atLeast"/>
          <w:jc w:val="center"/>
        </w:trPr>
        <w:tc>
          <w:tcPr>
            <w:tcW w:w="674" w:type="pct"/>
            <w:noWrap w:val="0"/>
            <w:vAlign w:val="center"/>
          </w:tcPr>
          <w:p w14:paraId="49695CC0">
            <w:pPr>
              <w:numPr>
                <w:ilvl w:val="0"/>
                <w:numId w:val="42"/>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采场顶板冒落</w:t>
            </w:r>
          </w:p>
          <w:p w14:paraId="6E2240AF">
            <w:pPr>
              <w:numPr>
                <w:ilvl w:val="0"/>
                <w:numId w:val="42"/>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采空区陷落</w:t>
            </w:r>
          </w:p>
          <w:p w14:paraId="59A9F188">
            <w:pPr>
              <w:numPr>
                <w:ilvl w:val="0"/>
                <w:numId w:val="42"/>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巷道或采掘工作面的片帮、冒顶等</w:t>
            </w:r>
          </w:p>
          <w:p w14:paraId="71DEDE66">
            <w:pPr>
              <w:numPr>
                <w:ilvl w:val="0"/>
                <w:numId w:val="42"/>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地面塌陷</w:t>
            </w:r>
          </w:p>
        </w:tc>
        <w:tc>
          <w:tcPr>
            <w:tcW w:w="398" w:type="pct"/>
            <w:noWrap w:val="0"/>
            <w:vAlign w:val="center"/>
          </w:tcPr>
          <w:p w14:paraId="64DA439A">
            <w:pPr>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井下不稳定的采场、采空区、巷道</w:t>
            </w:r>
          </w:p>
        </w:tc>
        <w:tc>
          <w:tcPr>
            <w:tcW w:w="904" w:type="pct"/>
            <w:noWrap w:val="0"/>
            <w:vAlign w:val="center"/>
          </w:tcPr>
          <w:p w14:paraId="5E60B2CF">
            <w:pPr>
              <w:numPr>
                <w:ilvl w:val="0"/>
                <w:numId w:val="43"/>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采矿方法不合理</w:t>
            </w:r>
          </w:p>
          <w:p w14:paraId="2C730EF9">
            <w:pPr>
              <w:numPr>
                <w:ilvl w:val="0"/>
                <w:numId w:val="43"/>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巷道穿越地压活动区域</w:t>
            </w:r>
          </w:p>
          <w:p w14:paraId="68C6976F">
            <w:pPr>
              <w:numPr>
                <w:ilvl w:val="0"/>
                <w:numId w:val="43"/>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矿柱设计不合理</w:t>
            </w:r>
          </w:p>
          <w:p w14:paraId="628EBA1D">
            <w:pPr>
              <w:numPr>
                <w:ilvl w:val="0"/>
                <w:numId w:val="43"/>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爆破参数设计不合理、爆破工序不合理和爆破施工时违章作业</w:t>
            </w:r>
          </w:p>
        </w:tc>
        <w:tc>
          <w:tcPr>
            <w:tcW w:w="402" w:type="pct"/>
            <w:noWrap w:val="0"/>
            <w:vAlign w:val="top"/>
          </w:tcPr>
          <w:p w14:paraId="3F27F666">
            <w:pPr>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人员、设备处于地压灾害的采场、空区或巷道</w:t>
            </w:r>
          </w:p>
        </w:tc>
        <w:tc>
          <w:tcPr>
            <w:tcW w:w="607" w:type="pct"/>
            <w:noWrap w:val="0"/>
            <w:vAlign w:val="center"/>
          </w:tcPr>
          <w:p w14:paraId="223F2C06">
            <w:pPr>
              <w:numPr>
                <w:ilvl w:val="0"/>
                <w:numId w:val="44"/>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顶板管理方法不当</w:t>
            </w:r>
          </w:p>
          <w:p w14:paraId="1991662F">
            <w:pPr>
              <w:numPr>
                <w:ilvl w:val="0"/>
                <w:numId w:val="44"/>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岩石松软没有支护</w:t>
            </w:r>
          </w:p>
          <w:p w14:paraId="322D52C6">
            <w:pPr>
              <w:numPr>
                <w:ilvl w:val="0"/>
                <w:numId w:val="44"/>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顶板冒落征兆没有停止作业</w:t>
            </w:r>
          </w:p>
        </w:tc>
        <w:tc>
          <w:tcPr>
            <w:tcW w:w="650" w:type="pct"/>
            <w:noWrap w:val="0"/>
            <w:vAlign w:val="center"/>
          </w:tcPr>
          <w:p w14:paraId="028A709D">
            <w:pPr>
              <w:numPr>
                <w:ilvl w:val="0"/>
                <w:numId w:val="45"/>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破坏采场巷道</w:t>
            </w:r>
          </w:p>
          <w:p w14:paraId="2F52B4A3">
            <w:pPr>
              <w:numPr>
                <w:ilvl w:val="0"/>
                <w:numId w:val="45"/>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造成巷道内人员伤亡</w:t>
            </w:r>
          </w:p>
          <w:p w14:paraId="6464DD4D">
            <w:pPr>
              <w:numPr>
                <w:ilvl w:val="0"/>
                <w:numId w:val="45"/>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破坏正常的生产系统</w:t>
            </w:r>
          </w:p>
        </w:tc>
        <w:tc>
          <w:tcPr>
            <w:tcW w:w="416" w:type="pct"/>
            <w:noWrap w:val="0"/>
            <w:vAlign w:val="center"/>
          </w:tcPr>
          <w:p w14:paraId="18A46B54">
            <w:pPr>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Ⅲ级</w:t>
            </w:r>
          </w:p>
        </w:tc>
        <w:tc>
          <w:tcPr>
            <w:tcW w:w="945" w:type="pct"/>
            <w:noWrap w:val="0"/>
            <w:vAlign w:val="center"/>
          </w:tcPr>
          <w:p w14:paraId="049652E8">
            <w:pPr>
              <w:numPr>
                <w:ilvl w:val="0"/>
                <w:numId w:val="46"/>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根据矿床地质条件，选择合理的采矿方法和采场布置。</w:t>
            </w:r>
          </w:p>
          <w:p w14:paraId="06D64630">
            <w:pPr>
              <w:numPr>
                <w:ilvl w:val="0"/>
                <w:numId w:val="46"/>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按照安全技术操作规程作业，提高职工安全防患意识和技术素质</w:t>
            </w:r>
          </w:p>
          <w:p w14:paraId="78340662">
            <w:pPr>
              <w:numPr>
                <w:ilvl w:val="0"/>
                <w:numId w:val="46"/>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防止大面积冒顶</w:t>
            </w:r>
          </w:p>
        </w:tc>
      </w:tr>
    </w:tbl>
    <w:p w14:paraId="4F6FE572">
      <w:pPr>
        <w:pStyle w:val="30"/>
        <w:bidi w:val="0"/>
        <w:rPr>
          <w:rFonts w:hint="eastAsia"/>
        </w:rPr>
      </w:pPr>
      <w:r>
        <w:rPr>
          <w:rFonts w:hint="eastAsia"/>
        </w:rPr>
        <w:t>表3.4-2  爆破单元预先危险性分析表</w:t>
      </w:r>
    </w:p>
    <w:tbl>
      <w:tblPr>
        <w:tblStyle w:val="24"/>
        <w:tblW w:w="4998"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833"/>
        <w:gridCol w:w="773"/>
        <w:gridCol w:w="1292"/>
        <w:gridCol w:w="773"/>
        <w:gridCol w:w="1447"/>
        <w:gridCol w:w="779"/>
        <w:gridCol w:w="779"/>
        <w:gridCol w:w="2721"/>
      </w:tblGrid>
      <w:tr w14:paraId="4771AA5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noWrap w:val="0"/>
            <w:vAlign w:val="center"/>
          </w:tcPr>
          <w:p w14:paraId="758B31D4">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潜在事故</w:t>
            </w:r>
          </w:p>
        </w:tc>
        <w:tc>
          <w:tcPr>
            <w:tcW w:w="411" w:type="pct"/>
            <w:noWrap w:val="0"/>
            <w:vAlign w:val="center"/>
          </w:tcPr>
          <w:p w14:paraId="4E99ABCA">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危险因素</w:t>
            </w:r>
          </w:p>
        </w:tc>
        <w:tc>
          <w:tcPr>
            <w:tcW w:w="687" w:type="pct"/>
            <w:noWrap w:val="0"/>
            <w:vAlign w:val="center"/>
          </w:tcPr>
          <w:p w14:paraId="33E8AA3D">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触发条件（1）</w:t>
            </w:r>
          </w:p>
        </w:tc>
        <w:tc>
          <w:tcPr>
            <w:tcW w:w="411" w:type="pct"/>
            <w:noWrap w:val="0"/>
            <w:vAlign w:val="center"/>
          </w:tcPr>
          <w:p w14:paraId="3AA06EE5">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发生条件</w:t>
            </w:r>
          </w:p>
        </w:tc>
        <w:tc>
          <w:tcPr>
            <w:tcW w:w="769" w:type="pct"/>
            <w:noWrap w:val="0"/>
            <w:vAlign w:val="center"/>
          </w:tcPr>
          <w:p w14:paraId="5328C43F">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触发条件（2）</w:t>
            </w:r>
          </w:p>
        </w:tc>
        <w:tc>
          <w:tcPr>
            <w:tcW w:w="414" w:type="pct"/>
            <w:noWrap w:val="0"/>
            <w:vAlign w:val="center"/>
          </w:tcPr>
          <w:p w14:paraId="0D5AFD9B">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事故后果</w:t>
            </w:r>
          </w:p>
        </w:tc>
        <w:tc>
          <w:tcPr>
            <w:tcW w:w="414" w:type="pct"/>
            <w:noWrap w:val="0"/>
            <w:vAlign w:val="center"/>
          </w:tcPr>
          <w:p w14:paraId="079B8E9C">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危险等级</w:t>
            </w:r>
          </w:p>
        </w:tc>
        <w:tc>
          <w:tcPr>
            <w:tcW w:w="1446" w:type="pct"/>
            <w:noWrap w:val="0"/>
            <w:vAlign w:val="center"/>
          </w:tcPr>
          <w:p w14:paraId="5E4C2F25">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防范措施</w:t>
            </w:r>
          </w:p>
        </w:tc>
      </w:tr>
      <w:tr w14:paraId="7701778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noWrap w:val="0"/>
            <w:vAlign w:val="center"/>
          </w:tcPr>
          <w:p w14:paraId="1D2F6013">
            <w:pPr>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爆破伤害</w:t>
            </w:r>
          </w:p>
        </w:tc>
        <w:tc>
          <w:tcPr>
            <w:tcW w:w="411" w:type="pct"/>
            <w:noWrap w:val="0"/>
            <w:vAlign w:val="center"/>
          </w:tcPr>
          <w:p w14:paraId="079EBB2B">
            <w:pPr>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爆破飞石、爆破地震、冲击波、早爆、自爆、拒爆、迟爆等</w:t>
            </w:r>
          </w:p>
        </w:tc>
        <w:tc>
          <w:tcPr>
            <w:tcW w:w="687" w:type="pct"/>
            <w:noWrap w:val="0"/>
            <w:vAlign w:val="center"/>
          </w:tcPr>
          <w:p w14:paraId="4F971423">
            <w:pPr>
              <w:numPr>
                <w:ilvl w:val="0"/>
                <w:numId w:val="47"/>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爆破器材不符合标准</w:t>
            </w:r>
          </w:p>
          <w:p w14:paraId="46741C30">
            <w:pPr>
              <w:numPr>
                <w:ilvl w:val="0"/>
                <w:numId w:val="47"/>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盲炮处理不当或打残眼</w:t>
            </w:r>
          </w:p>
          <w:p w14:paraId="273840CD">
            <w:pPr>
              <w:numPr>
                <w:ilvl w:val="0"/>
                <w:numId w:val="47"/>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装药工艺不合理或违章作业</w:t>
            </w:r>
          </w:p>
          <w:p w14:paraId="4B2D253B">
            <w:pPr>
              <w:numPr>
                <w:ilvl w:val="0"/>
                <w:numId w:val="47"/>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爆破器材质量不良，点火迟缓，拖延点炮时间</w:t>
            </w:r>
          </w:p>
        </w:tc>
        <w:tc>
          <w:tcPr>
            <w:tcW w:w="411" w:type="pct"/>
            <w:noWrap w:val="0"/>
            <w:vAlign w:val="center"/>
          </w:tcPr>
          <w:p w14:paraId="542F8934">
            <w:pPr>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作业人员处于炸药有可能意外爆炸的场所</w:t>
            </w:r>
          </w:p>
        </w:tc>
        <w:tc>
          <w:tcPr>
            <w:tcW w:w="769" w:type="pct"/>
            <w:noWrap w:val="0"/>
            <w:vAlign w:val="center"/>
          </w:tcPr>
          <w:p w14:paraId="4A3030A9">
            <w:pPr>
              <w:numPr>
                <w:ilvl w:val="0"/>
                <w:numId w:val="48"/>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违反操作规程</w:t>
            </w:r>
          </w:p>
          <w:p w14:paraId="4A8B23E4">
            <w:pPr>
              <w:numPr>
                <w:ilvl w:val="0"/>
                <w:numId w:val="48"/>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装药前炮孔清理不净</w:t>
            </w:r>
          </w:p>
          <w:p w14:paraId="55090ADB">
            <w:pPr>
              <w:numPr>
                <w:ilvl w:val="0"/>
                <w:numId w:val="48"/>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凿岩工打残眼</w:t>
            </w:r>
          </w:p>
          <w:p w14:paraId="1764E2BF">
            <w:pPr>
              <w:numPr>
                <w:ilvl w:val="0"/>
                <w:numId w:val="48"/>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放炮后过早进入工作面</w:t>
            </w:r>
          </w:p>
          <w:p w14:paraId="3F61EBBE">
            <w:pPr>
              <w:numPr>
                <w:ilvl w:val="0"/>
                <w:numId w:val="48"/>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非爆破作业人员作业，爆破作业人员违章</w:t>
            </w:r>
          </w:p>
        </w:tc>
        <w:tc>
          <w:tcPr>
            <w:tcW w:w="414" w:type="pct"/>
            <w:noWrap w:val="0"/>
            <w:vAlign w:val="center"/>
          </w:tcPr>
          <w:p w14:paraId="0D93981A">
            <w:pPr>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人员伤亡</w:t>
            </w:r>
          </w:p>
        </w:tc>
        <w:tc>
          <w:tcPr>
            <w:tcW w:w="414" w:type="pct"/>
            <w:noWrap w:val="0"/>
            <w:vAlign w:val="center"/>
          </w:tcPr>
          <w:p w14:paraId="47273176">
            <w:pPr>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Ⅲ级</w:t>
            </w:r>
          </w:p>
        </w:tc>
        <w:tc>
          <w:tcPr>
            <w:tcW w:w="1446" w:type="pct"/>
            <w:noWrap w:val="0"/>
            <w:vAlign w:val="center"/>
          </w:tcPr>
          <w:p w14:paraId="29A3D121">
            <w:pPr>
              <w:numPr>
                <w:ilvl w:val="0"/>
                <w:numId w:val="49"/>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配合爆破的人员听从统一指挥，各岗哨要认真履行职责</w:t>
            </w:r>
          </w:p>
          <w:p w14:paraId="39D4C649">
            <w:pPr>
              <w:numPr>
                <w:ilvl w:val="0"/>
                <w:numId w:val="49"/>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爆破必须按规定时间进行，爆破前发出能听到和看到的（视觉）警戒信号</w:t>
            </w:r>
          </w:p>
          <w:p w14:paraId="3FC6C776">
            <w:pPr>
              <w:numPr>
                <w:ilvl w:val="0"/>
                <w:numId w:val="49"/>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盲炮应在当班处理，当班未处理完毕，应将盲炮情况（盲炮数目、装药数量和起爆药位置等）在现场交接清楚，由下一班继续处理</w:t>
            </w:r>
          </w:p>
          <w:p w14:paraId="34CE5F50">
            <w:pPr>
              <w:numPr>
                <w:ilvl w:val="0"/>
                <w:numId w:val="49"/>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没有爆破资格人员不接触爆破器材</w:t>
            </w:r>
          </w:p>
          <w:p w14:paraId="2EFEE2D3">
            <w:pPr>
              <w:numPr>
                <w:ilvl w:val="0"/>
                <w:numId w:val="49"/>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炸药和雷管分别存放，炸药和雷管箱要加锁</w:t>
            </w:r>
          </w:p>
        </w:tc>
      </w:tr>
    </w:tbl>
    <w:p w14:paraId="1CF024E7">
      <w:pPr>
        <w:pStyle w:val="21"/>
        <w:numPr>
          <w:ilvl w:val="0"/>
          <w:numId w:val="41"/>
        </w:numPr>
        <w:bidi w:val="0"/>
        <w:rPr>
          <w:rFonts w:hint="default"/>
          <w:lang w:val="en-US" w:eastAsia="zh-CN"/>
        </w:rPr>
      </w:pPr>
      <w:r>
        <w:rPr>
          <w:rFonts w:hint="default"/>
          <w:lang w:val="en-US" w:eastAsia="zh-CN"/>
        </w:rPr>
        <w:t>专家评议法</w:t>
      </w:r>
    </w:p>
    <w:p w14:paraId="7F7BF9A0">
      <w:pPr>
        <w:pStyle w:val="21"/>
        <w:bidi w:val="0"/>
        <w:rPr>
          <w:rFonts w:hint="default"/>
          <w:lang w:val="en-US" w:eastAsia="zh-CN"/>
        </w:rPr>
      </w:pPr>
      <w:r>
        <w:rPr>
          <w:rFonts w:hint="eastAsia"/>
          <w:lang w:val="en-US" w:eastAsia="zh-CN"/>
        </w:rPr>
        <w:t>1、</w:t>
      </w:r>
      <w:r>
        <w:rPr>
          <w:rFonts w:hint="default"/>
          <w:lang w:val="en-US" w:eastAsia="zh-CN"/>
        </w:rPr>
        <w:t>采矿方法合理性分析</w:t>
      </w:r>
    </w:p>
    <w:p w14:paraId="16899B70">
      <w:pPr>
        <w:pStyle w:val="21"/>
        <w:bidi w:val="0"/>
        <w:rPr>
          <w:rFonts w:hint="default"/>
          <w:lang w:val="en-US" w:eastAsia="zh-CN"/>
        </w:rPr>
      </w:pPr>
      <w:r>
        <w:rPr>
          <w:rFonts w:hint="eastAsia"/>
          <w:lang w:val="en-US" w:eastAsia="zh-CN"/>
        </w:rPr>
        <w:t>①</w:t>
      </w:r>
      <w:r>
        <w:rPr>
          <w:rFonts w:hint="default"/>
          <w:lang w:val="en-US" w:eastAsia="zh-CN"/>
        </w:rPr>
        <w:t>采矿方法的选择合理性</w:t>
      </w:r>
    </w:p>
    <w:p w14:paraId="3A0CABCE">
      <w:pPr>
        <w:pStyle w:val="21"/>
        <w:bidi w:val="0"/>
        <w:rPr>
          <w:rFonts w:hint="default"/>
          <w:lang w:val="en-US" w:eastAsia="zh-CN"/>
        </w:rPr>
      </w:pPr>
      <w:r>
        <w:rPr>
          <w:rFonts w:hint="default"/>
          <w:lang w:val="en-US" w:eastAsia="zh-CN"/>
        </w:rPr>
        <w:t>根据《国家矿山安全监察局关于印发&lt;关于加强非煤矿山安全生产工作的指导意见&gt;的通知》（矿安〔2022〕4号），新建金属非金属地下矿山应当采用充填采矿法，不能采用的要进行严格论证。</w:t>
      </w:r>
    </w:p>
    <w:p w14:paraId="2C74C3BE">
      <w:pPr>
        <w:pStyle w:val="21"/>
        <w:bidi w:val="0"/>
        <w:rPr>
          <w:rFonts w:hint="eastAsia"/>
          <w:lang w:val="en-US" w:eastAsia="zh-CN"/>
        </w:rPr>
      </w:pPr>
      <w:r>
        <w:rPr>
          <w:rFonts w:hint="default"/>
          <w:lang w:val="en-US" w:eastAsia="zh-CN"/>
        </w:rPr>
        <w:t>矿体顶底界面围岩均为鞍山群大峪沟组，岩性有石榴石英黑云片岩、透闪片岩、二云石英岩、硅化中细粒二长花岗岩、二云斜长变粒岩、矽线石英白云母片岩等。石榴石英黑云片岩、透闪片岩、二云石英岩、是近矿围岩。Fe1号矿体顶板岩石为二云石英岩，底板为透闪片岩；Fe2-1号矿体顶板岩石为石榴石英黑云片岩，底板为磁铁石英岩（夹石）；Fe2-2号矿体顶板岩石为石榴石英黑云片岩或磁铁石英岩（夹石），底板为透闪片岩；Fe3-1、Fe3-2号矿体顶板岩石为透闪片岩，底板为二云石英岩。</w:t>
      </w:r>
      <w:r>
        <w:rPr>
          <w:rFonts w:hint="eastAsia"/>
          <w:lang w:val="en-US" w:eastAsia="zh-CN"/>
        </w:rPr>
        <w:t>《可研报告》</w:t>
      </w:r>
      <w:r>
        <w:rPr>
          <w:rFonts w:hint="default"/>
          <w:lang w:val="en-US" w:eastAsia="zh-CN"/>
        </w:rPr>
        <w:t>设计采用</w:t>
      </w:r>
      <w:r>
        <w:rPr>
          <w:rFonts w:hint="eastAsia"/>
          <w:highlight w:val="none"/>
          <w:lang w:val="en-US" w:eastAsia="zh-CN"/>
        </w:rPr>
        <w:t>浅孔留矿嗣后充填采矿法和分段空场嗣后充填采矿法</w:t>
      </w:r>
      <w:r>
        <w:rPr>
          <w:rFonts w:hint="eastAsia"/>
          <w:lang w:val="en-US" w:eastAsia="zh-CN"/>
        </w:rPr>
        <w:t>。依据《冶金矿山采矿设计规范》，《可研报告》选用的采矿方法合理。</w:t>
      </w:r>
    </w:p>
    <w:p w14:paraId="25621063">
      <w:pPr>
        <w:pStyle w:val="21"/>
        <w:bidi w:val="0"/>
        <w:rPr>
          <w:rFonts w:hint="eastAsia"/>
          <w:lang w:val="en-US" w:eastAsia="zh-CN"/>
        </w:rPr>
      </w:pPr>
      <w:r>
        <w:rPr>
          <w:rFonts w:hint="eastAsia"/>
          <w:lang w:val="en-US" w:eastAsia="zh-CN"/>
        </w:rPr>
        <w:t>②回采顺序</w:t>
      </w:r>
    </w:p>
    <w:p w14:paraId="476EF447">
      <w:pPr>
        <w:pStyle w:val="21"/>
        <w:bidi w:val="0"/>
        <w:rPr>
          <w:rFonts w:hint="default"/>
          <w:lang w:val="en-US" w:eastAsia="zh-CN"/>
        </w:rPr>
      </w:pPr>
      <w:r>
        <w:rPr>
          <w:rFonts w:hint="eastAsia"/>
          <w:lang w:val="en-US" w:eastAsia="zh-CN"/>
        </w:rPr>
        <w:t>《可研报告》明确</w:t>
      </w:r>
      <w:r>
        <w:rPr>
          <w:rFonts w:hint="default"/>
          <w:lang w:val="en-US" w:eastAsia="zh-CN"/>
        </w:rPr>
        <w:t>整个矿床分中段由下而上按中段依次开采；中段采用后退式回采；平行矿体先采上盘矿体，后采下盘矿体。</w:t>
      </w:r>
    </w:p>
    <w:p w14:paraId="039273B3">
      <w:pPr>
        <w:pStyle w:val="21"/>
        <w:bidi w:val="0"/>
        <w:rPr>
          <w:rFonts w:hint="default"/>
          <w:lang w:val="en-US" w:eastAsia="zh-CN"/>
        </w:rPr>
      </w:pPr>
      <w:r>
        <w:rPr>
          <w:rFonts w:hint="default"/>
          <w:lang w:val="en-US" w:eastAsia="zh-CN"/>
        </w:rPr>
        <w:t>设计采用上行式开采顺序，分期开采。一期首采中段为-300m中段，二期首采中段为-450m中段。</w:t>
      </w:r>
    </w:p>
    <w:p w14:paraId="4B6AC39A">
      <w:pPr>
        <w:pStyle w:val="21"/>
        <w:bidi w:val="0"/>
        <w:rPr>
          <w:rFonts w:hint="eastAsia"/>
          <w:lang w:val="en-US" w:eastAsia="zh-CN"/>
        </w:rPr>
      </w:pPr>
      <w:r>
        <w:rPr>
          <w:rFonts w:hint="eastAsia"/>
          <w:lang w:val="en-US" w:eastAsia="zh-CN"/>
        </w:rPr>
        <w:t>③采场结构参数</w:t>
      </w:r>
    </w:p>
    <w:p w14:paraId="27653FE3">
      <w:pPr>
        <w:pStyle w:val="21"/>
        <w:bidi w:val="0"/>
        <w:rPr>
          <w:rFonts w:hint="default"/>
          <w:lang w:val="en-US" w:eastAsia="zh-CN"/>
        </w:rPr>
      </w:pPr>
      <w:r>
        <w:rPr>
          <w:rFonts w:hint="eastAsia"/>
          <w:lang w:val="en-US" w:eastAsia="zh-CN"/>
        </w:rPr>
        <w:t>《可研报告》</w:t>
      </w:r>
      <w:r>
        <w:rPr>
          <w:rFonts w:hint="default"/>
          <w:lang w:val="en-US" w:eastAsia="zh-CN"/>
        </w:rPr>
        <w:t>设计采用浅孔留矿嗣后废石充填采矿法</w:t>
      </w:r>
      <w:r>
        <w:rPr>
          <w:rFonts w:hint="eastAsia"/>
          <w:lang w:val="en-US" w:eastAsia="zh-CN"/>
        </w:rPr>
        <w:t>和分段空场嗣后充填采矿法回采工艺。明确</w:t>
      </w:r>
      <w:r>
        <w:rPr>
          <w:rFonts w:hint="default"/>
          <w:lang w:val="en-US" w:eastAsia="zh-CN"/>
        </w:rPr>
        <w:t>浅孔留矿嗣后废石充填采矿法</w:t>
      </w:r>
      <w:r>
        <w:rPr>
          <w:rFonts w:hint="eastAsia"/>
          <w:lang w:val="en-US" w:eastAsia="zh-CN"/>
        </w:rPr>
        <w:t>矿块沿走向布置，矿块高度50m，不留顶底柱</w:t>
      </w:r>
      <w:r>
        <w:rPr>
          <w:rFonts w:hint="default"/>
          <w:lang w:val="en-US" w:eastAsia="zh-CN"/>
        </w:rPr>
        <w:t>，一步采矿块长20m，二步采矿块长40m，装矿进路间距为9m。两矿块间下盘布置采准天井，天井供行人、通风。</w:t>
      </w:r>
      <w:r>
        <w:rPr>
          <w:rFonts w:hint="eastAsia"/>
          <w:lang w:val="en-US" w:eastAsia="zh-CN"/>
        </w:rPr>
        <w:t>明确分段空场嗣后充填采矿法回采工艺，</w:t>
      </w:r>
      <w:r>
        <w:rPr>
          <w:rFonts w:hint="eastAsia"/>
        </w:rPr>
        <w:t>中厚矿体</w:t>
      </w:r>
      <w:r>
        <w:rPr>
          <w:rFonts w:hint="eastAsia"/>
          <w:lang w:eastAsia="zh-CN"/>
        </w:rPr>
        <w:t>（</w:t>
      </w:r>
      <w:r>
        <w:rPr>
          <w:rFonts w:hint="eastAsia"/>
          <w:lang w:val="en-US" w:eastAsia="zh-CN"/>
        </w:rPr>
        <w:t>水平厚度5～15m</w:t>
      </w:r>
      <w:r>
        <w:rPr>
          <w:rFonts w:hint="eastAsia"/>
          <w:lang w:eastAsia="zh-CN"/>
        </w:rPr>
        <w:t>）</w:t>
      </w:r>
      <w:r>
        <w:rPr>
          <w:rFonts w:hint="eastAsia"/>
        </w:rPr>
        <w:t>矿块沿走向布置，矿块高</w:t>
      </w:r>
      <w:r>
        <w:rPr>
          <w:rFonts w:hint="eastAsia"/>
          <w:lang w:val="en-US" w:eastAsia="zh-CN"/>
        </w:rPr>
        <w:t>50</w:t>
      </w:r>
      <w:r>
        <w:rPr>
          <w:rFonts w:hint="eastAsia"/>
        </w:rPr>
        <w:t>m，矿块宽为矿体厚度，一步采矿块长</w:t>
      </w:r>
      <w:r>
        <w:rPr>
          <w:rFonts w:hint="eastAsia"/>
          <w:lang w:val="en-US" w:eastAsia="zh-CN"/>
        </w:rPr>
        <w:t>4</w:t>
      </w:r>
      <w:r>
        <w:rPr>
          <w:rFonts w:hint="eastAsia"/>
        </w:rPr>
        <w:t>0m，二步采矿块长</w:t>
      </w:r>
      <w:r>
        <w:rPr>
          <w:rFonts w:hint="eastAsia"/>
          <w:lang w:val="en-US" w:eastAsia="zh-CN"/>
        </w:rPr>
        <w:t>2</w:t>
      </w:r>
      <w:r>
        <w:rPr>
          <w:rFonts w:hint="eastAsia"/>
        </w:rPr>
        <w:t>0m，每1</w:t>
      </w:r>
      <w:r>
        <w:rPr>
          <w:rFonts w:hint="eastAsia"/>
          <w:lang w:val="en-US" w:eastAsia="zh-CN"/>
        </w:rPr>
        <w:t>2</w:t>
      </w:r>
      <w:r>
        <w:rPr>
          <w:rFonts w:hint="eastAsia"/>
        </w:rPr>
        <w:t>0m设一条矿石溜井和通风天井，凿岩分段高度</w:t>
      </w:r>
      <w:r>
        <w:rPr>
          <w:rFonts w:hint="eastAsia"/>
          <w:lang w:val="en-US" w:eastAsia="zh-CN"/>
        </w:rPr>
        <w:t>25</w:t>
      </w:r>
      <w:r>
        <w:rPr>
          <w:rFonts w:hint="eastAsia"/>
        </w:rPr>
        <w:t>m。厚矿体</w:t>
      </w:r>
      <w:r>
        <w:rPr>
          <w:rFonts w:hint="eastAsia"/>
          <w:lang w:eastAsia="zh-CN"/>
        </w:rPr>
        <w:t>（</w:t>
      </w:r>
      <w:r>
        <w:rPr>
          <w:rFonts w:hint="eastAsia"/>
          <w:lang w:val="en-US" w:eastAsia="zh-CN"/>
        </w:rPr>
        <w:t>水平厚度＞15m</w:t>
      </w:r>
      <w:r>
        <w:rPr>
          <w:rFonts w:hint="eastAsia"/>
          <w:lang w:eastAsia="zh-CN"/>
        </w:rPr>
        <w:t>）</w:t>
      </w:r>
      <w:r>
        <w:rPr>
          <w:rFonts w:hint="eastAsia"/>
        </w:rPr>
        <w:t>矿块垂直走向布置，一步采和二步采的矿块尺寸相同，矿块高</w:t>
      </w:r>
      <w:r>
        <w:rPr>
          <w:rFonts w:hint="eastAsia"/>
          <w:lang w:val="en-US" w:eastAsia="zh-CN"/>
        </w:rPr>
        <w:t>50</w:t>
      </w:r>
      <w:r>
        <w:rPr>
          <w:rFonts w:hint="eastAsia"/>
        </w:rPr>
        <w:t>m，矿块宽</w:t>
      </w:r>
      <w:r>
        <w:rPr>
          <w:rFonts w:hint="eastAsia"/>
          <w:lang w:val="en-US" w:eastAsia="zh-CN"/>
        </w:rPr>
        <w:t>15</w:t>
      </w:r>
      <w:r>
        <w:rPr>
          <w:rFonts w:hint="eastAsia"/>
        </w:rPr>
        <w:t>m，矿块长为矿体厚度，每</w:t>
      </w:r>
      <w:r>
        <w:rPr>
          <w:rFonts w:hint="eastAsia"/>
          <w:lang w:val="en-US" w:eastAsia="zh-CN"/>
        </w:rPr>
        <w:t>120</w:t>
      </w:r>
      <w:r>
        <w:rPr>
          <w:rFonts w:hint="eastAsia"/>
        </w:rPr>
        <w:t>m设一条矿石溜井和通风天井，凿岩分段高度</w:t>
      </w:r>
      <w:r>
        <w:rPr>
          <w:rFonts w:hint="eastAsia"/>
          <w:lang w:val="en-US" w:eastAsia="zh-CN"/>
        </w:rPr>
        <w:t>25</w:t>
      </w:r>
      <w:r>
        <w:rPr>
          <w:rFonts w:hint="eastAsia"/>
        </w:rPr>
        <w:t>m</w:t>
      </w:r>
      <w:r>
        <w:rPr>
          <w:rFonts w:hint="eastAsia"/>
          <w:lang w:eastAsia="zh-CN"/>
        </w:rPr>
        <w:t>。</w:t>
      </w:r>
    </w:p>
    <w:p w14:paraId="04E1B0EC">
      <w:pPr>
        <w:pStyle w:val="21"/>
        <w:bidi w:val="0"/>
        <w:rPr>
          <w:rFonts w:hint="default"/>
          <w:lang w:val="en-US" w:eastAsia="zh-CN"/>
        </w:rPr>
      </w:pPr>
      <w:r>
        <w:rPr>
          <w:rFonts w:hint="eastAsia"/>
          <w:lang w:val="en-US" w:eastAsia="zh-CN"/>
        </w:rPr>
        <w:t>④采场充填</w:t>
      </w:r>
    </w:p>
    <w:p w14:paraId="5A9DF6A4">
      <w:pPr>
        <w:pStyle w:val="21"/>
        <w:bidi w:val="0"/>
        <w:rPr>
          <w:rFonts w:hint="default"/>
          <w:lang w:val="en-US" w:eastAsia="zh-CN"/>
        </w:rPr>
      </w:pPr>
      <w:r>
        <w:rPr>
          <w:rFonts w:hint="default"/>
          <w:lang w:val="en-US" w:eastAsia="zh-CN"/>
        </w:rPr>
        <w:t>每个矿房待单次回采出矿完成后，立即进行胶结充填，灰砂比为1：6。待两面矿房胶结充填体达到强度后，矿柱用回采矿房的方式进行回采。矿柱底部、中部采用1：15的充填料胶结充填，矿柱顶部2m采用灰砂比1：6的充填料充填，以利于上中段回采时无轨设备行走和铲装。充填料的灰砂比可根据生产实践进行调整。</w:t>
      </w:r>
    </w:p>
    <w:p w14:paraId="5F8D2654">
      <w:pPr>
        <w:pStyle w:val="21"/>
        <w:bidi w:val="0"/>
      </w:pPr>
      <w:r>
        <w:rPr>
          <w:rFonts w:hint="eastAsia"/>
        </w:rPr>
        <w:t>评价组认为建设单位若严格按照设计施工，采用胶结充填采矿法可保证采场稳定和地表需保护的建（构）筑安全。</w:t>
      </w:r>
    </w:p>
    <w:p w14:paraId="0E5ECBEB">
      <w:pPr>
        <w:pStyle w:val="21"/>
        <w:bidi w:val="0"/>
        <w:rPr>
          <w:rFonts w:hint="eastAsia"/>
        </w:rPr>
      </w:pPr>
      <w:r>
        <w:rPr>
          <w:rFonts w:hint="eastAsia"/>
          <w:lang w:val="en-US" w:eastAsia="zh-CN"/>
        </w:rPr>
        <w:t>④</w:t>
      </w:r>
      <w:r>
        <w:rPr>
          <w:rFonts w:hint="eastAsia"/>
        </w:rPr>
        <w:t>采空区处理措施安全可靠性评价</w:t>
      </w:r>
    </w:p>
    <w:p w14:paraId="7269EACB">
      <w:pPr>
        <w:pStyle w:val="21"/>
        <w:bidi w:val="0"/>
        <w:rPr>
          <w:rFonts w:hint="default"/>
          <w:b/>
          <w:bCs/>
          <w:lang w:val="en-US" w:eastAsia="zh-CN"/>
        </w:rPr>
      </w:pPr>
      <w:r>
        <w:rPr>
          <w:rFonts w:hint="default"/>
          <w:b/>
          <w:bCs/>
          <w:lang w:val="en-US" w:eastAsia="zh-CN"/>
        </w:rPr>
        <w:t>原有采空区：</w:t>
      </w:r>
    </w:p>
    <w:p w14:paraId="6E7DA644">
      <w:pPr>
        <w:pStyle w:val="21"/>
        <w:bidi w:val="0"/>
        <w:rPr>
          <w:rFonts w:hint="eastAsia"/>
          <w:lang w:val="en-US" w:eastAsia="zh-CN"/>
        </w:rPr>
      </w:pPr>
      <w:r>
        <w:rPr>
          <w:rFonts w:hint="eastAsia"/>
          <w:lang w:val="en-US" w:eastAsia="zh-CN"/>
        </w:rPr>
        <w:t>根据2025年6月，兰州有色冶金设计研究院有限公司编制的《沈阳浑南矿业有限责任公司沈阳浑南矿业有限责任公司（铁矿）隐蔽致灾因素普查报告》</w:t>
      </w:r>
      <w:r>
        <w:rPr>
          <w:rFonts w:hint="default"/>
          <w:lang w:val="en-US" w:eastAsia="zh-CN"/>
        </w:rPr>
        <w:t>，根据矿山实测图及物探探查结果，目前井下没有采空区，矿山历史开采采用的是无底柱分段崩落采矿法。</w:t>
      </w:r>
    </w:p>
    <w:p w14:paraId="112FAB01">
      <w:pPr>
        <w:pStyle w:val="21"/>
        <w:bidi w:val="0"/>
        <w:rPr>
          <w:rFonts w:hint="default"/>
          <w:b/>
          <w:bCs/>
          <w:lang w:val="en-US" w:eastAsia="zh-CN"/>
        </w:rPr>
      </w:pPr>
      <w:r>
        <w:rPr>
          <w:rFonts w:hint="default"/>
          <w:b/>
          <w:bCs/>
          <w:lang w:val="en-US" w:eastAsia="zh-CN"/>
        </w:rPr>
        <w:t>新形成采空区：</w:t>
      </w:r>
    </w:p>
    <w:p w14:paraId="39B1F36F">
      <w:pPr>
        <w:pStyle w:val="21"/>
        <w:bidi w:val="0"/>
        <w:rPr>
          <w:rFonts w:hint="default"/>
          <w:lang w:val="en-US" w:eastAsia="zh-CN"/>
        </w:rPr>
      </w:pPr>
      <w:r>
        <w:rPr>
          <w:rFonts w:hint="default"/>
          <w:lang w:val="en-US" w:eastAsia="zh-CN"/>
        </w:rPr>
        <w:t>每个矿房待单次回采出矿完成后，立即进行胶结充填，灰砂比为1：6。待两面矿房胶结充填体达到强度后，矿柱用回采矿房的方式进行回采。矿柱底部、中部采用1：15的充填料胶结充填，矿柱顶部2m采用灰砂比1：6的充填料充填，以利于上中段回采时无轨设备行走和铲装。充填料的灰砂比可根据生产实践进行调整。</w:t>
      </w:r>
    </w:p>
    <w:p w14:paraId="437D5BFF">
      <w:pPr>
        <w:pStyle w:val="21"/>
        <w:bidi w:val="0"/>
        <w:rPr>
          <w:rFonts w:hint="default"/>
          <w:lang w:val="en-US" w:eastAsia="zh-CN"/>
        </w:rPr>
      </w:pPr>
      <w:r>
        <w:rPr>
          <w:rFonts w:hint="default"/>
          <w:lang w:val="en-US" w:eastAsia="zh-CN"/>
        </w:rPr>
        <w:t>《可研报告》采空区处理方式为“充填”，符合《国家矿山安全监察局关于印发&lt;关于加强非煤矿山安全生产工作的指导意见&gt;的通知（矿安〔2022〕4号）》以及《中共中央办公厅 国务院办公厅关于进一步加强矿山安全生产工作的意见》要求，新建、改扩建金属非金属地下矿山原则上采用充填采矿法</w:t>
      </w:r>
      <w:r>
        <w:rPr>
          <w:rFonts w:hint="eastAsia"/>
          <w:lang w:val="en-US" w:eastAsia="zh-CN"/>
        </w:rPr>
        <w:t>的要求</w:t>
      </w:r>
      <w:r>
        <w:rPr>
          <w:rFonts w:hint="default"/>
          <w:lang w:val="en-US" w:eastAsia="zh-CN"/>
        </w:rPr>
        <w:t>。</w:t>
      </w:r>
    </w:p>
    <w:p w14:paraId="4BD3CE34">
      <w:pPr>
        <w:pStyle w:val="21"/>
        <w:bidi w:val="0"/>
        <w:rPr>
          <w:rFonts w:hint="eastAsia"/>
        </w:rPr>
      </w:pPr>
      <w:r>
        <w:t>建设单位在以后施工及生产中，若严格按照设计布置矿块参数</w:t>
      </w:r>
      <w:r>
        <w:rPr>
          <w:rFonts w:hint="eastAsia"/>
        </w:rPr>
        <w:t>和充填工作</w:t>
      </w:r>
      <w:r>
        <w:t>，严格按照</w:t>
      </w:r>
      <w:r>
        <w:rPr>
          <w:rFonts w:hint="eastAsia"/>
        </w:rPr>
        <w:t>《可研报告》提出的措施</w:t>
      </w:r>
      <w:r>
        <w:t>及时妥善的处理采空区，能够把采空区对采矿工作的影响控制在可接受范围内，而且可以较好的避免采空区地压灾害的发生。</w:t>
      </w:r>
    </w:p>
    <w:p w14:paraId="27469C2C">
      <w:pPr>
        <w:pStyle w:val="29"/>
        <w:bidi w:val="0"/>
        <w:rPr>
          <w:rFonts w:hint="default"/>
          <w:lang w:val="en-US" w:eastAsia="zh-CN"/>
        </w:rPr>
      </w:pPr>
      <w:r>
        <w:rPr>
          <w:rFonts w:hint="default"/>
          <w:lang w:val="en-US" w:eastAsia="zh-CN"/>
        </w:rPr>
        <w:t>评价结果小结</w:t>
      </w:r>
    </w:p>
    <w:p w14:paraId="09902E1D">
      <w:pPr>
        <w:pStyle w:val="21"/>
        <w:bidi w:val="0"/>
        <w:rPr>
          <w:rFonts w:hint="eastAsia"/>
        </w:rPr>
      </w:pPr>
      <w:r>
        <w:rPr>
          <w:rFonts w:hint="eastAsia"/>
        </w:rPr>
        <w:t>通过以上对采掘单元评价，建设单位只要严格落实可行性研究报告及本预评价提出的安全对策措施，则《可研报告》设计的采掘系统在安全上是合理可行的。</w:t>
      </w:r>
    </w:p>
    <w:p w14:paraId="2190459B">
      <w:pPr>
        <w:pStyle w:val="28"/>
        <w:bidi w:val="0"/>
        <w:rPr>
          <w:rFonts w:hint="default"/>
          <w:lang w:val="en-US" w:eastAsia="zh-CN"/>
        </w:rPr>
      </w:pPr>
      <w:bookmarkStart w:id="32" w:name="_Toc29701"/>
      <w:r>
        <w:rPr>
          <w:rFonts w:hint="eastAsia"/>
          <w:lang w:val="en-US" w:eastAsia="zh-CN"/>
        </w:rPr>
        <w:t>通风防尘评价</w:t>
      </w:r>
      <w:bookmarkEnd w:id="32"/>
    </w:p>
    <w:p w14:paraId="21D3672B">
      <w:pPr>
        <w:pStyle w:val="29"/>
        <w:rPr>
          <w:rFonts w:hint="default"/>
          <w:lang w:val="en-US" w:eastAsia="zh-CN"/>
        </w:rPr>
      </w:pPr>
      <w:r>
        <w:rPr>
          <w:rFonts w:hint="default"/>
          <w:lang w:val="en-US" w:eastAsia="zh-CN"/>
        </w:rPr>
        <w:t>危险、有害因素辨识</w:t>
      </w:r>
    </w:p>
    <w:p w14:paraId="4867C34E">
      <w:pPr>
        <w:snapToGrid w:val="0"/>
        <w:spacing w:line="360" w:lineRule="auto"/>
        <w:ind w:firstLine="560" w:firstLineChars="200"/>
        <w:jc w:val="left"/>
        <w:rPr>
          <w:rFonts w:ascii="Times New Roman" w:hAnsi="Times New Roman"/>
          <w:caps w:val="0"/>
          <w:smallCaps w:val="0"/>
          <w:color w:val="000000"/>
          <w:sz w:val="28"/>
          <w:szCs w:val="28"/>
        </w:rPr>
      </w:pPr>
      <w:r>
        <w:rPr>
          <w:rFonts w:ascii="Times New Roman" w:hAnsi="Times New Roman"/>
          <w:caps w:val="0"/>
          <w:smallCaps w:val="0"/>
          <w:color w:val="000000"/>
          <w:sz w:val="28"/>
          <w:szCs w:val="28"/>
        </w:rPr>
        <w:t>通风系统存在的主要危险有害因素有：中毒和窒息、机械伤害、粉尘危害等。</w:t>
      </w:r>
    </w:p>
    <w:p w14:paraId="65CB3C17">
      <w:pPr>
        <w:pStyle w:val="21"/>
        <w:numPr>
          <w:ilvl w:val="0"/>
          <w:numId w:val="50"/>
        </w:numPr>
        <w:bidi w:val="0"/>
        <w:rPr>
          <w:rFonts w:hint="default" w:ascii="Times New Roman" w:hAnsi="Times New Roman" w:eastAsia="宋体"/>
          <w:b/>
          <w:bCs/>
          <w:lang w:val="en-US" w:eastAsia="zh-CN"/>
        </w:rPr>
      </w:pPr>
      <w:r>
        <w:rPr>
          <w:rFonts w:hint="default" w:ascii="Times New Roman" w:hAnsi="Times New Roman" w:eastAsia="宋体"/>
          <w:b/>
          <w:bCs/>
          <w:lang w:val="en-US" w:eastAsia="zh-CN"/>
        </w:rPr>
        <w:t>中毒和窒息</w:t>
      </w:r>
    </w:p>
    <w:p w14:paraId="4CD7D8DB">
      <w:pPr>
        <w:pStyle w:val="21"/>
        <w:bidi w:val="0"/>
      </w:pPr>
      <w:r>
        <w:t>矿山井下空气中的有害气体，主要指由爆破产生的一氧化碳、二氧化碳以及氮氧化物等有毒有害气体；井下可燃物燃烧产生的CO和其他有毒气体；地表柴油设备、运输车辆释放的有毒气体。少量的有毒气体主要刺激人的呼吸道系统、皮肤、眼睛等部位。大量的有毒气体会导致中毒窒息事故。</w:t>
      </w:r>
    </w:p>
    <w:p w14:paraId="3DD5A936">
      <w:pPr>
        <w:pStyle w:val="21"/>
        <w:numPr>
          <w:ilvl w:val="0"/>
          <w:numId w:val="50"/>
        </w:numPr>
        <w:bidi w:val="0"/>
        <w:rPr>
          <w:rFonts w:hint="default" w:ascii="Times New Roman" w:hAnsi="Times New Roman" w:eastAsia="宋体"/>
          <w:b/>
          <w:bCs/>
          <w:lang w:val="en-US" w:eastAsia="zh-CN"/>
        </w:rPr>
      </w:pPr>
      <w:r>
        <w:rPr>
          <w:rFonts w:hint="default" w:ascii="Times New Roman" w:hAnsi="Times New Roman" w:eastAsia="宋体"/>
          <w:b/>
          <w:bCs/>
          <w:lang w:val="en-US" w:eastAsia="zh-CN"/>
        </w:rPr>
        <w:t>机械伤害</w:t>
      </w:r>
    </w:p>
    <w:p w14:paraId="0B6AD9EA">
      <w:pPr>
        <w:pStyle w:val="21"/>
        <w:bidi w:val="0"/>
      </w:pPr>
      <w:r>
        <w:t>机械伤害是指机械设备运动</w:t>
      </w:r>
      <w:r>
        <w:rPr>
          <w:rFonts w:hint="eastAsia"/>
        </w:rPr>
        <w:t>（</w:t>
      </w:r>
      <w:r>
        <w:t>静止</w:t>
      </w:r>
      <w:r>
        <w:rPr>
          <w:rFonts w:hint="eastAsia"/>
        </w:rPr>
        <w:t>）</w:t>
      </w:r>
      <w:r>
        <w:t>部件、工具、加工件直接与人体接触引起的夹击、碰撞、剪切、卷入、绞、碾、割、刺等伤害，不包括车辆、起重机械引起的机械伤害。</w:t>
      </w:r>
    </w:p>
    <w:p w14:paraId="429C7CC3">
      <w:pPr>
        <w:pStyle w:val="21"/>
        <w:bidi w:val="0"/>
      </w:pPr>
      <w:r>
        <w:t>该矿山通风机在使用和检修过程中存在着机械伤害的可能性，主要是由于人的违章指挥、违章操作造成的。常见的因素有：</w:t>
      </w:r>
    </w:p>
    <w:p w14:paraId="76BE97A2">
      <w:pPr>
        <w:pStyle w:val="21"/>
        <w:numPr>
          <w:ilvl w:val="0"/>
          <w:numId w:val="5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穿戴不符合安全规定的服装进行操作；</w:t>
      </w:r>
    </w:p>
    <w:p w14:paraId="79021CB9">
      <w:pPr>
        <w:pStyle w:val="21"/>
        <w:numPr>
          <w:ilvl w:val="0"/>
          <w:numId w:val="5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违章操作；</w:t>
      </w:r>
    </w:p>
    <w:p w14:paraId="4695BD78">
      <w:pPr>
        <w:pStyle w:val="21"/>
        <w:numPr>
          <w:ilvl w:val="0"/>
          <w:numId w:val="5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通风机安全防护装置缺乏或损坏、被拆除等，导致事故发生；</w:t>
      </w:r>
    </w:p>
    <w:p w14:paraId="17D823EE">
      <w:pPr>
        <w:pStyle w:val="21"/>
        <w:numPr>
          <w:ilvl w:val="0"/>
          <w:numId w:val="5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操作过程中衣物、头发、工具进入运转机械导致身体被运动机械拖带伤害；</w:t>
      </w:r>
    </w:p>
    <w:p w14:paraId="25670C13">
      <w:pPr>
        <w:pStyle w:val="21"/>
        <w:numPr>
          <w:ilvl w:val="0"/>
          <w:numId w:val="5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操作人员疏忽大意，身体进入机械危险部位；</w:t>
      </w:r>
    </w:p>
    <w:p w14:paraId="0BF90539">
      <w:pPr>
        <w:pStyle w:val="21"/>
        <w:numPr>
          <w:ilvl w:val="0"/>
          <w:numId w:val="5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在检修和正常工作时，机器突然被别人随意启动，导致事故发生；</w:t>
      </w:r>
    </w:p>
    <w:p w14:paraId="5D10F07B">
      <w:pPr>
        <w:pStyle w:val="21"/>
        <w:numPr>
          <w:ilvl w:val="0"/>
          <w:numId w:val="5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安全管理上存在不足。</w:t>
      </w:r>
    </w:p>
    <w:p w14:paraId="5D2D12C6">
      <w:pPr>
        <w:pStyle w:val="21"/>
        <w:numPr>
          <w:ilvl w:val="0"/>
          <w:numId w:val="50"/>
        </w:numPr>
        <w:bidi w:val="0"/>
        <w:rPr>
          <w:rFonts w:hint="default" w:ascii="Times New Roman" w:hAnsi="Times New Roman" w:eastAsia="宋体"/>
          <w:b/>
          <w:bCs/>
          <w:lang w:val="en-US" w:eastAsia="zh-CN"/>
        </w:rPr>
      </w:pPr>
      <w:r>
        <w:rPr>
          <w:rFonts w:hint="default" w:ascii="Times New Roman" w:hAnsi="Times New Roman" w:eastAsia="宋体"/>
          <w:b/>
          <w:bCs/>
          <w:lang w:val="en-US" w:eastAsia="zh-CN"/>
        </w:rPr>
        <w:t>粉尘</w:t>
      </w:r>
    </w:p>
    <w:p w14:paraId="6A7BE47B">
      <w:pPr>
        <w:pStyle w:val="21"/>
        <w:bidi w:val="0"/>
      </w:pPr>
      <w:r>
        <w:t>粉尘是矿物开采或加工过程中产生的细小固体颗粒集合体。常把沉积于器物表面或井巷四壁之上的粉尘称为落尘，悬浮于井巷空间空气中的粉尘称为浮尘。落尘与浮尘在不同风流环境下可以相互转化。粉尘的主要危害是能引起矽肺病，该病是因为长期大量吸入含游离二氧化硅的粉尘引起的，是矿山的一种主要职业病。</w:t>
      </w:r>
    </w:p>
    <w:p w14:paraId="6C39A8AF">
      <w:pPr>
        <w:pStyle w:val="21"/>
        <w:bidi w:val="0"/>
      </w:pPr>
      <w:r>
        <w:t>该项目的粉尘主要来源于：矿岩转运作业等过程，产生大量有害的粉尘，凿岩爆破产生大量的粉尘，如井下通风不良或通风质量达不到要求，易造成粉尘危害。井下主要产尘点分布在采掘工作面、回风道、装矿（废）石巷道、卸矿漏斗等处。</w:t>
      </w:r>
    </w:p>
    <w:p w14:paraId="7EE852CC">
      <w:pPr>
        <w:pStyle w:val="29"/>
        <w:bidi w:val="0"/>
        <w:rPr>
          <w:rFonts w:hint="eastAsia"/>
        </w:rPr>
      </w:pPr>
      <w:r>
        <w:rPr>
          <w:rFonts w:hint="eastAsia"/>
        </w:rPr>
        <w:t>安全分析及符合性评价</w:t>
      </w:r>
    </w:p>
    <w:p w14:paraId="1A702A28">
      <w:pPr>
        <w:pStyle w:val="21"/>
        <w:numPr>
          <w:ilvl w:val="0"/>
          <w:numId w:val="52"/>
        </w:numPr>
        <w:bidi w:val="0"/>
      </w:pPr>
      <w:r>
        <w:rPr>
          <w:rFonts w:hint="eastAsia"/>
        </w:rPr>
        <w:t>预先危险性分析法评价</w:t>
      </w:r>
    </w:p>
    <w:p w14:paraId="54EA00D9">
      <w:pPr>
        <w:pStyle w:val="30"/>
        <w:bidi w:val="0"/>
        <w:rPr>
          <w:rFonts w:hint="eastAsia"/>
        </w:rPr>
      </w:pPr>
      <w:r>
        <w:rPr>
          <w:rFonts w:hint="eastAsia"/>
        </w:rPr>
        <w:t>表3.5-1  通风防尘单元预先危险性分析表</w:t>
      </w:r>
    </w:p>
    <w:tbl>
      <w:tblPr>
        <w:tblStyle w:val="24"/>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551"/>
        <w:gridCol w:w="843"/>
        <w:gridCol w:w="1706"/>
        <w:gridCol w:w="1367"/>
        <w:gridCol w:w="1706"/>
        <w:gridCol w:w="886"/>
        <w:gridCol w:w="552"/>
        <w:gridCol w:w="1790"/>
      </w:tblGrid>
      <w:tr w14:paraId="020C89B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0" w:type="auto"/>
            <w:noWrap w:val="0"/>
            <w:vAlign w:val="center"/>
          </w:tcPr>
          <w:p w14:paraId="5E2C7209">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潜在事故</w:t>
            </w:r>
          </w:p>
        </w:tc>
        <w:tc>
          <w:tcPr>
            <w:tcW w:w="0" w:type="auto"/>
            <w:noWrap w:val="0"/>
            <w:vAlign w:val="center"/>
          </w:tcPr>
          <w:p w14:paraId="7CFC12CD">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危险因素</w:t>
            </w:r>
          </w:p>
        </w:tc>
        <w:tc>
          <w:tcPr>
            <w:tcW w:w="0" w:type="auto"/>
            <w:noWrap w:val="0"/>
            <w:vAlign w:val="center"/>
          </w:tcPr>
          <w:p w14:paraId="6B071DB2">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触发条件（1）</w:t>
            </w:r>
          </w:p>
        </w:tc>
        <w:tc>
          <w:tcPr>
            <w:tcW w:w="0" w:type="auto"/>
            <w:noWrap w:val="0"/>
            <w:vAlign w:val="center"/>
          </w:tcPr>
          <w:p w14:paraId="1B9BF4A4">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发生</w:t>
            </w:r>
          </w:p>
          <w:p w14:paraId="5A4CA919">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条件</w:t>
            </w:r>
          </w:p>
        </w:tc>
        <w:tc>
          <w:tcPr>
            <w:tcW w:w="0" w:type="auto"/>
            <w:noWrap w:val="0"/>
            <w:vAlign w:val="center"/>
          </w:tcPr>
          <w:p w14:paraId="0BCD0E8B">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触发条件（2）</w:t>
            </w:r>
          </w:p>
        </w:tc>
        <w:tc>
          <w:tcPr>
            <w:tcW w:w="0" w:type="auto"/>
            <w:noWrap w:val="0"/>
            <w:vAlign w:val="center"/>
          </w:tcPr>
          <w:p w14:paraId="6F821724">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事故</w:t>
            </w:r>
          </w:p>
          <w:p w14:paraId="62499FAB">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后果</w:t>
            </w:r>
          </w:p>
        </w:tc>
        <w:tc>
          <w:tcPr>
            <w:tcW w:w="0" w:type="auto"/>
            <w:noWrap w:val="0"/>
            <w:vAlign w:val="center"/>
          </w:tcPr>
          <w:p w14:paraId="74E963D3">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危险等级</w:t>
            </w:r>
          </w:p>
        </w:tc>
        <w:tc>
          <w:tcPr>
            <w:tcW w:w="0" w:type="auto"/>
            <w:noWrap w:val="0"/>
            <w:vAlign w:val="center"/>
          </w:tcPr>
          <w:p w14:paraId="1C893480">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防范措施</w:t>
            </w:r>
          </w:p>
        </w:tc>
      </w:tr>
      <w:tr w14:paraId="059E2CA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0" w:type="auto"/>
            <w:noWrap w:val="0"/>
            <w:vAlign w:val="center"/>
          </w:tcPr>
          <w:p w14:paraId="470EBF10">
            <w:pPr>
              <w:tabs>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中毒窒息</w:t>
            </w:r>
          </w:p>
        </w:tc>
        <w:tc>
          <w:tcPr>
            <w:tcW w:w="0" w:type="auto"/>
            <w:noWrap w:val="0"/>
            <w:vAlign w:val="center"/>
          </w:tcPr>
          <w:p w14:paraId="152C95DE">
            <w:pPr>
              <w:tabs>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有害有毒气体</w:t>
            </w:r>
          </w:p>
        </w:tc>
        <w:tc>
          <w:tcPr>
            <w:tcW w:w="0" w:type="auto"/>
            <w:noWrap w:val="0"/>
            <w:vAlign w:val="center"/>
          </w:tcPr>
          <w:p w14:paraId="7BE7755B">
            <w:pPr>
              <w:numPr>
                <w:ilvl w:val="0"/>
                <w:numId w:val="53"/>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没有完善的通风系统</w:t>
            </w:r>
          </w:p>
          <w:p w14:paraId="5E87A3B8">
            <w:pPr>
              <w:numPr>
                <w:ilvl w:val="0"/>
                <w:numId w:val="53"/>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没有在采切工作面和独头巷道配备局扇</w:t>
            </w:r>
          </w:p>
          <w:p w14:paraId="5CCBA628">
            <w:pPr>
              <w:numPr>
                <w:ilvl w:val="0"/>
                <w:numId w:val="53"/>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没有配备主扇</w:t>
            </w:r>
          </w:p>
        </w:tc>
        <w:tc>
          <w:tcPr>
            <w:tcW w:w="0" w:type="auto"/>
            <w:noWrap w:val="0"/>
            <w:vAlign w:val="center"/>
          </w:tcPr>
          <w:p w14:paraId="6A8CDB3E">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人员处于于有害有毒气体场所中</w:t>
            </w:r>
          </w:p>
        </w:tc>
        <w:tc>
          <w:tcPr>
            <w:tcW w:w="0" w:type="auto"/>
            <w:noWrap w:val="0"/>
            <w:vAlign w:val="center"/>
          </w:tcPr>
          <w:p w14:paraId="28CFFAEB">
            <w:pPr>
              <w:numPr>
                <w:ilvl w:val="0"/>
                <w:numId w:val="54"/>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进入独头巷道前没有进行通风</w:t>
            </w:r>
          </w:p>
          <w:p w14:paraId="1BEDEFA2">
            <w:pPr>
              <w:numPr>
                <w:ilvl w:val="0"/>
                <w:numId w:val="54"/>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爆破后过早进入工作面</w:t>
            </w:r>
          </w:p>
          <w:p w14:paraId="4CFFEB5D">
            <w:pPr>
              <w:numPr>
                <w:ilvl w:val="0"/>
                <w:numId w:val="54"/>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爆破后没有经过通风</w:t>
            </w:r>
          </w:p>
          <w:p w14:paraId="00679D2F">
            <w:pPr>
              <w:numPr>
                <w:ilvl w:val="0"/>
                <w:numId w:val="54"/>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人员误入长期不通风的废弃井巷和空区</w:t>
            </w:r>
          </w:p>
        </w:tc>
        <w:tc>
          <w:tcPr>
            <w:tcW w:w="0" w:type="auto"/>
            <w:noWrap w:val="0"/>
            <w:vAlign w:val="center"/>
          </w:tcPr>
          <w:p w14:paraId="537FD2D9">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人员伤亡</w:t>
            </w:r>
          </w:p>
        </w:tc>
        <w:tc>
          <w:tcPr>
            <w:tcW w:w="0" w:type="auto"/>
            <w:noWrap w:val="0"/>
            <w:vAlign w:val="center"/>
          </w:tcPr>
          <w:p w14:paraId="25AE9A90">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Ⅲ级</w:t>
            </w:r>
          </w:p>
        </w:tc>
        <w:tc>
          <w:tcPr>
            <w:tcW w:w="0" w:type="auto"/>
            <w:noWrap w:val="0"/>
            <w:vAlign w:val="center"/>
          </w:tcPr>
          <w:p w14:paraId="21B379BC">
            <w:pPr>
              <w:numPr>
                <w:ilvl w:val="0"/>
                <w:numId w:val="55"/>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设计完善的通风系统</w:t>
            </w:r>
          </w:p>
          <w:p w14:paraId="636F0D76">
            <w:pPr>
              <w:numPr>
                <w:ilvl w:val="0"/>
                <w:numId w:val="55"/>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主扇的供风要满足风量和风压的需要</w:t>
            </w:r>
          </w:p>
          <w:p w14:paraId="5B9F06D0">
            <w:pPr>
              <w:numPr>
                <w:ilvl w:val="0"/>
                <w:numId w:val="55"/>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严禁随意停开主扇</w:t>
            </w:r>
          </w:p>
          <w:p w14:paraId="5EB2F5E2">
            <w:pPr>
              <w:numPr>
                <w:ilvl w:val="0"/>
                <w:numId w:val="55"/>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配备足够的局部通风机</w:t>
            </w:r>
          </w:p>
          <w:p w14:paraId="6DBE72E6">
            <w:pPr>
              <w:numPr>
                <w:ilvl w:val="0"/>
                <w:numId w:val="55"/>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爆破后要进行充分的通风后方可进入工作面</w:t>
            </w:r>
          </w:p>
        </w:tc>
      </w:tr>
      <w:tr w14:paraId="54125EC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0" w:type="auto"/>
            <w:noWrap w:val="0"/>
            <w:vAlign w:val="center"/>
          </w:tcPr>
          <w:p w14:paraId="42AFEB6C">
            <w:pPr>
              <w:tabs>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粉尘危害</w:t>
            </w:r>
          </w:p>
        </w:tc>
        <w:tc>
          <w:tcPr>
            <w:tcW w:w="0" w:type="auto"/>
            <w:noWrap w:val="0"/>
            <w:vAlign w:val="center"/>
          </w:tcPr>
          <w:p w14:paraId="06E57DEC">
            <w:pPr>
              <w:tabs>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生产工艺过程产生的粉尘</w:t>
            </w:r>
          </w:p>
        </w:tc>
        <w:tc>
          <w:tcPr>
            <w:tcW w:w="0" w:type="auto"/>
            <w:noWrap w:val="0"/>
            <w:vAlign w:val="center"/>
          </w:tcPr>
          <w:p w14:paraId="354687F4">
            <w:pPr>
              <w:numPr>
                <w:ilvl w:val="0"/>
                <w:numId w:val="56"/>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凿岩过程</w:t>
            </w:r>
          </w:p>
          <w:p w14:paraId="38548949">
            <w:pPr>
              <w:numPr>
                <w:ilvl w:val="0"/>
                <w:numId w:val="56"/>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爆破过程</w:t>
            </w:r>
          </w:p>
          <w:p w14:paraId="08816D80">
            <w:pPr>
              <w:numPr>
                <w:ilvl w:val="0"/>
                <w:numId w:val="56"/>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运输过程</w:t>
            </w:r>
          </w:p>
        </w:tc>
        <w:tc>
          <w:tcPr>
            <w:tcW w:w="0" w:type="auto"/>
            <w:noWrap w:val="0"/>
            <w:vAlign w:val="center"/>
          </w:tcPr>
          <w:p w14:paraId="13F93DC7">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（1）缺乏个体防护用品（如防尘口罩）</w:t>
            </w:r>
          </w:p>
          <w:p w14:paraId="34D45476">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（2）除尘设备运行故障</w:t>
            </w:r>
          </w:p>
        </w:tc>
        <w:tc>
          <w:tcPr>
            <w:tcW w:w="0" w:type="auto"/>
            <w:noWrap w:val="0"/>
            <w:vAlign w:val="center"/>
          </w:tcPr>
          <w:p w14:paraId="5017CFD6">
            <w:pPr>
              <w:tabs>
                <w:tab w:val="left" w:pos="0"/>
                <w:tab w:val="left" w:pos="516"/>
                <w:tab w:val="left" w:pos="612"/>
              </w:tabs>
              <w:adjustRightInd w:val="0"/>
              <w:snapToGrid w:val="0"/>
              <w:spacing w:line="240" w:lineRule="auto"/>
              <w:ind w:left="-120"/>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（1）操作不当</w:t>
            </w:r>
          </w:p>
          <w:p w14:paraId="730BA949">
            <w:pPr>
              <w:tabs>
                <w:tab w:val="left" w:pos="0"/>
                <w:tab w:val="left" w:pos="516"/>
                <w:tab w:val="left" w:pos="612"/>
              </w:tabs>
              <w:adjustRightInd w:val="0"/>
              <w:snapToGrid w:val="0"/>
              <w:spacing w:line="240" w:lineRule="auto"/>
              <w:ind w:left="-120"/>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（2）除尘设备维护不及时、维修不及时</w:t>
            </w:r>
          </w:p>
          <w:p w14:paraId="6F0DAC32">
            <w:pPr>
              <w:tabs>
                <w:tab w:val="left" w:pos="0"/>
                <w:tab w:val="left" w:pos="516"/>
                <w:tab w:val="left" w:pos="612"/>
              </w:tabs>
              <w:adjustRightInd w:val="0"/>
              <w:snapToGrid w:val="0"/>
              <w:spacing w:line="240" w:lineRule="auto"/>
              <w:ind w:left="-120"/>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（3）清灰不及时，二次扬尘个体防护不好</w:t>
            </w:r>
          </w:p>
        </w:tc>
        <w:tc>
          <w:tcPr>
            <w:tcW w:w="0" w:type="auto"/>
            <w:noWrap w:val="0"/>
            <w:vAlign w:val="center"/>
          </w:tcPr>
          <w:p w14:paraId="5EFC04BF">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职业病，如尘肺病</w:t>
            </w:r>
          </w:p>
        </w:tc>
        <w:tc>
          <w:tcPr>
            <w:tcW w:w="0" w:type="auto"/>
            <w:noWrap w:val="0"/>
            <w:vAlign w:val="center"/>
          </w:tcPr>
          <w:p w14:paraId="4CD05859">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Ⅱ级</w:t>
            </w:r>
          </w:p>
        </w:tc>
        <w:tc>
          <w:tcPr>
            <w:tcW w:w="0" w:type="auto"/>
            <w:noWrap w:val="0"/>
            <w:vAlign w:val="center"/>
          </w:tcPr>
          <w:p w14:paraId="7CBD9E59">
            <w:pPr>
              <w:numPr>
                <w:ilvl w:val="0"/>
                <w:numId w:val="57"/>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选用优质高效的除尘设备</w:t>
            </w:r>
          </w:p>
          <w:p w14:paraId="7B636D85">
            <w:pPr>
              <w:numPr>
                <w:ilvl w:val="0"/>
                <w:numId w:val="57"/>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要及时维护保养好除尘设备及时更换滤袋</w:t>
            </w:r>
          </w:p>
          <w:p w14:paraId="62A6C9A9">
            <w:pPr>
              <w:numPr>
                <w:ilvl w:val="0"/>
                <w:numId w:val="57"/>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及时清灰防止二次扬尘</w:t>
            </w:r>
          </w:p>
          <w:p w14:paraId="513924DF">
            <w:pPr>
              <w:numPr>
                <w:ilvl w:val="0"/>
                <w:numId w:val="57"/>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培训、学习有关防尘知识提高防护水平</w:t>
            </w:r>
          </w:p>
        </w:tc>
      </w:tr>
    </w:tbl>
    <w:p w14:paraId="150A950B">
      <w:pPr>
        <w:pStyle w:val="21"/>
        <w:bidi w:val="0"/>
      </w:pPr>
      <w:r>
        <w:rPr>
          <w:rFonts w:hint="eastAsia"/>
        </w:rPr>
        <w:t>由于通风系统的不完善造成中毒窒息事故，在地下矿山是比较常见的，其危险程度是“危险的”，必须立即采取重点安全防范措施。</w:t>
      </w:r>
    </w:p>
    <w:p w14:paraId="3F8DF06F">
      <w:pPr>
        <w:pStyle w:val="21"/>
        <w:numPr>
          <w:ilvl w:val="0"/>
          <w:numId w:val="52"/>
        </w:numPr>
        <w:bidi w:val="0"/>
        <w:rPr>
          <w:rFonts w:hint="eastAsia"/>
        </w:rPr>
      </w:pPr>
      <w:bookmarkStart w:id="33" w:name="_Toc331618241"/>
      <w:bookmarkStart w:id="34" w:name="_Toc406688044"/>
      <w:r>
        <w:rPr>
          <w:rFonts w:hint="eastAsia"/>
        </w:rPr>
        <w:t>专家评议法评价</w:t>
      </w:r>
      <w:bookmarkEnd w:id="33"/>
      <w:bookmarkEnd w:id="34"/>
    </w:p>
    <w:p w14:paraId="7D3B0ABF">
      <w:pPr>
        <w:pStyle w:val="21"/>
        <w:bidi w:val="0"/>
        <w:rPr>
          <w:rFonts w:hint="eastAsia"/>
        </w:rPr>
      </w:pPr>
      <w:r>
        <w:rPr>
          <w:rFonts w:hint="eastAsia"/>
        </w:rPr>
        <w:t>《可研报告》明确矿井通风采用对角抽出式通风系统。风机室设在回风井井口。</w:t>
      </w:r>
    </w:p>
    <w:p w14:paraId="46671837">
      <w:pPr>
        <w:pStyle w:val="21"/>
        <w:bidi w:val="0"/>
        <w:rPr>
          <w:rFonts w:hint="eastAsia"/>
          <w:lang w:eastAsia="zh-CN"/>
        </w:rPr>
      </w:pPr>
      <w:r>
        <w:rPr>
          <w:rFonts w:hint="eastAsia"/>
        </w:rPr>
        <w:t>《可研报告》</w:t>
      </w:r>
      <w:r>
        <w:t>根据计算的风量、风压</w:t>
      </w:r>
      <w:r>
        <w:rPr>
          <w:rFonts w:hint="eastAsia"/>
          <w:lang w:eastAsia="zh-CN"/>
        </w:rPr>
        <w:t>，</w:t>
      </w:r>
      <w:r>
        <w:rPr>
          <w:rFonts w:hint="eastAsia" w:cs="仿宋"/>
          <w:caps w:val="0"/>
          <w:smallCaps w:val="0"/>
          <w:color w:val="auto"/>
          <w:szCs w:val="28"/>
          <w:highlight w:val="none"/>
          <w:lang w:val="en-US" w:eastAsia="zh-CN"/>
        </w:rPr>
        <w:t>一期回风井</w:t>
      </w:r>
      <w:r>
        <w:t>选取</w:t>
      </w:r>
      <w:r>
        <w:rPr>
          <w:rFonts w:hint="eastAsia"/>
        </w:rPr>
        <w:t>FKZ№26/250矿用抽出式对旋轴流通风机1台（要求具有安全标志）</w:t>
      </w:r>
      <w:r>
        <w:t>。主要参数：</w:t>
      </w:r>
      <w:r>
        <w:rPr>
          <w:rFonts w:hint="eastAsia"/>
        </w:rPr>
        <w:t>风量75.4～164.2m³/s，全压288～1330Pa，配套电机功率250kW，转速730r/min，可反转反风，可在10分钟内实现反转反风，反风率不小于60%，主扇配置1台备用电机</w:t>
      </w:r>
      <w:r>
        <w:rPr>
          <w:rFonts w:hint="eastAsia"/>
          <w:lang w:eastAsia="zh-CN"/>
        </w:rPr>
        <w:t>。</w:t>
      </w:r>
    </w:p>
    <w:p w14:paraId="2482012E">
      <w:pPr>
        <w:pStyle w:val="21"/>
        <w:bidi w:val="0"/>
        <w:rPr>
          <w:rFonts w:hint="eastAsia"/>
          <w:lang w:eastAsia="zh-CN"/>
        </w:rPr>
      </w:pPr>
      <w:r>
        <w:rPr>
          <w:rFonts w:hint="eastAsia"/>
          <w:lang w:eastAsia="zh-CN"/>
        </w:rPr>
        <w:t>二期风机选择FKZ№21/90矿井轴流式通风机1台（要求具有安全标志）。</w:t>
      </w:r>
      <w:r>
        <w:t>主要参数：</w:t>
      </w:r>
      <w:r>
        <w:rPr>
          <w:rFonts w:hint="eastAsia"/>
          <w:lang w:eastAsia="zh-CN"/>
        </w:rPr>
        <w:t>风量</w:t>
      </w:r>
      <w:r>
        <w:rPr>
          <w:rFonts w:hint="eastAsia"/>
          <w:lang w:val="en-US" w:eastAsia="zh-CN"/>
        </w:rPr>
        <w:t>39.7～86.5m³/s，全压188～867Pa，</w:t>
      </w:r>
      <w:r>
        <w:rPr>
          <w:rFonts w:hint="eastAsia"/>
        </w:rPr>
        <w:t>配套电机功率</w:t>
      </w:r>
      <w:r>
        <w:rPr>
          <w:rFonts w:hint="eastAsia"/>
          <w:lang w:val="en-US" w:eastAsia="zh-CN"/>
        </w:rPr>
        <w:t>90kW</w:t>
      </w:r>
      <w:r>
        <w:rPr>
          <w:rFonts w:hint="eastAsia"/>
        </w:rPr>
        <w:t>，转速</w:t>
      </w:r>
      <w:r>
        <w:rPr>
          <w:rFonts w:hint="eastAsia"/>
          <w:lang w:val="en-US" w:eastAsia="zh-CN"/>
        </w:rPr>
        <w:t>730</w:t>
      </w:r>
      <w:r>
        <w:rPr>
          <w:rFonts w:hint="eastAsia"/>
        </w:rPr>
        <w:t>r/min，可反转反风</w:t>
      </w:r>
      <w:r>
        <w:rPr>
          <w:rFonts w:hint="eastAsia"/>
          <w:lang w:eastAsia="zh-CN"/>
        </w:rPr>
        <w:t>，</w:t>
      </w:r>
      <w:r>
        <w:rPr>
          <w:rFonts w:hint="eastAsia"/>
          <w:lang w:val="en-US" w:eastAsia="zh-CN"/>
        </w:rPr>
        <w:t>可在10分钟内实现反转反风，反风率不小于60%，主扇配置1台备</w:t>
      </w:r>
      <w:r>
        <w:rPr>
          <w:rFonts w:hint="eastAsia"/>
        </w:rPr>
        <w:t>用电机</w:t>
      </w:r>
      <w:r>
        <w:rPr>
          <w:rFonts w:hint="eastAsia"/>
          <w:lang w:eastAsia="zh-CN"/>
        </w:rPr>
        <w:t>。</w:t>
      </w:r>
    </w:p>
    <w:p w14:paraId="65B76F66">
      <w:pPr>
        <w:pStyle w:val="21"/>
        <w:bidi w:val="0"/>
        <w:rPr>
          <w:rFonts w:hint="default"/>
          <w:lang w:val="en-US" w:eastAsia="zh-CN"/>
        </w:rPr>
      </w:pPr>
      <w:r>
        <w:rPr>
          <w:rFonts w:hint="eastAsia"/>
          <w:lang w:val="en-US" w:eastAsia="zh-CN"/>
        </w:rPr>
        <w:t>1、风量验算</w:t>
      </w:r>
    </w:p>
    <w:p w14:paraId="502FABB4">
      <w:pPr>
        <w:pStyle w:val="21"/>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eastAsia"/>
          <w:lang w:val="en-US" w:eastAsia="zh-CN"/>
        </w:rPr>
        <w:t>《可研报告》分别按工作面及硐室计算矿井需风量、按柴油设备需风量计算、</w:t>
      </w:r>
      <w:r>
        <w:rPr>
          <w:rFonts w:hint="eastAsia"/>
        </w:rPr>
        <w:t>按井下最大同时作业人数计算总需风量</w:t>
      </w:r>
      <w:r>
        <w:rPr>
          <w:rFonts w:hint="eastAsia"/>
          <w:lang w:val="en-US" w:eastAsia="zh-CN"/>
        </w:rPr>
        <w:t>，一期需风量结果分别为99m³/s、109</w:t>
      </w:r>
      <w:r>
        <w:rPr>
          <w:rFonts w:hint="default"/>
          <w:lang w:val="en-US" w:eastAsia="zh-CN"/>
        </w:rPr>
        <w:t>m³/s</w:t>
      </w:r>
      <w:r>
        <w:rPr>
          <w:rFonts w:hint="eastAsia"/>
          <w:lang w:val="en-US" w:eastAsia="zh-CN"/>
        </w:rPr>
        <w:t>、2.93</w:t>
      </w:r>
      <w:r>
        <w:rPr>
          <w:rFonts w:hint="default"/>
          <w:lang w:val="en-US" w:eastAsia="zh-CN"/>
        </w:rPr>
        <w:t>m³/s</w:t>
      </w:r>
      <w:r>
        <w:rPr>
          <w:rFonts w:hint="eastAsia"/>
          <w:lang w:val="en-US" w:eastAsia="zh-CN"/>
        </w:rPr>
        <w:t>。因此，井下需风量取最大值109m³/s，二期需风量结果分别为48m³/s、59</w:t>
      </w:r>
      <w:r>
        <w:rPr>
          <w:rFonts w:hint="default"/>
          <w:lang w:val="en-US" w:eastAsia="zh-CN"/>
        </w:rPr>
        <w:t>m³/s</w:t>
      </w:r>
      <w:r>
        <w:rPr>
          <w:rFonts w:hint="eastAsia"/>
          <w:lang w:val="en-US" w:eastAsia="zh-CN"/>
        </w:rPr>
        <w:t>、2.93</w:t>
      </w:r>
      <w:r>
        <w:rPr>
          <w:rFonts w:hint="default"/>
          <w:lang w:val="en-US" w:eastAsia="zh-CN"/>
        </w:rPr>
        <w:t>m³/s</w:t>
      </w:r>
      <w:r>
        <w:rPr>
          <w:rFonts w:hint="eastAsia"/>
          <w:lang w:val="en-US" w:eastAsia="zh-CN"/>
        </w:rPr>
        <w:t>。因此，井下需风量取最大值59m³/s。</w:t>
      </w:r>
    </w:p>
    <w:p w14:paraId="5EABCCFA">
      <w:pPr>
        <w:pStyle w:val="21"/>
        <w:bidi w:val="0"/>
        <w:rPr>
          <w:rFonts w:hint="eastAsia"/>
          <w:lang w:eastAsia="zh-CN"/>
        </w:rPr>
      </w:pPr>
      <w:r>
        <w:rPr>
          <w:rFonts w:hint="eastAsia"/>
          <w:lang w:val="en-US" w:eastAsia="zh-CN"/>
        </w:rPr>
        <w:t>一期</w:t>
      </w:r>
      <w:r>
        <w:rPr>
          <w:rFonts w:hint="eastAsia"/>
        </w:rPr>
        <w:t>井下需风量取最大值</w:t>
      </w:r>
      <w:r>
        <w:rPr>
          <w:rFonts w:hint="eastAsia"/>
          <w:lang w:val="en-US" w:eastAsia="zh-CN"/>
        </w:rPr>
        <w:t>109m³</w:t>
      </w:r>
      <w:r>
        <w:rPr>
          <w:rFonts w:hint="eastAsia"/>
        </w:rPr>
        <w:t>/s。</w:t>
      </w:r>
      <w:r>
        <w:rPr>
          <w:rFonts w:hint="eastAsia"/>
          <w:lang w:val="en-US" w:eastAsia="zh-CN"/>
        </w:rPr>
        <w:t>其中管缆井入风99m³</w:t>
      </w:r>
      <w:r>
        <w:rPr>
          <w:rFonts w:hint="eastAsia"/>
        </w:rPr>
        <w:t>/s</w:t>
      </w:r>
      <w:r>
        <w:rPr>
          <w:rFonts w:hint="eastAsia"/>
          <w:lang w:eastAsia="zh-CN"/>
        </w:rPr>
        <w:t>，</w:t>
      </w:r>
      <w:r>
        <w:rPr>
          <w:rFonts w:hint="eastAsia"/>
          <w:lang w:val="en-US" w:eastAsia="zh-CN"/>
        </w:rPr>
        <w:t>斜坡道入风10m³</w:t>
      </w:r>
      <w:r>
        <w:rPr>
          <w:rFonts w:hint="eastAsia"/>
        </w:rPr>
        <w:t>/s</w:t>
      </w:r>
      <w:r>
        <w:rPr>
          <w:rFonts w:hint="eastAsia"/>
          <w:lang w:eastAsia="zh-CN"/>
        </w:rPr>
        <w:t>。</w:t>
      </w:r>
      <w:r>
        <w:rPr>
          <w:rFonts w:hint="eastAsia"/>
          <w:lang w:val="en-US" w:eastAsia="zh-CN"/>
        </w:rPr>
        <w:t>二期时的最大生产规模为30万t，需风量59m³</w:t>
      </w:r>
      <w:r>
        <w:rPr>
          <w:rFonts w:hint="eastAsia"/>
        </w:rPr>
        <w:t>/s</w:t>
      </w:r>
      <w:r>
        <w:rPr>
          <w:rFonts w:hint="eastAsia"/>
          <w:lang w:val="en-US" w:eastAsia="zh-CN"/>
        </w:rPr>
        <w:t>，其中管缆井入风49m³</w:t>
      </w:r>
      <w:r>
        <w:rPr>
          <w:rFonts w:hint="eastAsia"/>
        </w:rPr>
        <w:t>/s</w:t>
      </w:r>
      <w:r>
        <w:rPr>
          <w:rFonts w:hint="eastAsia"/>
          <w:lang w:eastAsia="zh-CN"/>
        </w:rPr>
        <w:t>，</w:t>
      </w:r>
      <w:r>
        <w:rPr>
          <w:rFonts w:hint="eastAsia"/>
          <w:lang w:val="en-US" w:eastAsia="zh-CN"/>
        </w:rPr>
        <w:t>斜坡道入风10m³</w:t>
      </w:r>
      <w:r>
        <w:rPr>
          <w:rFonts w:hint="eastAsia"/>
        </w:rPr>
        <w:t>/s</w:t>
      </w:r>
      <w:r>
        <w:rPr>
          <w:rFonts w:hint="eastAsia"/>
          <w:lang w:eastAsia="zh-CN"/>
        </w:rPr>
        <w:t>。</w:t>
      </w:r>
    </w:p>
    <w:p w14:paraId="425AB79A">
      <w:pPr>
        <w:pStyle w:val="21"/>
        <w:keepNext w:val="0"/>
        <w:keepLines w:val="0"/>
        <w:pageBreakBefore w:val="0"/>
        <w:widowControl w:val="0"/>
        <w:kinsoku/>
        <w:wordWrap/>
        <w:overflowPunct/>
        <w:topLinePunct w:val="0"/>
        <w:autoSpaceDE/>
        <w:autoSpaceDN/>
        <w:bidi w:val="0"/>
        <w:adjustRightInd w:val="0"/>
        <w:snapToGrid w:val="0"/>
        <w:textAlignment w:val="auto"/>
        <w:rPr>
          <w:rFonts w:hint="eastAsia"/>
          <w:lang w:val="en-US" w:eastAsia="zh-CN"/>
        </w:rPr>
      </w:pPr>
      <w:r>
        <w:rPr>
          <w:rFonts w:hint="eastAsia"/>
          <w:lang w:val="en-US" w:eastAsia="zh-CN"/>
        </w:rPr>
        <w:t>2、通风能力核定</w:t>
      </w:r>
    </w:p>
    <w:p w14:paraId="2B58AEB6">
      <w:pPr>
        <w:pStyle w:val="21"/>
        <w:bidi w:val="0"/>
        <w:rPr>
          <w:rFonts w:hint="eastAsia"/>
          <w:lang w:eastAsia="zh-CN"/>
        </w:rPr>
      </w:pPr>
      <w:r>
        <w:rPr>
          <w:rFonts w:hint="eastAsia"/>
        </w:rPr>
        <w:t>《可研报告》</w:t>
      </w:r>
      <w:r>
        <w:t>根据计算的风量、风压</w:t>
      </w:r>
      <w:r>
        <w:rPr>
          <w:rFonts w:hint="eastAsia"/>
          <w:lang w:eastAsia="zh-CN"/>
        </w:rPr>
        <w:t>，</w:t>
      </w:r>
      <w:r>
        <w:rPr>
          <w:rFonts w:hint="eastAsia" w:cs="仿宋"/>
          <w:caps w:val="0"/>
          <w:smallCaps w:val="0"/>
          <w:color w:val="auto"/>
          <w:szCs w:val="28"/>
          <w:highlight w:val="none"/>
          <w:lang w:val="en-US" w:eastAsia="zh-CN"/>
        </w:rPr>
        <w:t>一期回风井</w:t>
      </w:r>
      <w:r>
        <w:t>选取</w:t>
      </w:r>
      <w:r>
        <w:rPr>
          <w:rFonts w:hint="eastAsia"/>
        </w:rPr>
        <w:t>FKZ№26/250矿用抽出式对旋轴流通风机1台，</w:t>
      </w:r>
      <w:r>
        <w:t>备用</w:t>
      </w:r>
      <w:r>
        <w:rPr>
          <w:rFonts w:hint="eastAsia"/>
        </w:rPr>
        <w:t>1</w:t>
      </w:r>
      <w:r>
        <w:t>台相同型号电动机。主要参数：</w:t>
      </w:r>
      <w:r>
        <w:rPr>
          <w:rFonts w:hint="eastAsia"/>
        </w:rPr>
        <w:t>风量75.4～164.2m³/s，全压288～1330Pa，配套电机功率250kW，转速730r/min，可反转反风，可在10分钟内实现反转反风，反风率不小于60%，主扇配置1台备用电机</w:t>
      </w:r>
      <w:r>
        <w:rPr>
          <w:rFonts w:hint="eastAsia"/>
          <w:lang w:eastAsia="zh-CN"/>
        </w:rPr>
        <w:t>。</w:t>
      </w:r>
    </w:p>
    <w:p w14:paraId="2099E93E">
      <w:pPr>
        <w:pStyle w:val="21"/>
        <w:bidi w:val="0"/>
        <w:rPr>
          <w:rFonts w:hint="eastAsia"/>
          <w:lang w:eastAsia="zh-CN"/>
        </w:rPr>
      </w:pPr>
      <w:r>
        <w:rPr>
          <w:rFonts w:hint="eastAsia"/>
          <w:lang w:eastAsia="zh-CN"/>
        </w:rPr>
        <w:t>二期风机选择FKZ№21/90矿井轴流式通风机1台。</w:t>
      </w:r>
      <w:r>
        <w:t>主要参数：</w:t>
      </w:r>
      <w:r>
        <w:rPr>
          <w:rFonts w:hint="eastAsia"/>
          <w:lang w:eastAsia="zh-CN"/>
        </w:rPr>
        <w:t>风量</w:t>
      </w:r>
      <w:r>
        <w:rPr>
          <w:rFonts w:hint="eastAsia"/>
          <w:lang w:val="en-US" w:eastAsia="zh-CN"/>
        </w:rPr>
        <w:t>39.7～86.5m³/s，全压188～867Pa，</w:t>
      </w:r>
      <w:r>
        <w:rPr>
          <w:rFonts w:hint="eastAsia"/>
        </w:rPr>
        <w:t>配套电机功率</w:t>
      </w:r>
      <w:r>
        <w:rPr>
          <w:rFonts w:hint="eastAsia"/>
          <w:lang w:val="en-US" w:eastAsia="zh-CN"/>
        </w:rPr>
        <w:t>90kW</w:t>
      </w:r>
      <w:r>
        <w:rPr>
          <w:rFonts w:hint="eastAsia"/>
        </w:rPr>
        <w:t>，转速</w:t>
      </w:r>
      <w:r>
        <w:rPr>
          <w:rFonts w:hint="eastAsia"/>
          <w:lang w:val="en-US" w:eastAsia="zh-CN"/>
        </w:rPr>
        <w:t>730</w:t>
      </w:r>
      <w:r>
        <w:rPr>
          <w:rFonts w:hint="eastAsia"/>
        </w:rPr>
        <w:t>r/min，可反转反风</w:t>
      </w:r>
      <w:r>
        <w:rPr>
          <w:rFonts w:hint="eastAsia"/>
          <w:lang w:eastAsia="zh-CN"/>
        </w:rPr>
        <w:t>，</w:t>
      </w:r>
      <w:r>
        <w:rPr>
          <w:rFonts w:hint="eastAsia"/>
          <w:lang w:val="en-US" w:eastAsia="zh-CN"/>
        </w:rPr>
        <w:t>可在10分钟内实现反转反风，反风率不小于60%，主扇配置1台备</w:t>
      </w:r>
      <w:r>
        <w:rPr>
          <w:rFonts w:hint="eastAsia"/>
        </w:rPr>
        <w:t>用电机</w:t>
      </w:r>
      <w:r>
        <w:rPr>
          <w:rFonts w:hint="eastAsia"/>
          <w:lang w:eastAsia="zh-CN"/>
        </w:rPr>
        <w:t>。</w:t>
      </w:r>
    </w:p>
    <w:p w14:paraId="01F949CD">
      <w:pPr>
        <w:pStyle w:val="21"/>
        <w:bidi w:val="0"/>
        <w:rPr>
          <w:rFonts w:hint="default"/>
          <w:lang w:val="en-US" w:eastAsia="zh-CN"/>
        </w:rPr>
      </w:pPr>
      <w:r>
        <w:rPr>
          <w:rFonts w:hint="eastAsia"/>
          <w:lang w:val="en-US" w:eastAsia="zh-CN"/>
        </w:rPr>
        <w:t>《可研报告》矿井通风总阻力计算是按通风最困难时期为准进行计算。由于采区出风井和进风井高差相差均不大，自然风压很小，因此设计通风阻力计算不考虑自然风压的影响。经计算，一期容易时期通风阻力为294Pa，困难时期通风阻力为798Pa。二期容易时期通风阻力为212Pa,困难时期通风阻力为257Pa</w:t>
      </w:r>
      <w:r>
        <w:rPr>
          <w:rFonts w:hint="eastAsia"/>
        </w:rPr>
        <w:t>。</w:t>
      </w:r>
    </w:p>
    <w:p w14:paraId="5FEA5C73">
      <w:pPr>
        <w:pStyle w:val="21"/>
        <w:bidi w:val="0"/>
        <w:rPr>
          <w:rFonts w:hint="eastAsia"/>
        </w:rPr>
      </w:pPr>
      <w:r>
        <w:rPr>
          <w:rFonts w:hint="eastAsia"/>
        </w:rPr>
        <w:t>根据上述计算结果，《可研报告》选取通风机的风压、风量均能够满足要求。</w:t>
      </w:r>
    </w:p>
    <w:p w14:paraId="6E6A31FA">
      <w:pPr>
        <w:pStyle w:val="21"/>
        <w:bidi w:val="0"/>
        <w:rPr>
          <w:rFonts w:hint="eastAsia"/>
        </w:rPr>
      </w:pPr>
      <w:r>
        <w:rPr>
          <w:rFonts w:hint="eastAsia"/>
        </w:rPr>
        <w:t>3</w:t>
      </w:r>
      <w:r>
        <w:rPr>
          <w:rFonts w:hint="eastAsia"/>
          <w:lang w:eastAsia="zh-CN"/>
        </w:rPr>
        <w:t>、</w:t>
      </w:r>
      <w:r>
        <w:rPr>
          <w:rFonts w:hint="eastAsia"/>
        </w:rPr>
        <w:t>通风防尘措施安全可靠性分析</w:t>
      </w:r>
    </w:p>
    <w:p w14:paraId="2F84EE83">
      <w:pPr>
        <w:pStyle w:val="21"/>
        <w:bidi w:val="0"/>
        <w:rPr>
          <w:rFonts w:hint="default"/>
          <w:lang w:val="en-US" w:eastAsia="zh-CN"/>
        </w:rPr>
      </w:pPr>
      <w:r>
        <w:rPr>
          <w:rFonts w:hint="eastAsia"/>
          <w:lang w:val="en-US" w:eastAsia="zh-CN"/>
        </w:rPr>
        <w:t>一期通风系统：</w:t>
      </w:r>
    </w:p>
    <w:p w14:paraId="61FDFB62">
      <w:pPr>
        <w:pStyle w:val="21"/>
        <w:bidi w:val="0"/>
        <w:rPr>
          <w:rFonts w:hint="eastAsia"/>
          <w:lang w:val="en-US" w:eastAsia="zh-CN"/>
        </w:rPr>
      </w:pPr>
      <w:r>
        <w:rPr>
          <w:rFonts w:hint="eastAsia"/>
          <w:lang w:eastAsia="zh-CN"/>
        </w:rPr>
        <w:t>新鲜风量</w:t>
      </w:r>
      <w:r>
        <w:rPr>
          <w:rFonts w:hint="eastAsia"/>
          <w:lang w:val="en-US" w:eastAsia="zh-CN"/>
        </w:rPr>
        <w:t>主要由管缆井</w:t>
      </w:r>
      <w:r>
        <w:rPr>
          <w:rFonts w:hint="default"/>
        </w:rPr>
        <w:t>进入井下</w:t>
      </w:r>
      <w:r>
        <w:rPr>
          <w:rFonts w:hint="eastAsia"/>
          <w:lang w:eastAsia="zh-CN"/>
        </w:rPr>
        <w:t>，</w:t>
      </w:r>
      <w:r>
        <w:rPr>
          <w:rFonts w:hint="eastAsia"/>
          <w:lang w:val="en-US" w:eastAsia="zh-CN"/>
        </w:rPr>
        <w:t>斜坡道辅助入风</w:t>
      </w:r>
      <w:r>
        <w:rPr>
          <w:rFonts w:hint="eastAsia"/>
          <w:lang w:eastAsia="zh-CN"/>
        </w:rPr>
        <w:t>，</w:t>
      </w:r>
      <w:r>
        <w:rPr>
          <w:rFonts w:hint="eastAsia"/>
        </w:rPr>
        <w:t>通过石门、中段运输巷道经通风天井进入各采场内，冲洗工作面后的污风后经回风天井汇入上中段</w:t>
      </w:r>
      <w:r>
        <w:rPr>
          <w:rFonts w:hint="eastAsia"/>
          <w:lang w:val="en-US" w:eastAsia="zh-CN"/>
        </w:rPr>
        <w:t>回风</w:t>
      </w:r>
      <w:r>
        <w:rPr>
          <w:rFonts w:hint="eastAsia"/>
        </w:rPr>
        <w:t>巷道，</w:t>
      </w:r>
      <w:r>
        <w:rPr>
          <w:rFonts w:hint="eastAsia"/>
          <w:lang w:val="en-US" w:eastAsia="zh-CN"/>
        </w:rPr>
        <w:t>污风经设置在回风井的主扇排出地表。</w:t>
      </w:r>
    </w:p>
    <w:p w14:paraId="160E2DEE">
      <w:pPr>
        <w:pStyle w:val="21"/>
        <w:bidi w:val="0"/>
        <w:rPr>
          <w:rFonts w:hint="eastAsia"/>
          <w:lang w:val="en-US" w:eastAsia="zh-CN"/>
        </w:rPr>
      </w:pPr>
      <w:r>
        <w:rPr>
          <w:rFonts w:hint="eastAsia"/>
          <w:lang w:val="en-US" w:eastAsia="zh-CN"/>
        </w:rPr>
        <w:t>二期通风系统：</w:t>
      </w:r>
    </w:p>
    <w:p w14:paraId="40CF8B84">
      <w:pPr>
        <w:pStyle w:val="21"/>
        <w:bidi w:val="0"/>
        <w:rPr>
          <w:rFonts w:hint="eastAsia"/>
          <w:lang w:val="en-US" w:eastAsia="zh-CN"/>
        </w:rPr>
      </w:pPr>
      <w:r>
        <w:rPr>
          <w:rFonts w:hint="eastAsia"/>
          <w:lang w:eastAsia="zh-CN"/>
        </w:rPr>
        <w:t>新鲜风量</w:t>
      </w:r>
      <w:r>
        <w:rPr>
          <w:rFonts w:hint="eastAsia"/>
          <w:lang w:val="en-US" w:eastAsia="zh-CN"/>
        </w:rPr>
        <w:t>主要由管缆井</w:t>
      </w:r>
      <w:r>
        <w:rPr>
          <w:rFonts w:hint="default"/>
        </w:rPr>
        <w:t>进入井下</w:t>
      </w:r>
      <w:r>
        <w:rPr>
          <w:rFonts w:hint="eastAsia"/>
          <w:lang w:eastAsia="zh-CN"/>
        </w:rPr>
        <w:t>，</w:t>
      </w:r>
      <w:r>
        <w:rPr>
          <w:rFonts w:hint="eastAsia"/>
          <w:lang w:val="en-US" w:eastAsia="zh-CN"/>
        </w:rPr>
        <w:t>斜坡道辅助入风，在-300m中段风流通过斜坡道进入二期工程</w:t>
      </w:r>
      <w:r>
        <w:rPr>
          <w:rFonts w:hint="eastAsia"/>
          <w:lang w:eastAsia="zh-CN"/>
        </w:rPr>
        <w:t>，</w:t>
      </w:r>
      <w:r>
        <w:rPr>
          <w:rFonts w:hint="eastAsia"/>
        </w:rPr>
        <w:t>通过石门、中段运输巷道经通风天井进入各采场内，冲洗工作面后的污风后经回风天井汇入上中段</w:t>
      </w:r>
      <w:r>
        <w:rPr>
          <w:rFonts w:hint="eastAsia"/>
          <w:lang w:val="en-US" w:eastAsia="zh-CN"/>
        </w:rPr>
        <w:t>回风</w:t>
      </w:r>
      <w:r>
        <w:rPr>
          <w:rFonts w:hint="eastAsia"/>
        </w:rPr>
        <w:t>巷道，</w:t>
      </w:r>
      <w:r>
        <w:rPr>
          <w:rFonts w:hint="eastAsia"/>
          <w:lang w:val="en-US" w:eastAsia="zh-CN"/>
        </w:rPr>
        <w:t>污风通过倒段回风井，经设置在回风井的主扇排出地表。</w:t>
      </w:r>
    </w:p>
    <w:p w14:paraId="4057868A">
      <w:pPr>
        <w:pStyle w:val="21"/>
        <w:bidi w:val="0"/>
        <w:rPr>
          <w:rFonts w:hint="default"/>
          <w:lang w:val="en-US" w:eastAsia="zh-CN"/>
        </w:rPr>
      </w:pPr>
      <w:r>
        <w:rPr>
          <w:rFonts w:hint="default"/>
          <w:lang w:val="en-US" w:eastAsia="zh-CN"/>
        </w:rPr>
        <w:t>该通风网络结构简单，工程量少，风流稳定，适用于矿体规整的脉状矿床。由矿床地质特征可知，该项目所采矿体均为脉状矿体，矿体连续，厚度变化稳定。故《可研报告》设计的通风网络可行合理</w:t>
      </w:r>
      <w:r>
        <w:rPr>
          <w:rFonts w:hint="eastAsia"/>
          <w:lang w:val="en-US" w:eastAsia="zh-CN"/>
        </w:rPr>
        <w:t>。建设单位应按严格充填并封堵废弃采空区，防止漏风。</w:t>
      </w:r>
    </w:p>
    <w:p w14:paraId="78AF02B0">
      <w:pPr>
        <w:pStyle w:val="21"/>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《可研报告》设计</w:t>
      </w:r>
      <w:r>
        <w:rPr>
          <w:rFonts w:hint="eastAsia"/>
          <w:lang w:val="en-US" w:eastAsia="zh-CN"/>
        </w:rPr>
        <w:t>管缆井、斜坡道</w:t>
      </w:r>
      <w:r>
        <w:rPr>
          <w:rFonts w:hint="default"/>
          <w:lang w:val="en-US" w:eastAsia="zh-CN"/>
        </w:rPr>
        <w:t>、石门、中段运输巷道、人行通风天井、采场风速均满足《金属非金属矿山安全规程》第6.6.16条井巷断面平均风速限值要求。</w:t>
      </w:r>
    </w:p>
    <w:p w14:paraId="781423E4">
      <w:pPr>
        <w:pStyle w:val="21"/>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建设单位每年至少进行一次反风试验，并测定主要风路反风后的风量，应达到正常运转时风量的60％以上。在掘进工作面和通风不良的采场，安装局部通风设备，局扇应有完善的保护装置。评价组建议矿山在凿岩、装矿等特殊作业地点均应保持洒水作业，人员佩戴防护口罩，可以保证井下污风对人员工作的影响控制在可接受范围之内。</w:t>
      </w:r>
    </w:p>
    <w:p w14:paraId="36FF9FF5">
      <w:pPr>
        <w:pStyle w:val="29"/>
        <w:bidi w:val="0"/>
      </w:pPr>
      <w:bookmarkStart w:id="35" w:name="_Toc292396057"/>
      <w:bookmarkStart w:id="36" w:name="_Toc290502850"/>
      <w:bookmarkStart w:id="37" w:name="_Toc27194"/>
      <w:bookmarkStart w:id="38" w:name="_Toc331618242"/>
      <w:bookmarkStart w:id="39" w:name="_Toc30068"/>
      <w:bookmarkStart w:id="40" w:name="_Toc406688045"/>
      <w:bookmarkStart w:id="41" w:name="_Toc19787"/>
      <w:r>
        <w:rPr>
          <w:rFonts w:hint="eastAsia"/>
        </w:rPr>
        <w:t>评价结果小结</w:t>
      </w:r>
      <w:bookmarkEnd w:id="35"/>
      <w:bookmarkEnd w:id="36"/>
      <w:bookmarkEnd w:id="37"/>
      <w:bookmarkEnd w:id="38"/>
      <w:bookmarkEnd w:id="39"/>
      <w:bookmarkEnd w:id="40"/>
      <w:bookmarkEnd w:id="41"/>
    </w:p>
    <w:p w14:paraId="43A45343">
      <w:pPr>
        <w:pStyle w:val="21"/>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通过以上对通风系统的评价，得出结论为：《可研报告》确定的主扇选型满足供风要求。建设单位在以后的施工及生产中，按照落实《可研报告》和本预评价报告提出相应的安全措施，能保证通风系统的安全可靠。</w:t>
      </w:r>
    </w:p>
    <w:p w14:paraId="6ED28D4A">
      <w:pPr>
        <w:pStyle w:val="28"/>
        <w:bidi w:val="0"/>
        <w:rPr>
          <w:rFonts w:hint="default"/>
          <w:lang w:val="en-US" w:eastAsia="zh-CN"/>
        </w:rPr>
      </w:pPr>
      <w:bookmarkStart w:id="42" w:name="_Toc15959"/>
      <w:r>
        <w:rPr>
          <w:rFonts w:hint="default"/>
          <w:lang w:val="en-US" w:eastAsia="zh-CN"/>
        </w:rPr>
        <w:t>矿山电气单元评价</w:t>
      </w:r>
      <w:bookmarkEnd w:id="42"/>
    </w:p>
    <w:p w14:paraId="2B9B2630">
      <w:pPr>
        <w:pStyle w:val="29"/>
        <w:rPr>
          <w:rFonts w:hint="default"/>
          <w:lang w:val="en-US" w:eastAsia="zh-CN"/>
        </w:rPr>
      </w:pPr>
      <w:r>
        <w:rPr>
          <w:rFonts w:hint="default"/>
          <w:lang w:val="en-US" w:eastAsia="zh-CN"/>
        </w:rPr>
        <w:t>危险、有害因素辨识</w:t>
      </w:r>
    </w:p>
    <w:p w14:paraId="6EB80600">
      <w:pPr>
        <w:pStyle w:val="21"/>
        <w:rPr>
          <w:rFonts w:hint="default"/>
          <w:lang w:val="en-US" w:eastAsia="zh-CN"/>
        </w:rPr>
      </w:pPr>
      <w:r>
        <w:rPr>
          <w:rFonts w:hint="default"/>
          <w:lang w:val="en-US" w:eastAsia="zh-CN"/>
        </w:rPr>
        <w:t>供配电设施存在的主要危险有害因素有：触电、火灾、雷击、机械伤害及职业危害等。</w:t>
      </w:r>
    </w:p>
    <w:p w14:paraId="01484D9B">
      <w:pPr>
        <w:pStyle w:val="21"/>
        <w:numPr>
          <w:ilvl w:val="0"/>
          <w:numId w:val="0"/>
        </w:numPr>
        <w:bidi w:val="0"/>
        <w:ind w:leftChars="200"/>
        <w:rPr>
          <w:rFonts w:hint="default"/>
          <w:lang w:val="en-US" w:eastAsia="zh-CN"/>
        </w:rPr>
      </w:pPr>
      <w:r>
        <w:rPr>
          <w:rFonts w:hint="eastAsia"/>
          <w:lang w:val="en-US" w:eastAsia="zh-CN"/>
        </w:rPr>
        <w:t>1、</w:t>
      </w:r>
      <w:r>
        <w:rPr>
          <w:rFonts w:hint="default"/>
          <w:lang w:val="en-US" w:eastAsia="zh-CN"/>
        </w:rPr>
        <w:t>触电</w:t>
      </w:r>
    </w:p>
    <w:p w14:paraId="6A3E0665">
      <w:pPr>
        <w:pStyle w:val="21"/>
        <w:rPr>
          <w:rFonts w:hint="default"/>
          <w:lang w:val="en-US" w:eastAsia="zh-CN"/>
        </w:rPr>
      </w:pPr>
      <w:r>
        <w:rPr>
          <w:rFonts w:hint="default"/>
          <w:lang w:val="en-US" w:eastAsia="zh-CN"/>
        </w:rPr>
        <w:t>矿山企业条件艰苦，作业环境差，容易发生触电事故。引起触电事故的主要原因，除了设备缺陷、设计不周等技术因素外，大部分是由于违章指挥、违章操作引起的，造成触电事故的主要因素：</w:t>
      </w:r>
    </w:p>
    <w:p w14:paraId="2C98FC69">
      <w:pPr>
        <w:pStyle w:val="21"/>
        <w:numPr>
          <w:ilvl w:val="0"/>
          <w:numId w:val="5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 xml:space="preserve">井下爆破冲击波损坏电气线路产生漏电； </w:t>
      </w:r>
    </w:p>
    <w:p w14:paraId="2573FBB6">
      <w:pPr>
        <w:pStyle w:val="21"/>
        <w:numPr>
          <w:ilvl w:val="0"/>
          <w:numId w:val="5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不填写操作票或不执行监护制度，不使用或使用不合格绝缘工具和电气工具；</w:t>
      </w:r>
    </w:p>
    <w:p w14:paraId="7BBD9FFE">
      <w:pPr>
        <w:pStyle w:val="21"/>
        <w:numPr>
          <w:ilvl w:val="0"/>
          <w:numId w:val="5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线路或电气设备工作完毕，未办理工作票终结手续，就对停电设备恢复送电；</w:t>
      </w:r>
    </w:p>
    <w:p w14:paraId="082E043C">
      <w:pPr>
        <w:pStyle w:val="21"/>
        <w:numPr>
          <w:ilvl w:val="0"/>
          <w:numId w:val="5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在带电设备附近进行作业，不符合安全距离或无监护措施；</w:t>
      </w:r>
    </w:p>
    <w:p w14:paraId="40C3382A">
      <w:pPr>
        <w:pStyle w:val="21"/>
        <w:numPr>
          <w:ilvl w:val="0"/>
          <w:numId w:val="5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跨越安全围栏或超越安全警戒线，工作人员走错间隔误碰带电设备，以及在带电设备附近使用钢卷尺等进行测量或携带金属超高物体在带电设备下行走；</w:t>
      </w:r>
    </w:p>
    <w:p w14:paraId="555BD1CF">
      <w:pPr>
        <w:pStyle w:val="21"/>
        <w:numPr>
          <w:ilvl w:val="0"/>
          <w:numId w:val="5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线路磨损、压破绝缘层使外壳带电，设备缺少漏电保护等防护装置；</w:t>
      </w:r>
    </w:p>
    <w:p w14:paraId="4402CB00">
      <w:pPr>
        <w:pStyle w:val="21"/>
        <w:numPr>
          <w:ilvl w:val="0"/>
          <w:numId w:val="5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绝缘胶鞋破损造成绝缘失效，作业者身体或工具碰到带电设备或线路上；</w:t>
      </w:r>
    </w:p>
    <w:p w14:paraId="17C8D9AB">
      <w:pPr>
        <w:pStyle w:val="21"/>
        <w:numPr>
          <w:ilvl w:val="0"/>
          <w:numId w:val="5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缺少标志或标志不明显；</w:t>
      </w:r>
    </w:p>
    <w:p w14:paraId="5A8646B7">
      <w:pPr>
        <w:pStyle w:val="21"/>
        <w:numPr>
          <w:ilvl w:val="0"/>
          <w:numId w:val="5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使用电动工具金属外壳不接地，不戴绝缘手套；</w:t>
      </w:r>
    </w:p>
    <w:p w14:paraId="0D2CECA5">
      <w:pPr>
        <w:pStyle w:val="21"/>
        <w:numPr>
          <w:ilvl w:val="0"/>
          <w:numId w:val="5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在井下采掘运输等、工作面工作不使用安全电压照明；</w:t>
      </w:r>
    </w:p>
    <w:p w14:paraId="49C1BBB0">
      <w:pPr>
        <w:pStyle w:val="21"/>
        <w:numPr>
          <w:ilvl w:val="0"/>
          <w:numId w:val="5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在潮湿地区、金属容器内工作不穿绝缘鞋，无绝缘垫，无监护人；</w:t>
      </w:r>
    </w:p>
    <w:p w14:paraId="67C8878C">
      <w:pPr>
        <w:pStyle w:val="21"/>
        <w:numPr>
          <w:ilvl w:val="0"/>
          <w:numId w:val="5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电气作业的安全管理工作存在漏洞等。</w:t>
      </w:r>
    </w:p>
    <w:p w14:paraId="6379F689">
      <w:pPr>
        <w:pStyle w:val="21"/>
        <w:numPr>
          <w:ilvl w:val="0"/>
          <w:numId w:val="0"/>
        </w:numPr>
        <w:bidi w:val="0"/>
        <w:ind w:leftChars="200"/>
        <w:rPr>
          <w:rFonts w:hint="default"/>
          <w:lang w:val="en-US" w:eastAsia="zh-CN"/>
        </w:rPr>
      </w:pPr>
      <w:r>
        <w:rPr>
          <w:rFonts w:hint="eastAsia"/>
          <w:lang w:val="en-US" w:eastAsia="zh-CN"/>
        </w:rPr>
        <w:t>2、</w:t>
      </w:r>
      <w:r>
        <w:rPr>
          <w:rFonts w:hint="default"/>
          <w:lang w:val="en-US" w:eastAsia="zh-CN"/>
        </w:rPr>
        <w:t>火灾</w:t>
      </w:r>
    </w:p>
    <w:p w14:paraId="37D1577D">
      <w:pPr>
        <w:pStyle w:val="21"/>
        <w:rPr>
          <w:rFonts w:hint="default"/>
          <w:lang w:val="en-US" w:eastAsia="zh-CN"/>
        </w:rPr>
      </w:pPr>
      <w:r>
        <w:rPr>
          <w:rFonts w:hint="default"/>
          <w:lang w:val="en-US" w:eastAsia="zh-CN"/>
        </w:rPr>
        <w:t>造成火灾的主要因素：</w:t>
      </w:r>
    </w:p>
    <w:p w14:paraId="14CE2AEE">
      <w:pPr>
        <w:pStyle w:val="21"/>
        <w:numPr>
          <w:ilvl w:val="0"/>
          <w:numId w:val="5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明火（包括火柴点火、吸烟、明火灯等）所引燃；</w:t>
      </w:r>
    </w:p>
    <w:p w14:paraId="6279ADC4">
      <w:pPr>
        <w:pStyle w:val="21"/>
        <w:numPr>
          <w:ilvl w:val="0"/>
          <w:numId w:val="5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携带易燃品下井；</w:t>
      </w:r>
    </w:p>
    <w:p w14:paraId="64B6789E">
      <w:pPr>
        <w:pStyle w:val="21"/>
        <w:numPr>
          <w:ilvl w:val="0"/>
          <w:numId w:val="5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井下爆破、火药爆炸以及地面井口火灾火焰顺风流进入井下等；</w:t>
      </w:r>
    </w:p>
    <w:p w14:paraId="16AF5A4B">
      <w:pPr>
        <w:pStyle w:val="21"/>
        <w:numPr>
          <w:ilvl w:val="0"/>
          <w:numId w:val="5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电弧、电火花、杂散电流；</w:t>
      </w:r>
    </w:p>
    <w:p w14:paraId="62B2F244">
      <w:pPr>
        <w:pStyle w:val="21"/>
        <w:numPr>
          <w:ilvl w:val="0"/>
          <w:numId w:val="5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电缆、电线、电动机、电钻等电器设备损坏、漏电、失爆、短路或超负荷运行引起火灾；</w:t>
      </w:r>
    </w:p>
    <w:p w14:paraId="2645A333">
      <w:pPr>
        <w:pStyle w:val="21"/>
        <w:numPr>
          <w:ilvl w:val="0"/>
          <w:numId w:val="5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保险丝（片）选用不当；</w:t>
      </w:r>
    </w:p>
    <w:p w14:paraId="48378601">
      <w:pPr>
        <w:pStyle w:val="21"/>
        <w:numPr>
          <w:ilvl w:val="0"/>
          <w:numId w:val="5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开关及配电箱内油料着火；</w:t>
      </w:r>
    </w:p>
    <w:p w14:paraId="3F741776">
      <w:pPr>
        <w:pStyle w:val="21"/>
        <w:numPr>
          <w:ilvl w:val="0"/>
          <w:numId w:val="5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机械作用（包括摩擦、震动冲击等）所引起；</w:t>
      </w:r>
    </w:p>
    <w:p w14:paraId="5B8B0243">
      <w:pPr>
        <w:pStyle w:val="21"/>
        <w:numPr>
          <w:ilvl w:val="0"/>
          <w:numId w:val="5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电器设备（包括动力线、照明线、变压器、电动设备等）的绝缘损坏和性能不良所引起；</w:t>
      </w:r>
    </w:p>
    <w:p w14:paraId="780AC088">
      <w:pPr>
        <w:pStyle w:val="21"/>
        <w:numPr>
          <w:ilvl w:val="0"/>
          <w:numId w:val="5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空压机润滑油在高温高压下加剧氧化形成积炭附在金属表面和风阀上，积炭本身是易燃物，温度升高到一定程度就可能引起燃烧；</w:t>
      </w:r>
    </w:p>
    <w:p w14:paraId="5722C43F">
      <w:pPr>
        <w:pStyle w:val="21"/>
        <w:numPr>
          <w:ilvl w:val="0"/>
          <w:numId w:val="5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坑道电灯烘烤电缆等引起的火灾；</w:t>
      </w:r>
    </w:p>
    <w:p w14:paraId="7990D09B">
      <w:pPr>
        <w:pStyle w:val="21"/>
        <w:bidi w:val="0"/>
        <w:rPr>
          <w:rFonts w:hint="default"/>
          <w:lang w:val="en-US" w:eastAsia="zh-CN"/>
        </w:rPr>
      </w:pPr>
      <w:r>
        <w:rPr>
          <w:rFonts w:hint="default"/>
          <w:lang w:val="en-US" w:eastAsia="zh-CN"/>
        </w:rPr>
        <w:t>该矿山安设有电力设施、机械设备，有井口变压器、井口空压机、配电箱等，故存在着火灾事故的隐患。井下火灾产生CO、CO</w:t>
      </w:r>
      <w:r>
        <w:rPr>
          <w:rFonts w:hint="default"/>
          <w:vertAlign w:val="subscript"/>
          <w:lang w:val="en-US" w:eastAsia="zh-CN"/>
        </w:rPr>
        <w:t>2</w:t>
      </w:r>
      <w:r>
        <w:rPr>
          <w:rFonts w:hint="default"/>
          <w:lang w:val="en-US" w:eastAsia="zh-CN"/>
        </w:rPr>
        <w:t>等有毒有害气体，导致作业人员中毒窒息。</w:t>
      </w:r>
    </w:p>
    <w:p w14:paraId="39959977">
      <w:pPr>
        <w:pStyle w:val="21"/>
        <w:bidi w:val="0"/>
        <w:rPr>
          <w:rFonts w:hint="default"/>
          <w:lang w:val="en-US" w:eastAsia="zh-CN"/>
        </w:rPr>
      </w:pPr>
      <w:r>
        <w:rPr>
          <w:rFonts w:hint="default"/>
          <w:lang w:val="en-US" w:eastAsia="zh-CN"/>
        </w:rPr>
        <w:t>可能存在的部位：加油设施、变配电设施（变压器、配电室）、供电线路等。</w:t>
      </w:r>
    </w:p>
    <w:p w14:paraId="77AE7D2C">
      <w:pPr>
        <w:pStyle w:val="21"/>
        <w:numPr>
          <w:ilvl w:val="0"/>
          <w:numId w:val="0"/>
        </w:numPr>
        <w:bidi w:val="0"/>
        <w:ind w:leftChars="200"/>
        <w:rPr>
          <w:rFonts w:hint="default"/>
          <w:lang w:val="en-US" w:eastAsia="zh-CN"/>
        </w:rPr>
      </w:pPr>
      <w:r>
        <w:rPr>
          <w:rFonts w:hint="eastAsia"/>
          <w:lang w:val="en-US" w:eastAsia="zh-CN"/>
        </w:rPr>
        <w:t>3、</w:t>
      </w:r>
      <w:r>
        <w:rPr>
          <w:rFonts w:hint="default"/>
          <w:lang w:val="en-US" w:eastAsia="zh-CN"/>
        </w:rPr>
        <w:t>雷击</w:t>
      </w:r>
    </w:p>
    <w:p w14:paraId="72288CEF">
      <w:pPr>
        <w:pStyle w:val="21"/>
        <w:rPr>
          <w:rFonts w:hint="default"/>
          <w:lang w:val="en-US" w:eastAsia="zh-CN"/>
        </w:rPr>
      </w:pPr>
      <w:r>
        <w:rPr>
          <w:rFonts w:hint="default"/>
          <w:lang w:val="en-US" w:eastAsia="zh-CN"/>
        </w:rPr>
        <w:t>雷击：位于地势较高的地表的建（构）筑物及配电设施等易受雷击，遭受雷击后会造成不同程度的破坏，严重者会造成建（构）筑物的倒塌（如高大建筑物），烧毁变压器及矿山用电设施，人员伤亡等事故。</w:t>
      </w:r>
    </w:p>
    <w:p w14:paraId="580C4A86">
      <w:pPr>
        <w:pStyle w:val="21"/>
        <w:numPr>
          <w:ilvl w:val="0"/>
          <w:numId w:val="0"/>
        </w:numPr>
        <w:bidi w:val="0"/>
        <w:ind w:leftChars="200"/>
        <w:rPr>
          <w:rFonts w:hint="default"/>
          <w:lang w:val="en-US" w:eastAsia="zh-CN"/>
        </w:rPr>
      </w:pPr>
      <w:r>
        <w:rPr>
          <w:rFonts w:hint="eastAsia"/>
          <w:lang w:val="en-US" w:eastAsia="zh-CN"/>
        </w:rPr>
        <w:t>4、</w:t>
      </w:r>
      <w:r>
        <w:rPr>
          <w:rFonts w:hint="default"/>
          <w:lang w:val="en-US" w:eastAsia="zh-CN"/>
        </w:rPr>
        <w:t>机械伤害</w:t>
      </w:r>
    </w:p>
    <w:p w14:paraId="2EE8FC86">
      <w:pPr>
        <w:pStyle w:val="21"/>
        <w:rPr>
          <w:rFonts w:hint="default"/>
          <w:lang w:val="en-US" w:eastAsia="zh-CN"/>
        </w:rPr>
      </w:pPr>
      <w:r>
        <w:rPr>
          <w:rFonts w:hint="default"/>
          <w:lang w:val="en-US" w:eastAsia="zh-CN"/>
        </w:rPr>
        <w:t>矿山电气设备造成的机械伤害事故，主要是由于人的违章指挥、违章操作造成的。常见的因素有：</w:t>
      </w:r>
    </w:p>
    <w:p w14:paraId="3FDBC9FF">
      <w:pPr>
        <w:pStyle w:val="21"/>
        <w:numPr>
          <w:ilvl w:val="0"/>
          <w:numId w:val="6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穿戴不符合安全规定的服装进行操作；</w:t>
      </w:r>
    </w:p>
    <w:p w14:paraId="5A03C68D">
      <w:pPr>
        <w:pStyle w:val="21"/>
        <w:numPr>
          <w:ilvl w:val="0"/>
          <w:numId w:val="6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违章操作；</w:t>
      </w:r>
    </w:p>
    <w:p w14:paraId="665C2CB2">
      <w:pPr>
        <w:pStyle w:val="21"/>
        <w:numPr>
          <w:ilvl w:val="0"/>
          <w:numId w:val="6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电气设备安全防护装置缺乏或损坏、被拆除等，导致事故发生；</w:t>
      </w:r>
    </w:p>
    <w:p w14:paraId="5CF6FBB8">
      <w:pPr>
        <w:pStyle w:val="21"/>
        <w:numPr>
          <w:ilvl w:val="0"/>
          <w:numId w:val="6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操作过程中衣物、头发、工具进入运转机械导致身体被运动机械拖带伤害；</w:t>
      </w:r>
    </w:p>
    <w:p w14:paraId="4E6E0209">
      <w:pPr>
        <w:pStyle w:val="21"/>
        <w:numPr>
          <w:ilvl w:val="0"/>
          <w:numId w:val="6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操作人员疏忽大意，身体进入机械危险部位；</w:t>
      </w:r>
    </w:p>
    <w:p w14:paraId="66C8ECEC">
      <w:pPr>
        <w:pStyle w:val="21"/>
        <w:numPr>
          <w:ilvl w:val="0"/>
          <w:numId w:val="6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在检修和正常工作时，机器突然被别人随意启动，导致事故发生；</w:t>
      </w:r>
    </w:p>
    <w:p w14:paraId="3B870645">
      <w:pPr>
        <w:pStyle w:val="21"/>
        <w:numPr>
          <w:ilvl w:val="0"/>
          <w:numId w:val="6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在不安全的电气设备上停留、休息，导致事故发生；</w:t>
      </w:r>
    </w:p>
    <w:p w14:paraId="0C9DF987">
      <w:pPr>
        <w:pStyle w:val="21"/>
        <w:numPr>
          <w:ilvl w:val="0"/>
          <w:numId w:val="6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电气设备设施设计、选型不合理或安装存在缺陷；</w:t>
      </w:r>
    </w:p>
    <w:p w14:paraId="5755CF31">
      <w:pPr>
        <w:pStyle w:val="21"/>
        <w:numPr>
          <w:ilvl w:val="0"/>
          <w:numId w:val="6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安全管理上存在不足。</w:t>
      </w:r>
    </w:p>
    <w:p w14:paraId="4D863018">
      <w:pPr>
        <w:pStyle w:val="21"/>
        <w:numPr>
          <w:ilvl w:val="0"/>
          <w:numId w:val="0"/>
        </w:numPr>
        <w:bidi w:val="0"/>
        <w:ind w:leftChars="200"/>
        <w:rPr>
          <w:rFonts w:hint="default" w:ascii="Times New Roman" w:hAnsi="Times New Roman" w:eastAsia="宋体"/>
          <w:lang w:val="en-US" w:eastAsia="zh-CN"/>
        </w:rPr>
      </w:pPr>
      <w:r>
        <w:rPr>
          <w:rFonts w:hint="eastAsia" w:ascii="Times New Roman" w:hAnsi="Times New Roman" w:eastAsia="宋体"/>
          <w:lang w:val="en-US" w:eastAsia="zh-CN"/>
        </w:rPr>
        <w:t>5、</w:t>
      </w:r>
      <w:r>
        <w:rPr>
          <w:rFonts w:hint="default" w:ascii="Times New Roman" w:hAnsi="Times New Roman" w:eastAsia="宋体"/>
          <w:lang w:val="en-US" w:eastAsia="zh-CN"/>
        </w:rPr>
        <w:t>噪声</w:t>
      </w:r>
    </w:p>
    <w:p w14:paraId="0D95F195">
      <w:pPr>
        <w:pStyle w:val="21"/>
        <w:bidi w:val="0"/>
        <w:rPr>
          <w:rFonts w:hint="default"/>
          <w:lang w:val="en-US" w:eastAsia="zh-CN"/>
        </w:rPr>
      </w:pPr>
      <w:r>
        <w:rPr>
          <w:rFonts w:hint="default"/>
          <w:lang w:val="en-US" w:eastAsia="zh-CN"/>
        </w:rPr>
        <w:t>凡是人们不需要的，使人感到讨厌和烦躁的声音通称为噪声。噪声对人的危害是多方面的。噪声可以使人耳聋，还可能引起高血压、心脏病、神经官能症等疾病。噪声还污染环境，影响人们的正常生活和生产活动，特别强烈的噪声还能损害建筑物与影响仪器设备等的正常运行。该项目噪声主要来源于各种电气设备在运转过程中由震动、摩擦而产生的机械动力噪声等。</w:t>
      </w:r>
    </w:p>
    <w:p w14:paraId="7F63278B">
      <w:pPr>
        <w:pStyle w:val="21"/>
        <w:numPr>
          <w:ilvl w:val="0"/>
          <w:numId w:val="61"/>
        </w:numPr>
        <w:bidi w:val="0"/>
        <w:rPr>
          <w:rFonts w:hint="eastAsia" w:ascii="Times New Roman" w:hAnsi="Times New Roman" w:eastAsia="宋体"/>
          <w:lang w:val="en-US" w:eastAsia="zh-CN"/>
        </w:rPr>
      </w:pPr>
      <w:bookmarkStart w:id="43" w:name="_Toc331618244"/>
      <w:bookmarkStart w:id="44" w:name="_Toc406688047"/>
      <w:r>
        <w:rPr>
          <w:rFonts w:hint="eastAsia" w:ascii="Times New Roman" w:hAnsi="Times New Roman" w:eastAsia="宋体"/>
          <w:lang w:val="en-US" w:eastAsia="zh-CN"/>
        </w:rPr>
        <w:t>预先危险性分析法评价</w:t>
      </w:r>
      <w:bookmarkEnd w:id="43"/>
      <w:bookmarkEnd w:id="44"/>
    </w:p>
    <w:p w14:paraId="09DED8DC">
      <w:pPr>
        <w:pStyle w:val="21"/>
        <w:bidi w:val="0"/>
        <w:rPr>
          <w:rFonts w:hint="eastAsia"/>
        </w:rPr>
      </w:pPr>
      <w:r>
        <w:rPr>
          <w:rFonts w:hint="eastAsia"/>
        </w:rPr>
        <w:t>用选定的预先危险性分析法评价如下：</w:t>
      </w:r>
    </w:p>
    <w:p w14:paraId="3F85CAF7">
      <w:pPr>
        <w:pStyle w:val="30"/>
        <w:bidi w:val="0"/>
        <w:rPr>
          <w:rFonts w:hint="eastAsia"/>
        </w:rPr>
      </w:pPr>
      <w:r>
        <w:rPr>
          <w:rFonts w:hint="eastAsia"/>
        </w:rPr>
        <w:t>表</w:t>
      </w:r>
      <w:r>
        <w:rPr>
          <w:rFonts w:hint="eastAsia"/>
          <w:lang w:val="en-US" w:eastAsia="zh-CN"/>
        </w:rPr>
        <w:t>3.6-1</w:t>
      </w:r>
      <w:r>
        <w:rPr>
          <w:rFonts w:hint="eastAsia"/>
        </w:rPr>
        <w:t xml:space="preserve">  矿山电气单元预先危险性分析表</w:t>
      </w:r>
    </w:p>
    <w:tbl>
      <w:tblPr>
        <w:tblStyle w:val="24"/>
        <w:tblW w:w="8439"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19"/>
        <w:gridCol w:w="992"/>
        <w:gridCol w:w="1843"/>
        <w:gridCol w:w="709"/>
        <w:gridCol w:w="708"/>
        <w:gridCol w:w="3368"/>
      </w:tblGrid>
      <w:tr w14:paraId="2E32CCE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819" w:type="dxa"/>
            <w:noWrap w:val="0"/>
            <w:vAlign w:val="center"/>
          </w:tcPr>
          <w:p w14:paraId="050FDCBC">
            <w:pPr>
              <w:tabs>
                <w:tab w:val="left" w:pos="2177"/>
              </w:tabs>
              <w:adjustRightInd w:val="0"/>
              <w:snapToGrid w:val="0"/>
              <w:spacing w:line="240" w:lineRule="auto"/>
              <w:jc w:val="center"/>
              <w:rPr>
                <w:rFonts w:ascii="Times New Roman" w:hAnsi="Times New Roman"/>
                <w:caps w:val="0"/>
                <w:smallCaps w:val="0"/>
                <w:sz w:val="21"/>
                <w:szCs w:val="21"/>
              </w:rPr>
            </w:pPr>
            <w:r>
              <w:rPr>
                <w:rFonts w:hint="eastAsia" w:ascii="Times New Roman" w:hAnsi="Times New Roman"/>
                <w:caps w:val="0"/>
                <w:smallCaps w:val="0"/>
                <w:sz w:val="21"/>
                <w:szCs w:val="21"/>
              </w:rPr>
              <w:t>潜在事故</w:t>
            </w:r>
          </w:p>
        </w:tc>
        <w:tc>
          <w:tcPr>
            <w:tcW w:w="992" w:type="dxa"/>
            <w:noWrap w:val="0"/>
            <w:vAlign w:val="center"/>
          </w:tcPr>
          <w:p w14:paraId="5A5C33E4">
            <w:pPr>
              <w:tabs>
                <w:tab w:val="left" w:pos="2177"/>
              </w:tabs>
              <w:adjustRightInd w:val="0"/>
              <w:snapToGrid w:val="0"/>
              <w:spacing w:line="240" w:lineRule="auto"/>
              <w:jc w:val="center"/>
              <w:rPr>
                <w:rFonts w:hint="eastAsia" w:ascii="Times New Roman" w:hAnsi="Times New Roman"/>
                <w:caps w:val="0"/>
                <w:smallCaps w:val="0"/>
                <w:sz w:val="21"/>
                <w:szCs w:val="21"/>
              </w:rPr>
            </w:pPr>
            <w:r>
              <w:rPr>
                <w:rFonts w:hint="eastAsia" w:ascii="Times New Roman" w:hAnsi="Times New Roman"/>
                <w:caps w:val="0"/>
                <w:smallCaps w:val="0"/>
                <w:sz w:val="21"/>
                <w:szCs w:val="21"/>
              </w:rPr>
              <w:t>危险</w:t>
            </w:r>
          </w:p>
          <w:p w14:paraId="4434A862">
            <w:pPr>
              <w:tabs>
                <w:tab w:val="left" w:pos="2177"/>
              </w:tabs>
              <w:adjustRightInd w:val="0"/>
              <w:snapToGrid w:val="0"/>
              <w:spacing w:line="240" w:lineRule="auto"/>
              <w:jc w:val="center"/>
              <w:rPr>
                <w:rFonts w:ascii="Times New Roman" w:hAnsi="Times New Roman"/>
                <w:caps w:val="0"/>
                <w:smallCaps w:val="0"/>
                <w:sz w:val="21"/>
                <w:szCs w:val="21"/>
              </w:rPr>
            </w:pPr>
            <w:r>
              <w:rPr>
                <w:rFonts w:hint="eastAsia" w:ascii="Times New Roman" w:hAnsi="Times New Roman"/>
                <w:caps w:val="0"/>
                <w:smallCaps w:val="0"/>
                <w:sz w:val="21"/>
                <w:szCs w:val="21"/>
              </w:rPr>
              <w:t>因素</w:t>
            </w:r>
          </w:p>
        </w:tc>
        <w:tc>
          <w:tcPr>
            <w:tcW w:w="1843" w:type="dxa"/>
            <w:noWrap w:val="0"/>
            <w:vAlign w:val="center"/>
          </w:tcPr>
          <w:p w14:paraId="7687A381">
            <w:pPr>
              <w:tabs>
                <w:tab w:val="left" w:pos="2177"/>
              </w:tabs>
              <w:adjustRightInd w:val="0"/>
              <w:snapToGrid w:val="0"/>
              <w:spacing w:line="240" w:lineRule="auto"/>
              <w:jc w:val="center"/>
              <w:rPr>
                <w:rFonts w:ascii="Times New Roman" w:hAnsi="Times New Roman"/>
                <w:caps w:val="0"/>
                <w:smallCaps w:val="0"/>
                <w:sz w:val="21"/>
                <w:szCs w:val="21"/>
              </w:rPr>
            </w:pPr>
            <w:r>
              <w:rPr>
                <w:rFonts w:hint="eastAsia" w:ascii="Times New Roman" w:hAnsi="Times New Roman"/>
                <w:caps w:val="0"/>
                <w:smallCaps w:val="0"/>
                <w:sz w:val="21"/>
                <w:szCs w:val="21"/>
              </w:rPr>
              <w:t>触发条件</w:t>
            </w:r>
          </w:p>
        </w:tc>
        <w:tc>
          <w:tcPr>
            <w:tcW w:w="709" w:type="dxa"/>
            <w:noWrap w:val="0"/>
            <w:vAlign w:val="center"/>
          </w:tcPr>
          <w:p w14:paraId="6E433448">
            <w:pPr>
              <w:tabs>
                <w:tab w:val="left" w:pos="2177"/>
              </w:tabs>
              <w:adjustRightInd w:val="0"/>
              <w:snapToGrid w:val="0"/>
              <w:spacing w:line="240" w:lineRule="auto"/>
              <w:jc w:val="center"/>
              <w:rPr>
                <w:rFonts w:ascii="Times New Roman" w:hAnsi="Times New Roman"/>
                <w:caps w:val="0"/>
                <w:smallCaps w:val="0"/>
                <w:sz w:val="21"/>
                <w:szCs w:val="21"/>
              </w:rPr>
            </w:pPr>
            <w:r>
              <w:rPr>
                <w:rFonts w:hint="eastAsia" w:ascii="Times New Roman" w:hAnsi="Times New Roman"/>
                <w:caps w:val="0"/>
                <w:smallCaps w:val="0"/>
                <w:sz w:val="21"/>
                <w:szCs w:val="21"/>
              </w:rPr>
              <w:t>事故后果</w:t>
            </w:r>
          </w:p>
        </w:tc>
        <w:tc>
          <w:tcPr>
            <w:tcW w:w="708" w:type="dxa"/>
            <w:noWrap w:val="0"/>
            <w:vAlign w:val="center"/>
          </w:tcPr>
          <w:p w14:paraId="3533B149">
            <w:pPr>
              <w:tabs>
                <w:tab w:val="left" w:pos="2177"/>
              </w:tabs>
              <w:adjustRightInd w:val="0"/>
              <w:snapToGrid w:val="0"/>
              <w:spacing w:line="240" w:lineRule="auto"/>
              <w:jc w:val="center"/>
              <w:rPr>
                <w:rFonts w:ascii="Times New Roman" w:hAnsi="Times New Roman"/>
                <w:caps w:val="0"/>
                <w:smallCaps w:val="0"/>
                <w:sz w:val="21"/>
                <w:szCs w:val="21"/>
              </w:rPr>
            </w:pPr>
            <w:r>
              <w:rPr>
                <w:rFonts w:hint="eastAsia" w:ascii="Times New Roman" w:hAnsi="Times New Roman"/>
                <w:caps w:val="0"/>
                <w:smallCaps w:val="0"/>
                <w:sz w:val="21"/>
                <w:szCs w:val="21"/>
              </w:rPr>
              <w:t>危险等级</w:t>
            </w:r>
          </w:p>
        </w:tc>
        <w:tc>
          <w:tcPr>
            <w:tcW w:w="3368" w:type="dxa"/>
            <w:noWrap w:val="0"/>
            <w:vAlign w:val="center"/>
          </w:tcPr>
          <w:p w14:paraId="0A4EE718">
            <w:pPr>
              <w:tabs>
                <w:tab w:val="left" w:pos="2177"/>
              </w:tabs>
              <w:adjustRightInd w:val="0"/>
              <w:snapToGrid w:val="0"/>
              <w:spacing w:line="240" w:lineRule="auto"/>
              <w:jc w:val="center"/>
              <w:rPr>
                <w:rFonts w:ascii="Times New Roman" w:hAnsi="Times New Roman"/>
                <w:caps w:val="0"/>
                <w:smallCaps w:val="0"/>
                <w:sz w:val="21"/>
                <w:szCs w:val="21"/>
              </w:rPr>
            </w:pPr>
            <w:r>
              <w:rPr>
                <w:rFonts w:hint="eastAsia" w:ascii="Times New Roman" w:hAnsi="Times New Roman"/>
                <w:caps w:val="0"/>
                <w:smallCaps w:val="0"/>
                <w:sz w:val="21"/>
                <w:szCs w:val="21"/>
              </w:rPr>
              <w:t>防范措施</w:t>
            </w:r>
          </w:p>
        </w:tc>
      </w:tr>
      <w:tr w14:paraId="0B125C6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819" w:type="dxa"/>
            <w:noWrap w:val="0"/>
            <w:vAlign w:val="center"/>
          </w:tcPr>
          <w:p w14:paraId="26D1D1F4">
            <w:pPr>
              <w:tabs>
                <w:tab w:val="left" w:pos="2177"/>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电气伤害</w:t>
            </w:r>
          </w:p>
        </w:tc>
        <w:tc>
          <w:tcPr>
            <w:tcW w:w="992" w:type="dxa"/>
            <w:noWrap w:val="0"/>
            <w:vAlign w:val="center"/>
          </w:tcPr>
          <w:p w14:paraId="0FDF14A8">
            <w:pPr>
              <w:tabs>
                <w:tab w:val="left" w:pos="2177"/>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漏电、绝缘损坏、安全距离不够、雷击</w:t>
            </w:r>
          </w:p>
        </w:tc>
        <w:tc>
          <w:tcPr>
            <w:tcW w:w="1843" w:type="dxa"/>
            <w:noWrap w:val="0"/>
            <w:vAlign w:val="center"/>
          </w:tcPr>
          <w:p w14:paraId="1A3DC2D2">
            <w:pPr>
              <w:numPr>
                <w:ilvl w:val="0"/>
                <w:numId w:val="62"/>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设备漏电</w:t>
            </w:r>
          </w:p>
          <w:p w14:paraId="0FB9AFDB">
            <w:pPr>
              <w:numPr>
                <w:ilvl w:val="0"/>
                <w:numId w:val="62"/>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安全距离不够</w:t>
            </w:r>
          </w:p>
          <w:p w14:paraId="02E229A1">
            <w:pPr>
              <w:numPr>
                <w:ilvl w:val="0"/>
                <w:numId w:val="62"/>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保护接地、接零不规范；</w:t>
            </w:r>
          </w:p>
          <w:p w14:paraId="49ABB701">
            <w:pPr>
              <w:numPr>
                <w:ilvl w:val="0"/>
                <w:numId w:val="62"/>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手持电动工具电压等级选择不当、疏于管理</w:t>
            </w:r>
          </w:p>
        </w:tc>
        <w:tc>
          <w:tcPr>
            <w:tcW w:w="709" w:type="dxa"/>
            <w:noWrap w:val="0"/>
            <w:vAlign w:val="center"/>
          </w:tcPr>
          <w:p w14:paraId="4951ED0D">
            <w:pPr>
              <w:tabs>
                <w:tab w:val="left" w:pos="2177"/>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人体伤害</w:t>
            </w:r>
          </w:p>
        </w:tc>
        <w:tc>
          <w:tcPr>
            <w:tcW w:w="708" w:type="dxa"/>
            <w:noWrap w:val="0"/>
            <w:vAlign w:val="center"/>
          </w:tcPr>
          <w:p w14:paraId="3E53F94A">
            <w:pPr>
              <w:tabs>
                <w:tab w:val="left" w:pos="2177"/>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s="宋体"/>
                <w:caps w:val="0"/>
                <w:smallCaps w:val="0"/>
                <w:sz w:val="21"/>
                <w:szCs w:val="21"/>
              </w:rPr>
              <w:t>Ⅱ</w:t>
            </w:r>
            <w:r>
              <w:rPr>
                <w:rFonts w:hint="eastAsia" w:ascii="Times New Roman" w:hAnsi="Times New Roman"/>
                <w:caps w:val="0"/>
                <w:smallCaps w:val="0"/>
                <w:sz w:val="21"/>
                <w:szCs w:val="21"/>
              </w:rPr>
              <w:t>级</w:t>
            </w:r>
          </w:p>
        </w:tc>
        <w:tc>
          <w:tcPr>
            <w:tcW w:w="3368" w:type="dxa"/>
            <w:noWrap w:val="0"/>
            <w:vAlign w:val="center"/>
          </w:tcPr>
          <w:p w14:paraId="34A6C6CD">
            <w:pPr>
              <w:numPr>
                <w:ilvl w:val="0"/>
                <w:numId w:val="63"/>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变配电建筑结构、配电装置及线路要严格符合有关电气规程</w:t>
            </w:r>
          </w:p>
          <w:p w14:paraId="7B3DC31E">
            <w:pPr>
              <w:numPr>
                <w:ilvl w:val="0"/>
                <w:numId w:val="63"/>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架空线路、室内线路、变配电设备、用电设备、检修作业，应按规定要有一定安全距离</w:t>
            </w:r>
          </w:p>
          <w:p w14:paraId="343C88B7">
            <w:pPr>
              <w:numPr>
                <w:ilvl w:val="0"/>
                <w:numId w:val="63"/>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根据要求对用电设备做好保护接地或保护接零</w:t>
            </w:r>
          </w:p>
          <w:p w14:paraId="7CB1018C">
            <w:pPr>
              <w:numPr>
                <w:ilvl w:val="0"/>
                <w:numId w:val="63"/>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安装漏电保护器</w:t>
            </w:r>
          </w:p>
          <w:p w14:paraId="226FA9B2">
            <w:pPr>
              <w:numPr>
                <w:ilvl w:val="0"/>
                <w:numId w:val="63"/>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电气作业人员必须持证上岗</w:t>
            </w:r>
          </w:p>
        </w:tc>
      </w:tr>
      <w:tr w14:paraId="7288C0C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62" w:hRule="atLeast"/>
          <w:jc w:val="center"/>
        </w:trPr>
        <w:tc>
          <w:tcPr>
            <w:tcW w:w="819" w:type="dxa"/>
            <w:noWrap w:val="0"/>
            <w:vAlign w:val="center"/>
          </w:tcPr>
          <w:p w14:paraId="71360F9B">
            <w:pPr>
              <w:tabs>
                <w:tab w:val="left" w:pos="2177"/>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机械伤害</w:t>
            </w:r>
          </w:p>
        </w:tc>
        <w:tc>
          <w:tcPr>
            <w:tcW w:w="992" w:type="dxa"/>
            <w:noWrap w:val="0"/>
            <w:vAlign w:val="center"/>
          </w:tcPr>
          <w:p w14:paraId="61FBEED4">
            <w:pPr>
              <w:tabs>
                <w:tab w:val="left" w:pos="2177"/>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夹、绞、碾、碰、割、卷、剪刺、压伤人身体</w:t>
            </w:r>
          </w:p>
        </w:tc>
        <w:tc>
          <w:tcPr>
            <w:tcW w:w="1843" w:type="dxa"/>
            <w:noWrap w:val="0"/>
            <w:vAlign w:val="center"/>
          </w:tcPr>
          <w:p w14:paraId="1F7603A7">
            <w:pPr>
              <w:numPr>
                <w:ilvl w:val="0"/>
                <w:numId w:val="64"/>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机械旋转部分缺防护罩</w:t>
            </w:r>
          </w:p>
          <w:p w14:paraId="55942D1A">
            <w:pPr>
              <w:numPr>
                <w:ilvl w:val="0"/>
                <w:numId w:val="64"/>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检修时未挂牌作业</w:t>
            </w:r>
          </w:p>
          <w:p w14:paraId="24D07D9B">
            <w:pPr>
              <w:numPr>
                <w:ilvl w:val="0"/>
                <w:numId w:val="64"/>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工作时注意力不集中</w:t>
            </w:r>
          </w:p>
          <w:p w14:paraId="1CF3043E">
            <w:pPr>
              <w:numPr>
                <w:ilvl w:val="0"/>
                <w:numId w:val="64"/>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劳动防护用品未正确穿戴</w:t>
            </w:r>
          </w:p>
        </w:tc>
        <w:tc>
          <w:tcPr>
            <w:tcW w:w="709" w:type="dxa"/>
            <w:noWrap w:val="0"/>
            <w:vAlign w:val="center"/>
          </w:tcPr>
          <w:p w14:paraId="4EC4D221">
            <w:pPr>
              <w:tabs>
                <w:tab w:val="left" w:pos="2177"/>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人体伤害</w:t>
            </w:r>
          </w:p>
        </w:tc>
        <w:tc>
          <w:tcPr>
            <w:tcW w:w="708" w:type="dxa"/>
            <w:noWrap w:val="0"/>
            <w:vAlign w:val="center"/>
          </w:tcPr>
          <w:p w14:paraId="3D6BD984">
            <w:pPr>
              <w:tabs>
                <w:tab w:val="left" w:pos="2177"/>
              </w:tabs>
              <w:adjustRightInd w:val="0"/>
              <w:snapToGrid w:val="0"/>
              <w:spacing w:line="240" w:lineRule="auto"/>
              <w:jc w:val="left"/>
              <w:rPr>
                <w:rFonts w:ascii="Times New Roman" w:hAnsi="Times New Roman" w:cs="宋体"/>
                <w:caps w:val="0"/>
                <w:smallCaps w:val="0"/>
                <w:sz w:val="21"/>
                <w:szCs w:val="21"/>
              </w:rPr>
            </w:pPr>
            <w:r>
              <w:rPr>
                <w:rFonts w:hint="eastAsia" w:ascii="Times New Roman" w:hAnsi="Times New Roman" w:cs="宋体"/>
                <w:caps w:val="0"/>
                <w:smallCaps w:val="0"/>
                <w:sz w:val="21"/>
                <w:szCs w:val="21"/>
              </w:rPr>
              <w:t>Ⅱ级</w:t>
            </w:r>
          </w:p>
        </w:tc>
        <w:tc>
          <w:tcPr>
            <w:tcW w:w="3368" w:type="dxa"/>
            <w:noWrap w:val="0"/>
            <w:vAlign w:val="center"/>
          </w:tcPr>
          <w:p w14:paraId="045D4C6D">
            <w:pPr>
              <w:numPr>
                <w:ilvl w:val="0"/>
                <w:numId w:val="65"/>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正确穿戴好劳动防护用品；</w:t>
            </w:r>
          </w:p>
          <w:p w14:paraId="06E9FBF9">
            <w:pPr>
              <w:numPr>
                <w:ilvl w:val="0"/>
                <w:numId w:val="65"/>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设备裸露的运转及传动部位的周围应设置防护设施</w:t>
            </w:r>
          </w:p>
          <w:p w14:paraId="1452EB82">
            <w:pPr>
              <w:numPr>
                <w:ilvl w:val="0"/>
                <w:numId w:val="65"/>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机械设备要定期检查、检修，保证其完好状态</w:t>
            </w:r>
          </w:p>
          <w:p w14:paraId="2B2BD791">
            <w:pPr>
              <w:numPr>
                <w:ilvl w:val="0"/>
                <w:numId w:val="65"/>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设备检修前停电、上锁、并挂牌或专人监护电源</w:t>
            </w:r>
          </w:p>
        </w:tc>
      </w:tr>
      <w:tr w14:paraId="094D73F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819" w:type="dxa"/>
            <w:noWrap w:val="0"/>
            <w:vAlign w:val="center"/>
          </w:tcPr>
          <w:p w14:paraId="0BD84F02">
            <w:pPr>
              <w:tabs>
                <w:tab w:val="left" w:pos="2177"/>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压力容器爆炸</w:t>
            </w:r>
          </w:p>
        </w:tc>
        <w:tc>
          <w:tcPr>
            <w:tcW w:w="992" w:type="dxa"/>
            <w:noWrap w:val="0"/>
            <w:vAlign w:val="center"/>
          </w:tcPr>
          <w:p w14:paraId="5DFF2AA7">
            <w:pPr>
              <w:tabs>
                <w:tab w:val="left" w:pos="2177"/>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空压机的风包</w:t>
            </w:r>
          </w:p>
        </w:tc>
        <w:tc>
          <w:tcPr>
            <w:tcW w:w="1843" w:type="dxa"/>
            <w:noWrap w:val="0"/>
            <w:vAlign w:val="center"/>
          </w:tcPr>
          <w:p w14:paraId="3260B6CF">
            <w:pPr>
              <w:numPr>
                <w:ilvl w:val="0"/>
                <w:numId w:val="66"/>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压力容器材质有缺陷</w:t>
            </w:r>
          </w:p>
          <w:p w14:paraId="16FBADB7">
            <w:pPr>
              <w:numPr>
                <w:ilvl w:val="0"/>
                <w:numId w:val="66"/>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焊接有缺陷</w:t>
            </w:r>
          </w:p>
          <w:p w14:paraId="3C7CC9E0">
            <w:pPr>
              <w:numPr>
                <w:ilvl w:val="0"/>
                <w:numId w:val="66"/>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容器本身有裂纹</w:t>
            </w:r>
          </w:p>
        </w:tc>
        <w:tc>
          <w:tcPr>
            <w:tcW w:w="709" w:type="dxa"/>
            <w:noWrap w:val="0"/>
            <w:vAlign w:val="center"/>
          </w:tcPr>
          <w:p w14:paraId="61B8D1B3">
            <w:pPr>
              <w:tabs>
                <w:tab w:val="left" w:pos="2177"/>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人员伤亡</w:t>
            </w:r>
          </w:p>
        </w:tc>
        <w:tc>
          <w:tcPr>
            <w:tcW w:w="708" w:type="dxa"/>
            <w:noWrap w:val="0"/>
            <w:vAlign w:val="center"/>
          </w:tcPr>
          <w:p w14:paraId="05000850">
            <w:pPr>
              <w:tabs>
                <w:tab w:val="left" w:pos="2177"/>
              </w:tabs>
              <w:adjustRightInd w:val="0"/>
              <w:snapToGrid w:val="0"/>
              <w:spacing w:line="240" w:lineRule="auto"/>
              <w:jc w:val="left"/>
              <w:rPr>
                <w:rFonts w:ascii="Times New Roman" w:hAnsi="Times New Roman" w:cs="宋体"/>
                <w:caps w:val="0"/>
                <w:smallCaps w:val="0"/>
                <w:sz w:val="21"/>
                <w:szCs w:val="21"/>
              </w:rPr>
            </w:pPr>
            <w:r>
              <w:rPr>
                <w:rFonts w:hint="eastAsia" w:ascii="Times New Roman" w:hAnsi="Times New Roman" w:cs="宋体"/>
                <w:caps w:val="0"/>
                <w:smallCaps w:val="0"/>
                <w:sz w:val="21"/>
                <w:szCs w:val="21"/>
              </w:rPr>
              <w:t>Ⅱ级</w:t>
            </w:r>
          </w:p>
        </w:tc>
        <w:tc>
          <w:tcPr>
            <w:tcW w:w="3368" w:type="dxa"/>
            <w:noWrap w:val="0"/>
            <w:vAlign w:val="center"/>
          </w:tcPr>
          <w:p w14:paraId="0468420F">
            <w:pPr>
              <w:numPr>
                <w:ilvl w:val="0"/>
                <w:numId w:val="67"/>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定期检测；空压工必须经过培训持证上岗</w:t>
            </w:r>
          </w:p>
          <w:p w14:paraId="179CF808">
            <w:pPr>
              <w:numPr>
                <w:ilvl w:val="0"/>
                <w:numId w:val="67"/>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空压工不得违章作业，不得超压运行</w:t>
            </w:r>
          </w:p>
        </w:tc>
      </w:tr>
    </w:tbl>
    <w:p w14:paraId="00AB8F3D">
      <w:pPr>
        <w:pStyle w:val="21"/>
        <w:bidi w:val="0"/>
      </w:pPr>
      <w:r>
        <w:rPr>
          <w:rFonts w:hint="eastAsia"/>
        </w:rPr>
        <w:t>机电设备在矿山数量较多，机械设备、电气设备、压力容器都是应重视的危险因素，其危险程度为“临界的”，应采取相应的控制措施。</w:t>
      </w:r>
    </w:p>
    <w:p w14:paraId="5129DFC3">
      <w:pPr>
        <w:pStyle w:val="21"/>
        <w:numPr>
          <w:ilvl w:val="0"/>
          <w:numId w:val="61"/>
        </w:numPr>
        <w:bidi w:val="0"/>
        <w:rPr>
          <w:rFonts w:hint="eastAsia" w:ascii="Times New Roman" w:hAnsi="Times New Roman" w:eastAsia="宋体"/>
          <w:lang w:val="en-US" w:eastAsia="zh-CN"/>
        </w:rPr>
      </w:pPr>
      <w:r>
        <w:rPr>
          <w:rFonts w:hint="eastAsia" w:ascii="Times New Roman" w:hAnsi="Times New Roman" w:eastAsia="宋体"/>
          <w:lang w:val="en-US" w:eastAsia="zh-CN"/>
        </w:rPr>
        <w:t>安全检查表法</w:t>
      </w:r>
    </w:p>
    <w:p w14:paraId="65B55F8D">
      <w:pPr>
        <w:pStyle w:val="21"/>
        <w:bidi w:val="0"/>
        <w:rPr>
          <w:rFonts w:hint="eastAsia"/>
        </w:rPr>
      </w:pPr>
      <w:r>
        <w:rPr>
          <w:rFonts w:hint="eastAsia"/>
        </w:rPr>
        <w:t>根据《金属非金属矿山安全规程》（GB16423-2020）、《矿山电力设计标准》（GB 50070-2020）、《低压配电设计规范》（GB50054-2011）等标准规范中的相关内容，对矿山供配电设施进行检查，检查表见表3.6-</w:t>
      </w:r>
      <w:r>
        <w:rPr>
          <w:rFonts w:hint="eastAsia"/>
          <w:lang w:val="en-US" w:eastAsia="zh-CN"/>
        </w:rPr>
        <w:t>2</w:t>
      </w:r>
      <w:r>
        <w:rPr>
          <w:rFonts w:hint="eastAsia"/>
        </w:rPr>
        <w:t>。</w:t>
      </w:r>
    </w:p>
    <w:p w14:paraId="69C5E538">
      <w:pPr>
        <w:pStyle w:val="30"/>
        <w:bidi w:val="0"/>
        <w:rPr>
          <w:rFonts w:hint="default"/>
          <w:lang w:val="en-US"/>
        </w:rPr>
      </w:pPr>
      <w:r>
        <w:rPr>
          <w:rFonts w:hint="eastAsia"/>
        </w:rPr>
        <w:t>表3.6-</w:t>
      </w:r>
      <w:r>
        <w:rPr>
          <w:rFonts w:hint="eastAsia"/>
          <w:lang w:val="en-US" w:eastAsia="zh-CN"/>
        </w:rPr>
        <w:t>2  矿山供配电设施检查表</w:t>
      </w:r>
    </w:p>
    <w:tbl>
      <w:tblPr>
        <w:tblStyle w:val="24"/>
        <w:tblW w:w="91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0"/>
        <w:gridCol w:w="3385"/>
        <w:gridCol w:w="1512"/>
        <w:gridCol w:w="2926"/>
        <w:gridCol w:w="655"/>
      </w:tblGrid>
      <w:tr w14:paraId="104FE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680" w:type="dxa"/>
            <w:noWrap w:val="0"/>
            <w:vAlign w:val="center"/>
          </w:tcPr>
          <w:p w14:paraId="64209F1F">
            <w:pPr>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检查项目</w:t>
            </w:r>
          </w:p>
        </w:tc>
        <w:tc>
          <w:tcPr>
            <w:tcW w:w="3385" w:type="dxa"/>
            <w:noWrap w:val="0"/>
            <w:vAlign w:val="center"/>
          </w:tcPr>
          <w:p w14:paraId="0097BD8C">
            <w:pPr>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检查内容</w:t>
            </w:r>
          </w:p>
        </w:tc>
        <w:tc>
          <w:tcPr>
            <w:tcW w:w="1512" w:type="dxa"/>
            <w:noWrap w:val="0"/>
            <w:vAlign w:val="center"/>
          </w:tcPr>
          <w:p w14:paraId="0B8C681A">
            <w:pPr>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标准依据</w:t>
            </w:r>
          </w:p>
        </w:tc>
        <w:tc>
          <w:tcPr>
            <w:tcW w:w="2926" w:type="dxa"/>
            <w:noWrap w:val="0"/>
            <w:vAlign w:val="center"/>
          </w:tcPr>
          <w:p w14:paraId="0C76DC2B">
            <w:pPr>
              <w:tabs>
                <w:tab w:val="left" w:pos="1050"/>
              </w:tabs>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检查情况</w:t>
            </w:r>
          </w:p>
        </w:tc>
        <w:tc>
          <w:tcPr>
            <w:tcW w:w="655" w:type="dxa"/>
            <w:noWrap w:val="0"/>
            <w:vAlign w:val="center"/>
          </w:tcPr>
          <w:p w14:paraId="411C5FDC">
            <w:pPr>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检查</w:t>
            </w:r>
          </w:p>
          <w:p w14:paraId="715FE476">
            <w:pPr>
              <w:tabs>
                <w:tab w:val="left" w:pos="1050"/>
              </w:tabs>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结论</w:t>
            </w:r>
          </w:p>
        </w:tc>
      </w:tr>
      <w:tr w14:paraId="387F7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680" w:type="dxa"/>
            <w:vMerge w:val="restart"/>
            <w:noWrap w:val="0"/>
            <w:vAlign w:val="center"/>
          </w:tcPr>
          <w:p w14:paraId="1F9C25E8">
            <w:pPr>
              <w:snapToGrid w:val="0"/>
              <w:spacing w:line="240" w:lineRule="auto"/>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供电</w:t>
            </w:r>
          </w:p>
        </w:tc>
        <w:tc>
          <w:tcPr>
            <w:tcW w:w="3385" w:type="dxa"/>
            <w:noWrap w:val="0"/>
            <w:vAlign w:val="center"/>
          </w:tcPr>
          <w:p w14:paraId="1249D121">
            <w:pPr>
              <w:snapToGrid w:val="0"/>
              <w:spacing w:line="240" w:lineRule="auto"/>
              <w:ind w:firstLine="189" w:firstLineChars="90"/>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矿山工程内部配电电源线路，应符合下列规定：</w:t>
            </w:r>
          </w:p>
          <w:p w14:paraId="6A18CF20">
            <w:pPr>
              <w:snapToGrid w:val="0"/>
              <w:spacing w:line="240" w:lineRule="auto"/>
              <w:ind w:firstLine="420" w:firstLineChars="200"/>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1.一级负荷，应采用二回路电源线路，且分别接于电源不同的母线段。当条件受到限制时，应使一回路引自地面主变电所，另一回路引自地面同一负荷级的其它配电场所。</w:t>
            </w:r>
          </w:p>
          <w:p w14:paraId="312EFC1A">
            <w:pPr>
              <w:snapToGrid w:val="0"/>
              <w:spacing w:line="240" w:lineRule="auto"/>
              <w:ind w:firstLine="420" w:firstLineChars="200"/>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2.二级负荷，宜采用二回路电源线路，且分别接于电源不同的母线段。当条件受到限制时，应使一回路引自地面主变电所，另一回路引自其它配电场所。</w:t>
            </w:r>
          </w:p>
          <w:p w14:paraId="5E75F836">
            <w:pPr>
              <w:snapToGrid w:val="0"/>
              <w:spacing w:line="240" w:lineRule="auto"/>
              <w:ind w:firstLine="420" w:firstLineChars="200"/>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3.三级负荷，应采用一回电源线路供电。</w:t>
            </w:r>
          </w:p>
        </w:tc>
        <w:tc>
          <w:tcPr>
            <w:tcW w:w="1512" w:type="dxa"/>
            <w:noWrap w:val="0"/>
            <w:vAlign w:val="center"/>
          </w:tcPr>
          <w:p w14:paraId="4D4D11A6">
            <w:pPr>
              <w:pStyle w:val="37"/>
              <w:snapToGrid w:val="0"/>
              <w:spacing w:line="240" w:lineRule="auto"/>
              <w:ind w:left="0"/>
              <w:rPr>
                <w:rFonts w:hint="eastAsia" w:ascii="Times New Roman" w:hAnsi="Times New Roman" w:eastAsia="宋体" w:cs="宋体"/>
                <w:caps w:val="0"/>
                <w:smallCaps w:val="0"/>
                <w:color w:val="000000"/>
                <w:sz w:val="21"/>
                <w:szCs w:val="21"/>
              </w:rPr>
            </w:pPr>
            <w:r>
              <w:rPr>
                <w:rFonts w:hint="eastAsia" w:ascii="Times New Roman" w:hAnsi="Times New Roman" w:eastAsia="宋体" w:cs="宋体"/>
                <w:caps w:val="0"/>
                <w:smallCaps w:val="0"/>
                <w:color w:val="000000"/>
                <w:sz w:val="21"/>
                <w:szCs w:val="21"/>
              </w:rPr>
              <w:t>GB50070-2020/2.0.21</w:t>
            </w:r>
          </w:p>
        </w:tc>
        <w:tc>
          <w:tcPr>
            <w:tcW w:w="2926" w:type="dxa"/>
            <w:noWrap w:val="0"/>
            <w:vAlign w:val="center"/>
          </w:tcPr>
          <w:p w14:paraId="078FD648">
            <w:pPr>
              <w:snapToGrid w:val="0"/>
              <w:spacing w:line="240" w:lineRule="auto"/>
              <w:ind w:firstLine="189" w:firstLineChars="90"/>
              <w:rPr>
                <w:rFonts w:hint="eastAsia" w:ascii="Times New Roman" w:hAnsi="Times New Roman" w:eastAsia="宋体" w:cs="宋体"/>
                <w:caps w:val="0"/>
                <w:smallCaps w:val="0"/>
                <w:sz w:val="21"/>
                <w:szCs w:val="21"/>
                <w:lang w:eastAsia="zh-CN"/>
              </w:rPr>
            </w:pPr>
            <w:r>
              <w:rPr>
                <w:rFonts w:hint="eastAsia" w:ascii="Times New Roman" w:hAnsi="Times New Roman" w:cs="宋体"/>
                <w:caps w:val="0"/>
                <w:smallCaps w:val="0"/>
                <w:sz w:val="21"/>
                <w:szCs w:val="21"/>
              </w:rPr>
              <w:t>采用双重电源供电，10kV主供电源引自矿区内66/10kV总降压变电站，架空线路型号为LJ-150。66/10kV总降压变电站由66kV塔空乙线输电线路供电，架空线路型号为LGJ-120,电源点距矿山3.5km;另一路备用电源引自66kV山庄变电站10kV山大线，线路型号为ZC-YJLV22-8.7/15kV-3×150，电源点距矿山10.5km，作为一级负荷的保安电源。以上两回电源分属不同电力网络，均安全可靠且满足用电需要。</w:t>
            </w:r>
          </w:p>
        </w:tc>
        <w:tc>
          <w:tcPr>
            <w:tcW w:w="655" w:type="dxa"/>
            <w:noWrap w:val="0"/>
            <w:vAlign w:val="center"/>
          </w:tcPr>
          <w:p w14:paraId="53BD8968">
            <w:pPr>
              <w:adjustRightInd w:val="0"/>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kern w:val="0"/>
                <w:sz w:val="21"/>
                <w:szCs w:val="21"/>
              </w:rPr>
              <w:t>符合</w:t>
            </w:r>
          </w:p>
        </w:tc>
      </w:tr>
      <w:tr w14:paraId="58BDD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680" w:type="dxa"/>
            <w:vMerge w:val="continue"/>
            <w:noWrap w:val="0"/>
            <w:vAlign w:val="center"/>
          </w:tcPr>
          <w:p w14:paraId="32DF9C95">
            <w:pPr>
              <w:snapToGrid w:val="0"/>
              <w:spacing w:line="240" w:lineRule="auto"/>
              <w:jc w:val="center"/>
              <w:rPr>
                <w:rFonts w:hint="eastAsia" w:ascii="Times New Roman" w:hAnsi="Times New Roman" w:cs="宋体"/>
                <w:caps w:val="0"/>
                <w:smallCaps w:val="0"/>
                <w:color w:val="000000"/>
                <w:sz w:val="21"/>
                <w:szCs w:val="21"/>
              </w:rPr>
            </w:pPr>
          </w:p>
        </w:tc>
        <w:tc>
          <w:tcPr>
            <w:tcW w:w="3385" w:type="dxa"/>
            <w:noWrap w:val="0"/>
            <w:vAlign w:val="center"/>
          </w:tcPr>
          <w:p w14:paraId="5FE9A581">
            <w:pPr>
              <w:snapToGrid w:val="0"/>
              <w:spacing w:line="240" w:lineRule="auto"/>
              <w:ind w:firstLine="189" w:firstLineChars="90"/>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井下采用的电压应符合下列规定：</w:t>
            </w:r>
          </w:p>
          <w:p w14:paraId="729B8922">
            <w:pPr>
              <w:pStyle w:val="23"/>
              <w:numPr>
                <w:ilvl w:val="0"/>
                <w:numId w:val="68"/>
              </w:numPr>
              <w:snapToGrid w:val="0"/>
              <w:spacing w:line="240" w:lineRule="auto"/>
              <w:ind w:left="0" w:leftChars="0" w:firstLine="0"/>
              <w:rPr>
                <w:rFonts w:hint="eastAsia" w:ascii="Times New Roman" w:hAnsi="Times New Roman" w:cs="宋体"/>
                <w:caps w:val="0"/>
                <w:smallCaps w:val="0"/>
                <w:szCs w:val="21"/>
              </w:rPr>
            </w:pPr>
            <w:r>
              <w:rPr>
                <w:rFonts w:hint="eastAsia" w:ascii="Times New Roman" w:hAnsi="Times New Roman" w:cs="宋体"/>
                <w:caps w:val="0"/>
                <w:smallCaps w:val="0"/>
                <w:szCs w:val="21"/>
              </w:rPr>
              <w:t>高压不超过35kV；</w:t>
            </w:r>
          </w:p>
          <w:p w14:paraId="41323205">
            <w:pPr>
              <w:numPr>
                <w:ilvl w:val="0"/>
                <w:numId w:val="68"/>
              </w:numPr>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低压不超过1140kV；</w:t>
            </w:r>
          </w:p>
          <w:p w14:paraId="63578B77">
            <w:pPr>
              <w:numPr>
                <w:ilvl w:val="0"/>
                <w:numId w:val="68"/>
              </w:numPr>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运输巷道、井底车场照明不超过220V；采掘工作面、出矿巷道、天井和天井至回采工作面之间照明，不超过36V，行灯电压不超过36V；</w:t>
            </w:r>
          </w:p>
          <w:p w14:paraId="4F225336">
            <w:pPr>
              <w:numPr>
                <w:ilvl w:val="0"/>
                <w:numId w:val="68"/>
              </w:numPr>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手持电气设备电压不超过127V；</w:t>
            </w:r>
          </w:p>
          <w:p w14:paraId="4778BF20">
            <w:pPr>
              <w:numPr>
                <w:ilvl w:val="0"/>
                <w:numId w:val="68"/>
              </w:numPr>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电机牵引网络电压：交流不超过380V；直流不超过750V;</w:t>
            </w:r>
          </w:p>
        </w:tc>
        <w:tc>
          <w:tcPr>
            <w:tcW w:w="1512" w:type="dxa"/>
            <w:noWrap w:val="0"/>
            <w:vAlign w:val="center"/>
          </w:tcPr>
          <w:p w14:paraId="4D3E8C11">
            <w:pPr>
              <w:snapToGrid w:val="0"/>
              <w:spacing w:line="240" w:lineRule="auto"/>
              <w:rPr>
                <w:rFonts w:hint="eastAsia" w:ascii="Times New Roman" w:hAnsi="Times New Roman" w:cs="宋体"/>
                <w:caps w:val="0"/>
                <w:smallCaps w:val="0"/>
                <w:snapToGrid w:val="0"/>
                <w:color w:val="000000"/>
                <w:kern w:val="0"/>
                <w:sz w:val="21"/>
                <w:szCs w:val="21"/>
              </w:rPr>
            </w:pPr>
            <w:r>
              <w:rPr>
                <w:rFonts w:hint="eastAsia" w:ascii="Times New Roman" w:hAnsi="Times New Roman" w:cs="宋体"/>
                <w:caps w:val="0"/>
                <w:smallCaps w:val="0"/>
                <w:snapToGrid w:val="0"/>
                <w:color w:val="000000"/>
                <w:kern w:val="0"/>
                <w:sz w:val="21"/>
                <w:szCs w:val="21"/>
              </w:rPr>
              <w:t>GB16423-2020/6.7.1.4</w:t>
            </w:r>
          </w:p>
        </w:tc>
        <w:tc>
          <w:tcPr>
            <w:tcW w:w="2926" w:type="dxa"/>
            <w:noWrap w:val="0"/>
            <w:vAlign w:val="center"/>
          </w:tcPr>
          <w:p w14:paraId="010D42EE">
            <w:pPr>
              <w:snapToGrid w:val="0"/>
              <w:spacing w:line="240" w:lineRule="auto"/>
              <w:ind w:firstLine="189" w:firstLineChars="90"/>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井下照明选用矿用照明变压器，照明电压为220V、36V，并装设漏电保护装置。</w:t>
            </w:r>
          </w:p>
          <w:p w14:paraId="447AA809">
            <w:pPr>
              <w:snapToGrid w:val="0"/>
              <w:spacing w:line="240" w:lineRule="auto"/>
              <w:ind w:firstLine="189" w:firstLineChars="90"/>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井下运输巷道、井底车场照明电压为220V；采掘工作面、出矿巷道、天井和天井至回采工作面之间电压为36V；行灯电压为36V以下，照明灯具选用矿用LED灯。</w:t>
            </w:r>
          </w:p>
        </w:tc>
        <w:tc>
          <w:tcPr>
            <w:tcW w:w="655" w:type="dxa"/>
            <w:noWrap w:val="0"/>
            <w:vAlign w:val="center"/>
          </w:tcPr>
          <w:p w14:paraId="6A837A9C">
            <w:pPr>
              <w:adjustRightInd w:val="0"/>
              <w:snapToGrid w:val="0"/>
              <w:spacing w:line="240" w:lineRule="auto"/>
              <w:jc w:val="center"/>
              <w:rPr>
                <w:rFonts w:hint="eastAsia" w:ascii="Times New Roman" w:hAnsi="Times New Roman" w:cs="宋体"/>
                <w:caps w:val="0"/>
                <w:smallCaps w:val="0"/>
                <w:color w:val="000000"/>
                <w:kern w:val="0"/>
                <w:sz w:val="21"/>
                <w:szCs w:val="21"/>
              </w:rPr>
            </w:pPr>
            <w:r>
              <w:rPr>
                <w:rFonts w:hint="eastAsia" w:ascii="Times New Roman" w:hAnsi="Times New Roman" w:cs="宋体"/>
                <w:caps w:val="0"/>
                <w:smallCaps w:val="0"/>
                <w:color w:val="000000"/>
                <w:kern w:val="0"/>
                <w:sz w:val="21"/>
                <w:szCs w:val="21"/>
              </w:rPr>
              <w:t>符合</w:t>
            </w:r>
          </w:p>
        </w:tc>
      </w:tr>
      <w:tr w14:paraId="020AE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05" w:hRule="atLeast"/>
          <w:jc w:val="center"/>
        </w:trPr>
        <w:tc>
          <w:tcPr>
            <w:tcW w:w="680" w:type="dxa"/>
            <w:vMerge w:val="restart"/>
            <w:noWrap w:val="0"/>
            <w:vAlign w:val="center"/>
          </w:tcPr>
          <w:p w14:paraId="63CE6BEE">
            <w:pPr>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电气设备</w:t>
            </w:r>
          </w:p>
        </w:tc>
        <w:tc>
          <w:tcPr>
            <w:tcW w:w="3385" w:type="dxa"/>
            <w:noWrap w:val="0"/>
            <w:vAlign w:val="center"/>
          </w:tcPr>
          <w:p w14:paraId="1D40F5CA">
            <w:pPr>
              <w:snapToGrid w:val="0"/>
              <w:spacing w:line="240" w:lineRule="auto"/>
              <w:ind w:firstLine="189" w:firstLineChars="90"/>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井下不应采用油浸式电气设备。</w:t>
            </w:r>
          </w:p>
        </w:tc>
        <w:tc>
          <w:tcPr>
            <w:tcW w:w="1512" w:type="dxa"/>
            <w:noWrap w:val="0"/>
            <w:vAlign w:val="center"/>
          </w:tcPr>
          <w:p w14:paraId="19C178E1">
            <w:pPr>
              <w:snapToGrid w:val="0"/>
              <w:spacing w:line="240" w:lineRule="auto"/>
              <w:rPr>
                <w:rFonts w:hint="eastAsia" w:ascii="Times New Roman" w:hAnsi="Times New Roman" w:cs="宋体"/>
                <w:caps w:val="0"/>
                <w:smallCaps w:val="0"/>
                <w:color w:val="000000"/>
                <w:kern w:val="0"/>
                <w:sz w:val="21"/>
                <w:szCs w:val="21"/>
              </w:rPr>
            </w:pPr>
            <w:r>
              <w:rPr>
                <w:rFonts w:hint="eastAsia" w:ascii="Times New Roman" w:hAnsi="Times New Roman" w:cs="宋体"/>
                <w:caps w:val="0"/>
                <w:smallCaps w:val="0"/>
                <w:color w:val="000000"/>
                <w:kern w:val="0"/>
                <w:sz w:val="21"/>
                <w:szCs w:val="21"/>
              </w:rPr>
              <w:t>GB50070-2020/6.7.3.1</w:t>
            </w:r>
          </w:p>
        </w:tc>
        <w:tc>
          <w:tcPr>
            <w:tcW w:w="2926" w:type="dxa"/>
            <w:noWrap w:val="0"/>
            <w:vAlign w:val="center"/>
          </w:tcPr>
          <w:p w14:paraId="220D7970">
            <w:pPr>
              <w:snapToGrid w:val="0"/>
              <w:spacing w:line="240" w:lineRule="auto"/>
              <w:ind w:firstLine="189" w:firstLineChars="90"/>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《可研报告》设计电气设备未采用油浸式电气设备。</w:t>
            </w:r>
          </w:p>
        </w:tc>
        <w:tc>
          <w:tcPr>
            <w:tcW w:w="655" w:type="dxa"/>
            <w:noWrap w:val="0"/>
            <w:vAlign w:val="center"/>
          </w:tcPr>
          <w:p w14:paraId="04EAA7F1">
            <w:pPr>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符合</w:t>
            </w:r>
          </w:p>
        </w:tc>
      </w:tr>
      <w:tr w14:paraId="1CBAA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3" w:hRule="atLeast"/>
          <w:jc w:val="center"/>
        </w:trPr>
        <w:tc>
          <w:tcPr>
            <w:tcW w:w="680" w:type="dxa"/>
            <w:vMerge w:val="continue"/>
            <w:noWrap w:val="0"/>
            <w:vAlign w:val="center"/>
          </w:tcPr>
          <w:p w14:paraId="3DDA545E">
            <w:pPr>
              <w:snapToGrid w:val="0"/>
              <w:spacing w:line="240" w:lineRule="auto"/>
              <w:jc w:val="center"/>
              <w:rPr>
                <w:rFonts w:hint="eastAsia" w:ascii="Times New Roman" w:hAnsi="Times New Roman" w:cs="宋体"/>
                <w:caps w:val="0"/>
                <w:smallCaps w:val="0"/>
                <w:color w:val="000000"/>
                <w:sz w:val="21"/>
                <w:szCs w:val="21"/>
              </w:rPr>
            </w:pPr>
          </w:p>
        </w:tc>
        <w:tc>
          <w:tcPr>
            <w:tcW w:w="3385" w:type="dxa"/>
            <w:noWrap w:val="0"/>
            <w:vAlign w:val="center"/>
          </w:tcPr>
          <w:p w14:paraId="58CC64DA">
            <w:pPr>
              <w:snapToGrid w:val="0"/>
              <w:spacing w:line="240" w:lineRule="auto"/>
              <w:ind w:firstLine="189" w:firstLineChars="90"/>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向井下供电的线路不得装设自动重合闸装置。</w:t>
            </w:r>
          </w:p>
        </w:tc>
        <w:tc>
          <w:tcPr>
            <w:tcW w:w="1512" w:type="dxa"/>
            <w:noWrap w:val="0"/>
            <w:vAlign w:val="center"/>
          </w:tcPr>
          <w:p w14:paraId="1F8096D4">
            <w:pPr>
              <w:snapToGrid w:val="0"/>
              <w:spacing w:line="240" w:lineRule="auto"/>
              <w:rPr>
                <w:rFonts w:hint="eastAsia" w:ascii="Times New Roman" w:hAnsi="Times New Roman" w:cs="宋体"/>
                <w:caps w:val="0"/>
                <w:smallCaps w:val="0"/>
                <w:color w:val="000000"/>
                <w:kern w:val="0"/>
                <w:sz w:val="21"/>
                <w:szCs w:val="21"/>
              </w:rPr>
            </w:pPr>
            <w:r>
              <w:rPr>
                <w:rFonts w:hint="eastAsia" w:ascii="Times New Roman" w:hAnsi="Times New Roman" w:cs="宋体"/>
                <w:caps w:val="0"/>
                <w:smallCaps w:val="0"/>
                <w:color w:val="000000"/>
                <w:kern w:val="0"/>
                <w:sz w:val="21"/>
                <w:szCs w:val="21"/>
              </w:rPr>
              <w:t>GB16423-2020/6.7.3.2</w:t>
            </w:r>
          </w:p>
        </w:tc>
        <w:tc>
          <w:tcPr>
            <w:tcW w:w="2926" w:type="dxa"/>
            <w:noWrap w:val="0"/>
            <w:vAlign w:val="center"/>
          </w:tcPr>
          <w:p w14:paraId="4FBC55A9">
            <w:pPr>
              <w:snapToGrid w:val="0"/>
              <w:spacing w:line="240" w:lineRule="auto"/>
              <w:ind w:firstLine="189" w:firstLineChars="90"/>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《可研报告》未设计自动重合闸装置。</w:t>
            </w:r>
          </w:p>
        </w:tc>
        <w:tc>
          <w:tcPr>
            <w:tcW w:w="655" w:type="dxa"/>
            <w:noWrap w:val="0"/>
            <w:vAlign w:val="center"/>
          </w:tcPr>
          <w:p w14:paraId="27E7803E">
            <w:pPr>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符合</w:t>
            </w:r>
          </w:p>
        </w:tc>
      </w:tr>
      <w:tr w14:paraId="7F863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7" w:hRule="atLeast"/>
          <w:jc w:val="center"/>
        </w:trPr>
        <w:tc>
          <w:tcPr>
            <w:tcW w:w="680" w:type="dxa"/>
            <w:vMerge w:val="restart"/>
            <w:noWrap w:val="0"/>
            <w:vAlign w:val="center"/>
          </w:tcPr>
          <w:p w14:paraId="61958321">
            <w:pPr>
              <w:tabs>
                <w:tab w:val="left" w:pos="1050"/>
              </w:tabs>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防雷及应急照明</w:t>
            </w:r>
          </w:p>
        </w:tc>
        <w:tc>
          <w:tcPr>
            <w:tcW w:w="3385" w:type="dxa"/>
            <w:noWrap w:val="0"/>
            <w:vAlign w:val="center"/>
          </w:tcPr>
          <w:p w14:paraId="3CCF6CE1">
            <w:pPr>
              <w:adjustRightInd w:val="0"/>
              <w:snapToGrid w:val="0"/>
              <w:spacing w:line="240" w:lineRule="auto"/>
              <w:rPr>
                <w:rFonts w:hint="eastAsia" w:ascii="Times New Roman" w:hAnsi="Times New Roman" w:cs="宋体"/>
                <w:caps w:val="0"/>
                <w:smallCaps w:val="0"/>
                <w:color w:val="000000"/>
                <w:kern w:val="0"/>
                <w:sz w:val="21"/>
                <w:szCs w:val="21"/>
              </w:rPr>
            </w:pPr>
            <w:r>
              <w:rPr>
                <w:rFonts w:hint="eastAsia" w:ascii="Times New Roman" w:hAnsi="Times New Roman" w:cs="宋体"/>
                <w:caps w:val="0"/>
                <w:smallCaps w:val="0"/>
                <w:color w:val="000000"/>
                <w:sz w:val="21"/>
                <w:szCs w:val="21"/>
              </w:rPr>
              <w:t>地面建（构）筑物防雷应符合GB50057-2010的规定；经由地面架空线路引入井下变（配）电所的供电电缆，应在架空线与电缆连接处装设避雷装置；应急照明应符合GB50414-2007第10.5条规定。</w:t>
            </w:r>
          </w:p>
        </w:tc>
        <w:tc>
          <w:tcPr>
            <w:tcW w:w="1512" w:type="dxa"/>
            <w:noWrap w:val="0"/>
            <w:vAlign w:val="center"/>
          </w:tcPr>
          <w:p w14:paraId="2CE7A92E">
            <w:pPr>
              <w:snapToGrid w:val="0"/>
              <w:spacing w:line="240" w:lineRule="auto"/>
              <w:jc w:val="center"/>
              <w:rPr>
                <w:rFonts w:hint="eastAsia" w:ascii="Times New Roman" w:hAnsi="Times New Roman" w:cs="宋体"/>
                <w:caps w:val="0"/>
                <w:smallCaps w:val="0"/>
                <w:snapToGrid w:val="0"/>
                <w:color w:val="000000"/>
                <w:kern w:val="0"/>
                <w:sz w:val="21"/>
                <w:szCs w:val="21"/>
              </w:rPr>
            </w:pPr>
            <w:r>
              <w:rPr>
                <w:rFonts w:hint="eastAsia" w:ascii="Times New Roman" w:hAnsi="Times New Roman" w:cs="宋体"/>
                <w:caps w:val="0"/>
                <w:smallCaps w:val="0"/>
                <w:snapToGrid w:val="0"/>
                <w:color w:val="000000"/>
                <w:kern w:val="0"/>
                <w:sz w:val="21"/>
                <w:szCs w:val="21"/>
              </w:rPr>
              <w:t xml:space="preserve">GB50414-2007/10.5 </w:t>
            </w:r>
          </w:p>
        </w:tc>
        <w:tc>
          <w:tcPr>
            <w:tcW w:w="2926" w:type="dxa"/>
            <w:noWrap w:val="0"/>
            <w:vAlign w:val="center"/>
          </w:tcPr>
          <w:p w14:paraId="036ED2A5">
            <w:pPr>
              <w:snapToGrid w:val="0"/>
              <w:spacing w:line="240" w:lineRule="auto"/>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设计方案中明确了相关内容。</w:t>
            </w:r>
          </w:p>
        </w:tc>
        <w:tc>
          <w:tcPr>
            <w:tcW w:w="655" w:type="dxa"/>
            <w:noWrap w:val="0"/>
            <w:vAlign w:val="center"/>
          </w:tcPr>
          <w:p w14:paraId="29428C2B">
            <w:pPr>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符合</w:t>
            </w:r>
          </w:p>
        </w:tc>
      </w:tr>
      <w:tr w14:paraId="72BE1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 w:hRule="atLeast"/>
          <w:jc w:val="center"/>
        </w:trPr>
        <w:tc>
          <w:tcPr>
            <w:tcW w:w="680" w:type="dxa"/>
            <w:vMerge w:val="continue"/>
            <w:noWrap w:val="0"/>
            <w:vAlign w:val="center"/>
          </w:tcPr>
          <w:p w14:paraId="24F3BA0C">
            <w:pPr>
              <w:tabs>
                <w:tab w:val="left" w:pos="1050"/>
              </w:tabs>
              <w:snapToGrid w:val="0"/>
              <w:spacing w:line="240" w:lineRule="auto"/>
              <w:jc w:val="center"/>
              <w:rPr>
                <w:rFonts w:hint="eastAsia" w:ascii="Times New Roman" w:hAnsi="Times New Roman" w:cs="宋体"/>
                <w:caps w:val="0"/>
                <w:smallCaps w:val="0"/>
                <w:color w:val="000000"/>
                <w:sz w:val="21"/>
                <w:szCs w:val="21"/>
              </w:rPr>
            </w:pPr>
          </w:p>
        </w:tc>
        <w:tc>
          <w:tcPr>
            <w:tcW w:w="3385" w:type="dxa"/>
            <w:noWrap w:val="0"/>
            <w:vAlign w:val="center"/>
          </w:tcPr>
          <w:p w14:paraId="7A2E5DFC">
            <w:pPr>
              <w:adjustRightInd w:val="0"/>
              <w:snapToGrid w:val="0"/>
              <w:spacing w:line="240" w:lineRule="auto"/>
              <w:rPr>
                <w:rFonts w:hint="eastAsia" w:ascii="Times New Roman" w:hAnsi="Times New Roman" w:cs="宋体"/>
                <w:caps w:val="0"/>
                <w:smallCaps w:val="0"/>
                <w:color w:val="000000"/>
                <w:kern w:val="0"/>
                <w:sz w:val="21"/>
                <w:szCs w:val="21"/>
              </w:rPr>
            </w:pPr>
            <w:r>
              <w:rPr>
                <w:rFonts w:hint="eastAsia" w:ascii="Times New Roman" w:hAnsi="Times New Roman" w:cs="宋体"/>
                <w:caps w:val="0"/>
                <w:smallCaps w:val="0"/>
                <w:color w:val="000000"/>
                <w:kern w:val="0"/>
                <w:sz w:val="21"/>
                <w:szCs w:val="21"/>
              </w:rPr>
              <w:t>井下所有作业地点、安全通道和通往作业地点的通道均应设照明</w:t>
            </w:r>
            <w:r>
              <w:rPr>
                <w:rFonts w:hint="eastAsia" w:ascii="Times New Roman" w:hAnsi="Times New Roman" w:cs="宋体"/>
                <w:caps w:val="0"/>
                <w:smallCaps w:val="0"/>
                <w:color w:val="000000"/>
                <w:sz w:val="21"/>
                <w:szCs w:val="21"/>
              </w:rPr>
              <w:t>。</w:t>
            </w:r>
          </w:p>
        </w:tc>
        <w:tc>
          <w:tcPr>
            <w:tcW w:w="1512" w:type="dxa"/>
            <w:noWrap w:val="0"/>
            <w:vAlign w:val="center"/>
          </w:tcPr>
          <w:p w14:paraId="651F2496">
            <w:pPr>
              <w:snapToGrid w:val="0"/>
              <w:spacing w:line="240" w:lineRule="auto"/>
              <w:rPr>
                <w:rFonts w:hint="eastAsia" w:ascii="Times New Roman" w:hAnsi="Times New Roman" w:cs="宋体"/>
                <w:caps w:val="0"/>
                <w:smallCaps w:val="0"/>
                <w:snapToGrid w:val="0"/>
                <w:color w:val="000000"/>
                <w:kern w:val="0"/>
                <w:sz w:val="21"/>
                <w:szCs w:val="21"/>
              </w:rPr>
            </w:pPr>
            <w:r>
              <w:rPr>
                <w:rFonts w:hint="eastAsia" w:ascii="Times New Roman" w:hAnsi="Times New Roman" w:cs="宋体"/>
                <w:caps w:val="0"/>
                <w:smallCaps w:val="0"/>
                <w:snapToGrid w:val="0"/>
                <w:color w:val="000000"/>
                <w:kern w:val="0"/>
                <w:sz w:val="21"/>
                <w:szCs w:val="21"/>
              </w:rPr>
              <w:t>GB16423-2020/6.7.5.1</w:t>
            </w:r>
          </w:p>
        </w:tc>
        <w:tc>
          <w:tcPr>
            <w:tcW w:w="2926" w:type="dxa"/>
            <w:noWrap w:val="0"/>
            <w:vAlign w:val="center"/>
          </w:tcPr>
          <w:p w14:paraId="7233FB84">
            <w:pPr>
              <w:adjustRightInd w:val="0"/>
              <w:snapToGrid w:val="0"/>
              <w:spacing w:line="240" w:lineRule="auto"/>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井下运输巷道、井底车场照明电压为220V；采掘工作面、出矿巷道、天井和天井至回采工作面之间电压为36V；行灯电压为36V以下，照明灯具选用矿用LED灯。</w:t>
            </w:r>
          </w:p>
        </w:tc>
        <w:tc>
          <w:tcPr>
            <w:tcW w:w="655" w:type="dxa"/>
            <w:noWrap w:val="0"/>
            <w:vAlign w:val="center"/>
          </w:tcPr>
          <w:p w14:paraId="78DBCACB">
            <w:pPr>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符合</w:t>
            </w:r>
          </w:p>
        </w:tc>
      </w:tr>
      <w:tr w14:paraId="0E716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680" w:type="dxa"/>
            <w:noWrap w:val="0"/>
            <w:vAlign w:val="center"/>
          </w:tcPr>
          <w:p w14:paraId="4B0C456B">
            <w:pPr>
              <w:tabs>
                <w:tab w:val="left" w:pos="1050"/>
              </w:tabs>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电气保护</w:t>
            </w:r>
          </w:p>
          <w:p w14:paraId="0DD032A0">
            <w:pPr>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接地</w:t>
            </w:r>
          </w:p>
        </w:tc>
        <w:tc>
          <w:tcPr>
            <w:tcW w:w="3385" w:type="dxa"/>
            <w:noWrap w:val="0"/>
            <w:vAlign w:val="center"/>
          </w:tcPr>
          <w:p w14:paraId="5B3927E2">
            <w:pPr>
              <w:autoSpaceDE w:val="0"/>
              <w:autoSpaceDN w:val="0"/>
              <w:adjustRightInd w:val="0"/>
              <w:snapToGrid w:val="0"/>
              <w:spacing w:line="240" w:lineRule="auto"/>
              <w:jc w:val="left"/>
              <w:rPr>
                <w:rFonts w:hint="eastAsia" w:ascii="Times New Roman" w:hAnsi="Times New Roman" w:cs="宋体"/>
                <w:caps w:val="0"/>
                <w:smallCaps w:val="0"/>
                <w:color w:val="000000"/>
                <w:kern w:val="0"/>
                <w:sz w:val="21"/>
                <w:szCs w:val="21"/>
              </w:rPr>
            </w:pPr>
            <w:r>
              <w:rPr>
                <w:rFonts w:hint="eastAsia" w:ascii="Times New Roman" w:hAnsi="Times New Roman" w:cs="宋体"/>
                <w:caps w:val="0"/>
                <w:smallCaps w:val="0"/>
                <w:color w:val="000000"/>
                <w:kern w:val="0"/>
                <w:sz w:val="21"/>
                <w:szCs w:val="21"/>
              </w:rPr>
              <w:t>井下电气装置、设备的外露可导电部分和构架及电缆的配件、接线盒、金属外皮等应接地</w:t>
            </w:r>
            <w:r>
              <w:rPr>
                <w:rFonts w:hint="eastAsia" w:ascii="Times New Roman" w:hAnsi="Times New Roman" w:cs="宋体"/>
                <w:caps w:val="0"/>
                <w:smallCaps w:val="0"/>
                <w:color w:val="000000"/>
                <w:sz w:val="21"/>
                <w:szCs w:val="21"/>
              </w:rPr>
              <w:t>。</w:t>
            </w:r>
          </w:p>
        </w:tc>
        <w:tc>
          <w:tcPr>
            <w:tcW w:w="1512" w:type="dxa"/>
            <w:noWrap w:val="0"/>
            <w:vAlign w:val="center"/>
          </w:tcPr>
          <w:p w14:paraId="54B9D028">
            <w:pPr>
              <w:snapToGrid w:val="0"/>
              <w:spacing w:line="240" w:lineRule="auto"/>
              <w:jc w:val="center"/>
              <w:rPr>
                <w:rFonts w:hint="eastAsia" w:ascii="Times New Roman" w:hAnsi="Times New Roman" w:cs="宋体"/>
                <w:caps w:val="0"/>
                <w:smallCaps w:val="0"/>
                <w:snapToGrid w:val="0"/>
                <w:color w:val="000000"/>
                <w:kern w:val="0"/>
                <w:sz w:val="21"/>
                <w:szCs w:val="21"/>
              </w:rPr>
            </w:pPr>
            <w:r>
              <w:rPr>
                <w:rFonts w:hint="eastAsia" w:ascii="Times New Roman" w:hAnsi="Times New Roman" w:cs="宋体"/>
                <w:caps w:val="0"/>
                <w:smallCaps w:val="0"/>
                <w:snapToGrid w:val="0"/>
                <w:color w:val="000000"/>
                <w:kern w:val="0"/>
                <w:sz w:val="21"/>
                <w:szCs w:val="21"/>
              </w:rPr>
              <w:t>GB16423-2020/6.7.6.1</w:t>
            </w:r>
          </w:p>
        </w:tc>
        <w:tc>
          <w:tcPr>
            <w:tcW w:w="2926" w:type="dxa"/>
            <w:noWrap w:val="0"/>
            <w:vAlign w:val="center"/>
          </w:tcPr>
          <w:p w14:paraId="47444A39">
            <w:pPr>
              <w:snapToGrid w:val="0"/>
              <w:spacing w:line="240" w:lineRule="auto"/>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kern w:val="0"/>
                <w:sz w:val="21"/>
                <w:szCs w:val="21"/>
              </w:rPr>
              <w:t>设计方案中明确了井下电气设备配件、接线盒、金属外皮接地保护</w:t>
            </w:r>
            <w:r>
              <w:rPr>
                <w:rFonts w:hint="eastAsia" w:ascii="Times New Roman" w:hAnsi="Times New Roman" w:cs="宋体"/>
                <w:caps w:val="0"/>
                <w:smallCaps w:val="0"/>
                <w:color w:val="000000"/>
                <w:sz w:val="21"/>
                <w:szCs w:val="21"/>
              </w:rPr>
              <w:t>。</w:t>
            </w:r>
          </w:p>
        </w:tc>
        <w:tc>
          <w:tcPr>
            <w:tcW w:w="655" w:type="dxa"/>
            <w:noWrap w:val="0"/>
            <w:vAlign w:val="center"/>
          </w:tcPr>
          <w:p w14:paraId="671F935E">
            <w:pPr>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符合</w:t>
            </w:r>
          </w:p>
        </w:tc>
      </w:tr>
      <w:tr w14:paraId="236E8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680" w:type="dxa"/>
            <w:noWrap w:val="0"/>
            <w:vAlign w:val="center"/>
          </w:tcPr>
          <w:p w14:paraId="49D1F559">
            <w:pPr>
              <w:tabs>
                <w:tab w:val="left" w:pos="1050"/>
              </w:tabs>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井下电缆</w:t>
            </w:r>
          </w:p>
        </w:tc>
        <w:tc>
          <w:tcPr>
            <w:tcW w:w="3385" w:type="dxa"/>
            <w:noWrap w:val="0"/>
            <w:vAlign w:val="center"/>
          </w:tcPr>
          <w:p w14:paraId="72EA916F">
            <w:pPr>
              <w:snapToGrid w:val="0"/>
              <w:spacing w:line="240" w:lineRule="auto"/>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井下应采用低烟、低卤或无卤的阻燃电缆。</w:t>
            </w:r>
          </w:p>
        </w:tc>
        <w:tc>
          <w:tcPr>
            <w:tcW w:w="1512" w:type="dxa"/>
            <w:noWrap w:val="0"/>
            <w:vAlign w:val="center"/>
          </w:tcPr>
          <w:p w14:paraId="14B58D4F">
            <w:pPr>
              <w:snapToGrid w:val="0"/>
              <w:spacing w:line="240" w:lineRule="auto"/>
              <w:rPr>
                <w:rFonts w:hint="eastAsia" w:ascii="Times New Roman" w:hAnsi="Times New Roman" w:eastAsia="宋体" w:cs="宋体"/>
                <w:caps w:val="0"/>
                <w:smallCaps w:val="0"/>
                <w:snapToGrid w:val="0"/>
                <w:color w:val="000000"/>
                <w:kern w:val="0"/>
                <w:sz w:val="21"/>
                <w:szCs w:val="21"/>
                <w:lang w:eastAsia="zh-CN"/>
              </w:rPr>
            </w:pPr>
            <w:r>
              <w:rPr>
                <w:rFonts w:hint="eastAsia" w:ascii="Times New Roman" w:hAnsi="Times New Roman" w:cs="宋体"/>
                <w:caps w:val="0"/>
                <w:smallCaps w:val="0"/>
                <w:color w:val="000000"/>
                <w:sz w:val="21"/>
                <w:szCs w:val="21"/>
              </w:rPr>
              <w:t>GB16423-2020/6.7.2.</w:t>
            </w:r>
            <w:r>
              <w:rPr>
                <w:rFonts w:hint="eastAsia" w:ascii="Times New Roman" w:hAnsi="Times New Roman" w:cs="宋体"/>
                <w:caps w:val="0"/>
                <w:smallCaps w:val="0"/>
                <w:color w:val="000000"/>
                <w:sz w:val="21"/>
                <w:szCs w:val="21"/>
                <w:lang w:val="en-US" w:eastAsia="zh-CN"/>
              </w:rPr>
              <w:t>1</w:t>
            </w:r>
          </w:p>
        </w:tc>
        <w:tc>
          <w:tcPr>
            <w:tcW w:w="2926" w:type="dxa"/>
            <w:noWrap w:val="0"/>
            <w:vAlign w:val="center"/>
          </w:tcPr>
          <w:p w14:paraId="025F21F5">
            <w:pPr>
              <w:snapToGrid w:val="0"/>
              <w:spacing w:line="240" w:lineRule="auto"/>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kern w:val="0"/>
                <w:sz w:val="21"/>
                <w:szCs w:val="21"/>
              </w:rPr>
              <w:t>电缆选用具有矿用安全标识的</w:t>
            </w:r>
            <w:r>
              <w:rPr>
                <w:rFonts w:hint="eastAsia" w:ascii="Times New Roman" w:hAnsi="Times New Roman" w:cs="宋体"/>
                <w:caps w:val="0"/>
                <w:smallCaps w:val="0"/>
                <w:color w:val="000000"/>
                <w:kern w:val="0"/>
                <w:sz w:val="21"/>
                <w:szCs w:val="21"/>
                <w:lang w:val="en-US" w:eastAsia="zh-CN"/>
              </w:rPr>
              <w:t>WD-MYJY</w:t>
            </w:r>
            <w:r>
              <w:rPr>
                <w:rFonts w:hint="eastAsia" w:ascii="Times New Roman" w:hAnsi="Times New Roman" w:cs="宋体"/>
                <w:caps w:val="0"/>
                <w:smallCaps w:val="0"/>
                <w:color w:val="000000"/>
                <w:kern w:val="0"/>
                <w:sz w:val="21"/>
                <w:szCs w:val="21"/>
                <w:vertAlign w:val="subscript"/>
                <w:lang w:val="en-US" w:eastAsia="zh-CN"/>
              </w:rPr>
              <w:t>43</w:t>
            </w:r>
            <w:r>
              <w:rPr>
                <w:rFonts w:hint="eastAsia" w:ascii="Times New Roman" w:hAnsi="Times New Roman" w:cs="宋体"/>
                <w:caps w:val="0"/>
                <w:smallCaps w:val="0"/>
                <w:color w:val="000000"/>
                <w:kern w:val="0"/>
                <w:sz w:val="21"/>
                <w:szCs w:val="21"/>
                <w:lang w:val="en-US" w:eastAsia="zh-CN"/>
              </w:rPr>
              <w:t>-8.7/10kV-1(3×70)mm</w:t>
            </w:r>
            <w:r>
              <w:rPr>
                <w:rFonts w:hint="eastAsia" w:ascii="Times New Roman" w:hAnsi="Times New Roman" w:cs="宋体"/>
                <w:caps w:val="0"/>
                <w:smallCaps w:val="0"/>
                <w:color w:val="000000"/>
                <w:kern w:val="0"/>
                <w:sz w:val="21"/>
                <w:szCs w:val="21"/>
                <w:vertAlign w:val="superscript"/>
                <w:lang w:val="en-US" w:eastAsia="zh-CN"/>
              </w:rPr>
              <w:t>2</w:t>
            </w:r>
            <w:r>
              <w:rPr>
                <w:rFonts w:hint="eastAsia" w:ascii="Times New Roman" w:hAnsi="Times New Roman" w:cs="宋体"/>
                <w:caps w:val="0"/>
                <w:smallCaps w:val="0"/>
                <w:color w:val="000000"/>
                <w:kern w:val="0"/>
                <w:sz w:val="21"/>
                <w:szCs w:val="21"/>
              </w:rPr>
              <w:t>铜芯无卤低烟钢带铠装电力阻燃电缆</w:t>
            </w:r>
            <w:r>
              <w:rPr>
                <w:rFonts w:hint="eastAsia" w:ascii="Times New Roman" w:hAnsi="Times New Roman" w:cs="宋体"/>
                <w:caps w:val="0"/>
                <w:smallCaps w:val="0"/>
                <w:color w:val="000000"/>
                <w:kern w:val="0"/>
                <w:sz w:val="21"/>
                <w:szCs w:val="21"/>
                <w:lang w:eastAsia="zh-CN"/>
              </w:rPr>
              <w:t>，WD-MYJY</w:t>
            </w:r>
            <w:r>
              <w:rPr>
                <w:rFonts w:hint="eastAsia" w:ascii="Times New Roman" w:hAnsi="Times New Roman" w:cs="宋体"/>
                <w:caps w:val="0"/>
                <w:smallCaps w:val="0"/>
                <w:color w:val="000000"/>
                <w:kern w:val="0"/>
                <w:sz w:val="21"/>
                <w:szCs w:val="21"/>
                <w:vertAlign w:val="subscript"/>
                <w:lang w:eastAsia="zh-CN"/>
              </w:rPr>
              <w:t>43</w:t>
            </w:r>
            <w:r>
              <w:rPr>
                <w:rFonts w:hint="eastAsia" w:ascii="Times New Roman" w:hAnsi="Times New Roman" w:cs="宋体"/>
                <w:caps w:val="0"/>
                <w:smallCaps w:val="0"/>
                <w:color w:val="000000"/>
                <w:kern w:val="0"/>
                <w:sz w:val="21"/>
                <w:szCs w:val="21"/>
                <w:lang w:eastAsia="zh-CN"/>
              </w:rPr>
              <w:t>-8.7/10kV-1(3×50)mm</w:t>
            </w:r>
            <w:r>
              <w:rPr>
                <w:rFonts w:hint="eastAsia" w:ascii="Times New Roman" w:hAnsi="Times New Roman" w:cs="宋体"/>
                <w:caps w:val="0"/>
                <w:smallCaps w:val="0"/>
                <w:color w:val="000000"/>
                <w:kern w:val="0"/>
                <w:sz w:val="21"/>
                <w:szCs w:val="21"/>
                <w:vertAlign w:val="superscript"/>
                <w:lang w:eastAsia="zh-CN"/>
              </w:rPr>
              <w:t>2</w:t>
            </w:r>
            <w:r>
              <w:rPr>
                <w:rFonts w:hint="eastAsia" w:ascii="Times New Roman" w:hAnsi="Times New Roman" w:cs="宋体"/>
                <w:caps w:val="0"/>
                <w:smallCaps w:val="0"/>
                <w:color w:val="000000"/>
                <w:kern w:val="0"/>
                <w:sz w:val="21"/>
                <w:szCs w:val="21"/>
                <w:lang w:eastAsia="zh-CN"/>
              </w:rPr>
              <w:t>铜芯无卤低烟粗钢丝铠装电力阻燃电缆</w:t>
            </w:r>
            <w:r>
              <w:rPr>
                <w:rFonts w:hint="eastAsia" w:ascii="Times New Roman" w:hAnsi="Times New Roman" w:cs="宋体"/>
                <w:caps w:val="0"/>
                <w:smallCaps w:val="0"/>
                <w:color w:val="000000"/>
                <w:kern w:val="0"/>
                <w:sz w:val="21"/>
                <w:szCs w:val="21"/>
              </w:rPr>
              <w:t>。</w:t>
            </w:r>
          </w:p>
        </w:tc>
        <w:tc>
          <w:tcPr>
            <w:tcW w:w="655" w:type="dxa"/>
            <w:noWrap w:val="0"/>
            <w:vAlign w:val="center"/>
          </w:tcPr>
          <w:p w14:paraId="42030425">
            <w:pPr>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符合</w:t>
            </w:r>
          </w:p>
        </w:tc>
      </w:tr>
    </w:tbl>
    <w:p w14:paraId="6A0A534D">
      <w:pPr>
        <w:pStyle w:val="21"/>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default"/>
          <w:lang w:val="en-US" w:eastAsia="zh-CN"/>
        </w:rPr>
      </w:pPr>
      <w:r>
        <w:rPr>
          <w:rFonts w:hint="default"/>
          <w:lang w:val="en-US" w:eastAsia="zh-CN"/>
        </w:rPr>
        <w:t>矿山采用双电源双回路供电系统。设计方案中的矿山供电电源、计算负荷、供电方案、供配电系统、装备水平、主要设备、照明、电器安全与防雷接地及电信等按标准规范要求进行了设计，矿山供配电设施符合相关法律、法规的要求。</w:t>
      </w:r>
    </w:p>
    <w:p w14:paraId="23ECC146">
      <w:pPr>
        <w:pStyle w:val="21"/>
        <w:bidi w:val="0"/>
        <w:rPr>
          <w:rFonts w:hint="default"/>
          <w:lang w:val="en-US" w:eastAsia="zh-CN"/>
        </w:rPr>
      </w:pPr>
      <w:r>
        <w:rPr>
          <w:rFonts w:hint="default"/>
          <w:lang w:val="en-US" w:eastAsia="zh-CN"/>
        </w:rPr>
        <w:t>建设单位在施工及以后生产过程中，要严格按设计设置供电线路、配电室及变电所，并定期对电气线路及电气设备进行维护检修，电气作业人员应持有特种作业人员资格证，并且应严格按照电气作业操作规程进行，并杜绝违章作业，同时作业时佩带必要的劳动防护用品，能够保证供电系统的安全可靠。</w:t>
      </w:r>
    </w:p>
    <w:p w14:paraId="641782B2">
      <w:pPr>
        <w:pStyle w:val="29"/>
        <w:bidi w:val="0"/>
        <w:rPr>
          <w:rFonts w:hint="default"/>
          <w:lang w:val="en-US" w:eastAsia="zh-CN"/>
        </w:rPr>
      </w:pPr>
      <w:r>
        <w:rPr>
          <w:rFonts w:hint="default"/>
          <w:lang w:val="en-US" w:eastAsia="zh-CN"/>
        </w:rPr>
        <w:t>评价结果小结</w:t>
      </w:r>
    </w:p>
    <w:p w14:paraId="5EF5B458">
      <w:pPr>
        <w:pStyle w:val="21"/>
        <w:rPr>
          <w:rFonts w:hint="default"/>
          <w:lang w:val="en-US" w:eastAsia="zh-CN"/>
        </w:rPr>
      </w:pPr>
      <w:r>
        <w:rPr>
          <w:rFonts w:hint="default"/>
          <w:lang w:val="en-US" w:eastAsia="zh-CN"/>
        </w:rPr>
        <w:t>评价结果：如果建设单位施工及生产过程中严格落实可行性研究报告及本评价报告提出的安全对策措施，可以保证矿山电气单元安全可靠。</w:t>
      </w:r>
    </w:p>
    <w:p w14:paraId="4742FD68">
      <w:pPr>
        <w:pStyle w:val="28"/>
        <w:bidi w:val="0"/>
        <w:rPr>
          <w:rFonts w:hint="default"/>
          <w:lang w:val="en-US" w:eastAsia="zh-CN"/>
        </w:rPr>
      </w:pPr>
      <w:bookmarkStart w:id="45" w:name="_Toc699"/>
      <w:r>
        <w:rPr>
          <w:rFonts w:hint="default"/>
          <w:lang w:val="en-US" w:eastAsia="zh-CN"/>
        </w:rPr>
        <w:t>防排水与防灭火单元评价</w:t>
      </w:r>
      <w:bookmarkEnd w:id="45"/>
    </w:p>
    <w:p w14:paraId="42B58D8F">
      <w:pPr>
        <w:pStyle w:val="29"/>
        <w:rPr>
          <w:rFonts w:hint="default"/>
          <w:lang w:val="en-US" w:eastAsia="zh-CN"/>
        </w:rPr>
      </w:pPr>
      <w:r>
        <w:rPr>
          <w:rFonts w:hint="default"/>
          <w:lang w:val="en-US" w:eastAsia="zh-CN"/>
        </w:rPr>
        <w:t>危险有害因素辨识</w:t>
      </w:r>
    </w:p>
    <w:p w14:paraId="26BABF04">
      <w:pPr>
        <w:pStyle w:val="21"/>
        <w:rPr>
          <w:rFonts w:hint="default"/>
          <w:lang w:val="en-US" w:eastAsia="zh-CN"/>
        </w:rPr>
      </w:pPr>
      <w:r>
        <w:rPr>
          <w:rFonts w:hint="default"/>
          <w:lang w:val="en-US" w:eastAsia="zh-CN"/>
        </w:rPr>
        <w:t>防排水与防灭火单元涉及到的危险、有害因素主要有透水、火灾。</w:t>
      </w:r>
    </w:p>
    <w:p w14:paraId="12C4FA30">
      <w:pPr>
        <w:pStyle w:val="21"/>
        <w:numPr>
          <w:ilvl w:val="0"/>
          <w:numId w:val="69"/>
        </w:numPr>
        <w:bidi w:val="0"/>
        <w:rPr>
          <w:rFonts w:hint="eastAsia"/>
        </w:rPr>
      </w:pPr>
      <w:r>
        <w:rPr>
          <w:rFonts w:hint="eastAsia"/>
        </w:rPr>
        <w:t>透水</w:t>
      </w:r>
    </w:p>
    <w:p w14:paraId="5D2E6BE3">
      <w:pPr>
        <w:pStyle w:val="21"/>
        <w:bidi w:val="0"/>
        <w:rPr>
          <w:rFonts w:hint="eastAsia"/>
        </w:rPr>
      </w:pPr>
      <w:r>
        <w:rPr>
          <w:rFonts w:hint="eastAsia"/>
        </w:rPr>
        <w:t>矿井在建设和生产过程中，地面水和地下水通过各种通道涌入矿井，当矿井涌水超过正常排水能力时，就造成矿井水灾。矿井水灾（通常称为透水），是非煤矿常见的主要灾害之一。一旦发生透水，不但影响矿井正常生产，而且有时还会造成人员伤亡，淹没矿井和采区，危害十分严重。</w:t>
      </w:r>
    </w:p>
    <w:p w14:paraId="362CF30B">
      <w:pPr>
        <w:pStyle w:val="21"/>
        <w:bidi w:val="0"/>
      </w:pPr>
      <w:r>
        <w:rPr>
          <w:rFonts w:hint="eastAsia"/>
        </w:rPr>
        <w:t>水灾的形式有：采掘工作面突水；采掘工作面或采空区透水；地表水或突然大量降雨进入井下。</w:t>
      </w:r>
    </w:p>
    <w:p w14:paraId="0265C420">
      <w:pPr>
        <w:pStyle w:val="21"/>
        <w:bidi w:val="0"/>
      </w:pPr>
      <w:r>
        <w:rPr>
          <w:rFonts w:hint="eastAsia"/>
        </w:rPr>
        <w:t>造成水灾的水体有：地表水；采空区和废弃巷道中储存的“人工水体”，即“老窿水”；原岩溶洞、裂隙等构造中的原岩水体。</w:t>
      </w:r>
    </w:p>
    <w:p w14:paraId="6ED8C25F">
      <w:pPr>
        <w:pStyle w:val="21"/>
        <w:bidi w:val="0"/>
      </w:pPr>
      <w:r>
        <w:rPr>
          <w:rFonts w:hint="eastAsia"/>
        </w:rPr>
        <w:t>造成水灾的原因有：</w:t>
      </w:r>
    </w:p>
    <w:p w14:paraId="1BA8DB0A">
      <w:pPr>
        <w:pStyle w:val="21"/>
        <w:numPr>
          <w:ilvl w:val="0"/>
          <w:numId w:val="70"/>
        </w:numPr>
        <w:ind w:left="0" w:leftChars="0" w:firstLine="560" w:firstLineChars="200"/>
        <w:rPr>
          <w:rFonts w:hint="default" w:ascii="Times New Roman" w:hAnsi="Times New Roman" w:eastAsia="宋体"/>
          <w:lang w:val="en-US" w:eastAsia="zh-CN"/>
        </w:rPr>
      </w:pPr>
      <w:r>
        <w:rPr>
          <w:rFonts w:hint="eastAsia" w:ascii="Times New Roman" w:hAnsi="Times New Roman" w:eastAsia="宋体"/>
          <w:lang w:val="en-US" w:eastAsia="zh-CN"/>
        </w:rPr>
        <w:t>降雨量突然加大时，造成井下涌水量突然增大。</w:t>
      </w:r>
    </w:p>
    <w:p w14:paraId="381F7E38">
      <w:pPr>
        <w:pStyle w:val="21"/>
        <w:numPr>
          <w:ilvl w:val="0"/>
          <w:numId w:val="70"/>
        </w:numPr>
        <w:ind w:left="0" w:leftChars="0" w:firstLine="560" w:firstLineChars="200"/>
        <w:rPr>
          <w:rFonts w:hint="default" w:ascii="Times New Roman" w:hAnsi="Times New Roman" w:eastAsia="宋体"/>
          <w:lang w:val="en-US" w:eastAsia="zh-CN"/>
        </w:rPr>
      </w:pPr>
      <w:r>
        <w:rPr>
          <w:rFonts w:hint="eastAsia" w:ascii="Times New Roman" w:hAnsi="Times New Roman" w:eastAsia="宋体"/>
          <w:lang w:val="en-US" w:eastAsia="zh-CN"/>
        </w:rPr>
        <w:t>没有采取合理的疏水、导水措施，使采空区、废弃巷道积水。</w:t>
      </w:r>
    </w:p>
    <w:p w14:paraId="67D9CC3C">
      <w:pPr>
        <w:pStyle w:val="21"/>
        <w:numPr>
          <w:ilvl w:val="0"/>
          <w:numId w:val="70"/>
        </w:numPr>
        <w:ind w:left="0" w:leftChars="0" w:firstLine="560" w:firstLineChars="200"/>
        <w:rPr>
          <w:rFonts w:hint="default" w:ascii="Times New Roman" w:hAnsi="Times New Roman" w:eastAsia="宋体"/>
          <w:lang w:val="en-US" w:eastAsia="zh-CN"/>
        </w:rPr>
      </w:pPr>
      <w:r>
        <w:rPr>
          <w:rFonts w:hint="eastAsia" w:ascii="Times New Roman" w:hAnsi="Times New Roman" w:eastAsia="宋体"/>
          <w:lang w:val="en-US" w:eastAsia="zh-CN"/>
        </w:rPr>
        <w:t>巷道、工作面和地面水体内外连通。</w:t>
      </w:r>
    </w:p>
    <w:p w14:paraId="635253AB">
      <w:pPr>
        <w:pStyle w:val="21"/>
        <w:numPr>
          <w:ilvl w:val="0"/>
          <w:numId w:val="70"/>
        </w:numPr>
        <w:ind w:left="0" w:leftChars="0" w:firstLine="560" w:firstLineChars="200"/>
        <w:rPr>
          <w:rFonts w:hint="default" w:ascii="Times New Roman" w:hAnsi="Times New Roman" w:eastAsia="宋体"/>
          <w:lang w:val="en-US" w:eastAsia="zh-CN"/>
        </w:rPr>
      </w:pPr>
      <w:r>
        <w:rPr>
          <w:rFonts w:hint="eastAsia" w:ascii="Times New Roman" w:hAnsi="Times New Roman" w:eastAsia="宋体"/>
          <w:lang w:val="en-US" w:eastAsia="zh-CN"/>
        </w:rPr>
        <w:t>采掘过程中没有探放水或探水工艺不合理。</w:t>
      </w:r>
    </w:p>
    <w:p w14:paraId="24B5FE5D">
      <w:pPr>
        <w:pStyle w:val="21"/>
        <w:numPr>
          <w:ilvl w:val="0"/>
          <w:numId w:val="70"/>
        </w:numPr>
        <w:ind w:left="0" w:leftChars="0" w:firstLine="560" w:firstLineChars="200"/>
        <w:rPr>
          <w:rFonts w:hint="default" w:ascii="Times New Roman" w:hAnsi="Times New Roman" w:eastAsia="宋体"/>
          <w:lang w:val="en-US" w:eastAsia="zh-CN"/>
        </w:rPr>
      </w:pPr>
      <w:r>
        <w:rPr>
          <w:rFonts w:hint="eastAsia" w:ascii="Times New Roman" w:hAnsi="Times New Roman" w:eastAsia="宋体"/>
          <w:lang w:val="en-US" w:eastAsia="zh-CN"/>
        </w:rPr>
        <w:t>采掘过程中突然遇到含水的地质构造。</w:t>
      </w:r>
    </w:p>
    <w:p w14:paraId="046797C0">
      <w:pPr>
        <w:pStyle w:val="21"/>
        <w:numPr>
          <w:ilvl w:val="0"/>
          <w:numId w:val="70"/>
        </w:numPr>
        <w:ind w:left="0" w:leftChars="0" w:firstLine="560" w:firstLineChars="200"/>
        <w:rPr>
          <w:rFonts w:hint="default" w:ascii="Times New Roman" w:hAnsi="Times New Roman" w:eastAsia="宋体"/>
          <w:lang w:val="en-US" w:eastAsia="zh-CN"/>
        </w:rPr>
      </w:pPr>
      <w:r>
        <w:rPr>
          <w:rFonts w:hint="eastAsia" w:ascii="Times New Roman" w:hAnsi="Times New Roman" w:eastAsia="宋体"/>
          <w:lang w:val="en-US" w:eastAsia="zh-CN"/>
        </w:rPr>
        <w:t>发现突水征兆没有及时采取探水、防水措施。</w:t>
      </w:r>
    </w:p>
    <w:p w14:paraId="20CD329A">
      <w:pPr>
        <w:pStyle w:val="21"/>
        <w:numPr>
          <w:ilvl w:val="0"/>
          <w:numId w:val="70"/>
        </w:numPr>
        <w:ind w:left="0" w:leftChars="0" w:firstLine="560" w:firstLineChars="200"/>
        <w:rPr>
          <w:rFonts w:hint="default" w:ascii="Times New Roman" w:hAnsi="Times New Roman" w:eastAsia="宋体"/>
          <w:lang w:val="en-US" w:eastAsia="zh-CN"/>
        </w:rPr>
      </w:pPr>
      <w:r>
        <w:rPr>
          <w:rFonts w:hint="eastAsia" w:ascii="Times New Roman" w:hAnsi="Times New Roman" w:eastAsia="宋体"/>
          <w:lang w:val="en-US" w:eastAsia="zh-CN"/>
        </w:rPr>
        <w:t>排水系统设计不合理。</w:t>
      </w:r>
    </w:p>
    <w:p w14:paraId="0ACF1F40">
      <w:pPr>
        <w:pStyle w:val="21"/>
        <w:numPr>
          <w:ilvl w:val="0"/>
          <w:numId w:val="70"/>
        </w:numPr>
        <w:ind w:left="0" w:leftChars="0" w:firstLine="560" w:firstLineChars="200"/>
        <w:rPr>
          <w:rFonts w:hint="default" w:ascii="Times New Roman" w:hAnsi="Times New Roman" w:eastAsia="宋体"/>
          <w:lang w:val="en-US" w:eastAsia="zh-CN"/>
        </w:rPr>
      </w:pPr>
      <w:r>
        <w:rPr>
          <w:rFonts w:hint="eastAsia" w:ascii="Times New Roman" w:hAnsi="Times New Roman" w:eastAsia="宋体"/>
          <w:lang w:val="en-US" w:eastAsia="zh-CN"/>
        </w:rPr>
        <w:t>排水设施施工不合理。</w:t>
      </w:r>
    </w:p>
    <w:p w14:paraId="3565A9AB">
      <w:pPr>
        <w:pStyle w:val="21"/>
        <w:bidi w:val="0"/>
      </w:pPr>
      <w:r>
        <w:rPr>
          <w:rFonts w:hint="eastAsia"/>
        </w:rPr>
        <w:t>另外，如果矿山的工业场地选址不合理，在洪水影响范围内，在遭遇洪水的情况，可能造成工业场地被洪水淹没的后果。</w:t>
      </w:r>
    </w:p>
    <w:p w14:paraId="321C8A57">
      <w:pPr>
        <w:pStyle w:val="21"/>
        <w:numPr>
          <w:ilvl w:val="0"/>
          <w:numId w:val="69"/>
        </w:numPr>
        <w:bidi w:val="0"/>
        <w:rPr>
          <w:rFonts w:hint="eastAsia"/>
        </w:rPr>
      </w:pPr>
      <w:r>
        <w:rPr>
          <w:rFonts w:hint="eastAsia"/>
        </w:rPr>
        <w:t>火灾</w:t>
      </w:r>
    </w:p>
    <w:p w14:paraId="55441B03">
      <w:pPr>
        <w:pStyle w:val="21"/>
        <w:bidi w:val="0"/>
      </w:pPr>
      <w:r>
        <w:rPr>
          <w:rFonts w:hint="eastAsia"/>
        </w:rPr>
        <w:t>火灾按其发生的原因分为：内因火灾，是由于矿岩氧化自燃而引起的；外因火灾，是由于矿岩自燃以外的原因。</w:t>
      </w:r>
    </w:p>
    <w:p w14:paraId="171DFC9D">
      <w:pPr>
        <w:pStyle w:val="21"/>
        <w:bidi w:val="0"/>
      </w:pPr>
      <w:r>
        <w:rPr>
          <w:rFonts w:hint="eastAsia"/>
        </w:rPr>
        <w:t>据统计，我国非煤矿山中，外因火灾占火灾事故的</w:t>
      </w:r>
      <w:r>
        <w:t>80</w:t>
      </w:r>
      <w:r>
        <w:rPr>
          <w:rFonts w:hint="eastAsia"/>
        </w:rPr>
        <w:t>%～</w:t>
      </w:r>
      <w:r>
        <w:t>90</w:t>
      </w:r>
      <w:r>
        <w:rPr>
          <w:rFonts w:hint="eastAsia"/>
        </w:rPr>
        <w:t>%，是火灾的主要形式。</w:t>
      </w:r>
    </w:p>
    <w:p w14:paraId="3800AAE2">
      <w:pPr>
        <w:pStyle w:val="21"/>
        <w:bidi w:val="0"/>
      </w:pPr>
      <w:r>
        <w:rPr>
          <w:rFonts w:hint="eastAsia"/>
        </w:rPr>
        <w:t>根据火灾发生的地点不同，可分为：地面火灾，凡是发生在矿井工业场地的厂房、仓库、井架、露天矿场、矿仓、贮矿堆等处的火灾，叫地面火灾；井下火灾，凡是发生在在井下硐室、巷道、井筒、采场、井底车场以及采空区等地点的火灾叫井下火灾。</w:t>
      </w:r>
    </w:p>
    <w:p w14:paraId="63DE94B5">
      <w:pPr>
        <w:pStyle w:val="21"/>
        <w:bidi w:val="0"/>
      </w:pPr>
      <w:r>
        <w:rPr>
          <w:rFonts w:hint="eastAsia"/>
        </w:rPr>
        <w:t>本项目的矿山开采的矿岩不具有自燃性，火灾的危险隐患主要来自外因。</w:t>
      </w:r>
    </w:p>
    <w:p w14:paraId="2456C032">
      <w:pPr>
        <w:pStyle w:val="21"/>
        <w:bidi w:val="0"/>
      </w:pPr>
      <w:r>
        <w:rPr>
          <w:rFonts w:hint="eastAsia"/>
        </w:rPr>
        <w:t>造成外因火灾的原因主要有：</w:t>
      </w:r>
    </w:p>
    <w:p w14:paraId="37E04407">
      <w:pPr>
        <w:pStyle w:val="21"/>
        <w:numPr>
          <w:ilvl w:val="0"/>
          <w:numId w:val="71"/>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生产和生活用火不慎。</w:t>
      </w:r>
    </w:p>
    <w:p w14:paraId="11D57372">
      <w:pPr>
        <w:pStyle w:val="21"/>
        <w:numPr>
          <w:ilvl w:val="0"/>
          <w:numId w:val="71"/>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设备不良。如设备不符合防火或防爆的要求，电气设备选型、安装、使用维护不当等。</w:t>
      </w:r>
    </w:p>
    <w:p w14:paraId="2E0545D2">
      <w:pPr>
        <w:pStyle w:val="21"/>
        <w:numPr>
          <w:ilvl w:val="0"/>
          <w:numId w:val="71"/>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物料的原因。如可燃物的自燃，各种危险物品的相互作用，机械摩擦及撞击生热等。</w:t>
      </w:r>
    </w:p>
    <w:p w14:paraId="0F5B4146">
      <w:pPr>
        <w:pStyle w:val="21"/>
        <w:numPr>
          <w:ilvl w:val="0"/>
          <w:numId w:val="71"/>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环境的原因。如高温、通风不良、雷击等自然因素。</w:t>
      </w:r>
    </w:p>
    <w:p w14:paraId="397B68F4">
      <w:pPr>
        <w:pStyle w:val="21"/>
        <w:bidi w:val="0"/>
        <w:rPr>
          <w:rFonts w:hint="eastAsia"/>
        </w:rPr>
      </w:pPr>
      <w:r>
        <w:rPr>
          <w:rFonts w:hint="eastAsia"/>
        </w:rPr>
        <w:t>建筑结构布局不合理，建筑材料选用不当等因素。</w:t>
      </w:r>
    </w:p>
    <w:p w14:paraId="1737E010">
      <w:pPr>
        <w:pStyle w:val="29"/>
        <w:bidi w:val="0"/>
        <w:rPr>
          <w:rFonts w:hint="default"/>
          <w:lang w:val="en-US" w:eastAsia="zh-CN"/>
        </w:rPr>
      </w:pPr>
      <w:r>
        <w:rPr>
          <w:rFonts w:hint="default"/>
          <w:lang w:val="en-US" w:eastAsia="zh-CN"/>
        </w:rPr>
        <w:t>安全分析及符合性评价</w:t>
      </w:r>
    </w:p>
    <w:p w14:paraId="7AE1181F">
      <w:pPr>
        <w:pStyle w:val="21"/>
        <w:rPr>
          <w:rFonts w:hint="eastAsia"/>
          <w:b/>
          <w:bCs/>
          <w:lang w:val="en-US" w:eastAsia="zh-CN"/>
        </w:rPr>
      </w:pPr>
      <w:r>
        <w:rPr>
          <w:rFonts w:hint="eastAsia"/>
          <w:b/>
          <w:bCs/>
          <w:lang w:val="en-US" w:eastAsia="zh-CN"/>
        </w:rPr>
        <w:t>一、</w:t>
      </w:r>
      <w:r>
        <w:rPr>
          <w:rFonts w:hint="default"/>
          <w:b/>
          <w:bCs/>
          <w:lang w:val="en-US" w:eastAsia="zh-CN"/>
        </w:rPr>
        <w:t>防排水子单元</w:t>
      </w:r>
    </w:p>
    <w:p w14:paraId="268ABA39">
      <w:pPr>
        <w:pStyle w:val="21"/>
        <w:numPr>
          <w:ilvl w:val="0"/>
          <w:numId w:val="72"/>
        </w:numPr>
        <w:bidi w:val="0"/>
        <w:rPr>
          <w:rFonts w:hint="default"/>
          <w:lang w:val="en-US" w:eastAsia="zh-CN"/>
        </w:rPr>
      </w:pPr>
      <w:r>
        <w:rPr>
          <w:rFonts w:hint="default"/>
          <w:lang w:val="en-US" w:eastAsia="zh-CN"/>
        </w:rPr>
        <w:t>预先危险性分析法</w:t>
      </w:r>
    </w:p>
    <w:p w14:paraId="4CC99BE3">
      <w:pPr>
        <w:pStyle w:val="21"/>
        <w:bidi w:val="0"/>
        <w:rPr>
          <w:rFonts w:hint="default"/>
          <w:lang w:val="en-US" w:eastAsia="zh-CN"/>
        </w:rPr>
      </w:pPr>
      <w:r>
        <w:rPr>
          <w:rFonts w:hint="default"/>
          <w:lang w:val="en-US" w:eastAsia="zh-CN"/>
        </w:rPr>
        <w:t>用选定的预先危险性分析法评价如下：</w:t>
      </w:r>
    </w:p>
    <w:p w14:paraId="3596244D">
      <w:pPr>
        <w:pStyle w:val="30"/>
        <w:bidi w:val="0"/>
        <w:rPr>
          <w:rFonts w:hint="eastAsia"/>
        </w:rPr>
      </w:pPr>
      <w:r>
        <w:rPr>
          <w:rFonts w:hint="eastAsia"/>
        </w:rPr>
        <w:t>表3.7-1  防排水子单元预先危险性分析表</w:t>
      </w:r>
    </w:p>
    <w:tbl>
      <w:tblPr>
        <w:tblStyle w:val="24"/>
        <w:tblW w:w="8584"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786"/>
        <w:gridCol w:w="703"/>
        <w:gridCol w:w="2095"/>
        <w:gridCol w:w="680"/>
        <w:gridCol w:w="1260"/>
        <w:gridCol w:w="720"/>
        <w:gridCol w:w="742"/>
        <w:gridCol w:w="1598"/>
      </w:tblGrid>
      <w:tr w14:paraId="342BD6D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86" w:type="dxa"/>
            <w:noWrap w:val="0"/>
            <w:vAlign w:val="center"/>
          </w:tcPr>
          <w:p w14:paraId="51425235">
            <w:pPr>
              <w:tabs>
                <w:tab w:val="left" w:pos="2177"/>
              </w:tabs>
              <w:adjustRightInd w:val="0"/>
              <w:snapToGrid w:val="0"/>
              <w:spacing w:before="120" w:beforeLines="50" w:after="120" w:afterLines="50"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潜在事故</w:t>
            </w:r>
          </w:p>
        </w:tc>
        <w:tc>
          <w:tcPr>
            <w:tcW w:w="703" w:type="dxa"/>
            <w:noWrap w:val="0"/>
            <w:vAlign w:val="center"/>
          </w:tcPr>
          <w:p w14:paraId="46211E90">
            <w:pPr>
              <w:tabs>
                <w:tab w:val="left" w:pos="2177"/>
              </w:tabs>
              <w:adjustRightInd w:val="0"/>
              <w:snapToGrid w:val="0"/>
              <w:spacing w:before="120" w:beforeLines="50" w:after="120" w:afterLines="50"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危险因素</w:t>
            </w:r>
          </w:p>
        </w:tc>
        <w:tc>
          <w:tcPr>
            <w:tcW w:w="2095" w:type="dxa"/>
            <w:noWrap w:val="0"/>
            <w:vAlign w:val="center"/>
          </w:tcPr>
          <w:p w14:paraId="162B25DE">
            <w:pPr>
              <w:tabs>
                <w:tab w:val="left" w:pos="2177"/>
              </w:tabs>
              <w:adjustRightInd w:val="0"/>
              <w:snapToGrid w:val="0"/>
              <w:spacing w:before="120" w:beforeLines="50" w:after="120" w:afterLines="50"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触发条件（1）</w:t>
            </w:r>
          </w:p>
        </w:tc>
        <w:tc>
          <w:tcPr>
            <w:tcW w:w="680" w:type="dxa"/>
            <w:noWrap w:val="0"/>
            <w:vAlign w:val="center"/>
          </w:tcPr>
          <w:p w14:paraId="73510BD6">
            <w:pPr>
              <w:tabs>
                <w:tab w:val="left" w:pos="2177"/>
              </w:tabs>
              <w:adjustRightInd w:val="0"/>
              <w:snapToGrid w:val="0"/>
              <w:spacing w:before="120" w:beforeLines="50" w:after="120" w:afterLines="50"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发生条件</w:t>
            </w:r>
          </w:p>
        </w:tc>
        <w:tc>
          <w:tcPr>
            <w:tcW w:w="1260" w:type="dxa"/>
            <w:noWrap w:val="0"/>
            <w:vAlign w:val="center"/>
          </w:tcPr>
          <w:p w14:paraId="67D2A0F7">
            <w:pPr>
              <w:tabs>
                <w:tab w:val="left" w:pos="2177"/>
              </w:tabs>
              <w:adjustRightInd w:val="0"/>
              <w:snapToGrid w:val="0"/>
              <w:spacing w:before="120" w:beforeLines="50" w:after="120" w:afterLines="50"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触发条件（2）</w:t>
            </w:r>
          </w:p>
        </w:tc>
        <w:tc>
          <w:tcPr>
            <w:tcW w:w="720" w:type="dxa"/>
            <w:noWrap w:val="0"/>
            <w:vAlign w:val="center"/>
          </w:tcPr>
          <w:p w14:paraId="65821219">
            <w:pPr>
              <w:tabs>
                <w:tab w:val="left" w:pos="2177"/>
              </w:tabs>
              <w:adjustRightInd w:val="0"/>
              <w:snapToGrid w:val="0"/>
              <w:spacing w:before="120" w:beforeLines="50" w:after="120" w:afterLines="50"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事故后果</w:t>
            </w:r>
          </w:p>
        </w:tc>
        <w:tc>
          <w:tcPr>
            <w:tcW w:w="742" w:type="dxa"/>
            <w:noWrap w:val="0"/>
            <w:vAlign w:val="center"/>
          </w:tcPr>
          <w:p w14:paraId="6E1BD67C">
            <w:pPr>
              <w:tabs>
                <w:tab w:val="left" w:pos="2177"/>
              </w:tabs>
              <w:adjustRightInd w:val="0"/>
              <w:snapToGrid w:val="0"/>
              <w:spacing w:before="120" w:beforeLines="50" w:after="120" w:afterLines="50"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危险等级</w:t>
            </w:r>
          </w:p>
        </w:tc>
        <w:tc>
          <w:tcPr>
            <w:tcW w:w="1598" w:type="dxa"/>
            <w:noWrap w:val="0"/>
            <w:vAlign w:val="center"/>
          </w:tcPr>
          <w:p w14:paraId="13BB0C6C">
            <w:pPr>
              <w:tabs>
                <w:tab w:val="left" w:pos="2177"/>
              </w:tabs>
              <w:adjustRightInd w:val="0"/>
              <w:snapToGrid w:val="0"/>
              <w:spacing w:before="120" w:beforeLines="50" w:after="120" w:afterLines="50"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防范措施</w:t>
            </w:r>
          </w:p>
        </w:tc>
      </w:tr>
      <w:tr w14:paraId="3929B89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86" w:type="dxa"/>
            <w:noWrap w:val="0"/>
            <w:vAlign w:val="center"/>
          </w:tcPr>
          <w:p w14:paraId="27441898">
            <w:pPr>
              <w:tabs>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矿井水灾</w:t>
            </w:r>
          </w:p>
        </w:tc>
        <w:tc>
          <w:tcPr>
            <w:tcW w:w="703" w:type="dxa"/>
            <w:noWrap w:val="0"/>
            <w:vAlign w:val="center"/>
          </w:tcPr>
          <w:p w14:paraId="4D92CE3B">
            <w:pPr>
              <w:tabs>
                <w:tab w:val="left" w:pos="2177"/>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大量降水；地表水；采空区、废弃的巷道等的积水</w:t>
            </w:r>
          </w:p>
        </w:tc>
        <w:tc>
          <w:tcPr>
            <w:tcW w:w="2095" w:type="dxa"/>
            <w:noWrap w:val="0"/>
            <w:vAlign w:val="center"/>
          </w:tcPr>
          <w:p w14:paraId="774AD536">
            <w:pPr>
              <w:numPr>
                <w:ilvl w:val="0"/>
                <w:numId w:val="73"/>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雨季暴雨造成水灾</w:t>
            </w:r>
          </w:p>
          <w:p w14:paraId="366FE34D">
            <w:pPr>
              <w:numPr>
                <w:ilvl w:val="0"/>
                <w:numId w:val="73"/>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爆破、钻孔时揭露水体</w:t>
            </w:r>
          </w:p>
          <w:p w14:paraId="6F33ED03">
            <w:pPr>
              <w:numPr>
                <w:ilvl w:val="0"/>
                <w:numId w:val="73"/>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采掘过程中没有采取合理的疏水、导水措施</w:t>
            </w:r>
          </w:p>
          <w:p w14:paraId="1ACED797">
            <w:pPr>
              <w:numPr>
                <w:ilvl w:val="0"/>
                <w:numId w:val="73"/>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降水量突然加大时，造成井下涌水量突然增大等；</w:t>
            </w:r>
          </w:p>
          <w:p w14:paraId="06E70B25">
            <w:pPr>
              <w:numPr>
                <w:ilvl w:val="0"/>
                <w:numId w:val="73"/>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巷道、工作面和地面水内外连通</w:t>
            </w:r>
          </w:p>
        </w:tc>
        <w:tc>
          <w:tcPr>
            <w:tcW w:w="680" w:type="dxa"/>
            <w:noWrap w:val="0"/>
            <w:vAlign w:val="center"/>
          </w:tcPr>
          <w:p w14:paraId="318F9BB8">
            <w:pPr>
              <w:tabs>
                <w:tab w:val="left" w:pos="900"/>
                <w:tab w:val="left" w:pos="2177"/>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大量降雨、地表水涌入井下；采掘面或采空区透水</w:t>
            </w:r>
          </w:p>
        </w:tc>
        <w:tc>
          <w:tcPr>
            <w:tcW w:w="1260" w:type="dxa"/>
            <w:noWrap w:val="0"/>
            <w:vAlign w:val="center"/>
          </w:tcPr>
          <w:p w14:paraId="7694AAFC">
            <w:pPr>
              <w:numPr>
                <w:ilvl w:val="0"/>
                <w:numId w:val="74"/>
              </w:numPr>
              <w:tabs>
                <w:tab w:val="left" w:pos="540"/>
                <w:tab w:val="left" w:pos="1080"/>
              </w:tabs>
              <w:adjustRightInd w:val="0"/>
              <w:snapToGrid w:val="0"/>
              <w:spacing w:line="240" w:lineRule="auto"/>
              <w:ind w:right="-105" w:rightChars="-50"/>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无排水系统</w:t>
            </w:r>
          </w:p>
          <w:p w14:paraId="63DA03AC">
            <w:pPr>
              <w:numPr>
                <w:ilvl w:val="0"/>
                <w:numId w:val="74"/>
              </w:numPr>
              <w:tabs>
                <w:tab w:val="left" w:pos="540"/>
                <w:tab w:val="left" w:pos="1080"/>
              </w:tabs>
              <w:adjustRightInd w:val="0"/>
              <w:snapToGrid w:val="0"/>
              <w:spacing w:line="240" w:lineRule="auto"/>
              <w:ind w:right="-105" w:rightChars="-50"/>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排水系统排水量小于积水量；</w:t>
            </w:r>
          </w:p>
          <w:p w14:paraId="37F41E17">
            <w:pPr>
              <w:numPr>
                <w:ilvl w:val="0"/>
                <w:numId w:val="74"/>
              </w:numPr>
              <w:tabs>
                <w:tab w:val="left" w:pos="540"/>
                <w:tab w:val="left" w:pos="1080"/>
              </w:tabs>
              <w:adjustRightInd w:val="0"/>
              <w:snapToGrid w:val="0"/>
              <w:spacing w:line="240" w:lineRule="auto"/>
              <w:ind w:right="-105" w:rightChars="-50"/>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发现突水征兆没有及时采取探水措施或没有及时采取防水措施</w:t>
            </w:r>
          </w:p>
        </w:tc>
        <w:tc>
          <w:tcPr>
            <w:tcW w:w="720" w:type="dxa"/>
            <w:noWrap w:val="0"/>
            <w:vAlign w:val="center"/>
          </w:tcPr>
          <w:p w14:paraId="06F0CE49">
            <w:pPr>
              <w:tabs>
                <w:tab w:val="left" w:pos="900"/>
                <w:tab w:val="left" w:pos="2177"/>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生产中断；设备淹没；人员伤亡</w:t>
            </w:r>
          </w:p>
        </w:tc>
        <w:tc>
          <w:tcPr>
            <w:tcW w:w="742" w:type="dxa"/>
            <w:noWrap w:val="0"/>
            <w:vAlign w:val="center"/>
          </w:tcPr>
          <w:p w14:paraId="50E182F2">
            <w:pPr>
              <w:tabs>
                <w:tab w:val="left" w:pos="900"/>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kern w:val="0"/>
                <w:sz w:val="21"/>
                <w:szCs w:val="21"/>
              </w:rPr>
              <w:t>Ⅲ级</w:t>
            </w:r>
          </w:p>
        </w:tc>
        <w:tc>
          <w:tcPr>
            <w:tcW w:w="1598" w:type="dxa"/>
            <w:noWrap w:val="0"/>
            <w:vAlign w:val="center"/>
          </w:tcPr>
          <w:p w14:paraId="1A790196">
            <w:pPr>
              <w:numPr>
                <w:ilvl w:val="0"/>
                <w:numId w:val="75"/>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合理确定井口位置。井口标高高于当地历史最高洪水水位1m以上</w:t>
            </w:r>
          </w:p>
          <w:p w14:paraId="2043C0B3">
            <w:pPr>
              <w:numPr>
                <w:ilvl w:val="0"/>
                <w:numId w:val="75"/>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填堵通道和消除积水，堵塞地表水进入井下的通道</w:t>
            </w:r>
          </w:p>
          <w:p w14:paraId="650654BC">
            <w:pPr>
              <w:numPr>
                <w:ilvl w:val="0"/>
                <w:numId w:val="75"/>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挖沟排洪，将洪水排出矿区外</w:t>
            </w:r>
          </w:p>
        </w:tc>
      </w:tr>
    </w:tbl>
    <w:p w14:paraId="114F3084">
      <w:pPr>
        <w:pStyle w:val="21"/>
        <w:bidi w:val="0"/>
      </w:pPr>
      <w:r>
        <w:rPr>
          <w:rFonts w:hint="eastAsia"/>
        </w:rPr>
        <w:t>该项目为地下开采矿山，水灾危险性较大，其危险程度是“危险的”，必须立即采取重点安全防范措施。</w:t>
      </w:r>
    </w:p>
    <w:p w14:paraId="703EF400">
      <w:pPr>
        <w:pStyle w:val="21"/>
        <w:numPr>
          <w:ilvl w:val="0"/>
          <w:numId w:val="72"/>
        </w:numPr>
        <w:bidi w:val="0"/>
        <w:rPr>
          <w:rFonts w:hint="eastAsia"/>
        </w:rPr>
      </w:pPr>
      <w:r>
        <w:rPr>
          <w:rFonts w:hint="eastAsia"/>
        </w:rPr>
        <w:t>专家评议法评价</w:t>
      </w:r>
    </w:p>
    <w:p w14:paraId="7D9D92CC">
      <w:pPr>
        <w:pStyle w:val="21"/>
        <w:bidi w:val="0"/>
      </w:pPr>
      <w:r>
        <w:rPr>
          <w:rFonts w:hint="eastAsia"/>
          <w:lang w:val="en-US" w:eastAsia="zh-CN"/>
        </w:rPr>
        <w:t>1、</w:t>
      </w:r>
      <w:r>
        <w:rPr>
          <w:rFonts w:hint="eastAsia"/>
        </w:rPr>
        <w:t>地表防排水</w:t>
      </w:r>
    </w:p>
    <w:p w14:paraId="423332A8">
      <w:pPr>
        <w:pStyle w:val="21"/>
        <w:bidi w:val="0"/>
        <w:rPr>
          <w:rFonts w:hint="eastAsia"/>
        </w:rPr>
      </w:pPr>
      <w:r>
        <w:rPr>
          <w:rFonts w:hint="eastAsia"/>
        </w:rPr>
        <w:t>《可研报告》为防止地表水进入井下，采取了以下安全措施：</w:t>
      </w:r>
    </w:p>
    <w:p w14:paraId="1AEBA90D">
      <w:pPr>
        <w:pStyle w:val="21"/>
        <w:numPr>
          <w:ilvl w:val="0"/>
          <w:numId w:val="76"/>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井下排到地面的井下水应引出矿区；</w:t>
      </w:r>
    </w:p>
    <w:p w14:paraId="0201DAA4">
      <w:pPr>
        <w:pStyle w:val="21"/>
        <w:numPr>
          <w:ilvl w:val="0"/>
          <w:numId w:val="76"/>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地面向工业场地汇水区，外围应设截水沟或挡水围堤，将地表水引出矿区；</w:t>
      </w:r>
    </w:p>
    <w:p w14:paraId="206D4358">
      <w:pPr>
        <w:pStyle w:val="21"/>
        <w:numPr>
          <w:ilvl w:val="0"/>
          <w:numId w:val="76"/>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在未来矿山开采过程中，加强井巷施工及生产期间的超前探水手段，防止生产过程中发生突水事故，确保矿山安全生产。</w:t>
      </w:r>
    </w:p>
    <w:p w14:paraId="5CA331FD">
      <w:pPr>
        <w:pStyle w:val="21"/>
        <w:bidi w:val="0"/>
      </w:pPr>
      <w:r>
        <w:rPr>
          <w:rFonts w:hint="eastAsia"/>
          <w:lang w:val="en-US" w:eastAsia="zh-CN"/>
        </w:rPr>
        <w:t>2、</w:t>
      </w:r>
      <w:r>
        <w:rPr>
          <w:rFonts w:hint="eastAsia"/>
        </w:rPr>
        <w:t>井下防排水</w:t>
      </w:r>
    </w:p>
    <w:p w14:paraId="65726443">
      <w:pPr>
        <w:pStyle w:val="21"/>
        <w:bidi w:val="0"/>
      </w:pPr>
      <w:r>
        <w:rPr>
          <w:rFonts w:hint="eastAsia"/>
        </w:rPr>
        <w:t>《可研报告》中</w:t>
      </w:r>
      <w:r>
        <w:rPr>
          <w:rFonts w:hint="eastAsia"/>
          <w:lang w:val="en-US" w:eastAsia="zh-CN"/>
        </w:rPr>
        <w:t>矿山</w:t>
      </w:r>
      <w:r>
        <w:t>矿床</w:t>
      </w:r>
      <w:r>
        <w:rPr>
          <w:rFonts w:hint="eastAsia"/>
          <w:lang w:eastAsia="zh-CN"/>
        </w:rPr>
        <w:t>水文地质条件简单</w:t>
      </w:r>
      <w:r>
        <w:t>，</w:t>
      </w:r>
      <w:r>
        <w:rPr>
          <w:rFonts w:hint="eastAsia"/>
        </w:rPr>
        <w:t>矿山井下</w:t>
      </w:r>
      <w:r>
        <w:t>正常</w:t>
      </w:r>
      <w:r>
        <w:rPr>
          <w:rFonts w:hint="eastAsia"/>
          <w:lang w:val="en-US" w:eastAsia="zh-CN"/>
        </w:rPr>
        <w:t>排</w:t>
      </w:r>
      <w:r>
        <w:t>水量</w:t>
      </w:r>
      <w:r>
        <w:rPr>
          <w:rFonts w:hint="eastAsia"/>
          <w:lang w:val="en-US" w:eastAsia="zh-CN"/>
        </w:rPr>
        <w:t>3055</w:t>
      </w:r>
      <w:r>
        <w:rPr>
          <w:rFonts w:hint="eastAsia"/>
        </w:rPr>
        <w:t>m³</w:t>
      </w:r>
      <w:r>
        <w:t>/d，最大</w:t>
      </w:r>
      <w:r>
        <w:rPr>
          <w:rFonts w:hint="eastAsia"/>
          <w:lang w:val="en-US" w:eastAsia="zh-CN"/>
        </w:rPr>
        <w:t>排</w:t>
      </w:r>
      <w:r>
        <w:t>水量</w:t>
      </w:r>
      <w:r>
        <w:rPr>
          <w:rFonts w:hint="eastAsia"/>
          <w:lang w:val="en-US" w:eastAsia="zh-CN"/>
        </w:rPr>
        <w:t>7446</w:t>
      </w:r>
      <w:r>
        <w:rPr>
          <w:rFonts w:hint="eastAsia"/>
        </w:rPr>
        <w:t>m³</w:t>
      </w:r>
      <w:r>
        <w:t>/d。</w:t>
      </w:r>
    </w:p>
    <w:p w14:paraId="642195C5">
      <w:pPr>
        <w:pStyle w:val="21"/>
        <w:bidi w:val="0"/>
        <w:rPr>
          <w:rFonts w:hint="eastAsia"/>
        </w:rPr>
      </w:pPr>
      <w:r>
        <w:rPr>
          <w:rFonts w:hint="eastAsia"/>
        </w:rPr>
        <w:t>设计采用</w:t>
      </w:r>
      <w:r>
        <w:rPr>
          <w:rFonts w:hint="eastAsia"/>
          <w:lang w:val="en-US" w:eastAsia="zh-CN"/>
        </w:rPr>
        <w:t>分段接力</w:t>
      </w:r>
      <w:r>
        <w:rPr>
          <w:rFonts w:hint="eastAsia"/>
        </w:rPr>
        <w:t>排水方式，主排水泵站设在-300m中段入风管缆井附近、-450m中段斜坡道车场附近。</w:t>
      </w:r>
    </w:p>
    <w:p w14:paraId="70A911F5">
      <w:pPr>
        <w:pStyle w:val="21"/>
        <w:bidi w:val="0"/>
        <w:rPr>
          <w:rFonts w:hint="eastAsia"/>
        </w:rPr>
      </w:pPr>
      <w:r>
        <w:rPr>
          <w:rFonts w:hint="eastAsia"/>
        </w:rPr>
        <w:t>一期排水系统：</w:t>
      </w:r>
    </w:p>
    <w:p w14:paraId="2674DDD7">
      <w:pPr>
        <w:pStyle w:val="21"/>
        <w:bidi w:val="0"/>
        <w:rPr>
          <w:rFonts w:hint="eastAsia"/>
        </w:rPr>
      </w:pPr>
      <w:r>
        <w:rPr>
          <w:rFonts w:hint="eastAsia"/>
        </w:rPr>
        <w:t>一期井下-300m中段涌水通过水沟自流到本中段水仓，-300m以上的其他中段涌水通过泄水孔下泄至-300m中段水仓。水仓内涌水由水泵沿管缆井排至地表高位水池，澄清后作为井下凿岩除尘和消防用水。</w:t>
      </w:r>
    </w:p>
    <w:p w14:paraId="61888D73">
      <w:pPr>
        <w:pStyle w:val="21"/>
        <w:bidi w:val="0"/>
        <w:rPr>
          <w:rFonts w:hint="eastAsia"/>
        </w:rPr>
      </w:pPr>
      <w:r>
        <w:rPr>
          <w:rFonts w:hint="eastAsia"/>
        </w:rPr>
        <w:t>排水系统由水沟、清理斜巷、水仓、配水井、吸水井、排水泵硐室、变电硐室、安全出口等组成。</w:t>
      </w:r>
    </w:p>
    <w:p w14:paraId="7004EBBD">
      <w:pPr>
        <w:pStyle w:val="21"/>
        <w:bidi w:val="0"/>
        <w:rPr>
          <w:rFonts w:hint="eastAsia"/>
          <w:lang w:val="en-US" w:eastAsia="zh-CN"/>
        </w:rPr>
      </w:pPr>
      <w:r>
        <w:rPr>
          <w:rFonts w:hint="eastAsia"/>
          <w:lang w:val="en-US" w:eastAsia="zh-CN"/>
        </w:rPr>
        <w:t>井底主要泵房设置两个出口，其中一个通往井底车场；另一个用斜管子道与管缆井井筒连通，斜巷上口高出泵房地面标高7m以上，并设有踏步和扶手。泵房地面标高高出其入口处巷道底板标高0.5m。</w:t>
      </w:r>
    </w:p>
    <w:p w14:paraId="1367BD17">
      <w:pPr>
        <w:pStyle w:val="21"/>
        <w:bidi w:val="0"/>
        <w:rPr>
          <w:rFonts w:hint="eastAsia"/>
          <w:lang w:val="en-US" w:eastAsia="zh-CN"/>
        </w:rPr>
      </w:pPr>
      <w:r>
        <w:rPr>
          <w:rFonts w:hint="eastAsia"/>
          <w:lang w:val="en-US" w:eastAsia="zh-CN"/>
        </w:rPr>
        <w:t>二期排水系统：</w:t>
      </w:r>
    </w:p>
    <w:p w14:paraId="6DE9D2AF">
      <w:pPr>
        <w:pStyle w:val="21"/>
        <w:bidi w:val="0"/>
        <w:rPr>
          <w:rFonts w:hint="eastAsia"/>
          <w:lang w:val="en-US" w:eastAsia="zh-CN"/>
        </w:rPr>
      </w:pPr>
      <w:r>
        <w:rPr>
          <w:rFonts w:hint="eastAsia"/>
          <w:lang w:val="en-US" w:eastAsia="zh-CN"/>
        </w:rPr>
        <w:t>二期井下-450m中段涌水通过水沟自流到本中段水仓，-450m以上的其他中段涌水通过泄水孔下泄至-450m中段水仓。水仓内涌水由水泵沿斜坡道排至-300m中段水仓，然后由-300m中段水泵排至地表。</w:t>
      </w:r>
    </w:p>
    <w:p w14:paraId="0FE17D40">
      <w:pPr>
        <w:pStyle w:val="21"/>
        <w:bidi w:val="0"/>
        <w:rPr>
          <w:rFonts w:hint="eastAsia"/>
          <w:lang w:val="en-US" w:eastAsia="zh-CN"/>
        </w:rPr>
      </w:pPr>
      <w:r>
        <w:rPr>
          <w:rFonts w:hint="eastAsia"/>
          <w:lang w:val="en-US" w:eastAsia="zh-CN"/>
        </w:rPr>
        <w:t>排水系统由水沟、清理斜巷、水仓、配水井、吸水井、排水泵硐室、变电硐室、安全出口等组成。</w:t>
      </w:r>
    </w:p>
    <w:p w14:paraId="35A6AB1F">
      <w:pPr>
        <w:pStyle w:val="21"/>
        <w:bidi w:val="0"/>
        <w:rPr>
          <w:rFonts w:hint="eastAsia"/>
          <w:lang w:val="en-US" w:eastAsia="zh-CN"/>
        </w:rPr>
      </w:pPr>
      <w:r>
        <w:rPr>
          <w:rFonts w:hint="eastAsia"/>
          <w:lang w:val="en-US" w:eastAsia="zh-CN"/>
        </w:rPr>
        <w:t>井底主要泵房设置两个出口，其中一个通往井底车场；另一个用安全出口与上中段连通，安全出口上口高出泵房地面标高7m以上，并设有踏步和扶手。泵房地面标高高出其入口处巷道底板标高0.5m。</w:t>
      </w:r>
    </w:p>
    <w:p w14:paraId="351CF62D">
      <w:pPr>
        <w:pStyle w:val="21"/>
        <w:bidi w:val="0"/>
        <w:rPr>
          <w:rFonts w:hint="eastAsia"/>
        </w:rPr>
      </w:pPr>
      <w:r>
        <w:rPr>
          <w:rFonts w:hint="eastAsia"/>
        </w:rPr>
        <w:t>设计水仓容积</w:t>
      </w:r>
      <w:r>
        <w:rPr>
          <w:rFonts w:hint="eastAsia"/>
          <w:lang w:val="en-US" w:eastAsia="zh-CN"/>
        </w:rPr>
        <w:t>900m³</w:t>
      </w:r>
      <w:r>
        <w:rPr>
          <w:rFonts w:hint="eastAsia"/>
        </w:rPr>
        <w:t>，其中主水仓容积</w:t>
      </w:r>
      <w:r>
        <w:rPr>
          <w:rFonts w:hint="eastAsia"/>
          <w:lang w:val="en-US" w:eastAsia="zh-CN"/>
        </w:rPr>
        <w:t>520m³</w:t>
      </w:r>
      <w:r>
        <w:rPr>
          <w:rFonts w:hint="eastAsia"/>
        </w:rPr>
        <w:t>，副水仓容积</w:t>
      </w:r>
      <w:r>
        <w:rPr>
          <w:rFonts w:hint="eastAsia"/>
          <w:lang w:val="en-US" w:eastAsia="zh-CN"/>
        </w:rPr>
        <w:t>380m³</w:t>
      </w:r>
      <w:r>
        <w:rPr>
          <w:rFonts w:hint="eastAsia"/>
        </w:rPr>
        <w:t>。</w:t>
      </w:r>
    </w:p>
    <w:p w14:paraId="7DACE964">
      <w:pPr>
        <w:pStyle w:val="21"/>
        <w:bidi w:val="0"/>
        <w:rPr>
          <w:rFonts w:hint="eastAsia"/>
        </w:rPr>
      </w:pPr>
      <w:r>
        <w:rPr>
          <w:rFonts w:hint="eastAsia"/>
        </w:rPr>
        <w:t>-300m中段水泵站选择MD200-50×9P型多级离心泵3台（要求具有安全标志），参数为：流量200m</w:t>
      </w:r>
      <w:r>
        <w:rPr>
          <w:rFonts w:hint="eastAsia"/>
          <w:vertAlign w:val="superscript"/>
        </w:rPr>
        <w:t>3</w:t>
      </w:r>
      <w:r>
        <w:rPr>
          <w:rFonts w:hint="eastAsia"/>
        </w:rPr>
        <w:t>/h，扬程468m，电机功率450kW，电压10kV。</w:t>
      </w:r>
    </w:p>
    <w:p w14:paraId="1943FF89">
      <w:pPr>
        <w:pStyle w:val="21"/>
        <w:bidi w:val="0"/>
        <w:rPr>
          <w:rFonts w:hint="eastAsia"/>
        </w:rPr>
      </w:pPr>
      <w:r>
        <w:rPr>
          <w:rFonts w:hint="eastAsia"/>
        </w:rPr>
        <w:t>-450m中段水泵站选择MD216-25×9P型多级离心泵3台（要求具有安全标志），参数为：流量216m</w:t>
      </w:r>
      <w:r>
        <w:rPr>
          <w:rFonts w:hint="eastAsia"/>
          <w:vertAlign w:val="superscript"/>
        </w:rPr>
        <w:t>3</w:t>
      </w:r>
      <w:r>
        <w:rPr>
          <w:rFonts w:hint="eastAsia"/>
        </w:rPr>
        <w:t>/h，扬程225m，电机功率250kW，电压10kV。</w:t>
      </w:r>
    </w:p>
    <w:p w14:paraId="02FC75B1">
      <w:pPr>
        <w:pStyle w:val="21"/>
        <w:bidi w:val="0"/>
        <w:rPr>
          <w:rFonts w:hint="eastAsia"/>
        </w:rPr>
      </w:pPr>
      <w:r>
        <w:rPr>
          <w:rFonts w:hint="eastAsia"/>
        </w:rPr>
        <w:t>根据规程要求，矿井井下排水设备应当满足矿井排水的要求。除正在检修的水泵外，应当有工作水泵和备用水泵。工作水泵的能力，应当能在20h内排出矿井24h的正常涌水量，工作和备用水泵的总能力，在20h内排出矿井24h的最大涌水量。</w:t>
      </w:r>
    </w:p>
    <w:p w14:paraId="7B014141">
      <w:pPr>
        <w:pStyle w:val="21"/>
        <w:bidi w:val="0"/>
        <w:rPr>
          <w:rFonts w:hint="eastAsia"/>
        </w:rPr>
      </w:pPr>
      <w:r>
        <w:rPr>
          <w:rFonts w:hint="eastAsia"/>
        </w:rPr>
        <w:t>经计算，</w:t>
      </w:r>
      <w:r>
        <w:rPr>
          <w:rFonts w:hint="eastAsia"/>
          <w:lang w:val="en-US" w:eastAsia="zh-CN"/>
        </w:rPr>
        <w:t>一期排水设备工况点，</w:t>
      </w:r>
      <w:r>
        <w:rPr>
          <w:rFonts w:hint="eastAsia"/>
        </w:rPr>
        <w:t>1台工作，1条</w:t>
      </w:r>
      <w:r>
        <w:rPr>
          <w:rFonts w:hint="eastAsia"/>
          <w:lang w:val="en-US" w:eastAsia="zh-CN"/>
        </w:rPr>
        <w:t>新</w:t>
      </w:r>
      <w:r>
        <w:rPr>
          <w:rFonts w:hint="eastAsia"/>
        </w:rPr>
        <w:t>管路工作（能在</w:t>
      </w:r>
      <w:r>
        <w:rPr>
          <w:rFonts w:hint="eastAsia"/>
          <w:lang w:val="en-US" w:eastAsia="zh-CN"/>
        </w:rPr>
        <w:t>12.73</w:t>
      </w:r>
      <w:r>
        <w:rPr>
          <w:rFonts w:hint="eastAsia"/>
        </w:rPr>
        <w:t>h内排出一昼夜的正常涌水量），备用1台，检修1台；最大涌水量时，2台同时工作，2条</w:t>
      </w:r>
      <w:r>
        <w:rPr>
          <w:rFonts w:hint="eastAsia"/>
          <w:lang w:val="en-US" w:eastAsia="zh-CN"/>
        </w:rPr>
        <w:t>新</w:t>
      </w:r>
      <w:r>
        <w:rPr>
          <w:rFonts w:hint="eastAsia"/>
        </w:rPr>
        <w:t>管路工作（能在</w:t>
      </w:r>
      <w:r>
        <w:rPr>
          <w:rFonts w:hint="eastAsia"/>
          <w:lang w:val="en-US" w:eastAsia="zh-CN"/>
        </w:rPr>
        <w:t>15.52</w:t>
      </w:r>
      <w:r>
        <w:rPr>
          <w:rFonts w:hint="eastAsia"/>
        </w:rPr>
        <w:t>h内排出一昼夜的最大涌水量），能满足排水要求。符合《金属非金属矿山安全规程》（GB76423-20</w:t>
      </w:r>
      <w:r>
        <w:rPr>
          <w:rFonts w:hint="eastAsia"/>
          <w:lang w:val="en-US" w:eastAsia="zh-CN"/>
        </w:rPr>
        <w:t>20</w:t>
      </w:r>
      <w:r>
        <w:rPr>
          <w:rFonts w:hint="eastAsia"/>
        </w:rPr>
        <w:t>）的规定。</w:t>
      </w:r>
    </w:p>
    <w:p w14:paraId="467FD93D">
      <w:pPr>
        <w:pStyle w:val="21"/>
        <w:bidi w:val="0"/>
        <w:rPr>
          <w:rFonts w:hint="eastAsia"/>
        </w:rPr>
      </w:pPr>
      <w:r>
        <w:rPr>
          <w:rFonts w:hint="eastAsia"/>
        </w:rPr>
        <w:t>经计算，</w:t>
      </w:r>
      <w:r>
        <w:rPr>
          <w:rFonts w:hint="eastAsia"/>
          <w:lang w:val="en-US" w:eastAsia="zh-CN"/>
        </w:rPr>
        <w:t>一期排水设备，</w:t>
      </w:r>
      <w:r>
        <w:rPr>
          <w:rFonts w:hint="eastAsia"/>
        </w:rPr>
        <w:t>1台工作，1条</w:t>
      </w:r>
      <w:r>
        <w:rPr>
          <w:rFonts w:hint="eastAsia"/>
          <w:lang w:val="en-US" w:eastAsia="zh-CN"/>
        </w:rPr>
        <w:t>旧</w:t>
      </w:r>
      <w:r>
        <w:rPr>
          <w:rFonts w:hint="eastAsia"/>
        </w:rPr>
        <w:t>管路工作（能在</w:t>
      </w:r>
      <w:r>
        <w:rPr>
          <w:rFonts w:hint="eastAsia"/>
          <w:lang w:val="en-US" w:eastAsia="zh-CN"/>
        </w:rPr>
        <w:t>15.21</w:t>
      </w:r>
      <w:r>
        <w:rPr>
          <w:rFonts w:hint="eastAsia"/>
        </w:rPr>
        <w:t>h内排出一昼夜的正常涌水量），备用1台，检修1台；最大涌水量时，2台同时工作，2条</w:t>
      </w:r>
      <w:r>
        <w:rPr>
          <w:rFonts w:hint="eastAsia"/>
          <w:lang w:val="en-US" w:eastAsia="zh-CN"/>
        </w:rPr>
        <w:t>旧</w:t>
      </w:r>
      <w:r>
        <w:rPr>
          <w:rFonts w:hint="eastAsia"/>
        </w:rPr>
        <w:t>管路工作（能在</w:t>
      </w:r>
      <w:r>
        <w:rPr>
          <w:rFonts w:hint="eastAsia"/>
          <w:lang w:val="en-US" w:eastAsia="zh-CN"/>
        </w:rPr>
        <w:t>18.35</w:t>
      </w:r>
      <w:r>
        <w:rPr>
          <w:rFonts w:hint="eastAsia"/>
        </w:rPr>
        <w:t>h内排出一昼夜的最大涌水量），能满足排水要求。符合《金属非金属矿山安全规程》（GB76423-20</w:t>
      </w:r>
      <w:r>
        <w:rPr>
          <w:rFonts w:hint="eastAsia"/>
          <w:lang w:val="en-US" w:eastAsia="zh-CN"/>
        </w:rPr>
        <w:t>20</w:t>
      </w:r>
      <w:r>
        <w:rPr>
          <w:rFonts w:hint="eastAsia"/>
        </w:rPr>
        <w:t>）的规定。</w:t>
      </w:r>
    </w:p>
    <w:p w14:paraId="32F89137">
      <w:pPr>
        <w:pStyle w:val="21"/>
        <w:bidi w:val="0"/>
        <w:rPr>
          <w:rFonts w:hint="eastAsia"/>
        </w:rPr>
      </w:pPr>
      <w:r>
        <w:rPr>
          <w:rFonts w:hint="eastAsia"/>
        </w:rPr>
        <w:t>经计算，</w:t>
      </w:r>
      <w:r>
        <w:rPr>
          <w:rFonts w:hint="eastAsia"/>
          <w:lang w:val="en-US" w:eastAsia="zh-CN"/>
        </w:rPr>
        <w:t>二期排水设备，</w:t>
      </w:r>
      <w:r>
        <w:rPr>
          <w:rFonts w:hint="eastAsia"/>
        </w:rPr>
        <w:t>1台工作，1条</w:t>
      </w:r>
      <w:r>
        <w:rPr>
          <w:rFonts w:hint="eastAsia"/>
          <w:lang w:val="en-US" w:eastAsia="zh-CN"/>
        </w:rPr>
        <w:t>新</w:t>
      </w:r>
      <w:r>
        <w:rPr>
          <w:rFonts w:hint="eastAsia"/>
        </w:rPr>
        <w:t>管路工作（能在</w:t>
      </w:r>
      <w:r>
        <w:rPr>
          <w:rFonts w:hint="eastAsia"/>
          <w:lang w:val="en-US" w:eastAsia="zh-CN"/>
        </w:rPr>
        <w:t>11.5</w:t>
      </w:r>
      <w:r>
        <w:rPr>
          <w:rFonts w:hint="eastAsia"/>
        </w:rPr>
        <w:t>h内排出一昼夜的正常涌水量），备用1台，检修1台；最大涌水量时，2台同时工作，2条</w:t>
      </w:r>
      <w:r>
        <w:rPr>
          <w:rFonts w:hint="eastAsia"/>
          <w:lang w:val="en-US" w:eastAsia="zh-CN"/>
        </w:rPr>
        <w:t>新</w:t>
      </w:r>
      <w:r>
        <w:rPr>
          <w:rFonts w:hint="eastAsia"/>
        </w:rPr>
        <w:t>管路工作（能在</w:t>
      </w:r>
      <w:r>
        <w:rPr>
          <w:rFonts w:hint="eastAsia"/>
          <w:lang w:val="en-US" w:eastAsia="zh-CN"/>
        </w:rPr>
        <w:t>11.75</w:t>
      </w:r>
      <w:r>
        <w:rPr>
          <w:rFonts w:hint="eastAsia"/>
        </w:rPr>
        <w:t>h内排出一昼夜的最大涌水量），能满足排水要求。符合《金属非金属矿山安全规程》（GB76423-20</w:t>
      </w:r>
      <w:r>
        <w:rPr>
          <w:rFonts w:hint="eastAsia"/>
          <w:lang w:val="en-US" w:eastAsia="zh-CN"/>
        </w:rPr>
        <w:t>20</w:t>
      </w:r>
      <w:r>
        <w:rPr>
          <w:rFonts w:hint="eastAsia"/>
        </w:rPr>
        <w:t>）的规定。</w:t>
      </w:r>
    </w:p>
    <w:p w14:paraId="7F684DCC">
      <w:pPr>
        <w:pStyle w:val="21"/>
        <w:bidi w:val="0"/>
        <w:rPr>
          <w:rFonts w:hint="eastAsia"/>
        </w:rPr>
      </w:pPr>
      <w:r>
        <w:rPr>
          <w:rFonts w:hint="eastAsia"/>
        </w:rPr>
        <w:t>经计算，</w:t>
      </w:r>
      <w:r>
        <w:rPr>
          <w:rFonts w:hint="eastAsia"/>
          <w:lang w:val="en-US" w:eastAsia="zh-CN"/>
        </w:rPr>
        <w:t>二期排水设备，</w:t>
      </w:r>
      <w:r>
        <w:rPr>
          <w:rFonts w:hint="eastAsia"/>
        </w:rPr>
        <w:t>1台工作，1条</w:t>
      </w:r>
      <w:r>
        <w:rPr>
          <w:rFonts w:hint="eastAsia"/>
          <w:lang w:val="en-US" w:eastAsia="zh-CN"/>
        </w:rPr>
        <w:t>旧</w:t>
      </w:r>
      <w:r>
        <w:rPr>
          <w:rFonts w:hint="eastAsia"/>
        </w:rPr>
        <w:t>管路工作（能在</w:t>
      </w:r>
      <w:r>
        <w:rPr>
          <w:rFonts w:hint="eastAsia"/>
          <w:lang w:val="en-US" w:eastAsia="zh-CN"/>
        </w:rPr>
        <w:t>16.43</w:t>
      </w:r>
      <w:r>
        <w:rPr>
          <w:rFonts w:hint="eastAsia"/>
        </w:rPr>
        <w:t>h内排出一昼夜的正常涌水量），备用1台，检修1台；最大涌水量时，2台同时工作，2条</w:t>
      </w:r>
      <w:r>
        <w:rPr>
          <w:rFonts w:hint="eastAsia"/>
          <w:lang w:val="en-US" w:eastAsia="zh-CN"/>
        </w:rPr>
        <w:t>旧</w:t>
      </w:r>
      <w:r>
        <w:rPr>
          <w:rFonts w:hint="eastAsia"/>
        </w:rPr>
        <w:t>管路工作（能在</w:t>
      </w:r>
      <w:r>
        <w:rPr>
          <w:rFonts w:hint="eastAsia"/>
          <w:lang w:val="en-US" w:eastAsia="zh-CN"/>
        </w:rPr>
        <w:t>14.32</w:t>
      </w:r>
      <w:r>
        <w:rPr>
          <w:rFonts w:hint="eastAsia"/>
        </w:rPr>
        <w:t>h内排出一昼夜的最大涌水量），能满足排水要求。符合《金属非金属矿山安全规程》（GB76423-20</w:t>
      </w:r>
      <w:r>
        <w:rPr>
          <w:rFonts w:hint="eastAsia"/>
          <w:lang w:val="en-US" w:eastAsia="zh-CN"/>
        </w:rPr>
        <w:t>20</w:t>
      </w:r>
      <w:r>
        <w:rPr>
          <w:rFonts w:hint="eastAsia"/>
        </w:rPr>
        <w:t>）的规定。</w:t>
      </w:r>
    </w:p>
    <w:p w14:paraId="674E7BB7">
      <w:pPr>
        <w:pStyle w:val="21"/>
        <w:bidi w:val="0"/>
        <w:rPr>
          <w:rFonts w:hint="eastAsia"/>
        </w:rPr>
      </w:pPr>
      <w:r>
        <w:rPr>
          <w:rFonts w:hint="eastAsia"/>
        </w:rPr>
        <w:t>综上所述，《可研报告》确定的井下排水方式及排水设施符合要求。</w:t>
      </w:r>
    </w:p>
    <w:p w14:paraId="284DECA1">
      <w:pPr>
        <w:pStyle w:val="21"/>
        <w:bidi w:val="0"/>
        <w:rPr>
          <w:rFonts w:hint="eastAsia"/>
          <w:lang w:val="en-US" w:eastAsia="zh-CN"/>
        </w:rPr>
      </w:pPr>
      <w:r>
        <w:rPr>
          <w:rFonts w:hint="eastAsia"/>
          <w:lang w:val="en-US" w:eastAsia="zh-CN"/>
        </w:rPr>
        <w:t>3、防透水危害措施安全可靠性评价</w:t>
      </w:r>
    </w:p>
    <w:p w14:paraId="7DEFFC60">
      <w:pPr>
        <w:pStyle w:val="21"/>
        <w:bidi w:val="0"/>
        <w:rPr>
          <w:rFonts w:hint="default"/>
          <w:lang w:val="en-US" w:eastAsia="zh-CN"/>
        </w:rPr>
      </w:pPr>
      <w:r>
        <w:rPr>
          <w:rFonts w:hint="default"/>
          <w:lang w:val="en-US" w:eastAsia="zh-CN"/>
        </w:rPr>
        <w:t>矿区水文地质勘探类型属于以裂隙含水层充水为主、顶底板直接进水、水文地质条件简单的裂隙充水矿床。区内无地表水体，矿床充水主要与基岩裂隙水有关。大气降水是区内地下水的唯一补给源，也是矿床充水的间接因素。受地貌、气象要素的影响，各含水层（带）富水性弱。</w:t>
      </w:r>
    </w:p>
    <w:p w14:paraId="1F65F74A">
      <w:pPr>
        <w:pStyle w:val="21"/>
        <w:bidi w:val="0"/>
        <w:rPr>
          <w:rFonts w:hint="default"/>
          <w:lang w:val="en-US" w:eastAsia="zh-CN"/>
        </w:rPr>
      </w:pPr>
      <w:r>
        <w:rPr>
          <w:rFonts w:hint="default"/>
          <w:lang w:val="en-US" w:eastAsia="zh-CN"/>
        </w:rPr>
        <w:t>矿山生产过程中未发生过涌水、突水等水文地质问题，矿床附近未见构造导水通道及采空区老窿水，发生涌水及突水的可能性小；未来地下生产时需严密监测矿床附近裂隙水的涌出状态，对可能存在的水文地质问题做到提前预警，提前防范。</w:t>
      </w:r>
    </w:p>
    <w:p w14:paraId="00AF3B17">
      <w:pPr>
        <w:pStyle w:val="21"/>
        <w:bidi w:val="0"/>
        <w:rPr>
          <w:rFonts w:hint="default"/>
          <w:lang w:val="en-US" w:eastAsia="zh-CN"/>
        </w:rPr>
      </w:pPr>
      <w:r>
        <w:rPr>
          <w:rFonts w:hint="default"/>
          <w:lang w:val="en-US" w:eastAsia="zh-CN"/>
        </w:rPr>
        <w:t>本项目在基建及生产过程中应采取以下的安全措施防止原来开采造成的积水对井下开采造成影响：</w:t>
      </w:r>
    </w:p>
    <w:p w14:paraId="306456FF">
      <w:pPr>
        <w:pStyle w:val="21"/>
        <w:numPr>
          <w:ilvl w:val="0"/>
          <w:numId w:val="77"/>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 xml:space="preserve">靠近原有开采位置时，应该进行超前探水工作； </w:t>
      </w:r>
    </w:p>
    <w:p w14:paraId="076A6D66">
      <w:pPr>
        <w:pStyle w:val="21"/>
        <w:numPr>
          <w:ilvl w:val="0"/>
          <w:numId w:val="77"/>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施工单位做好现场原始记录，记录内容包括：钻孔方位、倾角、深度、放水量、防水时间等；</w:t>
      </w:r>
    </w:p>
    <w:p w14:paraId="0FA5F7A6">
      <w:pPr>
        <w:pStyle w:val="21"/>
        <w:numPr>
          <w:ilvl w:val="0"/>
          <w:numId w:val="77"/>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探放水钻杆在钻进过程中若出现顶钻、憋钻、夹钻及钻孔出水水压较大等现象，先不要拔出钻杆，等水压明显减小后再做相应的处理；</w:t>
      </w:r>
    </w:p>
    <w:p w14:paraId="03386701">
      <w:pPr>
        <w:pStyle w:val="21"/>
        <w:numPr>
          <w:ilvl w:val="0"/>
          <w:numId w:val="77"/>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打钻探出水后，应保持钻孔出水畅通，若钻孔堵塞要及时捅孔，保证顺利排放；</w:t>
      </w:r>
    </w:p>
    <w:p w14:paraId="6A65DDD4">
      <w:pPr>
        <w:pStyle w:val="21"/>
        <w:numPr>
          <w:ilvl w:val="0"/>
          <w:numId w:val="77"/>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在探放水施工期间若出现紧急情况，现场人员应及时向矿山调度时和相关负责人汇报，立即撤离井下人员；</w:t>
      </w:r>
    </w:p>
    <w:p w14:paraId="55FA1921">
      <w:pPr>
        <w:pStyle w:val="21"/>
        <w:numPr>
          <w:ilvl w:val="0"/>
          <w:numId w:val="77"/>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探放水工程施工前，建设单位要组织作业人员阅读探放水设计并学习探放水工程安全技术措施等内容；</w:t>
      </w:r>
    </w:p>
    <w:p w14:paraId="3E51E872">
      <w:pPr>
        <w:pStyle w:val="21"/>
        <w:numPr>
          <w:ilvl w:val="0"/>
          <w:numId w:val="77"/>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雨季暴雨时，应撤出井下作业人员。</w:t>
      </w:r>
    </w:p>
    <w:p w14:paraId="494235A1">
      <w:pPr>
        <w:pStyle w:val="21"/>
        <w:bidi w:val="0"/>
        <w:rPr>
          <w:rFonts w:hint="eastAsia"/>
          <w:lang w:val="en-US" w:eastAsia="zh-CN"/>
        </w:rPr>
      </w:pPr>
      <w:r>
        <w:rPr>
          <w:rFonts w:hint="eastAsia"/>
          <w:lang w:val="en-US" w:eastAsia="zh-CN"/>
        </w:rPr>
        <w:t>4、评价结果小结</w:t>
      </w:r>
    </w:p>
    <w:p w14:paraId="662A7016">
      <w:pPr>
        <w:pStyle w:val="21"/>
        <w:bidi w:val="0"/>
        <w:rPr>
          <w:rFonts w:hint="eastAsia"/>
          <w:lang w:val="en-US" w:eastAsia="zh-CN"/>
        </w:rPr>
      </w:pPr>
      <w:r>
        <w:rPr>
          <w:rFonts w:hint="eastAsia"/>
          <w:lang w:val="en-US" w:eastAsia="zh-CN"/>
        </w:rPr>
        <w:t>通过以上评价，建设单位在以后的施工及生产中，只要严格按照设计布置防排水设施，并落实《可研报告》及本预评价报告提出的安全措施，井下防排水系统是安全可靠的。</w:t>
      </w:r>
    </w:p>
    <w:p w14:paraId="7C5DBD9D">
      <w:pPr>
        <w:pStyle w:val="21"/>
        <w:rPr>
          <w:rFonts w:hint="default" w:ascii="Times New Roman" w:hAnsi="Times New Roman" w:eastAsia="宋体"/>
          <w:b/>
          <w:bCs/>
          <w:lang w:val="en-US" w:eastAsia="zh-CN"/>
        </w:rPr>
      </w:pPr>
      <w:r>
        <w:rPr>
          <w:rFonts w:hint="eastAsia" w:ascii="Times New Roman" w:hAnsi="Times New Roman" w:eastAsia="宋体"/>
          <w:b/>
          <w:bCs/>
          <w:lang w:val="en-US" w:eastAsia="zh-CN"/>
        </w:rPr>
        <w:t>二、</w:t>
      </w:r>
      <w:r>
        <w:rPr>
          <w:rFonts w:hint="default" w:ascii="Times New Roman" w:hAnsi="Times New Roman" w:eastAsia="宋体"/>
          <w:b/>
          <w:bCs/>
          <w:lang w:val="en-US" w:eastAsia="zh-CN"/>
        </w:rPr>
        <w:t>防灭火子单元</w:t>
      </w:r>
    </w:p>
    <w:p w14:paraId="21678294">
      <w:pPr>
        <w:adjustRightInd w:val="0"/>
        <w:snapToGrid w:val="0"/>
        <w:spacing w:line="360" w:lineRule="auto"/>
        <w:ind w:firstLine="560" w:firstLineChars="200"/>
        <w:rPr>
          <w:rFonts w:ascii="Times New Roman" w:hAnsi="Times New Roman"/>
          <w:caps w:val="0"/>
          <w:smallCaps w:val="0"/>
          <w:sz w:val="28"/>
          <w:szCs w:val="28"/>
        </w:rPr>
      </w:pPr>
      <w:r>
        <w:rPr>
          <w:rFonts w:hint="eastAsia" w:ascii="Times New Roman" w:hAnsi="Times New Roman"/>
          <w:caps w:val="0"/>
          <w:smallCaps w:val="0"/>
          <w:sz w:val="28"/>
          <w:szCs w:val="28"/>
        </w:rPr>
        <w:t>用选定的预先危险性分析法评价如下：</w:t>
      </w:r>
    </w:p>
    <w:p w14:paraId="37FA9089">
      <w:pPr>
        <w:pStyle w:val="30"/>
        <w:bidi w:val="0"/>
      </w:pPr>
      <w:r>
        <w:rPr>
          <w:rFonts w:hint="eastAsia"/>
        </w:rPr>
        <w:t>表</w:t>
      </w:r>
      <w:r>
        <w:rPr>
          <w:rFonts w:hint="eastAsia"/>
          <w:lang w:val="en-US" w:eastAsia="zh-CN"/>
        </w:rPr>
        <w:t>3.7-2</w:t>
      </w:r>
      <w:r>
        <w:rPr>
          <w:rFonts w:hint="eastAsia"/>
        </w:rPr>
        <w:t xml:space="preserve"> </w:t>
      </w:r>
      <w:r>
        <w:t xml:space="preserve"> </w:t>
      </w:r>
      <w:r>
        <w:rPr>
          <w:rFonts w:hint="eastAsia"/>
        </w:rPr>
        <w:t>防火子单元预先危险性分析表</w:t>
      </w:r>
    </w:p>
    <w:tbl>
      <w:tblPr>
        <w:tblStyle w:val="24"/>
        <w:tblW w:w="8569"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07"/>
        <w:gridCol w:w="636"/>
        <w:gridCol w:w="1717"/>
        <w:gridCol w:w="942"/>
        <w:gridCol w:w="1560"/>
        <w:gridCol w:w="708"/>
        <w:gridCol w:w="691"/>
        <w:gridCol w:w="1608"/>
      </w:tblGrid>
      <w:tr w14:paraId="60667AE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07" w:type="dxa"/>
            <w:noWrap w:val="0"/>
            <w:vAlign w:val="center"/>
          </w:tcPr>
          <w:p w14:paraId="6765D85E">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潜在事故</w:t>
            </w:r>
          </w:p>
        </w:tc>
        <w:tc>
          <w:tcPr>
            <w:tcW w:w="636" w:type="dxa"/>
            <w:noWrap w:val="0"/>
            <w:vAlign w:val="center"/>
          </w:tcPr>
          <w:p w14:paraId="167AA896">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危险因素</w:t>
            </w:r>
          </w:p>
        </w:tc>
        <w:tc>
          <w:tcPr>
            <w:tcW w:w="1717" w:type="dxa"/>
            <w:noWrap w:val="0"/>
            <w:vAlign w:val="center"/>
          </w:tcPr>
          <w:p w14:paraId="25E7B2CE">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触发条件（1）</w:t>
            </w:r>
          </w:p>
        </w:tc>
        <w:tc>
          <w:tcPr>
            <w:tcW w:w="942" w:type="dxa"/>
            <w:noWrap w:val="0"/>
            <w:vAlign w:val="center"/>
          </w:tcPr>
          <w:p w14:paraId="754DA3FF">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发生</w:t>
            </w:r>
          </w:p>
          <w:p w14:paraId="5979A061">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条件</w:t>
            </w:r>
          </w:p>
        </w:tc>
        <w:tc>
          <w:tcPr>
            <w:tcW w:w="1560" w:type="dxa"/>
            <w:noWrap w:val="0"/>
            <w:vAlign w:val="center"/>
          </w:tcPr>
          <w:p w14:paraId="6CFE631A">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触发条件（2）</w:t>
            </w:r>
          </w:p>
        </w:tc>
        <w:tc>
          <w:tcPr>
            <w:tcW w:w="708" w:type="dxa"/>
            <w:noWrap w:val="0"/>
            <w:vAlign w:val="center"/>
          </w:tcPr>
          <w:p w14:paraId="1F65CC62">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事故后果</w:t>
            </w:r>
          </w:p>
        </w:tc>
        <w:tc>
          <w:tcPr>
            <w:tcW w:w="691" w:type="dxa"/>
            <w:noWrap w:val="0"/>
            <w:vAlign w:val="center"/>
          </w:tcPr>
          <w:p w14:paraId="03EF2CA1">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危险等级</w:t>
            </w:r>
          </w:p>
        </w:tc>
        <w:tc>
          <w:tcPr>
            <w:tcW w:w="1608" w:type="dxa"/>
            <w:noWrap w:val="0"/>
            <w:vAlign w:val="center"/>
          </w:tcPr>
          <w:p w14:paraId="3D19A69D">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防范措施</w:t>
            </w:r>
          </w:p>
        </w:tc>
      </w:tr>
      <w:tr w14:paraId="5CE8497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07" w:type="dxa"/>
            <w:noWrap w:val="0"/>
            <w:vAlign w:val="center"/>
          </w:tcPr>
          <w:p w14:paraId="155B4484">
            <w:pPr>
              <w:tabs>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火灾</w:t>
            </w:r>
          </w:p>
        </w:tc>
        <w:tc>
          <w:tcPr>
            <w:tcW w:w="636" w:type="dxa"/>
            <w:noWrap w:val="0"/>
            <w:vAlign w:val="center"/>
          </w:tcPr>
          <w:p w14:paraId="61D7A6F1">
            <w:pPr>
              <w:tabs>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着火源、可燃物、助燃物</w:t>
            </w:r>
          </w:p>
        </w:tc>
        <w:tc>
          <w:tcPr>
            <w:tcW w:w="1717" w:type="dxa"/>
            <w:noWrap w:val="0"/>
            <w:vAlign w:val="center"/>
          </w:tcPr>
          <w:p w14:paraId="3F3E7E88">
            <w:pPr>
              <w:numPr>
                <w:ilvl w:val="0"/>
                <w:numId w:val="78"/>
              </w:numPr>
              <w:tabs>
                <w:tab w:val="left" w:pos="567"/>
                <w:tab w:val="left" w:pos="612"/>
              </w:tabs>
              <w:adjustRightInd w:val="0"/>
              <w:snapToGrid w:val="0"/>
              <w:spacing w:line="240" w:lineRule="auto"/>
              <w:ind w:right="-84" w:rightChars="-40"/>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生产和生活用火不慎</w:t>
            </w:r>
          </w:p>
          <w:p w14:paraId="4E5F3F47">
            <w:pPr>
              <w:numPr>
                <w:ilvl w:val="0"/>
                <w:numId w:val="78"/>
              </w:numPr>
              <w:tabs>
                <w:tab w:val="left" w:pos="567"/>
                <w:tab w:val="left" w:pos="612"/>
              </w:tabs>
              <w:adjustRightInd w:val="0"/>
              <w:snapToGrid w:val="0"/>
              <w:spacing w:line="240" w:lineRule="auto"/>
              <w:ind w:right="-84" w:rightChars="-40"/>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设计不符合防火要求</w:t>
            </w:r>
          </w:p>
          <w:p w14:paraId="36E4F0A5">
            <w:pPr>
              <w:numPr>
                <w:ilvl w:val="0"/>
                <w:numId w:val="78"/>
              </w:numPr>
              <w:tabs>
                <w:tab w:val="left" w:pos="567"/>
                <w:tab w:val="left" w:pos="612"/>
              </w:tabs>
              <w:adjustRightInd w:val="0"/>
              <w:snapToGrid w:val="0"/>
              <w:spacing w:line="240" w:lineRule="auto"/>
              <w:ind w:right="-84" w:rightChars="-40"/>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电气设备设计、安装、使用维护不当等</w:t>
            </w:r>
          </w:p>
          <w:p w14:paraId="3A7C09FB">
            <w:pPr>
              <w:numPr>
                <w:ilvl w:val="0"/>
                <w:numId w:val="78"/>
              </w:numPr>
              <w:tabs>
                <w:tab w:val="left" w:pos="567"/>
                <w:tab w:val="left" w:pos="612"/>
              </w:tabs>
              <w:adjustRightInd w:val="0"/>
              <w:snapToGrid w:val="0"/>
              <w:spacing w:line="240" w:lineRule="auto"/>
              <w:ind w:right="-84" w:rightChars="-40"/>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高温、通风不良等自然因素</w:t>
            </w:r>
          </w:p>
        </w:tc>
        <w:tc>
          <w:tcPr>
            <w:tcW w:w="942" w:type="dxa"/>
            <w:noWrap w:val="0"/>
            <w:vAlign w:val="center"/>
          </w:tcPr>
          <w:p w14:paraId="35E492C4">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存在着火源；可燃物、助燃物集中</w:t>
            </w:r>
          </w:p>
        </w:tc>
        <w:tc>
          <w:tcPr>
            <w:tcW w:w="1560" w:type="dxa"/>
            <w:noWrap w:val="0"/>
            <w:vAlign w:val="center"/>
          </w:tcPr>
          <w:p w14:paraId="3590789A">
            <w:pPr>
              <w:numPr>
                <w:ilvl w:val="0"/>
                <w:numId w:val="79"/>
              </w:numPr>
              <w:tabs>
                <w:tab w:val="left" w:pos="37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易燃材料乱放，乱堆</w:t>
            </w:r>
          </w:p>
          <w:p w14:paraId="40CEBAE3">
            <w:pPr>
              <w:numPr>
                <w:ilvl w:val="0"/>
                <w:numId w:val="79"/>
              </w:numPr>
              <w:tabs>
                <w:tab w:val="left" w:pos="37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在易燃易爆材料旁吸烟、使用明火等</w:t>
            </w:r>
          </w:p>
          <w:p w14:paraId="64B80A06">
            <w:pPr>
              <w:numPr>
                <w:ilvl w:val="0"/>
                <w:numId w:val="79"/>
              </w:numPr>
              <w:tabs>
                <w:tab w:val="left" w:pos="37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没有配备必要的灭火器材</w:t>
            </w:r>
          </w:p>
        </w:tc>
        <w:tc>
          <w:tcPr>
            <w:tcW w:w="708" w:type="dxa"/>
            <w:noWrap w:val="0"/>
            <w:vAlign w:val="center"/>
          </w:tcPr>
          <w:p w14:paraId="6358FC30">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造成财产损失，人员伤亡。</w:t>
            </w:r>
          </w:p>
        </w:tc>
        <w:tc>
          <w:tcPr>
            <w:tcW w:w="691" w:type="dxa"/>
            <w:noWrap w:val="0"/>
            <w:vAlign w:val="center"/>
          </w:tcPr>
          <w:p w14:paraId="0D9E3F1D">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Ⅱ～Ⅲ级</w:t>
            </w:r>
          </w:p>
        </w:tc>
        <w:tc>
          <w:tcPr>
            <w:tcW w:w="1608" w:type="dxa"/>
            <w:noWrap w:val="0"/>
            <w:vAlign w:val="center"/>
          </w:tcPr>
          <w:p w14:paraId="70E7AF42">
            <w:pPr>
              <w:numPr>
                <w:ilvl w:val="0"/>
                <w:numId w:val="80"/>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设备加注燃油时严禁明火</w:t>
            </w:r>
          </w:p>
          <w:p w14:paraId="571AD20D">
            <w:pPr>
              <w:numPr>
                <w:ilvl w:val="0"/>
                <w:numId w:val="80"/>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禁止在采掘设备上存放汽油和其他易燃易爆材料，禁止用汽油擦洗设备</w:t>
            </w:r>
          </w:p>
        </w:tc>
      </w:tr>
    </w:tbl>
    <w:p w14:paraId="73B30C79">
      <w:pPr>
        <w:pStyle w:val="21"/>
        <w:bidi w:val="0"/>
        <w:rPr>
          <w:rFonts w:hint="default"/>
          <w:lang w:val="en-US" w:eastAsia="zh-CN"/>
        </w:rPr>
      </w:pPr>
      <w:r>
        <w:rPr>
          <w:rFonts w:hint="default"/>
          <w:lang w:val="en-US" w:eastAsia="zh-CN"/>
        </w:rPr>
        <w:t>本项目的矿山开采的矿岩不具有自燃性，火灾的危险隐患主要来自外因，其危险程度为“临界的”，应采取相应的控制措施。建议安全设施设计中，应补充井下消防栓设置内容。</w:t>
      </w:r>
    </w:p>
    <w:p w14:paraId="6CF09732">
      <w:pPr>
        <w:pStyle w:val="29"/>
        <w:bidi w:val="0"/>
        <w:rPr>
          <w:rFonts w:hint="default"/>
          <w:lang w:val="en-US" w:eastAsia="zh-CN"/>
        </w:rPr>
      </w:pPr>
      <w:r>
        <w:rPr>
          <w:rFonts w:hint="default"/>
          <w:lang w:val="en-US" w:eastAsia="zh-CN"/>
        </w:rPr>
        <w:t>评价结果小结</w:t>
      </w:r>
    </w:p>
    <w:p w14:paraId="42D2C0D8">
      <w:pPr>
        <w:pStyle w:val="21"/>
        <w:bidi w:val="0"/>
        <w:rPr>
          <w:rFonts w:hint="default"/>
          <w:lang w:val="en-US" w:eastAsia="zh-CN"/>
        </w:rPr>
      </w:pPr>
      <w:r>
        <w:rPr>
          <w:rFonts w:hint="default"/>
          <w:lang w:val="en-US" w:eastAsia="zh-CN"/>
        </w:rPr>
        <w:t>建设单位在以后的施工及生产中，只要严格按照设计布置防排水设施，并落实《可研报告》及本预评价报告提出的安全措施，井下防排水系统是安全可靠的。</w:t>
      </w:r>
    </w:p>
    <w:p w14:paraId="4497E4DF">
      <w:pPr>
        <w:pStyle w:val="21"/>
        <w:bidi w:val="0"/>
        <w:rPr>
          <w:rFonts w:hint="eastAsia"/>
          <w:lang w:val="en-US" w:eastAsia="zh-CN"/>
        </w:rPr>
      </w:pPr>
      <w:r>
        <w:rPr>
          <w:rFonts w:hint="default"/>
          <w:lang w:val="en-US" w:eastAsia="zh-CN"/>
        </w:rPr>
        <w:t>如果建设单位施工及生产过程中严格落实可行性研究报告及本评价报告提出的防灭火方面的安全对策措施，则防灭火系统是安全可靠的</w:t>
      </w:r>
      <w:r>
        <w:rPr>
          <w:rFonts w:hint="eastAsia"/>
          <w:lang w:val="en-US" w:eastAsia="zh-CN"/>
        </w:rPr>
        <w:t>。</w:t>
      </w:r>
    </w:p>
    <w:p w14:paraId="42A44EDA">
      <w:pPr>
        <w:pStyle w:val="28"/>
        <w:bidi w:val="0"/>
        <w:rPr>
          <w:rFonts w:hint="default"/>
          <w:lang w:val="en-US" w:eastAsia="zh-CN"/>
        </w:rPr>
      </w:pPr>
      <w:bookmarkStart w:id="46" w:name="_Toc15858"/>
      <w:r>
        <w:rPr>
          <w:rFonts w:hint="eastAsia"/>
          <w:lang w:val="en-US" w:eastAsia="zh-CN"/>
        </w:rPr>
        <w:t>废石场单元</w:t>
      </w:r>
      <w:bookmarkEnd w:id="46"/>
    </w:p>
    <w:p w14:paraId="4ADF6BB7">
      <w:pPr>
        <w:pStyle w:val="29"/>
        <w:rPr>
          <w:rFonts w:hint="default"/>
          <w:lang w:val="en-US" w:eastAsia="zh-CN"/>
        </w:rPr>
      </w:pPr>
      <w:r>
        <w:rPr>
          <w:rFonts w:hint="default"/>
          <w:lang w:val="en-US" w:eastAsia="zh-CN"/>
        </w:rPr>
        <w:t>危险有害因素辨识</w:t>
      </w:r>
    </w:p>
    <w:p w14:paraId="26AB6E46">
      <w:pPr>
        <w:pStyle w:val="21"/>
        <w:bidi w:val="0"/>
        <w:rPr>
          <w:rFonts w:hint="default"/>
          <w:lang w:val="en-US" w:eastAsia="zh-CN"/>
        </w:rPr>
      </w:pPr>
      <w:r>
        <w:rPr>
          <w:rFonts w:hint="default"/>
          <w:lang w:val="en-US" w:eastAsia="zh-CN"/>
        </w:rPr>
        <w:t>废石场单元涉及到的危险、有害因素有山体滑坡、泥石流、暴雨、山洪等。</w:t>
      </w:r>
    </w:p>
    <w:p w14:paraId="4A1AA8B4">
      <w:pPr>
        <w:pStyle w:val="21"/>
        <w:bidi w:val="0"/>
        <w:rPr>
          <w:rFonts w:hint="default"/>
          <w:lang w:val="en-US" w:eastAsia="zh-CN"/>
        </w:rPr>
      </w:pPr>
      <w:r>
        <w:rPr>
          <w:rFonts w:hint="default"/>
          <w:lang w:val="en-US" w:eastAsia="zh-CN"/>
        </w:rPr>
        <w:t>造成山体滑坡、泥石流、暴雨、山洪等危险因素均来自于周边的山体，如果矿山的排土场选址不合理，在山体滑坡、泥石流、暴雨及洪水影响范围内，可能造成工业场地被埋没、被洪水淹没的后果。</w:t>
      </w:r>
    </w:p>
    <w:p w14:paraId="7452ABAF">
      <w:pPr>
        <w:pStyle w:val="29"/>
        <w:bidi w:val="0"/>
        <w:rPr>
          <w:rFonts w:hint="default"/>
          <w:lang w:val="en-US" w:eastAsia="zh-CN"/>
        </w:rPr>
      </w:pPr>
      <w:r>
        <w:rPr>
          <w:rFonts w:hint="default"/>
          <w:lang w:val="en-US" w:eastAsia="zh-CN"/>
        </w:rPr>
        <w:t>安全分析及符合性评价</w:t>
      </w:r>
    </w:p>
    <w:p w14:paraId="33559A64">
      <w:pPr>
        <w:pStyle w:val="21"/>
        <w:numPr>
          <w:ilvl w:val="0"/>
          <w:numId w:val="81"/>
        </w:numPr>
        <w:bidi w:val="0"/>
        <w:rPr>
          <w:rFonts w:hint="default"/>
          <w:lang w:val="en-US" w:eastAsia="zh-CN"/>
        </w:rPr>
      </w:pPr>
      <w:r>
        <w:rPr>
          <w:rFonts w:hint="default"/>
          <w:lang w:val="en-US" w:eastAsia="zh-CN"/>
        </w:rPr>
        <w:t>预先危险性分析法评价</w:t>
      </w:r>
    </w:p>
    <w:p w14:paraId="3370AEBA">
      <w:pPr>
        <w:pStyle w:val="30"/>
        <w:bidi w:val="0"/>
        <w:rPr>
          <w:rFonts w:hint="eastAsia"/>
        </w:rPr>
      </w:pPr>
      <w:r>
        <w:rPr>
          <w:rFonts w:hint="eastAsia"/>
        </w:rPr>
        <w:t>表3.8-1   废石场单元预先危险性分析表</w:t>
      </w:r>
    </w:p>
    <w:tbl>
      <w:tblPr>
        <w:tblStyle w:val="24"/>
        <w:tblW w:w="8587"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738"/>
        <w:gridCol w:w="816"/>
        <w:gridCol w:w="1296"/>
        <w:gridCol w:w="865"/>
        <w:gridCol w:w="1296"/>
        <w:gridCol w:w="701"/>
        <w:gridCol w:w="843"/>
        <w:gridCol w:w="2032"/>
      </w:tblGrid>
      <w:tr w14:paraId="7C7F139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738" w:type="dxa"/>
            <w:noWrap w:val="0"/>
            <w:vAlign w:val="center"/>
          </w:tcPr>
          <w:p w14:paraId="389C6D51">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潜在事故</w:t>
            </w:r>
          </w:p>
        </w:tc>
        <w:tc>
          <w:tcPr>
            <w:tcW w:w="816" w:type="dxa"/>
            <w:noWrap w:val="0"/>
            <w:vAlign w:val="center"/>
          </w:tcPr>
          <w:p w14:paraId="26A70CB0">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危险因素</w:t>
            </w:r>
          </w:p>
        </w:tc>
        <w:tc>
          <w:tcPr>
            <w:tcW w:w="1296" w:type="dxa"/>
            <w:noWrap w:val="0"/>
            <w:vAlign w:val="center"/>
          </w:tcPr>
          <w:p w14:paraId="7A18C8E5">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触发条件（1）</w:t>
            </w:r>
          </w:p>
        </w:tc>
        <w:tc>
          <w:tcPr>
            <w:tcW w:w="865" w:type="dxa"/>
            <w:noWrap w:val="0"/>
            <w:vAlign w:val="center"/>
          </w:tcPr>
          <w:p w14:paraId="680829F7">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发生条件</w:t>
            </w:r>
          </w:p>
        </w:tc>
        <w:tc>
          <w:tcPr>
            <w:tcW w:w="1296" w:type="dxa"/>
            <w:noWrap w:val="0"/>
            <w:vAlign w:val="center"/>
          </w:tcPr>
          <w:p w14:paraId="249A9B6F">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触发条件（2）</w:t>
            </w:r>
          </w:p>
        </w:tc>
        <w:tc>
          <w:tcPr>
            <w:tcW w:w="701" w:type="dxa"/>
            <w:noWrap w:val="0"/>
            <w:vAlign w:val="center"/>
          </w:tcPr>
          <w:p w14:paraId="35BFD152">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事故后果</w:t>
            </w:r>
          </w:p>
        </w:tc>
        <w:tc>
          <w:tcPr>
            <w:tcW w:w="843" w:type="dxa"/>
            <w:noWrap w:val="0"/>
            <w:vAlign w:val="center"/>
          </w:tcPr>
          <w:p w14:paraId="2B832B5B">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危险等级</w:t>
            </w:r>
          </w:p>
        </w:tc>
        <w:tc>
          <w:tcPr>
            <w:tcW w:w="2032" w:type="dxa"/>
            <w:noWrap w:val="0"/>
            <w:vAlign w:val="center"/>
          </w:tcPr>
          <w:p w14:paraId="53A94C98">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防范措施</w:t>
            </w:r>
          </w:p>
        </w:tc>
      </w:tr>
      <w:tr w14:paraId="66A3AFE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738" w:type="dxa"/>
            <w:noWrap w:val="0"/>
            <w:vAlign w:val="center"/>
          </w:tcPr>
          <w:p w14:paraId="50DE3225">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边坡大面积滑落</w:t>
            </w:r>
          </w:p>
        </w:tc>
        <w:tc>
          <w:tcPr>
            <w:tcW w:w="816" w:type="dxa"/>
            <w:noWrap w:val="0"/>
            <w:vAlign w:val="center"/>
          </w:tcPr>
          <w:p w14:paraId="5D5D1D06">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边坡不稳定</w:t>
            </w:r>
          </w:p>
        </w:tc>
        <w:tc>
          <w:tcPr>
            <w:tcW w:w="1296" w:type="dxa"/>
            <w:noWrap w:val="0"/>
            <w:vAlign w:val="center"/>
          </w:tcPr>
          <w:p w14:paraId="6ADAE9DA">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岩石松散</w:t>
            </w:r>
          </w:p>
          <w:p w14:paraId="7437A23D">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 xml:space="preserve">节理发育 </w:t>
            </w:r>
          </w:p>
          <w:p w14:paraId="79AE406E">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雨季时冲刷表边坡</w:t>
            </w:r>
          </w:p>
          <w:p w14:paraId="137C66EB">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边坡角过大</w:t>
            </w:r>
          </w:p>
          <w:p w14:paraId="37B884B7">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台阶高度过大</w:t>
            </w:r>
          </w:p>
        </w:tc>
        <w:tc>
          <w:tcPr>
            <w:tcW w:w="865" w:type="dxa"/>
            <w:noWrap w:val="0"/>
            <w:vAlign w:val="center"/>
          </w:tcPr>
          <w:p w14:paraId="4FE8A44B">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工作人员在有滑坡危险和存在浮石的坡面作业</w:t>
            </w:r>
          </w:p>
        </w:tc>
        <w:tc>
          <w:tcPr>
            <w:tcW w:w="1296" w:type="dxa"/>
            <w:noWrap w:val="0"/>
            <w:vAlign w:val="center"/>
          </w:tcPr>
          <w:p w14:paraId="2C7C8B1B">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未采取措施防止地表水渗入</w:t>
            </w:r>
          </w:p>
          <w:p w14:paraId="1ED3A9FB">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对不稳定区域暴雨过后未检查</w:t>
            </w:r>
          </w:p>
          <w:p w14:paraId="34C72A8E">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有滑坡征兆时，没有停止作业</w:t>
            </w:r>
          </w:p>
        </w:tc>
        <w:tc>
          <w:tcPr>
            <w:tcW w:w="701" w:type="dxa"/>
            <w:noWrap w:val="0"/>
            <w:vAlign w:val="center"/>
          </w:tcPr>
          <w:p w14:paraId="1ED4D58A">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掩埋设备，人员伤亡</w:t>
            </w:r>
          </w:p>
        </w:tc>
        <w:tc>
          <w:tcPr>
            <w:tcW w:w="843" w:type="dxa"/>
            <w:noWrap w:val="0"/>
            <w:vAlign w:val="center"/>
          </w:tcPr>
          <w:p w14:paraId="2E827311">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Ⅲ级</w:t>
            </w:r>
          </w:p>
        </w:tc>
        <w:tc>
          <w:tcPr>
            <w:tcW w:w="2032" w:type="dxa"/>
            <w:noWrap w:val="0"/>
            <w:vAlign w:val="center"/>
          </w:tcPr>
          <w:p w14:paraId="3F1F146F">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对采场工作帮每季检查一次，高陡边帮每月检查一次，不稳定区段在暴雨过后应及时检查</w:t>
            </w:r>
          </w:p>
          <w:p w14:paraId="0AA5A632">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应采取措施防止地表水渗入直接冲刷边坡</w:t>
            </w:r>
          </w:p>
          <w:p w14:paraId="60D471F2">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必须建立健全边坡管理制度</w:t>
            </w:r>
          </w:p>
        </w:tc>
      </w:tr>
      <w:tr w14:paraId="24A93A9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738" w:type="dxa"/>
            <w:noWrap w:val="0"/>
            <w:vAlign w:val="center"/>
          </w:tcPr>
          <w:p w14:paraId="7B563232">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潜在事故</w:t>
            </w:r>
          </w:p>
        </w:tc>
        <w:tc>
          <w:tcPr>
            <w:tcW w:w="816" w:type="dxa"/>
            <w:noWrap w:val="0"/>
            <w:vAlign w:val="center"/>
          </w:tcPr>
          <w:p w14:paraId="27783A74">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危险因素</w:t>
            </w:r>
          </w:p>
        </w:tc>
        <w:tc>
          <w:tcPr>
            <w:tcW w:w="1296" w:type="dxa"/>
            <w:noWrap w:val="0"/>
            <w:vAlign w:val="center"/>
          </w:tcPr>
          <w:p w14:paraId="4005B182">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触发条件（1）</w:t>
            </w:r>
          </w:p>
        </w:tc>
        <w:tc>
          <w:tcPr>
            <w:tcW w:w="865" w:type="dxa"/>
            <w:noWrap w:val="0"/>
            <w:vAlign w:val="center"/>
          </w:tcPr>
          <w:p w14:paraId="1E619A1D">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发生条件</w:t>
            </w:r>
          </w:p>
        </w:tc>
        <w:tc>
          <w:tcPr>
            <w:tcW w:w="1296" w:type="dxa"/>
            <w:noWrap w:val="0"/>
            <w:vAlign w:val="center"/>
          </w:tcPr>
          <w:p w14:paraId="13A19428">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触发条件（2）</w:t>
            </w:r>
          </w:p>
        </w:tc>
        <w:tc>
          <w:tcPr>
            <w:tcW w:w="701" w:type="dxa"/>
            <w:noWrap w:val="0"/>
            <w:vAlign w:val="center"/>
          </w:tcPr>
          <w:p w14:paraId="2A268AE3">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事故后果</w:t>
            </w:r>
          </w:p>
        </w:tc>
        <w:tc>
          <w:tcPr>
            <w:tcW w:w="843" w:type="dxa"/>
            <w:noWrap w:val="0"/>
            <w:vAlign w:val="center"/>
          </w:tcPr>
          <w:p w14:paraId="58FD3BC4">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危险等级</w:t>
            </w:r>
          </w:p>
        </w:tc>
        <w:tc>
          <w:tcPr>
            <w:tcW w:w="2032" w:type="dxa"/>
            <w:noWrap w:val="0"/>
            <w:vAlign w:val="center"/>
          </w:tcPr>
          <w:p w14:paraId="2D87AE33">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防范措施</w:t>
            </w:r>
          </w:p>
        </w:tc>
      </w:tr>
      <w:tr w14:paraId="46109D3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738" w:type="dxa"/>
            <w:noWrap w:val="0"/>
            <w:vAlign w:val="center"/>
          </w:tcPr>
          <w:p w14:paraId="0987E576">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边坡坍塌</w:t>
            </w:r>
          </w:p>
        </w:tc>
        <w:tc>
          <w:tcPr>
            <w:tcW w:w="816" w:type="dxa"/>
            <w:noWrap w:val="0"/>
            <w:vAlign w:val="center"/>
          </w:tcPr>
          <w:p w14:paraId="4DD1DA54">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边坡不稳定</w:t>
            </w:r>
          </w:p>
        </w:tc>
        <w:tc>
          <w:tcPr>
            <w:tcW w:w="1296" w:type="dxa"/>
            <w:noWrap w:val="0"/>
            <w:vAlign w:val="center"/>
          </w:tcPr>
          <w:p w14:paraId="42024AE3">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掏采在工作面上形成伞檐、空洞</w:t>
            </w:r>
          </w:p>
          <w:p w14:paraId="713044A8">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排土阶段过高、边坡过陡</w:t>
            </w:r>
          </w:p>
        </w:tc>
        <w:tc>
          <w:tcPr>
            <w:tcW w:w="865" w:type="dxa"/>
            <w:noWrap w:val="0"/>
            <w:vAlign w:val="center"/>
          </w:tcPr>
          <w:p w14:paraId="60178703">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人员在有坍塌危险的平台上停留或作业</w:t>
            </w:r>
          </w:p>
        </w:tc>
        <w:tc>
          <w:tcPr>
            <w:tcW w:w="1296" w:type="dxa"/>
            <w:noWrap w:val="0"/>
            <w:vAlign w:val="center"/>
          </w:tcPr>
          <w:p w14:paraId="39E3F7EA">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边坡根部折断或压碎而破坏脱离基岩</w:t>
            </w:r>
          </w:p>
        </w:tc>
        <w:tc>
          <w:tcPr>
            <w:tcW w:w="701" w:type="dxa"/>
            <w:noWrap w:val="0"/>
            <w:vAlign w:val="center"/>
          </w:tcPr>
          <w:p w14:paraId="16F561F5">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损毁设备，人员伤亡</w:t>
            </w:r>
          </w:p>
        </w:tc>
        <w:tc>
          <w:tcPr>
            <w:tcW w:w="843" w:type="dxa"/>
            <w:noWrap w:val="0"/>
            <w:vAlign w:val="center"/>
          </w:tcPr>
          <w:p w14:paraId="55A9FBF4">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Ⅲ级</w:t>
            </w:r>
          </w:p>
        </w:tc>
        <w:tc>
          <w:tcPr>
            <w:tcW w:w="2032" w:type="dxa"/>
            <w:noWrap w:val="0"/>
            <w:vAlign w:val="center"/>
          </w:tcPr>
          <w:p w14:paraId="0FBE882D">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排土高度和坡面角要符合设计</w:t>
            </w:r>
          </w:p>
          <w:p w14:paraId="32E656FE">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严格按照设计设置排土场参数</w:t>
            </w:r>
          </w:p>
        </w:tc>
      </w:tr>
      <w:tr w14:paraId="02CA4B4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738" w:type="dxa"/>
            <w:noWrap w:val="0"/>
            <w:vAlign w:val="center"/>
          </w:tcPr>
          <w:p w14:paraId="7D1474D1">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滚石</w:t>
            </w:r>
          </w:p>
        </w:tc>
        <w:tc>
          <w:tcPr>
            <w:tcW w:w="816" w:type="dxa"/>
            <w:noWrap w:val="0"/>
            <w:vAlign w:val="center"/>
          </w:tcPr>
          <w:p w14:paraId="3C687D9A">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边坡上存在浮石、大块等</w:t>
            </w:r>
          </w:p>
        </w:tc>
        <w:tc>
          <w:tcPr>
            <w:tcW w:w="1296" w:type="dxa"/>
            <w:noWrap w:val="0"/>
            <w:vAlign w:val="center"/>
          </w:tcPr>
          <w:p w14:paraId="2D27196C">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坡面有浮石</w:t>
            </w:r>
          </w:p>
          <w:p w14:paraId="261249E0">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平台宽度不够</w:t>
            </w:r>
          </w:p>
        </w:tc>
        <w:tc>
          <w:tcPr>
            <w:tcW w:w="865" w:type="dxa"/>
            <w:noWrap w:val="0"/>
            <w:vAlign w:val="center"/>
          </w:tcPr>
          <w:p w14:paraId="49B2D94F">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人员在存在浮石工作平台上作业</w:t>
            </w:r>
          </w:p>
        </w:tc>
        <w:tc>
          <w:tcPr>
            <w:tcW w:w="1296" w:type="dxa"/>
            <w:noWrap w:val="0"/>
            <w:vAlign w:val="center"/>
          </w:tcPr>
          <w:p w14:paraId="3E8D4FE0">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（1）处理浮石操作方法不当</w:t>
            </w:r>
          </w:p>
          <w:p w14:paraId="37CAC382">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（2）浮石处理不及时</w:t>
            </w:r>
          </w:p>
        </w:tc>
        <w:tc>
          <w:tcPr>
            <w:tcW w:w="701" w:type="dxa"/>
            <w:noWrap w:val="0"/>
            <w:vAlign w:val="center"/>
          </w:tcPr>
          <w:p w14:paraId="75F0DA15">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砸坏设备，人员伤亡</w:t>
            </w:r>
          </w:p>
        </w:tc>
        <w:tc>
          <w:tcPr>
            <w:tcW w:w="843" w:type="dxa"/>
            <w:noWrap w:val="0"/>
            <w:vAlign w:val="center"/>
          </w:tcPr>
          <w:p w14:paraId="323F8591">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Ⅱ级</w:t>
            </w:r>
          </w:p>
        </w:tc>
        <w:tc>
          <w:tcPr>
            <w:tcW w:w="2032" w:type="dxa"/>
            <w:noWrap w:val="0"/>
            <w:vAlign w:val="center"/>
          </w:tcPr>
          <w:p w14:paraId="13345BA1">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预留规定的安全平台</w:t>
            </w:r>
          </w:p>
          <w:p w14:paraId="31AA0BA3">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及时处理浮石</w:t>
            </w:r>
          </w:p>
          <w:p w14:paraId="4AD32F00">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不得在边坡底部停留</w:t>
            </w:r>
          </w:p>
        </w:tc>
      </w:tr>
      <w:tr w14:paraId="33FAC53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38" w:type="dxa"/>
            <w:noWrap w:val="0"/>
            <w:vAlign w:val="center"/>
          </w:tcPr>
          <w:p w14:paraId="06D75282">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泥石流</w:t>
            </w:r>
          </w:p>
        </w:tc>
        <w:tc>
          <w:tcPr>
            <w:tcW w:w="816" w:type="dxa"/>
            <w:noWrap w:val="0"/>
            <w:vAlign w:val="center"/>
          </w:tcPr>
          <w:p w14:paraId="1E5EA955">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（1）基底的软弱岩层</w:t>
            </w:r>
          </w:p>
          <w:p w14:paraId="31467860">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（2）排弃物中含有的大量表土和风化岩石</w:t>
            </w:r>
          </w:p>
        </w:tc>
        <w:tc>
          <w:tcPr>
            <w:tcW w:w="1296" w:type="dxa"/>
            <w:noWrap w:val="0"/>
            <w:vAlign w:val="center"/>
          </w:tcPr>
          <w:p w14:paraId="0F80EE22">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（1）排土场的阶段高度、总堆置高度、平台宽度不合理</w:t>
            </w:r>
          </w:p>
          <w:p w14:paraId="3847A153">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（2）排土场设在工程地质或水文地质条件不良的地带</w:t>
            </w:r>
          </w:p>
          <w:p w14:paraId="2660F50E">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（3）排土场缺少可靠的截流、防洪和排水设施</w:t>
            </w:r>
          </w:p>
        </w:tc>
        <w:tc>
          <w:tcPr>
            <w:tcW w:w="865" w:type="dxa"/>
            <w:noWrap w:val="0"/>
            <w:vAlign w:val="center"/>
          </w:tcPr>
          <w:p w14:paraId="277268D3">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人员和设备处于有发生泥石流、排土场坍塌和滚石的场所</w:t>
            </w:r>
          </w:p>
        </w:tc>
        <w:tc>
          <w:tcPr>
            <w:tcW w:w="1296" w:type="dxa"/>
            <w:noWrap w:val="0"/>
            <w:vAlign w:val="center"/>
          </w:tcPr>
          <w:p w14:paraId="7A709170">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（1）高阶段排土场没有设专人负责观测和管理</w:t>
            </w:r>
          </w:p>
          <w:p w14:paraId="63E76F11">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（2）发现危险征兆时没有采取有效措施，及时处理</w:t>
            </w:r>
          </w:p>
          <w:p w14:paraId="2C87F4AA">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（3）排土时违章操作</w:t>
            </w:r>
          </w:p>
        </w:tc>
        <w:tc>
          <w:tcPr>
            <w:tcW w:w="701" w:type="dxa"/>
            <w:noWrap w:val="0"/>
            <w:vAlign w:val="center"/>
          </w:tcPr>
          <w:p w14:paraId="73C09541">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设备损坏、人员伤亡</w:t>
            </w:r>
          </w:p>
        </w:tc>
        <w:tc>
          <w:tcPr>
            <w:tcW w:w="843" w:type="dxa"/>
            <w:noWrap w:val="0"/>
            <w:vAlign w:val="center"/>
          </w:tcPr>
          <w:p w14:paraId="13866C70">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Ⅲ级</w:t>
            </w:r>
          </w:p>
        </w:tc>
        <w:tc>
          <w:tcPr>
            <w:tcW w:w="2032" w:type="dxa"/>
            <w:noWrap w:val="0"/>
            <w:vAlign w:val="center"/>
          </w:tcPr>
          <w:p w14:paraId="19E569AB">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（1）排土场坡脚与矿体开采点之间必须有一定的安全距离</w:t>
            </w:r>
          </w:p>
          <w:p w14:paraId="1B49878F">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（2）排土场不宜设在工程地质或水文地质条件不良的地带</w:t>
            </w:r>
          </w:p>
          <w:p w14:paraId="529A70E8">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（3）排土场必须有可靠的截流、防洪和排水设施</w:t>
            </w:r>
          </w:p>
          <w:p w14:paraId="0E1BBAA1">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（4）高阶段排土场应有专人负责观测和管理；发现危险征兆，采取有效措施，及时处理</w:t>
            </w:r>
          </w:p>
          <w:p w14:paraId="07B5B39B">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（5）排土场进行排弃作业时，设立警戒标志，危险范围禁止人员进入</w:t>
            </w:r>
          </w:p>
          <w:p w14:paraId="1BC8A0B7">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（6）卸排作业场地进场保持平整，并保有2%～5%的反坡。</w:t>
            </w:r>
          </w:p>
          <w:p w14:paraId="21CF61F7">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（7）为使排土场平台的汇水不致侵蚀和冲刷边坡，将平台修成3%左右的反坡</w:t>
            </w:r>
          </w:p>
        </w:tc>
      </w:tr>
    </w:tbl>
    <w:p w14:paraId="254306AA">
      <w:pPr>
        <w:pStyle w:val="21"/>
        <w:bidi w:val="0"/>
        <w:rPr>
          <w:rFonts w:hint="eastAsia"/>
          <w:lang w:val="zh-CN"/>
        </w:rPr>
      </w:pPr>
      <w:r>
        <w:rPr>
          <w:rFonts w:hint="eastAsia"/>
        </w:rPr>
        <w:t>废石场</w:t>
      </w:r>
      <w:r>
        <w:rPr>
          <w:rFonts w:hint="eastAsia"/>
          <w:lang w:val="zh-CN"/>
        </w:rPr>
        <w:t>是矿山重要设施之一，排土场引发滑坡、泥石流的后果严重，因此本项目滑坡、泥石流的危险等级定为Ⅲ级。</w:t>
      </w:r>
    </w:p>
    <w:p w14:paraId="484D1632">
      <w:pPr>
        <w:pStyle w:val="29"/>
        <w:bidi w:val="0"/>
        <w:rPr>
          <w:rFonts w:hint="eastAsia"/>
          <w:lang w:val="zh-CN"/>
        </w:rPr>
      </w:pPr>
      <w:r>
        <w:rPr>
          <w:rFonts w:hint="eastAsia"/>
          <w:lang w:val="en-US" w:eastAsia="zh-CN"/>
        </w:rPr>
        <w:t>评价结果小结</w:t>
      </w:r>
    </w:p>
    <w:p w14:paraId="088EF1CC">
      <w:pPr>
        <w:pStyle w:val="21"/>
        <w:rPr>
          <w:rFonts w:hint="eastAsia"/>
          <w:lang w:val="zh-CN"/>
        </w:rPr>
      </w:pPr>
      <w:r>
        <w:rPr>
          <w:rFonts w:hint="eastAsia"/>
          <w:lang w:val="zh-CN"/>
        </w:rPr>
        <w:t>《可研报告》明确井下废石通过装载机装入自卸汽车，通过斜坡道运至地表回填地表露天坑。</w:t>
      </w:r>
    </w:p>
    <w:p w14:paraId="5457CE21">
      <w:pPr>
        <w:pStyle w:val="21"/>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建设单位在生产中要严格按照设计要求在指定位置排弃废石，按设计设置废石场的参数，并采取预评价提出的安全措施后，能保证排土作业及排土场安全可靠。</w:t>
      </w:r>
    </w:p>
    <w:p w14:paraId="688B11AC">
      <w:pPr>
        <w:pStyle w:val="28"/>
        <w:bidi w:val="0"/>
        <w:rPr>
          <w:rFonts w:hint="default"/>
          <w:lang w:val="en-US" w:eastAsia="zh-CN"/>
        </w:rPr>
      </w:pPr>
      <w:bookmarkStart w:id="47" w:name="_Toc23511"/>
      <w:r>
        <w:rPr>
          <w:rFonts w:hint="default"/>
          <w:lang w:val="en-US" w:eastAsia="zh-CN"/>
        </w:rPr>
        <w:t>安全避险“六大系统”子单元</w:t>
      </w:r>
      <w:bookmarkEnd w:id="47"/>
    </w:p>
    <w:p w14:paraId="16230EA7">
      <w:pPr>
        <w:pStyle w:val="21"/>
        <w:bidi w:val="0"/>
        <w:rPr>
          <w:rFonts w:hint="default"/>
          <w:lang w:val="en-US" w:eastAsia="zh-CN"/>
        </w:rPr>
      </w:pPr>
      <w:r>
        <w:rPr>
          <w:rFonts w:hint="default"/>
          <w:lang w:val="en-US" w:eastAsia="zh-CN"/>
        </w:rPr>
        <w:t>评价组采用安全检查表法对本项目安全避险“六大系统”单元进行评价。安全检查表中，检查结果为符合要求或不符合要求两种。</w:t>
      </w:r>
    </w:p>
    <w:p w14:paraId="2E1B20F8">
      <w:pPr>
        <w:pStyle w:val="21"/>
        <w:bidi w:val="0"/>
        <w:rPr>
          <w:rFonts w:hint="default"/>
          <w:lang w:val="en-US" w:eastAsia="zh-CN"/>
        </w:rPr>
      </w:pPr>
      <w:r>
        <w:rPr>
          <w:rFonts w:hint="default"/>
          <w:lang w:val="en-US" w:eastAsia="zh-CN"/>
        </w:rPr>
        <w:t>对该项目安全避险“六大系统”单元的安全检查表，见表3.9-1。</w:t>
      </w:r>
    </w:p>
    <w:p w14:paraId="3A788AFA">
      <w:pPr>
        <w:pStyle w:val="30"/>
        <w:bidi w:val="0"/>
        <w:rPr>
          <w:rFonts w:hint="eastAsia"/>
        </w:rPr>
      </w:pPr>
      <w:r>
        <w:rPr>
          <w:rFonts w:hint="eastAsia"/>
        </w:rPr>
        <w:t>表3.</w:t>
      </w:r>
      <w:r>
        <w:rPr>
          <w:rFonts w:hint="eastAsia"/>
          <w:lang w:val="en-US" w:eastAsia="zh-CN"/>
        </w:rPr>
        <w:t>9</w:t>
      </w:r>
      <w:r>
        <w:rPr>
          <w:rFonts w:hint="eastAsia"/>
        </w:rPr>
        <w:t>-1  安全避险“六大系统”单元安全检查表</w:t>
      </w:r>
    </w:p>
    <w:tbl>
      <w:tblPr>
        <w:tblStyle w:val="24"/>
        <w:tblW w:w="5000"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765"/>
        <w:gridCol w:w="2687"/>
        <w:gridCol w:w="2280"/>
        <w:gridCol w:w="2884"/>
        <w:gridCol w:w="785"/>
      </w:tblGrid>
      <w:tr w14:paraId="417D55D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58371536">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序号</w:t>
            </w:r>
          </w:p>
        </w:tc>
        <w:tc>
          <w:tcPr>
            <w:tcW w:w="1428" w:type="pct"/>
            <w:noWrap w:val="0"/>
            <w:vAlign w:val="center"/>
          </w:tcPr>
          <w:p w14:paraId="74CFC250">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检查项目和内容</w:t>
            </w:r>
          </w:p>
        </w:tc>
        <w:tc>
          <w:tcPr>
            <w:tcW w:w="1212" w:type="pct"/>
            <w:noWrap w:val="0"/>
            <w:vAlign w:val="center"/>
          </w:tcPr>
          <w:p w14:paraId="343AA1A4">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依据标准</w:t>
            </w:r>
          </w:p>
        </w:tc>
        <w:tc>
          <w:tcPr>
            <w:tcW w:w="1533" w:type="pct"/>
            <w:noWrap w:val="0"/>
            <w:vAlign w:val="center"/>
          </w:tcPr>
          <w:p w14:paraId="46B6E776">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事实记录</w:t>
            </w:r>
          </w:p>
        </w:tc>
        <w:tc>
          <w:tcPr>
            <w:tcW w:w="417" w:type="pct"/>
            <w:noWrap w:val="0"/>
            <w:vAlign w:val="center"/>
          </w:tcPr>
          <w:p w14:paraId="4BB63F35">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结论</w:t>
            </w:r>
          </w:p>
        </w:tc>
      </w:tr>
      <w:tr w14:paraId="0E87A17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33AC604C">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1</w:t>
            </w:r>
          </w:p>
        </w:tc>
        <w:tc>
          <w:tcPr>
            <w:tcW w:w="1428" w:type="pct"/>
            <w:noWrap w:val="0"/>
            <w:vAlign w:val="center"/>
          </w:tcPr>
          <w:p w14:paraId="4992B413">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应为入井人员配备额定防护时间不少于30min的自救器，并按入井总人数的10%配备备用自救器。</w:t>
            </w:r>
          </w:p>
        </w:tc>
        <w:tc>
          <w:tcPr>
            <w:tcW w:w="1212" w:type="pct"/>
            <w:noWrap w:val="0"/>
            <w:vAlign w:val="center"/>
          </w:tcPr>
          <w:p w14:paraId="5885036D">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金属非金属地下矿山紧急避险系统建设规范AQ/T 2033—2023</w:t>
            </w:r>
          </w:p>
        </w:tc>
        <w:tc>
          <w:tcPr>
            <w:tcW w:w="1533" w:type="pct"/>
            <w:noWrap w:val="0"/>
            <w:vAlign w:val="center"/>
          </w:tcPr>
          <w:p w14:paraId="048CA801">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可研报告》明确自救器配备数量按矿总下井人员数量共计114人，按全矿总入井人数配备额定防护时间不低于30分钟的自救器114台；最大班作业人员44人，井下紧急避险地点按最大班作业人员1.2倍配备额定防护时间不低于45分钟自救器53台。企业应按总数的10%配备备用自救器，17台备用。</w:t>
            </w:r>
          </w:p>
        </w:tc>
        <w:tc>
          <w:tcPr>
            <w:tcW w:w="417" w:type="pct"/>
            <w:noWrap w:val="0"/>
            <w:vAlign w:val="center"/>
          </w:tcPr>
          <w:p w14:paraId="34E8ED13">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22A9D12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2C359CE0">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2</w:t>
            </w:r>
          </w:p>
        </w:tc>
        <w:tc>
          <w:tcPr>
            <w:tcW w:w="1428" w:type="pct"/>
            <w:noWrap w:val="0"/>
            <w:vAlign w:val="center"/>
          </w:tcPr>
          <w:p w14:paraId="6D9CA186">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生产中段在地面最低安全出口以下垂直距离超过500m的矿山，宜在最低采矿生产中段设置普通型紧急避险设施；</w:t>
            </w:r>
          </w:p>
          <w:p w14:paraId="1EB94A2C">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水文地质条件复杂或有透水风险的地下矿山，宜在最低采矿生产中段设置防水紧急避险设施；</w:t>
            </w:r>
          </w:p>
        </w:tc>
        <w:tc>
          <w:tcPr>
            <w:tcW w:w="1212" w:type="pct"/>
            <w:noWrap w:val="0"/>
            <w:vAlign w:val="center"/>
          </w:tcPr>
          <w:p w14:paraId="0762B3F2">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金属非金属地下矿山紧急避险系统建设规范AQ/T 2033—2023</w:t>
            </w:r>
          </w:p>
        </w:tc>
        <w:tc>
          <w:tcPr>
            <w:tcW w:w="1533" w:type="pct"/>
            <w:noWrap w:val="0"/>
            <w:vAlign w:val="center"/>
          </w:tcPr>
          <w:p w14:paraId="559D3BEA">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该矿山矿山水文地质条件简单；矿山地面最低安全出口为斜坡道，井口标高64m。-450m中段与最低安全出口垂直距离超过500m，设计在最低采矿生产中段设置普通型紧急避险硐室。</w:t>
            </w:r>
          </w:p>
        </w:tc>
        <w:tc>
          <w:tcPr>
            <w:tcW w:w="417" w:type="pct"/>
            <w:noWrap w:val="0"/>
            <w:vAlign w:val="center"/>
          </w:tcPr>
          <w:p w14:paraId="4B62BA0D">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305CA95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04820D4E">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3</w:t>
            </w:r>
          </w:p>
        </w:tc>
        <w:tc>
          <w:tcPr>
            <w:tcW w:w="1428" w:type="pct"/>
            <w:noWrap w:val="0"/>
            <w:vAlign w:val="center"/>
          </w:tcPr>
          <w:p w14:paraId="6284766E">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压风管道应采用钢质材料或其他具有同等强度的阻燃材料，并采取防腐蚀措施。</w:t>
            </w:r>
          </w:p>
        </w:tc>
        <w:tc>
          <w:tcPr>
            <w:tcW w:w="1212" w:type="pct"/>
            <w:noWrap w:val="0"/>
            <w:vAlign w:val="center"/>
          </w:tcPr>
          <w:p w14:paraId="365F48B8">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金属非金属地下矿山压风自救系统建设规范AQ/T 2034—2023</w:t>
            </w:r>
          </w:p>
        </w:tc>
        <w:tc>
          <w:tcPr>
            <w:tcW w:w="1533" w:type="pct"/>
            <w:noWrap w:val="0"/>
            <w:vAlign w:val="center"/>
          </w:tcPr>
          <w:p w14:paraId="3628C5E0">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设计压风自救系统采用高压阻燃软管。</w:t>
            </w:r>
          </w:p>
        </w:tc>
        <w:tc>
          <w:tcPr>
            <w:tcW w:w="417" w:type="pct"/>
            <w:noWrap w:val="0"/>
            <w:vAlign w:val="center"/>
          </w:tcPr>
          <w:p w14:paraId="12AE29CB">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121DA00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124939A0">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4</w:t>
            </w:r>
          </w:p>
        </w:tc>
        <w:tc>
          <w:tcPr>
            <w:tcW w:w="1428" w:type="pct"/>
            <w:noWrap w:val="0"/>
            <w:vAlign w:val="center"/>
          </w:tcPr>
          <w:p w14:paraId="28AF7EA0">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压风管道敷设应牢固平直，并延伸到井下采掘作业场所、紧急避险设施、爆破时撤离人员集中地点等主要地点。</w:t>
            </w:r>
          </w:p>
        </w:tc>
        <w:tc>
          <w:tcPr>
            <w:tcW w:w="1212" w:type="pct"/>
            <w:noWrap w:val="0"/>
            <w:vAlign w:val="center"/>
          </w:tcPr>
          <w:p w14:paraId="207CF876">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金属非金属地下矿山压风自救系统建设规范AQ/T 2034—2023</w:t>
            </w:r>
          </w:p>
        </w:tc>
        <w:tc>
          <w:tcPr>
            <w:tcW w:w="1533" w:type="pct"/>
            <w:noWrap w:val="0"/>
            <w:vAlign w:val="center"/>
          </w:tcPr>
          <w:p w14:paraId="0F02D1EC">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设计压风自救系统管道敷设按照规范要求设置</w:t>
            </w:r>
          </w:p>
        </w:tc>
        <w:tc>
          <w:tcPr>
            <w:tcW w:w="417" w:type="pct"/>
            <w:noWrap w:val="0"/>
            <w:vAlign w:val="center"/>
          </w:tcPr>
          <w:p w14:paraId="48F290D7">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3C1349E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22E17A7D">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5</w:t>
            </w:r>
          </w:p>
        </w:tc>
        <w:tc>
          <w:tcPr>
            <w:tcW w:w="1428" w:type="pct"/>
            <w:noWrap w:val="0"/>
            <w:vAlign w:val="center"/>
          </w:tcPr>
          <w:p w14:paraId="17D5D6FD">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各主要生产中段和分段进风巷道的压风管路上设置的供气阀门，中段和分段间隔应不大于200m。</w:t>
            </w:r>
          </w:p>
        </w:tc>
        <w:tc>
          <w:tcPr>
            <w:tcW w:w="1212" w:type="pct"/>
            <w:noWrap w:val="0"/>
            <w:vAlign w:val="center"/>
          </w:tcPr>
          <w:p w14:paraId="4230986D">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金属非金属地下矿山压风自救系统建设规范AQ/T 2034—2023</w:t>
            </w:r>
          </w:p>
        </w:tc>
        <w:tc>
          <w:tcPr>
            <w:tcW w:w="1533" w:type="pct"/>
            <w:noWrap w:val="0"/>
            <w:vAlign w:val="center"/>
          </w:tcPr>
          <w:p w14:paraId="1B474D0C">
            <w:pPr>
              <w:snapToGrid w:val="0"/>
              <w:spacing w:line="240" w:lineRule="auto"/>
              <w:jc w:val="center"/>
              <w:rPr>
                <w:rFonts w:hint="default" w:ascii="Times New Roman" w:hAnsi="Times New Roman" w:cs="宋体" w:eastAsiaTheme="minorEastAsia"/>
                <w:caps w:val="0"/>
                <w:smallCaps w:val="0"/>
                <w:sz w:val="21"/>
                <w:szCs w:val="21"/>
                <w:lang w:val="en-US" w:eastAsia="zh-CN"/>
              </w:rPr>
            </w:pPr>
            <w:r>
              <w:rPr>
                <w:rFonts w:hint="eastAsia" w:ascii="Times New Roman" w:hAnsi="Times New Roman" w:cs="宋体"/>
                <w:caps w:val="0"/>
                <w:smallCaps w:val="0"/>
                <w:sz w:val="21"/>
                <w:szCs w:val="21"/>
              </w:rPr>
              <w:t>设计压风自救系统管路上设置的供气阀门</w:t>
            </w:r>
            <w:r>
              <w:rPr>
                <w:rFonts w:hint="eastAsia" w:ascii="Times New Roman" w:hAnsi="Times New Roman" w:cs="宋体"/>
                <w:caps w:val="0"/>
                <w:smallCaps w:val="0"/>
                <w:sz w:val="21"/>
                <w:szCs w:val="21"/>
                <w:lang w:val="en-US" w:eastAsia="zh-CN"/>
              </w:rPr>
              <w:t>符合规范要求设置</w:t>
            </w:r>
          </w:p>
        </w:tc>
        <w:tc>
          <w:tcPr>
            <w:tcW w:w="417" w:type="pct"/>
            <w:noWrap w:val="0"/>
            <w:vAlign w:val="center"/>
          </w:tcPr>
          <w:p w14:paraId="34A399A8">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26C4162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60F1EF0D">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6</w:t>
            </w:r>
          </w:p>
        </w:tc>
        <w:tc>
          <w:tcPr>
            <w:tcW w:w="1428" w:type="pct"/>
            <w:noWrap w:val="0"/>
            <w:vAlign w:val="center"/>
          </w:tcPr>
          <w:p w14:paraId="38834B0E">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主压风管道中应安装油水分离器</w:t>
            </w:r>
          </w:p>
        </w:tc>
        <w:tc>
          <w:tcPr>
            <w:tcW w:w="1212" w:type="pct"/>
            <w:noWrap w:val="0"/>
            <w:vAlign w:val="center"/>
          </w:tcPr>
          <w:p w14:paraId="4FF6660E">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金属非金属地下矿山压风自救系统建设规范AQ/T 2034—2023</w:t>
            </w:r>
          </w:p>
        </w:tc>
        <w:tc>
          <w:tcPr>
            <w:tcW w:w="1533" w:type="pct"/>
            <w:noWrap w:val="0"/>
            <w:vAlign w:val="center"/>
          </w:tcPr>
          <w:p w14:paraId="06CD5533">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设计主压风管道按照规范要求安装油水分离器</w:t>
            </w:r>
          </w:p>
        </w:tc>
        <w:tc>
          <w:tcPr>
            <w:tcW w:w="417" w:type="pct"/>
            <w:noWrap w:val="0"/>
            <w:vAlign w:val="center"/>
          </w:tcPr>
          <w:p w14:paraId="25BD691C">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6F3636F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52F592EF">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7</w:t>
            </w:r>
          </w:p>
        </w:tc>
        <w:tc>
          <w:tcPr>
            <w:tcW w:w="1428" w:type="pct"/>
            <w:noWrap w:val="0"/>
            <w:vAlign w:val="center"/>
          </w:tcPr>
          <w:p w14:paraId="44CB8B8C">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生产用水不符合生活饮用水要求时，供水施救系统中还应建设辅助水池用于储备生活饮用水，容量应不小于20m</w:t>
            </w:r>
            <w:r>
              <w:rPr>
                <w:rFonts w:hint="eastAsia" w:ascii="Times New Roman" w:hAnsi="Times New Roman" w:cs="宋体"/>
                <w:caps w:val="0"/>
                <w:smallCaps w:val="0"/>
                <w:sz w:val="21"/>
                <w:szCs w:val="21"/>
                <w:vertAlign w:val="superscript"/>
              </w:rPr>
              <w:t>2</w:t>
            </w:r>
            <w:r>
              <w:rPr>
                <w:rFonts w:hint="eastAsia" w:ascii="Times New Roman" w:hAnsi="Times New Roman" w:cs="宋体"/>
                <w:caps w:val="0"/>
                <w:smallCaps w:val="0"/>
                <w:sz w:val="21"/>
                <w:szCs w:val="21"/>
              </w:rPr>
              <w:t>。辅助水池应采取封闭保护措施,防止异物污染,每年应对辅助水池进行一次全面清洗、消毒</w:t>
            </w:r>
            <w:r>
              <w:rPr>
                <w:rFonts w:hint="eastAsia" w:ascii="Times New Roman" w:hAnsi="Times New Roman" w:cs="宋体"/>
                <w:caps w:val="0"/>
                <w:smallCaps w:val="0"/>
                <w:sz w:val="21"/>
                <w:szCs w:val="21"/>
                <w:lang w:eastAsia="zh-CN"/>
              </w:rPr>
              <w:t>，</w:t>
            </w:r>
            <w:r>
              <w:rPr>
                <w:rFonts w:hint="eastAsia" w:ascii="Times New Roman" w:hAnsi="Times New Roman" w:cs="宋体"/>
                <w:caps w:val="0"/>
                <w:smallCaps w:val="0"/>
                <w:sz w:val="21"/>
                <w:szCs w:val="21"/>
              </w:rPr>
              <w:t>并对水质进行检验。</w:t>
            </w:r>
          </w:p>
        </w:tc>
        <w:tc>
          <w:tcPr>
            <w:tcW w:w="1212" w:type="pct"/>
            <w:noWrap w:val="0"/>
            <w:vAlign w:val="center"/>
          </w:tcPr>
          <w:p w14:paraId="03596614">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金属非金属地下矿山供水施救系统建设规范AQ/T 2035—2023</w:t>
            </w:r>
          </w:p>
        </w:tc>
        <w:tc>
          <w:tcPr>
            <w:tcW w:w="1533" w:type="pct"/>
            <w:noWrap w:val="0"/>
            <w:vAlign w:val="center"/>
          </w:tcPr>
          <w:p w14:paraId="274F51AC">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《可研报告》明确水源由矿区深水井提供，采用恒压供水至生活高位水池，再从高位水池接配水管网。</w:t>
            </w:r>
          </w:p>
        </w:tc>
        <w:tc>
          <w:tcPr>
            <w:tcW w:w="417" w:type="pct"/>
            <w:noWrap w:val="0"/>
            <w:vAlign w:val="center"/>
          </w:tcPr>
          <w:p w14:paraId="36FB72CD">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7E0CE14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614349D2">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8</w:t>
            </w:r>
          </w:p>
        </w:tc>
        <w:tc>
          <w:tcPr>
            <w:tcW w:w="1428" w:type="pct"/>
            <w:noWrap w:val="0"/>
            <w:vAlign w:val="center"/>
          </w:tcPr>
          <w:p w14:paraId="0517600C">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供水管道敷设应牢固平直，并延伸到井下采掘作业场所、紧急避险设施、爆破时撤离人员集中地点等主要地点。</w:t>
            </w:r>
          </w:p>
        </w:tc>
        <w:tc>
          <w:tcPr>
            <w:tcW w:w="1212" w:type="pct"/>
            <w:noWrap w:val="0"/>
            <w:vAlign w:val="center"/>
          </w:tcPr>
          <w:p w14:paraId="6FDA9665">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金属非金属地下矿山供水施救系统建设规范AQ/T 2035—2023</w:t>
            </w:r>
          </w:p>
        </w:tc>
        <w:tc>
          <w:tcPr>
            <w:tcW w:w="1533" w:type="pct"/>
            <w:noWrap w:val="0"/>
            <w:vAlign w:val="center"/>
          </w:tcPr>
          <w:p w14:paraId="22DED836">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设计管道为无缝钢管、其敷设按照规范要求布置</w:t>
            </w:r>
          </w:p>
        </w:tc>
        <w:tc>
          <w:tcPr>
            <w:tcW w:w="417" w:type="pct"/>
            <w:noWrap w:val="0"/>
            <w:vAlign w:val="center"/>
          </w:tcPr>
          <w:p w14:paraId="7AC7D903">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016507B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5C8F58E1">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9</w:t>
            </w:r>
          </w:p>
        </w:tc>
        <w:tc>
          <w:tcPr>
            <w:tcW w:w="1428" w:type="pct"/>
            <w:noWrap w:val="0"/>
            <w:vAlign w:val="center"/>
          </w:tcPr>
          <w:p w14:paraId="6524E9E5">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各主要生产中段和分段进风巷道的供水管道上安设的供水阀门</w:t>
            </w:r>
            <w:r>
              <w:rPr>
                <w:rFonts w:hint="eastAsia" w:ascii="Times New Roman" w:hAnsi="Times New Roman" w:cs="宋体"/>
                <w:caps w:val="0"/>
                <w:smallCaps w:val="0"/>
                <w:sz w:val="21"/>
                <w:szCs w:val="21"/>
                <w:lang w:eastAsia="zh-CN"/>
              </w:rPr>
              <w:t>，</w:t>
            </w:r>
            <w:r>
              <w:rPr>
                <w:rFonts w:hint="eastAsia" w:ascii="Times New Roman" w:hAnsi="Times New Roman" w:cs="宋体"/>
                <w:caps w:val="0"/>
                <w:smallCaps w:val="0"/>
                <w:sz w:val="21"/>
                <w:szCs w:val="21"/>
              </w:rPr>
              <w:t>中段和分段间隔应不大于200m。</w:t>
            </w:r>
          </w:p>
        </w:tc>
        <w:tc>
          <w:tcPr>
            <w:tcW w:w="1212" w:type="pct"/>
            <w:noWrap w:val="0"/>
            <w:vAlign w:val="center"/>
          </w:tcPr>
          <w:p w14:paraId="16113FC9">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金属非金属地下矿山供水施救系统建设规范AQ/T 2035—2023</w:t>
            </w:r>
          </w:p>
        </w:tc>
        <w:tc>
          <w:tcPr>
            <w:tcW w:w="1533" w:type="pct"/>
            <w:noWrap w:val="0"/>
            <w:vAlign w:val="center"/>
          </w:tcPr>
          <w:p w14:paraId="1A6E0E4A">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设计要生产中段和分段进风巷道的供水管道按照规范设置三通和阀门</w:t>
            </w:r>
          </w:p>
        </w:tc>
        <w:tc>
          <w:tcPr>
            <w:tcW w:w="417" w:type="pct"/>
            <w:noWrap w:val="0"/>
            <w:vAlign w:val="center"/>
          </w:tcPr>
          <w:p w14:paraId="5CF2C3B5">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0D07E1B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65725A98">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10</w:t>
            </w:r>
          </w:p>
        </w:tc>
        <w:tc>
          <w:tcPr>
            <w:tcW w:w="1428" w:type="pct"/>
            <w:noWrap w:val="0"/>
            <w:vAlign w:val="center"/>
          </w:tcPr>
          <w:p w14:paraId="674F1D58">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供水管道应接人紧急避险设施内,并安设阀门及过滤装置,水量和水压应满足额定数量人员避灾时的需要。</w:t>
            </w:r>
          </w:p>
        </w:tc>
        <w:tc>
          <w:tcPr>
            <w:tcW w:w="1212" w:type="pct"/>
            <w:noWrap w:val="0"/>
            <w:vAlign w:val="center"/>
          </w:tcPr>
          <w:p w14:paraId="75710D3F">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金属非金属地下矿山供水施救系统建设规范AQ/T 2035—2023</w:t>
            </w:r>
          </w:p>
        </w:tc>
        <w:tc>
          <w:tcPr>
            <w:tcW w:w="1533" w:type="pct"/>
            <w:noWrap w:val="0"/>
            <w:vAlign w:val="center"/>
          </w:tcPr>
          <w:p w14:paraId="0FC5B54E">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按照规范要求按照阀门和过滤装置，水量和水压满足需要</w:t>
            </w:r>
          </w:p>
        </w:tc>
        <w:tc>
          <w:tcPr>
            <w:tcW w:w="417" w:type="pct"/>
            <w:noWrap w:val="0"/>
            <w:vAlign w:val="center"/>
          </w:tcPr>
          <w:p w14:paraId="18CD910B">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4CBE280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64A3D243">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11</w:t>
            </w:r>
          </w:p>
        </w:tc>
        <w:tc>
          <w:tcPr>
            <w:tcW w:w="1428" w:type="pct"/>
            <w:noWrap w:val="0"/>
            <w:vAlign w:val="center"/>
          </w:tcPr>
          <w:p w14:paraId="2B59B856">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井下最多同时作业人数不少于30人的金属非金属地下矿山应建立完善人员定位系统；井下最多同时作业人数少于30人的矿山应建立完善人员出入井信息管理制度，准确掌握井下各个区域作业人员的数量。</w:t>
            </w:r>
          </w:p>
        </w:tc>
        <w:tc>
          <w:tcPr>
            <w:tcW w:w="1212" w:type="pct"/>
            <w:noWrap w:val="0"/>
            <w:vAlign w:val="center"/>
          </w:tcPr>
          <w:p w14:paraId="5AEDF2EC">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金属非金属地下矿山人员定位系统建设规范AQ2032-2011</w:t>
            </w:r>
          </w:p>
        </w:tc>
        <w:tc>
          <w:tcPr>
            <w:tcW w:w="1533" w:type="pct"/>
            <w:noWrap w:val="0"/>
            <w:vAlign w:val="center"/>
          </w:tcPr>
          <w:p w14:paraId="1F825FF5">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设计该项目单班下井最大人数为</w:t>
            </w:r>
            <w:r>
              <w:rPr>
                <w:rFonts w:hint="eastAsia" w:ascii="Times New Roman" w:hAnsi="Times New Roman" w:cs="宋体"/>
                <w:caps w:val="0"/>
                <w:smallCaps w:val="0"/>
                <w:sz w:val="21"/>
                <w:szCs w:val="21"/>
                <w:lang w:val="en-US" w:eastAsia="zh-CN"/>
              </w:rPr>
              <w:t>44</w:t>
            </w:r>
            <w:r>
              <w:rPr>
                <w:rFonts w:hint="eastAsia" w:ascii="Times New Roman" w:hAnsi="Times New Roman" w:cs="宋体"/>
                <w:caps w:val="0"/>
                <w:smallCaps w:val="0"/>
                <w:sz w:val="21"/>
                <w:szCs w:val="21"/>
              </w:rPr>
              <w:t>人，建立人员定位系统，随身携带人员定位卡</w:t>
            </w:r>
          </w:p>
        </w:tc>
        <w:tc>
          <w:tcPr>
            <w:tcW w:w="417" w:type="pct"/>
            <w:noWrap w:val="0"/>
            <w:vAlign w:val="center"/>
          </w:tcPr>
          <w:p w14:paraId="778697F2">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2554DF1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07A647D8">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12</w:t>
            </w:r>
          </w:p>
        </w:tc>
        <w:tc>
          <w:tcPr>
            <w:tcW w:w="1428" w:type="pct"/>
            <w:noWrap w:val="0"/>
            <w:vAlign w:val="center"/>
          </w:tcPr>
          <w:p w14:paraId="6E9AF340">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安装通信联络终端设备的地点应包括：井底车场、马头门、井下变电所、井下各中段采区、主要泵房、主要通风机房、井下紧急避险设施、爆破时撤离人员集中地点、提升机房、装卸矿点等。</w:t>
            </w:r>
          </w:p>
        </w:tc>
        <w:tc>
          <w:tcPr>
            <w:tcW w:w="1212" w:type="pct"/>
            <w:noWrap w:val="0"/>
            <w:vAlign w:val="center"/>
          </w:tcPr>
          <w:p w14:paraId="66D2919E">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金属非金属地下矿山通信联络系统建设规范AQ2036-2011</w:t>
            </w:r>
          </w:p>
        </w:tc>
        <w:tc>
          <w:tcPr>
            <w:tcW w:w="1533" w:type="pct"/>
            <w:noWrap w:val="0"/>
            <w:vAlign w:val="center"/>
          </w:tcPr>
          <w:p w14:paraId="3B050492">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设计通信联络终端设备按照规范要求设置</w:t>
            </w:r>
          </w:p>
        </w:tc>
        <w:tc>
          <w:tcPr>
            <w:tcW w:w="417" w:type="pct"/>
            <w:noWrap w:val="0"/>
            <w:vAlign w:val="center"/>
          </w:tcPr>
          <w:p w14:paraId="32C4CC30">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30147CC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787" w:hRule="atLeast"/>
          <w:tblHeader/>
          <w:jc w:val="center"/>
        </w:trPr>
        <w:tc>
          <w:tcPr>
            <w:tcW w:w="407" w:type="pct"/>
            <w:noWrap w:val="0"/>
            <w:vAlign w:val="center"/>
          </w:tcPr>
          <w:p w14:paraId="6A0802A3">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13</w:t>
            </w:r>
          </w:p>
        </w:tc>
        <w:tc>
          <w:tcPr>
            <w:tcW w:w="1428" w:type="pct"/>
            <w:noWrap w:val="0"/>
            <w:vAlign w:val="center"/>
          </w:tcPr>
          <w:p w14:paraId="29969A10">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通信线缆的敷设应符合GB16423-2006中6.5.2的相关规定。</w:t>
            </w:r>
          </w:p>
        </w:tc>
        <w:tc>
          <w:tcPr>
            <w:tcW w:w="1212" w:type="pct"/>
            <w:noWrap w:val="0"/>
            <w:vAlign w:val="center"/>
          </w:tcPr>
          <w:p w14:paraId="38B2007B">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金属非金属地下矿山通信联络系统建设规范AQ2036-2011</w:t>
            </w:r>
          </w:p>
        </w:tc>
        <w:tc>
          <w:tcPr>
            <w:tcW w:w="1533" w:type="pct"/>
            <w:noWrap w:val="0"/>
            <w:vAlign w:val="center"/>
          </w:tcPr>
          <w:p w14:paraId="6790F430">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《可研报告》明确通信线缆设置两条。</w:t>
            </w:r>
          </w:p>
        </w:tc>
        <w:tc>
          <w:tcPr>
            <w:tcW w:w="417" w:type="pct"/>
            <w:noWrap w:val="0"/>
            <w:vAlign w:val="center"/>
          </w:tcPr>
          <w:p w14:paraId="78518258">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56EAAA5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7F805AB1">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14</w:t>
            </w:r>
          </w:p>
        </w:tc>
        <w:tc>
          <w:tcPr>
            <w:tcW w:w="1428" w:type="pct"/>
            <w:noWrap w:val="0"/>
            <w:vAlign w:val="center"/>
          </w:tcPr>
          <w:p w14:paraId="0CFC5139">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终端设备应设置在便于使用且围岩稳固、支护良好、无淋水的位置。</w:t>
            </w:r>
          </w:p>
        </w:tc>
        <w:tc>
          <w:tcPr>
            <w:tcW w:w="1212" w:type="pct"/>
            <w:noWrap w:val="0"/>
            <w:vAlign w:val="center"/>
          </w:tcPr>
          <w:p w14:paraId="7FC67960">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金属非金属地下矿山通信联络系统建设规范AQ2036-2011</w:t>
            </w:r>
          </w:p>
        </w:tc>
        <w:tc>
          <w:tcPr>
            <w:tcW w:w="1533" w:type="pct"/>
            <w:noWrap w:val="0"/>
            <w:vAlign w:val="center"/>
          </w:tcPr>
          <w:p w14:paraId="4F5CEF34">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设计终端设备设置在便于使用且围岩稳固、支护良好、无淋水的位置</w:t>
            </w:r>
          </w:p>
        </w:tc>
        <w:tc>
          <w:tcPr>
            <w:tcW w:w="417" w:type="pct"/>
            <w:noWrap w:val="0"/>
            <w:vAlign w:val="center"/>
          </w:tcPr>
          <w:p w14:paraId="1F4E6255">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227BB6C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773E6528">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15</w:t>
            </w:r>
          </w:p>
        </w:tc>
        <w:tc>
          <w:tcPr>
            <w:tcW w:w="1428" w:type="pct"/>
            <w:noWrap w:val="0"/>
            <w:vAlign w:val="center"/>
          </w:tcPr>
          <w:p w14:paraId="659DE9DF">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地下矿山应配置足够的便携式气体检测报警仪。便携式气体检测报警仪应能测量一氧化碳、氧气、二氧化氮浓度，并具有报警参数设置和声光报警功能。</w:t>
            </w:r>
          </w:p>
        </w:tc>
        <w:tc>
          <w:tcPr>
            <w:tcW w:w="1212" w:type="pct"/>
            <w:noWrap w:val="0"/>
            <w:vAlign w:val="center"/>
          </w:tcPr>
          <w:p w14:paraId="1B1831C4">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金属非金属地下矿山监测监控系统建设规范AQ2031-2011</w:t>
            </w:r>
          </w:p>
        </w:tc>
        <w:tc>
          <w:tcPr>
            <w:tcW w:w="1533" w:type="pct"/>
            <w:noWrap w:val="0"/>
            <w:vAlign w:val="center"/>
          </w:tcPr>
          <w:p w14:paraId="0C0B8A4B">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设计地下矿山按照规范配备携式气体检测报警仪，可以测量一氧化碳、氧气、二氧化氮浓度，并具有报警参数设置和声光报警功能。</w:t>
            </w:r>
          </w:p>
        </w:tc>
        <w:tc>
          <w:tcPr>
            <w:tcW w:w="417" w:type="pct"/>
            <w:noWrap w:val="0"/>
            <w:vAlign w:val="center"/>
          </w:tcPr>
          <w:p w14:paraId="6BE33296">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1B06A6A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18D75EDC">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16</w:t>
            </w:r>
          </w:p>
        </w:tc>
        <w:tc>
          <w:tcPr>
            <w:tcW w:w="1428" w:type="pct"/>
            <w:noWrap w:val="0"/>
            <w:vAlign w:val="center"/>
          </w:tcPr>
          <w:p w14:paraId="71970AF1">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进入独头掘进工作面前，应开动局部通风设备通风，确保空气质量满足作业要求；人员进入采掘工作面时，应携带便携式气体检测报警仪从进风侧进入，一旦报警应立即撤离。</w:t>
            </w:r>
          </w:p>
        </w:tc>
        <w:tc>
          <w:tcPr>
            <w:tcW w:w="1212" w:type="pct"/>
            <w:noWrap w:val="0"/>
            <w:vAlign w:val="center"/>
          </w:tcPr>
          <w:p w14:paraId="7991341E">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金属非金属地下矿山监测监控系统建设规范AQ2031-2011</w:t>
            </w:r>
          </w:p>
        </w:tc>
        <w:tc>
          <w:tcPr>
            <w:tcW w:w="1533" w:type="pct"/>
            <w:noWrap w:val="0"/>
            <w:vAlign w:val="center"/>
          </w:tcPr>
          <w:p w14:paraId="66623D48">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《可研报告》有相关要求</w:t>
            </w:r>
          </w:p>
        </w:tc>
        <w:tc>
          <w:tcPr>
            <w:tcW w:w="417" w:type="pct"/>
            <w:noWrap w:val="0"/>
            <w:vAlign w:val="center"/>
          </w:tcPr>
          <w:p w14:paraId="7C74923E">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4AC450F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31209740">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17</w:t>
            </w:r>
          </w:p>
        </w:tc>
        <w:tc>
          <w:tcPr>
            <w:tcW w:w="1428" w:type="pct"/>
            <w:noWrap w:val="0"/>
            <w:vAlign w:val="center"/>
          </w:tcPr>
          <w:p w14:paraId="2A1262D4">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一氧化碳报警浓度不应高于24ppm，二氧化氮报警浓度不应高于2.5ppm</w:t>
            </w:r>
          </w:p>
        </w:tc>
        <w:tc>
          <w:tcPr>
            <w:tcW w:w="1212" w:type="pct"/>
            <w:noWrap w:val="0"/>
            <w:vAlign w:val="center"/>
          </w:tcPr>
          <w:p w14:paraId="201F662F">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金属非金属地下矿山监测监控系统建设规范AQ2031-2011</w:t>
            </w:r>
          </w:p>
        </w:tc>
        <w:tc>
          <w:tcPr>
            <w:tcW w:w="1533" w:type="pct"/>
            <w:noWrap w:val="0"/>
            <w:vAlign w:val="center"/>
          </w:tcPr>
          <w:p w14:paraId="47BE91B2">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《可研报告》设计报警浓度按照规范要求</w:t>
            </w:r>
          </w:p>
        </w:tc>
        <w:tc>
          <w:tcPr>
            <w:tcW w:w="417" w:type="pct"/>
            <w:noWrap w:val="0"/>
            <w:vAlign w:val="center"/>
          </w:tcPr>
          <w:p w14:paraId="49EDACA6">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022882E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4E3AA8D3">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18</w:t>
            </w:r>
          </w:p>
        </w:tc>
        <w:tc>
          <w:tcPr>
            <w:tcW w:w="1428" w:type="pct"/>
            <w:noWrap w:val="0"/>
            <w:vAlign w:val="center"/>
          </w:tcPr>
          <w:p w14:paraId="2CFEB69F">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井下总回风巷、各个生产中段和分段的回风巷应设置风速传感器。</w:t>
            </w:r>
          </w:p>
        </w:tc>
        <w:tc>
          <w:tcPr>
            <w:tcW w:w="1212" w:type="pct"/>
            <w:noWrap w:val="0"/>
            <w:vAlign w:val="center"/>
          </w:tcPr>
          <w:p w14:paraId="2CDB1106">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金属非金属地下矿山监测监控系统建设规范AQ2031-2011</w:t>
            </w:r>
          </w:p>
        </w:tc>
        <w:tc>
          <w:tcPr>
            <w:tcW w:w="1533" w:type="pct"/>
            <w:noWrap w:val="0"/>
            <w:vAlign w:val="center"/>
          </w:tcPr>
          <w:p w14:paraId="49ACF613">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《可研报告》设计按照规范要求设置风速传感器</w:t>
            </w:r>
          </w:p>
        </w:tc>
        <w:tc>
          <w:tcPr>
            <w:tcW w:w="417" w:type="pct"/>
            <w:noWrap w:val="0"/>
            <w:vAlign w:val="center"/>
          </w:tcPr>
          <w:p w14:paraId="17492A06">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0F85A90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10BBA5EE">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19</w:t>
            </w:r>
          </w:p>
        </w:tc>
        <w:tc>
          <w:tcPr>
            <w:tcW w:w="1428" w:type="pct"/>
            <w:noWrap w:val="0"/>
            <w:vAlign w:val="center"/>
          </w:tcPr>
          <w:p w14:paraId="7D36CF2E">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主要通风机应设置风压传感器，传感器的设置应符合AQ2013.3中主要通风机风压的测点布置要求。</w:t>
            </w:r>
          </w:p>
        </w:tc>
        <w:tc>
          <w:tcPr>
            <w:tcW w:w="1212" w:type="pct"/>
            <w:noWrap w:val="0"/>
            <w:vAlign w:val="center"/>
          </w:tcPr>
          <w:p w14:paraId="1C3744EE">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金属非金属地下矿山监测监控系统建设规范AQ2031-2011</w:t>
            </w:r>
          </w:p>
        </w:tc>
        <w:tc>
          <w:tcPr>
            <w:tcW w:w="1533" w:type="pct"/>
            <w:noWrap w:val="0"/>
            <w:vAlign w:val="center"/>
          </w:tcPr>
          <w:p w14:paraId="0B1F02B7">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《可研报告》设计风压传感器按照规范要求设置</w:t>
            </w:r>
          </w:p>
        </w:tc>
        <w:tc>
          <w:tcPr>
            <w:tcW w:w="417" w:type="pct"/>
            <w:noWrap w:val="0"/>
            <w:vAlign w:val="center"/>
          </w:tcPr>
          <w:p w14:paraId="4BC09F05">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4CC7D2E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6CF4EF03">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20</w:t>
            </w:r>
          </w:p>
        </w:tc>
        <w:tc>
          <w:tcPr>
            <w:tcW w:w="1428" w:type="pct"/>
            <w:noWrap w:val="0"/>
            <w:vAlign w:val="center"/>
          </w:tcPr>
          <w:p w14:paraId="61F08C4F">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主要通风机、辅助通风机、局部通风机应安装开停传感器</w:t>
            </w:r>
          </w:p>
        </w:tc>
        <w:tc>
          <w:tcPr>
            <w:tcW w:w="1212" w:type="pct"/>
            <w:noWrap w:val="0"/>
            <w:vAlign w:val="center"/>
          </w:tcPr>
          <w:p w14:paraId="52DBFECA">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金属非金属地下矿山监测监控系统建设规范AQ2031-2011</w:t>
            </w:r>
          </w:p>
        </w:tc>
        <w:tc>
          <w:tcPr>
            <w:tcW w:w="1533" w:type="pct"/>
            <w:noWrap w:val="0"/>
            <w:vAlign w:val="center"/>
          </w:tcPr>
          <w:p w14:paraId="2F1A048F">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《可研报告》设计停开传感器按照规范要求设置</w:t>
            </w:r>
          </w:p>
        </w:tc>
        <w:tc>
          <w:tcPr>
            <w:tcW w:w="417" w:type="pct"/>
            <w:noWrap w:val="0"/>
            <w:vAlign w:val="center"/>
          </w:tcPr>
          <w:p w14:paraId="426B7329">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7205650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28B00946">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21</w:t>
            </w:r>
          </w:p>
        </w:tc>
        <w:tc>
          <w:tcPr>
            <w:tcW w:w="1428" w:type="pct"/>
            <w:noWrap w:val="0"/>
            <w:vAlign w:val="center"/>
          </w:tcPr>
          <w:p w14:paraId="57CA69DC">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提升人员的井口信号房、提升机房，以及井口、马头门等人员进出场所，应设视频监控。</w:t>
            </w:r>
          </w:p>
        </w:tc>
        <w:tc>
          <w:tcPr>
            <w:tcW w:w="1212" w:type="pct"/>
            <w:noWrap w:val="0"/>
            <w:vAlign w:val="center"/>
          </w:tcPr>
          <w:p w14:paraId="6824BAF9">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金属非金属地下矿山监测监控系统建设规范AQ2031-2011</w:t>
            </w:r>
          </w:p>
        </w:tc>
        <w:tc>
          <w:tcPr>
            <w:tcW w:w="1533" w:type="pct"/>
            <w:noWrap w:val="0"/>
            <w:vAlign w:val="center"/>
          </w:tcPr>
          <w:p w14:paraId="5CC8FBBE">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《可研报告》设计各井口、石门、采场和水泵房场所设置视频监控</w:t>
            </w:r>
          </w:p>
        </w:tc>
        <w:tc>
          <w:tcPr>
            <w:tcW w:w="417" w:type="pct"/>
            <w:noWrap w:val="0"/>
            <w:vAlign w:val="center"/>
          </w:tcPr>
          <w:p w14:paraId="4AFE8C48">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703752E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5C9D7626">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22</w:t>
            </w:r>
          </w:p>
        </w:tc>
        <w:tc>
          <w:tcPr>
            <w:tcW w:w="1428" w:type="pct"/>
            <w:noWrap w:val="0"/>
            <w:vAlign w:val="center"/>
          </w:tcPr>
          <w:p w14:paraId="55882D5E">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井口提升机房应设有视频监控显示终端，用于显示井口信号房、井口、马头门（调车场）等场所的视频监控图像。</w:t>
            </w:r>
          </w:p>
        </w:tc>
        <w:tc>
          <w:tcPr>
            <w:tcW w:w="1212" w:type="pct"/>
            <w:noWrap w:val="0"/>
            <w:vAlign w:val="center"/>
          </w:tcPr>
          <w:p w14:paraId="4DFDD9E1">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金属非金属地下矿山监测监控系统建设规范AQ2031-2011</w:t>
            </w:r>
          </w:p>
        </w:tc>
        <w:tc>
          <w:tcPr>
            <w:tcW w:w="1533" w:type="pct"/>
            <w:noWrap w:val="0"/>
            <w:vAlign w:val="center"/>
          </w:tcPr>
          <w:p w14:paraId="2D7DFB45">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《可研报告》设计视频监控显示终端能够显示规范要求位置的图像</w:t>
            </w:r>
          </w:p>
        </w:tc>
        <w:tc>
          <w:tcPr>
            <w:tcW w:w="417" w:type="pct"/>
            <w:noWrap w:val="0"/>
            <w:vAlign w:val="center"/>
          </w:tcPr>
          <w:p w14:paraId="046D3DC3">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bl>
    <w:p w14:paraId="5051EEA7">
      <w:pPr>
        <w:pStyle w:val="21"/>
        <w:bidi w:val="0"/>
        <w:rPr>
          <w:rFonts w:hint="default"/>
          <w:lang w:val="en-US" w:eastAsia="zh-CN"/>
        </w:rPr>
      </w:pPr>
      <w:r>
        <w:rPr>
          <w:rFonts w:hint="default"/>
          <w:lang w:val="en-US" w:eastAsia="zh-CN"/>
        </w:rPr>
        <w:t>通过上述检查表分析可知，《可研报告》对安全避险“六大系统”相关内容进行了必要的设计，其设计内容符合《金属非金属地下矿山监测监控系统建设规范》等上表所列标准的要求。</w:t>
      </w:r>
    </w:p>
    <w:p w14:paraId="01126DD5">
      <w:pPr>
        <w:pStyle w:val="21"/>
        <w:bidi w:val="0"/>
        <w:rPr>
          <w:rFonts w:hint="default"/>
          <w:lang w:val="en-US" w:eastAsia="zh-CN"/>
        </w:rPr>
      </w:pPr>
      <w:r>
        <w:rPr>
          <w:rFonts w:hint="default"/>
          <w:lang w:val="en-US" w:eastAsia="zh-CN"/>
        </w:rPr>
        <w:t>因此，该项目安全避险“六大系统”单元符合安全要求。</w:t>
      </w:r>
    </w:p>
    <w:p w14:paraId="089C87EC">
      <w:pPr>
        <w:pStyle w:val="28"/>
        <w:bidi w:val="0"/>
        <w:rPr>
          <w:rFonts w:hint="default"/>
          <w:lang w:val="en-US" w:eastAsia="zh-CN"/>
        </w:rPr>
      </w:pPr>
      <w:bookmarkStart w:id="48" w:name="_Toc6525"/>
      <w:r>
        <w:rPr>
          <w:rFonts w:hint="eastAsia"/>
          <w:lang w:val="en-US" w:eastAsia="zh-CN"/>
        </w:rPr>
        <w:t>安全管理子单元</w:t>
      </w:r>
      <w:bookmarkEnd w:id="48"/>
    </w:p>
    <w:p w14:paraId="58FC71D8">
      <w:pPr>
        <w:pStyle w:val="21"/>
        <w:bidi w:val="0"/>
        <w:rPr>
          <w:rFonts w:hint="default"/>
          <w:lang w:val="en-US" w:eastAsia="zh-CN"/>
        </w:rPr>
      </w:pPr>
      <w:r>
        <w:rPr>
          <w:rFonts w:hint="default"/>
          <w:lang w:val="en-US" w:eastAsia="zh-CN"/>
        </w:rPr>
        <w:t>本《预评价》采用安全检查表法对安全管理子单元进行定性定量评价。</w:t>
      </w:r>
    </w:p>
    <w:p w14:paraId="6D6BE6B2">
      <w:pPr>
        <w:pStyle w:val="30"/>
        <w:bidi w:val="0"/>
        <w:rPr>
          <w:rFonts w:hint="eastAsia"/>
        </w:rPr>
      </w:pPr>
      <w:r>
        <w:rPr>
          <w:rFonts w:hint="eastAsia"/>
        </w:rPr>
        <w:t>表3.1</w:t>
      </w:r>
      <w:r>
        <w:rPr>
          <w:rFonts w:hint="eastAsia"/>
          <w:lang w:val="en-US" w:eastAsia="zh-CN"/>
        </w:rPr>
        <w:t>0</w:t>
      </w:r>
      <w:r>
        <w:rPr>
          <w:rFonts w:hint="eastAsia"/>
        </w:rPr>
        <w:t xml:space="preserve">-1  </w:t>
      </w:r>
      <w:r>
        <w:rPr>
          <w:rFonts w:hint="eastAsia"/>
          <w:lang w:val="en-US" w:eastAsia="zh-CN"/>
        </w:rPr>
        <w:t>安全管理子</w:t>
      </w:r>
      <w:r>
        <w:rPr>
          <w:rFonts w:hint="eastAsia"/>
        </w:rPr>
        <w:t>单元安全检查表</w:t>
      </w:r>
    </w:p>
    <w:tbl>
      <w:tblPr>
        <w:tblStyle w:val="24"/>
        <w:tblW w:w="8804"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2410"/>
        <w:gridCol w:w="1417"/>
        <w:gridCol w:w="1276"/>
        <w:gridCol w:w="2552"/>
        <w:gridCol w:w="1149"/>
      </w:tblGrid>
      <w:tr w14:paraId="7ED0DD3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81" w:hRule="atLeast"/>
          <w:tblHeader/>
          <w:jc w:val="center"/>
        </w:trPr>
        <w:tc>
          <w:tcPr>
            <w:tcW w:w="2410" w:type="dxa"/>
            <w:tcBorders>
              <w:tl2br w:val="nil"/>
              <w:tr2bl w:val="nil"/>
            </w:tcBorders>
            <w:noWrap w:val="0"/>
            <w:vAlign w:val="center"/>
          </w:tcPr>
          <w:p w14:paraId="6A415502">
            <w:pPr>
              <w:pStyle w:val="31"/>
              <w:bidi w:val="0"/>
              <w:rPr>
                <w:rFonts w:hint="eastAsia"/>
                <w:sz w:val="21"/>
                <w:szCs w:val="21"/>
              </w:rPr>
            </w:pPr>
            <w:r>
              <w:rPr>
                <w:rFonts w:hint="eastAsia"/>
                <w:sz w:val="21"/>
                <w:szCs w:val="21"/>
              </w:rPr>
              <w:t>检查内容</w:t>
            </w:r>
          </w:p>
        </w:tc>
        <w:tc>
          <w:tcPr>
            <w:tcW w:w="1417" w:type="dxa"/>
            <w:tcBorders>
              <w:tl2br w:val="nil"/>
              <w:tr2bl w:val="nil"/>
            </w:tcBorders>
            <w:noWrap w:val="0"/>
            <w:vAlign w:val="center"/>
          </w:tcPr>
          <w:p w14:paraId="0598AD6E">
            <w:pPr>
              <w:pStyle w:val="31"/>
              <w:bidi w:val="0"/>
              <w:rPr>
                <w:rFonts w:hint="eastAsia"/>
                <w:sz w:val="21"/>
                <w:szCs w:val="21"/>
              </w:rPr>
            </w:pPr>
            <w:r>
              <w:rPr>
                <w:rFonts w:hint="eastAsia"/>
                <w:sz w:val="21"/>
                <w:szCs w:val="21"/>
              </w:rPr>
              <w:t>检查依据</w:t>
            </w:r>
          </w:p>
        </w:tc>
        <w:tc>
          <w:tcPr>
            <w:tcW w:w="1276" w:type="dxa"/>
            <w:tcBorders>
              <w:tl2br w:val="nil"/>
              <w:tr2bl w:val="nil"/>
            </w:tcBorders>
            <w:noWrap w:val="0"/>
            <w:vAlign w:val="center"/>
          </w:tcPr>
          <w:p w14:paraId="2F8E993F">
            <w:pPr>
              <w:pStyle w:val="31"/>
              <w:bidi w:val="0"/>
              <w:rPr>
                <w:rFonts w:hint="eastAsia"/>
                <w:sz w:val="21"/>
                <w:szCs w:val="21"/>
              </w:rPr>
            </w:pPr>
            <w:r>
              <w:rPr>
                <w:rFonts w:hint="eastAsia"/>
                <w:sz w:val="21"/>
                <w:szCs w:val="21"/>
              </w:rPr>
              <w:t>检查方法</w:t>
            </w:r>
          </w:p>
        </w:tc>
        <w:tc>
          <w:tcPr>
            <w:tcW w:w="2552" w:type="dxa"/>
            <w:tcBorders>
              <w:tl2br w:val="nil"/>
              <w:tr2bl w:val="nil"/>
            </w:tcBorders>
            <w:noWrap w:val="0"/>
            <w:vAlign w:val="center"/>
          </w:tcPr>
          <w:p w14:paraId="05F7A8F8">
            <w:pPr>
              <w:pStyle w:val="31"/>
              <w:bidi w:val="0"/>
              <w:rPr>
                <w:rFonts w:hint="eastAsia"/>
                <w:sz w:val="21"/>
                <w:szCs w:val="21"/>
              </w:rPr>
            </w:pPr>
            <w:r>
              <w:rPr>
                <w:rFonts w:hint="eastAsia"/>
                <w:sz w:val="21"/>
                <w:szCs w:val="21"/>
              </w:rPr>
              <w:t>事实记录</w:t>
            </w:r>
          </w:p>
        </w:tc>
        <w:tc>
          <w:tcPr>
            <w:tcW w:w="1149" w:type="dxa"/>
            <w:tcBorders>
              <w:tl2br w:val="nil"/>
              <w:tr2bl w:val="nil"/>
            </w:tcBorders>
            <w:noWrap w:val="0"/>
            <w:vAlign w:val="center"/>
          </w:tcPr>
          <w:p w14:paraId="52685361">
            <w:pPr>
              <w:pStyle w:val="31"/>
              <w:bidi w:val="0"/>
              <w:rPr>
                <w:rFonts w:hint="eastAsia"/>
                <w:sz w:val="21"/>
                <w:szCs w:val="21"/>
              </w:rPr>
            </w:pPr>
            <w:r>
              <w:rPr>
                <w:rFonts w:hint="eastAsia"/>
                <w:sz w:val="21"/>
                <w:szCs w:val="21"/>
              </w:rPr>
              <w:t>检查结果</w:t>
            </w:r>
          </w:p>
        </w:tc>
      </w:tr>
      <w:tr w14:paraId="310A42A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701" w:hRule="atLeast"/>
          <w:jc w:val="center"/>
        </w:trPr>
        <w:tc>
          <w:tcPr>
            <w:tcW w:w="2410" w:type="dxa"/>
            <w:tcBorders>
              <w:tl2br w:val="nil"/>
              <w:tr2bl w:val="nil"/>
            </w:tcBorders>
            <w:noWrap w:val="0"/>
            <w:vAlign w:val="center"/>
          </w:tcPr>
          <w:p w14:paraId="1FB4D550">
            <w:pPr>
              <w:pStyle w:val="31"/>
              <w:bidi w:val="0"/>
              <w:rPr>
                <w:rFonts w:hint="eastAsia"/>
                <w:sz w:val="21"/>
                <w:szCs w:val="21"/>
              </w:rPr>
            </w:pPr>
            <w:r>
              <w:rPr>
                <w:rFonts w:hint="eastAsia"/>
                <w:sz w:val="21"/>
                <w:szCs w:val="21"/>
              </w:rPr>
              <w:t>1.主要负责人持有安全管理资质证及有效性。</w:t>
            </w:r>
          </w:p>
        </w:tc>
        <w:tc>
          <w:tcPr>
            <w:tcW w:w="1417" w:type="dxa"/>
            <w:tcBorders>
              <w:tl2br w:val="nil"/>
              <w:tr2bl w:val="nil"/>
            </w:tcBorders>
            <w:noWrap w:val="0"/>
            <w:vAlign w:val="center"/>
          </w:tcPr>
          <w:p w14:paraId="7244F31B">
            <w:pPr>
              <w:pStyle w:val="31"/>
              <w:bidi w:val="0"/>
              <w:rPr>
                <w:rFonts w:hint="eastAsia"/>
                <w:sz w:val="21"/>
                <w:szCs w:val="21"/>
              </w:rPr>
            </w:pPr>
            <w:r>
              <w:rPr>
                <w:rFonts w:hint="eastAsia"/>
                <w:sz w:val="21"/>
                <w:szCs w:val="21"/>
              </w:rPr>
              <w:t>《矿山安全法》第26条、《许可证实施办法》、《GB16423-2020》之4.2</w:t>
            </w:r>
          </w:p>
        </w:tc>
        <w:tc>
          <w:tcPr>
            <w:tcW w:w="1276" w:type="dxa"/>
            <w:tcBorders>
              <w:tl2br w:val="nil"/>
              <w:tr2bl w:val="nil"/>
            </w:tcBorders>
            <w:noWrap w:val="0"/>
            <w:vAlign w:val="center"/>
          </w:tcPr>
          <w:p w14:paraId="6C03BC37">
            <w:pPr>
              <w:pStyle w:val="31"/>
              <w:bidi w:val="0"/>
              <w:rPr>
                <w:rFonts w:hint="eastAsia"/>
                <w:sz w:val="21"/>
                <w:szCs w:val="21"/>
              </w:rPr>
            </w:pPr>
            <w:r>
              <w:rPr>
                <w:rFonts w:hint="eastAsia"/>
                <w:sz w:val="21"/>
                <w:szCs w:val="21"/>
              </w:rPr>
              <w:t>检查、查阅</w:t>
            </w:r>
          </w:p>
        </w:tc>
        <w:tc>
          <w:tcPr>
            <w:tcW w:w="2552" w:type="dxa"/>
            <w:tcBorders>
              <w:tl2br w:val="nil"/>
              <w:tr2bl w:val="nil"/>
            </w:tcBorders>
            <w:noWrap w:val="0"/>
            <w:vAlign w:val="center"/>
          </w:tcPr>
          <w:p w14:paraId="57A6914E">
            <w:pPr>
              <w:pStyle w:val="31"/>
              <w:bidi w:val="0"/>
              <w:rPr>
                <w:rFonts w:hint="eastAsia"/>
                <w:sz w:val="21"/>
                <w:szCs w:val="21"/>
              </w:rPr>
            </w:pPr>
            <w:r>
              <w:rPr>
                <w:rFonts w:hint="eastAsia"/>
                <w:sz w:val="21"/>
                <w:szCs w:val="21"/>
              </w:rPr>
              <w:t>主要负责人具有主要负责人资格证书。</w:t>
            </w:r>
          </w:p>
        </w:tc>
        <w:tc>
          <w:tcPr>
            <w:tcW w:w="1149" w:type="dxa"/>
            <w:tcBorders>
              <w:tl2br w:val="nil"/>
              <w:tr2bl w:val="nil"/>
            </w:tcBorders>
            <w:noWrap w:val="0"/>
            <w:vAlign w:val="center"/>
          </w:tcPr>
          <w:p w14:paraId="22B43E23">
            <w:pPr>
              <w:pStyle w:val="31"/>
              <w:bidi w:val="0"/>
              <w:rPr>
                <w:rFonts w:hint="eastAsia"/>
                <w:sz w:val="21"/>
                <w:szCs w:val="21"/>
              </w:rPr>
            </w:pPr>
            <w:r>
              <w:rPr>
                <w:rFonts w:hint="eastAsia"/>
                <w:sz w:val="21"/>
                <w:szCs w:val="21"/>
              </w:rPr>
              <w:t>符合要求</w:t>
            </w:r>
          </w:p>
        </w:tc>
      </w:tr>
      <w:tr w14:paraId="7D9DBEB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56" w:hRule="atLeast"/>
          <w:jc w:val="center"/>
        </w:trPr>
        <w:tc>
          <w:tcPr>
            <w:tcW w:w="2410" w:type="dxa"/>
            <w:tcBorders>
              <w:tl2br w:val="nil"/>
              <w:tr2bl w:val="nil"/>
            </w:tcBorders>
            <w:noWrap w:val="0"/>
            <w:vAlign w:val="center"/>
          </w:tcPr>
          <w:p w14:paraId="05FDACE1">
            <w:pPr>
              <w:pStyle w:val="31"/>
              <w:bidi w:val="0"/>
              <w:rPr>
                <w:rFonts w:hint="eastAsia"/>
                <w:sz w:val="21"/>
                <w:szCs w:val="21"/>
              </w:rPr>
            </w:pPr>
            <w:r>
              <w:rPr>
                <w:rFonts w:hint="eastAsia"/>
                <w:sz w:val="21"/>
                <w:szCs w:val="21"/>
              </w:rPr>
              <w:t>2.企业应成立安全生产组织机构，配备专职的安全生产管理人员。</w:t>
            </w:r>
          </w:p>
        </w:tc>
        <w:tc>
          <w:tcPr>
            <w:tcW w:w="1417" w:type="dxa"/>
            <w:tcBorders>
              <w:tl2br w:val="nil"/>
              <w:tr2bl w:val="nil"/>
            </w:tcBorders>
            <w:noWrap w:val="0"/>
            <w:vAlign w:val="center"/>
          </w:tcPr>
          <w:p w14:paraId="1C8E2FEE">
            <w:pPr>
              <w:pStyle w:val="31"/>
              <w:bidi w:val="0"/>
              <w:rPr>
                <w:rFonts w:hint="eastAsia"/>
                <w:sz w:val="21"/>
                <w:szCs w:val="21"/>
              </w:rPr>
            </w:pPr>
            <w:r>
              <w:rPr>
                <w:rFonts w:hint="eastAsia"/>
                <w:sz w:val="21"/>
                <w:szCs w:val="21"/>
              </w:rPr>
              <w:t>《安全生产法》第19条、《许可证实施办法》</w:t>
            </w:r>
          </w:p>
        </w:tc>
        <w:tc>
          <w:tcPr>
            <w:tcW w:w="1276" w:type="dxa"/>
            <w:tcBorders>
              <w:tl2br w:val="nil"/>
              <w:tr2bl w:val="nil"/>
            </w:tcBorders>
            <w:noWrap w:val="0"/>
            <w:vAlign w:val="center"/>
          </w:tcPr>
          <w:p w14:paraId="61B7E558">
            <w:pPr>
              <w:pStyle w:val="31"/>
              <w:bidi w:val="0"/>
              <w:rPr>
                <w:rFonts w:hint="eastAsia"/>
                <w:sz w:val="21"/>
                <w:szCs w:val="21"/>
              </w:rPr>
            </w:pPr>
            <w:r>
              <w:rPr>
                <w:rFonts w:hint="eastAsia"/>
                <w:sz w:val="21"/>
                <w:szCs w:val="21"/>
              </w:rPr>
              <w:t>查阅</w:t>
            </w:r>
          </w:p>
        </w:tc>
        <w:tc>
          <w:tcPr>
            <w:tcW w:w="2552" w:type="dxa"/>
            <w:tcBorders>
              <w:tl2br w:val="nil"/>
              <w:tr2bl w:val="nil"/>
            </w:tcBorders>
            <w:noWrap w:val="0"/>
            <w:vAlign w:val="center"/>
          </w:tcPr>
          <w:p w14:paraId="660B22B4">
            <w:pPr>
              <w:pStyle w:val="31"/>
              <w:bidi w:val="0"/>
              <w:rPr>
                <w:rFonts w:hint="eastAsia"/>
                <w:sz w:val="21"/>
                <w:szCs w:val="21"/>
              </w:rPr>
            </w:pPr>
            <w:r>
              <w:rPr>
                <w:rFonts w:hint="eastAsia"/>
                <w:sz w:val="21"/>
                <w:szCs w:val="21"/>
              </w:rPr>
              <w:t>矿山总部成立了</w:t>
            </w:r>
            <w:r>
              <w:rPr>
                <w:rFonts w:hint="eastAsia"/>
                <w:sz w:val="21"/>
                <w:szCs w:val="21"/>
                <w:lang w:val="en-US" w:eastAsia="zh-CN"/>
              </w:rPr>
              <w:t>安全科</w:t>
            </w:r>
            <w:r>
              <w:rPr>
                <w:rFonts w:hint="eastAsia"/>
                <w:sz w:val="21"/>
                <w:szCs w:val="21"/>
              </w:rPr>
              <w:t>，配备了专职的安全生产管理人员，安全管理人员经过培训，并有资格证书，证书位于有效期内。</w:t>
            </w:r>
          </w:p>
        </w:tc>
        <w:tc>
          <w:tcPr>
            <w:tcW w:w="1149" w:type="dxa"/>
            <w:tcBorders>
              <w:tl2br w:val="nil"/>
              <w:tr2bl w:val="nil"/>
            </w:tcBorders>
            <w:noWrap w:val="0"/>
            <w:vAlign w:val="center"/>
          </w:tcPr>
          <w:p w14:paraId="1FD2DCB2">
            <w:pPr>
              <w:pStyle w:val="31"/>
              <w:bidi w:val="0"/>
              <w:rPr>
                <w:rFonts w:hint="eastAsia"/>
                <w:sz w:val="21"/>
                <w:szCs w:val="21"/>
              </w:rPr>
            </w:pPr>
            <w:r>
              <w:rPr>
                <w:rFonts w:hint="eastAsia"/>
                <w:sz w:val="21"/>
                <w:szCs w:val="21"/>
              </w:rPr>
              <w:t>符合要求</w:t>
            </w:r>
          </w:p>
        </w:tc>
      </w:tr>
      <w:tr w14:paraId="7615C3C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81" w:hRule="atLeast"/>
          <w:jc w:val="center"/>
        </w:trPr>
        <w:tc>
          <w:tcPr>
            <w:tcW w:w="2410" w:type="dxa"/>
            <w:tcBorders>
              <w:tl2br w:val="nil"/>
              <w:tr2bl w:val="nil"/>
            </w:tcBorders>
            <w:noWrap w:val="0"/>
            <w:vAlign w:val="center"/>
          </w:tcPr>
          <w:p w14:paraId="0D989560">
            <w:pPr>
              <w:pStyle w:val="31"/>
              <w:bidi w:val="0"/>
              <w:rPr>
                <w:rFonts w:hint="eastAsia"/>
                <w:sz w:val="21"/>
                <w:szCs w:val="21"/>
              </w:rPr>
            </w:pPr>
            <w:r>
              <w:rPr>
                <w:rFonts w:hint="eastAsia"/>
                <w:sz w:val="21"/>
                <w:szCs w:val="21"/>
              </w:rPr>
              <w:t>3.特种作业人员参加岗位专业技能培训以及取得特种作业人员岗位操作证书及有效情况。</w:t>
            </w:r>
          </w:p>
        </w:tc>
        <w:tc>
          <w:tcPr>
            <w:tcW w:w="1417" w:type="dxa"/>
            <w:tcBorders>
              <w:tl2br w:val="nil"/>
              <w:tr2bl w:val="nil"/>
            </w:tcBorders>
            <w:noWrap w:val="0"/>
            <w:vAlign w:val="center"/>
          </w:tcPr>
          <w:p w14:paraId="30CBACAE">
            <w:pPr>
              <w:pStyle w:val="31"/>
              <w:bidi w:val="0"/>
              <w:rPr>
                <w:rFonts w:hint="eastAsia"/>
                <w:sz w:val="21"/>
                <w:szCs w:val="21"/>
              </w:rPr>
            </w:pPr>
            <w:r>
              <w:rPr>
                <w:rFonts w:hint="eastAsia"/>
                <w:sz w:val="21"/>
                <w:szCs w:val="21"/>
              </w:rPr>
              <w:t>《许可证实施办法》</w:t>
            </w:r>
          </w:p>
        </w:tc>
        <w:tc>
          <w:tcPr>
            <w:tcW w:w="1276" w:type="dxa"/>
            <w:tcBorders>
              <w:tl2br w:val="nil"/>
              <w:tr2bl w:val="nil"/>
            </w:tcBorders>
            <w:noWrap w:val="0"/>
            <w:vAlign w:val="center"/>
          </w:tcPr>
          <w:p w14:paraId="0A14F81D">
            <w:pPr>
              <w:pStyle w:val="31"/>
              <w:bidi w:val="0"/>
              <w:rPr>
                <w:rFonts w:hint="eastAsia"/>
                <w:sz w:val="21"/>
                <w:szCs w:val="21"/>
              </w:rPr>
            </w:pPr>
            <w:r>
              <w:rPr>
                <w:rFonts w:hint="eastAsia"/>
                <w:sz w:val="21"/>
                <w:szCs w:val="21"/>
              </w:rPr>
              <w:t>查阅</w:t>
            </w:r>
          </w:p>
        </w:tc>
        <w:tc>
          <w:tcPr>
            <w:tcW w:w="2552" w:type="dxa"/>
            <w:tcBorders>
              <w:tl2br w:val="nil"/>
              <w:tr2bl w:val="nil"/>
            </w:tcBorders>
            <w:noWrap w:val="0"/>
            <w:vAlign w:val="center"/>
          </w:tcPr>
          <w:p w14:paraId="78CCEED9">
            <w:pPr>
              <w:pStyle w:val="31"/>
              <w:bidi w:val="0"/>
              <w:rPr>
                <w:rFonts w:hint="eastAsia"/>
                <w:sz w:val="21"/>
                <w:szCs w:val="21"/>
              </w:rPr>
            </w:pPr>
            <w:r>
              <w:rPr>
                <w:rFonts w:hint="eastAsia"/>
                <w:sz w:val="21"/>
                <w:szCs w:val="21"/>
              </w:rPr>
              <w:t>矿山有电工、</w:t>
            </w:r>
            <w:r>
              <w:rPr>
                <w:rFonts w:hint="eastAsia"/>
                <w:sz w:val="21"/>
                <w:szCs w:val="21"/>
                <w:lang w:val="en-US" w:eastAsia="zh-CN"/>
              </w:rPr>
              <w:t>支柱工等</w:t>
            </w:r>
            <w:r>
              <w:rPr>
                <w:rFonts w:hint="eastAsia"/>
                <w:sz w:val="21"/>
                <w:szCs w:val="21"/>
              </w:rPr>
              <w:t>特种作业人员等资格证书，且有效。</w:t>
            </w:r>
          </w:p>
        </w:tc>
        <w:tc>
          <w:tcPr>
            <w:tcW w:w="1149" w:type="dxa"/>
            <w:tcBorders>
              <w:tl2br w:val="nil"/>
              <w:tr2bl w:val="nil"/>
            </w:tcBorders>
            <w:noWrap w:val="0"/>
            <w:vAlign w:val="center"/>
          </w:tcPr>
          <w:p w14:paraId="2510BCF5">
            <w:pPr>
              <w:pStyle w:val="31"/>
              <w:bidi w:val="0"/>
              <w:rPr>
                <w:rFonts w:hint="eastAsia"/>
                <w:sz w:val="21"/>
                <w:szCs w:val="21"/>
              </w:rPr>
            </w:pPr>
            <w:r>
              <w:rPr>
                <w:rFonts w:hint="eastAsia"/>
                <w:sz w:val="21"/>
                <w:szCs w:val="21"/>
              </w:rPr>
              <w:t>符合要求</w:t>
            </w:r>
          </w:p>
        </w:tc>
      </w:tr>
      <w:tr w14:paraId="218233F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346" w:hRule="atLeast"/>
          <w:jc w:val="center"/>
        </w:trPr>
        <w:tc>
          <w:tcPr>
            <w:tcW w:w="2410" w:type="dxa"/>
            <w:tcBorders>
              <w:tl2br w:val="nil"/>
              <w:tr2bl w:val="nil"/>
            </w:tcBorders>
            <w:noWrap w:val="0"/>
            <w:vAlign w:val="center"/>
          </w:tcPr>
          <w:p w14:paraId="13536509">
            <w:pPr>
              <w:pStyle w:val="31"/>
              <w:bidi w:val="0"/>
              <w:rPr>
                <w:rFonts w:hint="eastAsia"/>
                <w:sz w:val="21"/>
                <w:szCs w:val="21"/>
              </w:rPr>
            </w:pPr>
            <w:r>
              <w:rPr>
                <w:rFonts w:hint="eastAsia"/>
                <w:sz w:val="21"/>
                <w:szCs w:val="21"/>
              </w:rPr>
              <w:t>4.建立、健全主要负责人、分管负责人、安全生产管理人员、职能部门、岗位安全生产责任制。</w:t>
            </w:r>
          </w:p>
        </w:tc>
        <w:tc>
          <w:tcPr>
            <w:tcW w:w="1417" w:type="dxa"/>
            <w:tcBorders>
              <w:tl2br w:val="nil"/>
              <w:tr2bl w:val="nil"/>
            </w:tcBorders>
            <w:noWrap w:val="0"/>
            <w:vAlign w:val="center"/>
          </w:tcPr>
          <w:p w14:paraId="6AF5FA43">
            <w:pPr>
              <w:pStyle w:val="31"/>
              <w:bidi w:val="0"/>
              <w:rPr>
                <w:rFonts w:hint="eastAsia"/>
                <w:sz w:val="21"/>
                <w:szCs w:val="21"/>
              </w:rPr>
            </w:pPr>
            <w:r>
              <w:rPr>
                <w:rFonts w:hint="eastAsia"/>
                <w:sz w:val="21"/>
                <w:szCs w:val="21"/>
              </w:rPr>
              <w:t>《GB16423-2020》、《许可证实施办法》</w:t>
            </w:r>
          </w:p>
        </w:tc>
        <w:tc>
          <w:tcPr>
            <w:tcW w:w="1276" w:type="dxa"/>
            <w:tcBorders>
              <w:tl2br w:val="nil"/>
              <w:tr2bl w:val="nil"/>
            </w:tcBorders>
            <w:noWrap w:val="0"/>
            <w:vAlign w:val="center"/>
          </w:tcPr>
          <w:p w14:paraId="20D7FFF6">
            <w:pPr>
              <w:pStyle w:val="31"/>
              <w:bidi w:val="0"/>
              <w:rPr>
                <w:rFonts w:hint="eastAsia"/>
                <w:sz w:val="21"/>
                <w:szCs w:val="21"/>
              </w:rPr>
            </w:pPr>
            <w:r>
              <w:rPr>
                <w:rFonts w:hint="eastAsia"/>
                <w:sz w:val="21"/>
                <w:szCs w:val="21"/>
              </w:rPr>
              <w:t>查阅</w:t>
            </w:r>
          </w:p>
        </w:tc>
        <w:tc>
          <w:tcPr>
            <w:tcW w:w="2552" w:type="dxa"/>
            <w:tcBorders>
              <w:tl2br w:val="nil"/>
              <w:tr2bl w:val="nil"/>
            </w:tcBorders>
            <w:noWrap w:val="0"/>
            <w:vAlign w:val="center"/>
          </w:tcPr>
          <w:p w14:paraId="43085463">
            <w:pPr>
              <w:pStyle w:val="31"/>
              <w:bidi w:val="0"/>
              <w:rPr>
                <w:rFonts w:hint="eastAsia"/>
                <w:sz w:val="21"/>
                <w:szCs w:val="21"/>
              </w:rPr>
            </w:pPr>
            <w:r>
              <w:rPr>
                <w:rFonts w:hint="eastAsia"/>
                <w:sz w:val="21"/>
                <w:szCs w:val="21"/>
              </w:rPr>
              <w:t>建立并健全了全员责任制，其中包含主要负责人、安全生产管理人员、各职能部门、各岗位安全生产责任制。</w:t>
            </w:r>
          </w:p>
        </w:tc>
        <w:tc>
          <w:tcPr>
            <w:tcW w:w="1149" w:type="dxa"/>
            <w:tcBorders>
              <w:tl2br w:val="nil"/>
              <w:tr2bl w:val="nil"/>
            </w:tcBorders>
            <w:noWrap w:val="0"/>
            <w:vAlign w:val="center"/>
          </w:tcPr>
          <w:p w14:paraId="0E6E7586">
            <w:pPr>
              <w:pStyle w:val="31"/>
              <w:bidi w:val="0"/>
              <w:rPr>
                <w:rFonts w:hint="eastAsia"/>
                <w:sz w:val="21"/>
                <w:szCs w:val="21"/>
              </w:rPr>
            </w:pPr>
            <w:r>
              <w:rPr>
                <w:rFonts w:hint="eastAsia"/>
                <w:sz w:val="21"/>
                <w:szCs w:val="21"/>
              </w:rPr>
              <w:t>符合要求</w:t>
            </w:r>
          </w:p>
        </w:tc>
      </w:tr>
      <w:tr w14:paraId="55D8BB5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701" w:hRule="atLeast"/>
          <w:jc w:val="center"/>
        </w:trPr>
        <w:tc>
          <w:tcPr>
            <w:tcW w:w="2410" w:type="dxa"/>
            <w:tcBorders>
              <w:tl2br w:val="nil"/>
              <w:tr2bl w:val="nil"/>
            </w:tcBorders>
            <w:noWrap w:val="0"/>
            <w:vAlign w:val="center"/>
          </w:tcPr>
          <w:p w14:paraId="69A9F93B">
            <w:pPr>
              <w:pStyle w:val="31"/>
              <w:bidi w:val="0"/>
              <w:rPr>
                <w:rFonts w:hint="eastAsia"/>
                <w:sz w:val="21"/>
                <w:szCs w:val="21"/>
              </w:rPr>
            </w:pPr>
            <w:r>
              <w:rPr>
                <w:rFonts w:hint="eastAsia"/>
                <w:sz w:val="21"/>
                <w:szCs w:val="21"/>
              </w:rPr>
              <w:t>5.制定安全检查制度、职业危害预防制度、安全教育培训制度、生产安全事故管理制度、重大危险源监控和重大隐患整改制度、设备安全管理制度、安全生产档案管理制度、安全生产奖惩制度等规章制度。</w:t>
            </w:r>
          </w:p>
        </w:tc>
        <w:tc>
          <w:tcPr>
            <w:tcW w:w="1417" w:type="dxa"/>
            <w:tcBorders>
              <w:tl2br w:val="nil"/>
              <w:tr2bl w:val="nil"/>
            </w:tcBorders>
            <w:noWrap w:val="0"/>
            <w:vAlign w:val="center"/>
          </w:tcPr>
          <w:p w14:paraId="34AAA227">
            <w:pPr>
              <w:pStyle w:val="31"/>
              <w:bidi w:val="0"/>
              <w:rPr>
                <w:rFonts w:hint="eastAsia"/>
                <w:sz w:val="21"/>
                <w:szCs w:val="21"/>
              </w:rPr>
            </w:pPr>
            <w:r>
              <w:rPr>
                <w:rFonts w:hint="eastAsia"/>
                <w:sz w:val="21"/>
                <w:szCs w:val="21"/>
              </w:rPr>
              <w:t>《矿山安全生产法实施条例》</w:t>
            </w:r>
          </w:p>
          <w:p w14:paraId="54547729">
            <w:pPr>
              <w:pStyle w:val="31"/>
              <w:bidi w:val="0"/>
              <w:rPr>
                <w:rFonts w:hint="eastAsia"/>
                <w:sz w:val="21"/>
                <w:szCs w:val="21"/>
              </w:rPr>
            </w:pPr>
            <w:r>
              <w:rPr>
                <w:rFonts w:hint="eastAsia"/>
                <w:sz w:val="21"/>
                <w:szCs w:val="21"/>
              </w:rPr>
              <w:t>《GB16423-2020》、《许可证实施办法》第二章第五条第一款</w:t>
            </w:r>
          </w:p>
        </w:tc>
        <w:tc>
          <w:tcPr>
            <w:tcW w:w="1276" w:type="dxa"/>
            <w:tcBorders>
              <w:tl2br w:val="nil"/>
              <w:tr2bl w:val="nil"/>
            </w:tcBorders>
            <w:noWrap w:val="0"/>
            <w:vAlign w:val="center"/>
          </w:tcPr>
          <w:p w14:paraId="6C3157E6">
            <w:pPr>
              <w:pStyle w:val="31"/>
              <w:bidi w:val="0"/>
              <w:ind w:left="0" w:leftChars="0" w:right="0" w:rightChars="0" w:firstLine="0" w:firstLineChars="0"/>
              <w:jc w:val="center"/>
              <w:rPr>
                <w:rFonts w:hint="eastAsia"/>
                <w:sz w:val="21"/>
                <w:szCs w:val="21"/>
              </w:rPr>
            </w:pPr>
            <w:r>
              <w:rPr>
                <w:rFonts w:hint="eastAsia"/>
                <w:sz w:val="21"/>
                <w:szCs w:val="21"/>
              </w:rPr>
              <w:t>查阅制度</w:t>
            </w:r>
          </w:p>
        </w:tc>
        <w:tc>
          <w:tcPr>
            <w:tcW w:w="2552" w:type="dxa"/>
            <w:tcBorders>
              <w:tl2br w:val="nil"/>
              <w:tr2bl w:val="nil"/>
            </w:tcBorders>
            <w:noWrap w:val="0"/>
            <w:vAlign w:val="center"/>
          </w:tcPr>
          <w:p w14:paraId="1200BD36">
            <w:pPr>
              <w:pStyle w:val="31"/>
              <w:bidi w:val="0"/>
              <w:rPr>
                <w:rFonts w:hint="eastAsia"/>
                <w:sz w:val="21"/>
                <w:szCs w:val="21"/>
              </w:rPr>
            </w:pPr>
            <w:r>
              <w:rPr>
                <w:rFonts w:hint="eastAsia"/>
                <w:sz w:val="21"/>
                <w:szCs w:val="21"/>
              </w:rPr>
              <w:t>制定了安全检查制度、井下动火作业制度、带班下井制度、隐患整改制度、职业危害预防制度、安全教育培训制度、生产安全事故管理制度、设备安全管理制度、安全生产档案管理制度、安全生产奖惩制度等规章制度。</w:t>
            </w:r>
          </w:p>
        </w:tc>
        <w:tc>
          <w:tcPr>
            <w:tcW w:w="1149" w:type="dxa"/>
            <w:tcBorders>
              <w:tl2br w:val="nil"/>
              <w:tr2bl w:val="nil"/>
            </w:tcBorders>
            <w:noWrap w:val="0"/>
            <w:vAlign w:val="center"/>
          </w:tcPr>
          <w:p w14:paraId="26A4B8E2">
            <w:pPr>
              <w:pStyle w:val="31"/>
              <w:bidi w:val="0"/>
              <w:rPr>
                <w:rFonts w:hint="eastAsia"/>
                <w:sz w:val="21"/>
                <w:szCs w:val="21"/>
              </w:rPr>
            </w:pPr>
            <w:r>
              <w:rPr>
                <w:rFonts w:hint="eastAsia"/>
                <w:sz w:val="21"/>
                <w:szCs w:val="21"/>
              </w:rPr>
              <w:t>符合要求</w:t>
            </w:r>
          </w:p>
        </w:tc>
      </w:tr>
      <w:tr w14:paraId="2414F11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71" w:hRule="atLeast"/>
          <w:jc w:val="center"/>
        </w:trPr>
        <w:tc>
          <w:tcPr>
            <w:tcW w:w="2410" w:type="dxa"/>
            <w:tcBorders>
              <w:tl2br w:val="nil"/>
              <w:tr2bl w:val="nil"/>
            </w:tcBorders>
            <w:noWrap w:val="0"/>
            <w:vAlign w:val="center"/>
          </w:tcPr>
          <w:p w14:paraId="3A4CD2CB">
            <w:pPr>
              <w:pStyle w:val="31"/>
              <w:bidi w:val="0"/>
              <w:rPr>
                <w:rFonts w:hint="eastAsia"/>
                <w:sz w:val="21"/>
                <w:szCs w:val="21"/>
              </w:rPr>
            </w:pPr>
            <w:r>
              <w:rPr>
                <w:rFonts w:hint="eastAsia"/>
                <w:sz w:val="21"/>
                <w:szCs w:val="21"/>
              </w:rPr>
              <w:t>6.制定作业安全规程和各工种操作规程。</w:t>
            </w:r>
          </w:p>
        </w:tc>
        <w:tc>
          <w:tcPr>
            <w:tcW w:w="1417" w:type="dxa"/>
            <w:tcBorders>
              <w:tl2br w:val="nil"/>
              <w:tr2bl w:val="nil"/>
            </w:tcBorders>
            <w:noWrap w:val="0"/>
            <w:vAlign w:val="center"/>
          </w:tcPr>
          <w:p w14:paraId="563BDBE3">
            <w:pPr>
              <w:pStyle w:val="31"/>
              <w:bidi w:val="0"/>
              <w:rPr>
                <w:rFonts w:hint="eastAsia"/>
                <w:sz w:val="21"/>
                <w:szCs w:val="21"/>
              </w:rPr>
            </w:pPr>
            <w:r>
              <w:rPr>
                <w:rFonts w:hint="eastAsia"/>
                <w:sz w:val="21"/>
                <w:szCs w:val="21"/>
              </w:rPr>
              <w:t>《矿山安全生产法实施条例》</w:t>
            </w:r>
          </w:p>
        </w:tc>
        <w:tc>
          <w:tcPr>
            <w:tcW w:w="1276" w:type="dxa"/>
            <w:tcBorders>
              <w:tl2br w:val="nil"/>
              <w:tr2bl w:val="nil"/>
            </w:tcBorders>
            <w:noWrap w:val="0"/>
            <w:vAlign w:val="center"/>
          </w:tcPr>
          <w:p w14:paraId="0CE8A2AA">
            <w:pPr>
              <w:pStyle w:val="31"/>
              <w:bidi w:val="0"/>
              <w:ind w:left="0" w:leftChars="0" w:right="0" w:rightChars="0" w:firstLine="0" w:firstLineChars="0"/>
              <w:jc w:val="center"/>
              <w:rPr>
                <w:rFonts w:hint="eastAsia"/>
                <w:sz w:val="21"/>
                <w:szCs w:val="21"/>
              </w:rPr>
            </w:pPr>
            <w:r>
              <w:rPr>
                <w:rFonts w:hint="eastAsia"/>
                <w:sz w:val="21"/>
                <w:szCs w:val="21"/>
              </w:rPr>
              <w:t>查阅</w:t>
            </w:r>
          </w:p>
        </w:tc>
        <w:tc>
          <w:tcPr>
            <w:tcW w:w="2552" w:type="dxa"/>
            <w:tcBorders>
              <w:tl2br w:val="nil"/>
              <w:tr2bl w:val="nil"/>
            </w:tcBorders>
            <w:noWrap w:val="0"/>
            <w:vAlign w:val="center"/>
          </w:tcPr>
          <w:p w14:paraId="4BB158C4">
            <w:pPr>
              <w:pStyle w:val="31"/>
              <w:bidi w:val="0"/>
              <w:rPr>
                <w:rFonts w:hint="eastAsia"/>
                <w:sz w:val="21"/>
                <w:szCs w:val="21"/>
              </w:rPr>
            </w:pPr>
            <w:r>
              <w:rPr>
                <w:rFonts w:hint="eastAsia"/>
                <w:sz w:val="21"/>
                <w:szCs w:val="21"/>
              </w:rPr>
              <w:t>制定了各工种操作规程，且齐全。</w:t>
            </w:r>
          </w:p>
        </w:tc>
        <w:tc>
          <w:tcPr>
            <w:tcW w:w="1149" w:type="dxa"/>
            <w:tcBorders>
              <w:tl2br w:val="nil"/>
              <w:tr2bl w:val="nil"/>
            </w:tcBorders>
            <w:noWrap w:val="0"/>
            <w:vAlign w:val="center"/>
          </w:tcPr>
          <w:p w14:paraId="710AFCAE">
            <w:pPr>
              <w:pStyle w:val="31"/>
              <w:bidi w:val="0"/>
              <w:rPr>
                <w:rFonts w:hint="eastAsia"/>
                <w:sz w:val="21"/>
                <w:szCs w:val="21"/>
              </w:rPr>
            </w:pPr>
            <w:r>
              <w:rPr>
                <w:rFonts w:hint="eastAsia"/>
                <w:sz w:val="21"/>
                <w:szCs w:val="21"/>
              </w:rPr>
              <w:t>符合要求</w:t>
            </w:r>
          </w:p>
        </w:tc>
      </w:tr>
      <w:tr w14:paraId="7BEF835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316" w:hRule="atLeast"/>
          <w:jc w:val="center"/>
        </w:trPr>
        <w:tc>
          <w:tcPr>
            <w:tcW w:w="2410" w:type="dxa"/>
            <w:tcBorders>
              <w:tl2br w:val="nil"/>
              <w:tr2bl w:val="nil"/>
            </w:tcBorders>
            <w:noWrap w:val="0"/>
            <w:vAlign w:val="center"/>
          </w:tcPr>
          <w:p w14:paraId="15C06407">
            <w:pPr>
              <w:pStyle w:val="31"/>
              <w:bidi w:val="0"/>
              <w:rPr>
                <w:rFonts w:hint="eastAsia"/>
                <w:sz w:val="21"/>
                <w:szCs w:val="21"/>
              </w:rPr>
            </w:pPr>
            <w:r>
              <w:rPr>
                <w:rFonts w:hint="eastAsia"/>
                <w:sz w:val="21"/>
                <w:szCs w:val="21"/>
              </w:rPr>
              <w:t>7.其他从业人员按照规定接受安全生产教育和培训，并经考试合格。</w:t>
            </w:r>
          </w:p>
        </w:tc>
        <w:tc>
          <w:tcPr>
            <w:tcW w:w="1417" w:type="dxa"/>
            <w:tcBorders>
              <w:tl2br w:val="nil"/>
              <w:tr2bl w:val="nil"/>
            </w:tcBorders>
            <w:noWrap w:val="0"/>
            <w:vAlign w:val="center"/>
          </w:tcPr>
          <w:p w14:paraId="13CD976B">
            <w:pPr>
              <w:pStyle w:val="31"/>
              <w:bidi w:val="0"/>
              <w:rPr>
                <w:rFonts w:hint="eastAsia"/>
                <w:sz w:val="21"/>
                <w:szCs w:val="21"/>
              </w:rPr>
            </w:pPr>
            <w:r>
              <w:rPr>
                <w:rFonts w:hint="eastAsia"/>
                <w:sz w:val="21"/>
                <w:szCs w:val="21"/>
              </w:rPr>
              <w:t>《矿山安全生产法实施条例》第35条、</w:t>
            </w:r>
          </w:p>
        </w:tc>
        <w:tc>
          <w:tcPr>
            <w:tcW w:w="1276" w:type="dxa"/>
            <w:tcBorders>
              <w:tl2br w:val="nil"/>
              <w:tr2bl w:val="nil"/>
            </w:tcBorders>
            <w:noWrap w:val="0"/>
            <w:vAlign w:val="center"/>
          </w:tcPr>
          <w:p w14:paraId="7EB204F1">
            <w:pPr>
              <w:pStyle w:val="31"/>
              <w:bidi w:val="0"/>
              <w:rPr>
                <w:rFonts w:hint="eastAsia"/>
                <w:sz w:val="21"/>
                <w:szCs w:val="21"/>
              </w:rPr>
            </w:pPr>
            <w:r>
              <w:rPr>
                <w:rFonts w:hint="eastAsia"/>
                <w:sz w:val="21"/>
                <w:szCs w:val="21"/>
              </w:rPr>
              <w:t>查阅教育记录、询问</w:t>
            </w:r>
          </w:p>
        </w:tc>
        <w:tc>
          <w:tcPr>
            <w:tcW w:w="2552" w:type="dxa"/>
            <w:tcBorders>
              <w:tl2br w:val="nil"/>
              <w:tr2bl w:val="nil"/>
            </w:tcBorders>
            <w:noWrap w:val="0"/>
            <w:vAlign w:val="center"/>
          </w:tcPr>
          <w:p w14:paraId="3A101B21">
            <w:pPr>
              <w:pStyle w:val="31"/>
              <w:bidi w:val="0"/>
              <w:rPr>
                <w:rFonts w:hint="eastAsia"/>
                <w:sz w:val="21"/>
                <w:szCs w:val="21"/>
              </w:rPr>
            </w:pPr>
            <w:r>
              <w:rPr>
                <w:rFonts w:hint="eastAsia"/>
                <w:sz w:val="21"/>
                <w:szCs w:val="21"/>
              </w:rPr>
              <w:t>对作业人员进行了教育和培训，且考试成绩合格。</w:t>
            </w:r>
          </w:p>
        </w:tc>
        <w:tc>
          <w:tcPr>
            <w:tcW w:w="1149" w:type="dxa"/>
            <w:tcBorders>
              <w:tl2br w:val="nil"/>
              <w:tr2bl w:val="nil"/>
            </w:tcBorders>
            <w:noWrap w:val="0"/>
            <w:vAlign w:val="center"/>
          </w:tcPr>
          <w:p w14:paraId="7DD22825">
            <w:pPr>
              <w:pStyle w:val="31"/>
              <w:bidi w:val="0"/>
              <w:rPr>
                <w:rFonts w:hint="eastAsia"/>
                <w:sz w:val="21"/>
                <w:szCs w:val="21"/>
              </w:rPr>
            </w:pPr>
            <w:r>
              <w:rPr>
                <w:rFonts w:hint="eastAsia"/>
                <w:sz w:val="21"/>
                <w:szCs w:val="21"/>
              </w:rPr>
              <w:t>符合要求</w:t>
            </w:r>
          </w:p>
        </w:tc>
      </w:tr>
      <w:tr w14:paraId="510B4DC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51" w:hRule="atLeast"/>
          <w:jc w:val="center"/>
        </w:trPr>
        <w:tc>
          <w:tcPr>
            <w:tcW w:w="2410" w:type="dxa"/>
            <w:tcBorders>
              <w:tl2br w:val="nil"/>
              <w:tr2bl w:val="nil"/>
            </w:tcBorders>
            <w:noWrap w:val="0"/>
            <w:vAlign w:val="center"/>
          </w:tcPr>
          <w:p w14:paraId="7BC7D8B2">
            <w:pPr>
              <w:pStyle w:val="31"/>
              <w:bidi w:val="0"/>
              <w:rPr>
                <w:rFonts w:hint="eastAsia"/>
                <w:sz w:val="21"/>
                <w:szCs w:val="21"/>
              </w:rPr>
            </w:pPr>
            <w:r>
              <w:rPr>
                <w:rFonts w:hint="eastAsia"/>
                <w:sz w:val="21"/>
                <w:szCs w:val="21"/>
              </w:rPr>
              <w:t>8.安全生产投入符合安全生产要求，按照有关规定提取安全技术措施专项经费。</w:t>
            </w:r>
          </w:p>
        </w:tc>
        <w:tc>
          <w:tcPr>
            <w:tcW w:w="1417" w:type="dxa"/>
            <w:tcBorders>
              <w:tl2br w:val="nil"/>
              <w:tr2bl w:val="nil"/>
            </w:tcBorders>
            <w:noWrap w:val="0"/>
            <w:vAlign w:val="center"/>
          </w:tcPr>
          <w:p w14:paraId="2ABED956">
            <w:pPr>
              <w:pStyle w:val="31"/>
              <w:bidi w:val="0"/>
              <w:rPr>
                <w:rFonts w:hint="eastAsia"/>
                <w:sz w:val="21"/>
                <w:szCs w:val="21"/>
              </w:rPr>
            </w:pPr>
            <w:r>
              <w:rPr>
                <w:rFonts w:hint="eastAsia"/>
                <w:sz w:val="21"/>
                <w:szCs w:val="21"/>
              </w:rPr>
              <w:t>《许可证实施办法》第二章第五条第二款</w:t>
            </w:r>
          </w:p>
        </w:tc>
        <w:tc>
          <w:tcPr>
            <w:tcW w:w="1276" w:type="dxa"/>
            <w:tcBorders>
              <w:tl2br w:val="nil"/>
              <w:tr2bl w:val="nil"/>
            </w:tcBorders>
            <w:noWrap w:val="0"/>
            <w:vAlign w:val="center"/>
          </w:tcPr>
          <w:p w14:paraId="7F138764">
            <w:pPr>
              <w:pStyle w:val="31"/>
              <w:bidi w:val="0"/>
              <w:rPr>
                <w:rFonts w:hint="eastAsia"/>
                <w:sz w:val="21"/>
                <w:szCs w:val="21"/>
              </w:rPr>
            </w:pPr>
            <w:r>
              <w:rPr>
                <w:rFonts w:hint="eastAsia"/>
                <w:sz w:val="21"/>
                <w:szCs w:val="21"/>
              </w:rPr>
              <w:t>查阅账单、询问</w:t>
            </w:r>
          </w:p>
        </w:tc>
        <w:tc>
          <w:tcPr>
            <w:tcW w:w="2552" w:type="dxa"/>
            <w:tcBorders>
              <w:tl2br w:val="nil"/>
              <w:tr2bl w:val="nil"/>
            </w:tcBorders>
            <w:noWrap w:val="0"/>
            <w:vAlign w:val="center"/>
          </w:tcPr>
          <w:p w14:paraId="320D6CDC">
            <w:pPr>
              <w:pStyle w:val="31"/>
              <w:bidi w:val="0"/>
              <w:rPr>
                <w:rFonts w:hint="eastAsia"/>
                <w:sz w:val="21"/>
                <w:szCs w:val="21"/>
              </w:rPr>
            </w:pPr>
            <w:r>
              <w:rPr>
                <w:rFonts w:hint="eastAsia"/>
                <w:sz w:val="21"/>
                <w:szCs w:val="21"/>
              </w:rPr>
              <w:t>制订了</w:t>
            </w:r>
            <w:r>
              <w:rPr>
                <w:rFonts w:hint="eastAsia"/>
                <w:sz w:val="21"/>
                <w:szCs w:val="21"/>
                <w:lang w:val="en-US" w:eastAsia="zh-CN"/>
              </w:rPr>
              <w:t>2025</w:t>
            </w:r>
            <w:r>
              <w:rPr>
                <w:rFonts w:hint="eastAsia"/>
                <w:sz w:val="21"/>
                <w:szCs w:val="21"/>
              </w:rPr>
              <w:t>年提取及使用安全技术措施专项经费计划，并按要求进行了提取。留有</w:t>
            </w:r>
            <w:r>
              <w:rPr>
                <w:rFonts w:hint="eastAsia"/>
                <w:sz w:val="21"/>
                <w:szCs w:val="21"/>
                <w:lang w:val="en-US" w:eastAsia="zh-CN"/>
              </w:rPr>
              <w:t>2024</w:t>
            </w:r>
            <w:r>
              <w:rPr>
                <w:rFonts w:hint="eastAsia"/>
                <w:sz w:val="21"/>
                <w:szCs w:val="21"/>
              </w:rPr>
              <w:t>年度使用明细。</w:t>
            </w:r>
          </w:p>
        </w:tc>
        <w:tc>
          <w:tcPr>
            <w:tcW w:w="1149" w:type="dxa"/>
            <w:tcBorders>
              <w:tl2br w:val="nil"/>
              <w:tr2bl w:val="nil"/>
            </w:tcBorders>
            <w:noWrap w:val="0"/>
            <w:vAlign w:val="center"/>
          </w:tcPr>
          <w:p w14:paraId="201C0FA8">
            <w:pPr>
              <w:pStyle w:val="31"/>
              <w:bidi w:val="0"/>
              <w:rPr>
                <w:rFonts w:hint="eastAsia"/>
                <w:sz w:val="21"/>
                <w:szCs w:val="21"/>
              </w:rPr>
            </w:pPr>
            <w:r>
              <w:rPr>
                <w:rFonts w:hint="eastAsia"/>
                <w:sz w:val="21"/>
                <w:szCs w:val="21"/>
              </w:rPr>
              <w:t>符合要求</w:t>
            </w:r>
          </w:p>
        </w:tc>
      </w:tr>
      <w:tr w14:paraId="3A3E170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701" w:hRule="atLeast"/>
          <w:jc w:val="center"/>
        </w:trPr>
        <w:tc>
          <w:tcPr>
            <w:tcW w:w="2410" w:type="dxa"/>
            <w:tcBorders>
              <w:tl2br w:val="nil"/>
              <w:tr2bl w:val="nil"/>
            </w:tcBorders>
            <w:noWrap w:val="0"/>
            <w:vAlign w:val="center"/>
          </w:tcPr>
          <w:p w14:paraId="2FE316EA">
            <w:pPr>
              <w:pStyle w:val="31"/>
              <w:bidi w:val="0"/>
              <w:rPr>
                <w:rFonts w:hint="eastAsia"/>
                <w:sz w:val="21"/>
                <w:szCs w:val="21"/>
              </w:rPr>
            </w:pPr>
            <w:r>
              <w:rPr>
                <w:rFonts w:hint="eastAsia"/>
                <w:sz w:val="21"/>
                <w:szCs w:val="21"/>
              </w:rPr>
              <w:t>9.作业单位必须依法参加工伤社会保险，为从业人员缴纳工伤保险费。</w:t>
            </w:r>
          </w:p>
        </w:tc>
        <w:tc>
          <w:tcPr>
            <w:tcW w:w="1417" w:type="dxa"/>
            <w:tcBorders>
              <w:tl2br w:val="nil"/>
              <w:tr2bl w:val="nil"/>
            </w:tcBorders>
            <w:noWrap w:val="0"/>
            <w:vAlign w:val="center"/>
          </w:tcPr>
          <w:p w14:paraId="5A0D6687">
            <w:pPr>
              <w:pStyle w:val="31"/>
              <w:bidi w:val="0"/>
              <w:rPr>
                <w:rFonts w:hint="eastAsia"/>
                <w:sz w:val="21"/>
                <w:szCs w:val="21"/>
              </w:rPr>
            </w:pPr>
            <w:r>
              <w:rPr>
                <w:rFonts w:hint="eastAsia"/>
                <w:sz w:val="21"/>
                <w:szCs w:val="21"/>
              </w:rPr>
              <w:t>《安全生产法》、</w:t>
            </w:r>
          </w:p>
          <w:p w14:paraId="0C3CAF23">
            <w:pPr>
              <w:pStyle w:val="31"/>
              <w:bidi w:val="0"/>
              <w:rPr>
                <w:rFonts w:hint="eastAsia"/>
                <w:sz w:val="21"/>
                <w:szCs w:val="21"/>
              </w:rPr>
            </w:pPr>
            <w:r>
              <w:rPr>
                <w:rFonts w:hint="eastAsia"/>
                <w:sz w:val="21"/>
                <w:szCs w:val="21"/>
              </w:rPr>
              <w:t>《许可证实施办法》第二章第五条第七款</w:t>
            </w:r>
          </w:p>
        </w:tc>
        <w:tc>
          <w:tcPr>
            <w:tcW w:w="1276" w:type="dxa"/>
            <w:tcBorders>
              <w:tl2br w:val="nil"/>
              <w:tr2bl w:val="nil"/>
            </w:tcBorders>
            <w:noWrap w:val="0"/>
            <w:vAlign w:val="center"/>
          </w:tcPr>
          <w:p w14:paraId="2D299877">
            <w:pPr>
              <w:pStyle w:val="31"/>
              <w:bidi w:val="0"/>
              <w:rPr>
                <w:rFonts w:hint="eastAsia"/>
                <w:sz w:val="21"/>
                <w:szCs w:val="21"/>
              </w:rPr>
            </w:pPr>
            <w:r>
              <w:rPr>
                <w:rFonts w:hint="eastAsia"/>
                <w:sz w:val="21"/>
                <w:szCs w:val="21"/>
              </w:rPr>
              <w:t>查看保险单</w:t>
            </w:r>
          </w:p>
        </w:tc>
        <w:tc>
          <w:tcPr>
            <w:tcW w:w="2552" w:type="dxa"/>
            <w:tcBorders>
              <w:tl2br w:val="nil"/>
              <w:tr2bl w:val="nil"/>
            </w:tcBorders>
            <w:noWrap w:val="0"/>
            <w:vAlign w:val="center"/>
          </w:tcPr>
          <w:p w14:paraId="2DF7A4DC">
            <w:pPr>
              <w:pStyle w:val="31"/>
              <w:bidi w:val="0"/>
              <w:rPr>
                <w:rFonts w:hint="eastAsia"/>
                <w:sz w:val="21"/>
                <w:szCs w:val="21"/>
              </w:rPr>
            </w:pPr>
            <w:r>
              <w:rPr>
                <w:rFonts w:hint="eastAsia"/>
                <w:sz w:val="21"/>
                <w:szCs w:val="21"/>
              </w:rPr>
              <w:t>依法参加了工伤保险和安全生产责任保险，为从业人员缴纳安全生产责任保险费，保额满足要求。</w:t>
            </w:r>
          </w:p>
        </w:tc>
        <w:tc>
          <w:tcPr>
            <w:tcW w:w="1149" w:type="dxa"/>
            <w:tcBorders>
              <w:tl2br w:val="nil"/>
              <w:tr2bl w:val="nil"/>
            </w:tcBorders>
            <w:noWrap w:val="0"/>
            <w:vAlign w:val="center"/>
          </w:tcPr>
          <w:p w14:paraId="0B3BE90A">
            <w:pPr>
              <w:pStyle w:val="31"/>
              <w:bidi w:val="0"/>
              <w:rPr>
                <w:rFonts w:hint="eastAsia"/>
                <w:sz w:val="21"/>
                <w:szCs w:val="21"/>
              </w:rPr>
            </w:pPr>
            <w:r>
              <w:rPr>
                <w:rFonts w:hint="eastAsia"/>
                <w:sz w:val="21"/>
                <w:szCs w:val="21"/>
              </w:rPr>
              <w:t>符合要求</w:t>
            </w:r>
          </w:p>
        </w:tc>
      </w:tr>
      <w:tr w14:paraId="5798DBE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701" w:hRule="atLeast"/>
          <w:jc w:val="center"/>
        </w:trPr>
        <w:tc>
          <w:tcPr>
            <w:tcW w:w="2410" w:type="dxa"/>
            <w:tcBorders>
              <w:tl2br w:val="nil"/>
              <w:tr2bl w:val="nil"/>
            </w:tcBorders>
            <w:noWrap w:val="0"/>
            <w:vAlign w:val="center"/>
          </w:tcPr>
          <w:p w14:paraId="0E3CAD8F">
            <w:pPr>
              <w:pStyle w:val="31"/>
              <w:bidi w:val="0"/>
              <w:rPr>
                <w:rFonts w:hint="eastAsia"/>
                <w:sz w:val="21"/>
                <w:szCs w:val="21"/>
                <w:lang w:val="en-US" w:eastAsia="zh-CN"/>
              </w:rPr>
            </w:pPr>
            <w:r>
              <w:rPr>
                <w:rFonts w:hint="eastAsia"/>
                <w:sz w:val="21"/>
                <w:szCs w:val="21"/>
                <w:lang w:val="en-US" w:eastAsia="zh-CN"/>
              </w:rPr>
              <w:t>10</w:t>
            </w:r>
            <w:r>
              <w:rPr>
                <w:rFonts w:hint="eastAsia"/>
                <w:sz w:val="21"/>
                <w:szCs w:val="21"/>
              </w:rPr>
              <w:t>.应急预案应到当地的安全生产监督管理部门进行评审备案。</w:t>
            </w:r>
          </w:p>
        </w:tc>
        <w:tc>
          <w:tcPr>
            <w:tcW w:w="1417" w:type="dxa"/>
            <w:tcBorders>
              <w:tl2br w:val="nil"/>
              <w:tr2bl w:val="nil"/>
            </w:tcBorders>
            <w:noWrap w:val="0"/>
            <w:vAlign w:val="center"/>
          </w:tcPr>
          <w:p w14:paraId="770ED5B4">
            <w:pPr>
              <w:pStyle w:val="31"/>
              <w:bidi w:val="0"/>
              <w:rPr>
                <w:rFonts w:hint="eastAsia"/>
                <w:sz w:val="21"/>
                <w:szCs w:val="21"/>
                <w:lang w:val="en-US" w:eastAsia="zh-CN"/>
              </w:rPr>
            </w:pPr>
            <w:r>
              <w:rPr>
                <w:rFonts w:hint="eastAsia"/>
                <w:sz w:val="21"/>
                <w:szCs w:val="21"/>
              </w:rPr>
              <w:t>《生产安全事故应急预案管理办法》第18条</w:t>
            </w:r>
          </w:p>
        </w:tc>
        <w:tc>
          <w:tcPr>
            <w:tcW w:w="1276" w:type="dxa"/>
            <w:tcBorders>
              <w:tl2br w:val="nil"/>
              <w:tr2bl w:val="nil"/>
            </w:tcBorders>
            <w:noWrap w:val="0"/>
            <w:vAlign w:val="center"/>
          </w:tcPr>
          <w:p w14:paraId="57EE2B6C">
            <w:pPr>
              <w:pStyle w:val="31"/>
              <w:bidi w:val="0"/>
              <w:rPr>
                <w:rFonts w:hint="eastAsia"/>
                <w:sz w:val="21"/>
                <w:szCs w:val="21"/>
                <w:lang w:val="en-US" w:eastAsia="zh-CN"/>
              </w:rPr>
            </w:pPr>
            <w:r>
              <w:rPr>
                <w:rFonts w:hint="eastAsia"/>
                <w:sz w:val="21"/>
                <w:szCs w:val="21"/>
              </w:rPr>
              <w:t>查阅</w:t>
            </w:r>
          </w:p>
        </w:tc>
        <w:tc>
          <w:tcPr>
            <w:tcW w:w="2552" w:type="dxa"/>
            <w:tcBorders>
              <w:tl2br w:val="nil"/>
              <w:tr2bl w:val="nil"/>
            </w:tcBorders>
            <w:noWrap w:val="0"/>
            <w:vAlign w:val="center"/>
          </w:tcPr>
          <w:p w14:paraId="45084F25">
            <w:pPr>
              <w:pStyle w:val="31"/>
              <w:bidi w:val="0"/>
              <w:rPr>
                <w:rFonts w:hint="eastAsia" w:eastAsia="宋体"/>
                <w:sz w:val="21"/>
                <w:szCs w:val="21"/>
                <w:lang w:val="en-US" w:eastAsia="zh-CN"/>
              </w:rPr>
            </w:pPr>
            <w:r>
              <w:rPr>
                <w:rFonts w:hint="eastAsia"/>
                <w:sz w:val="21"/>
                <w:szCs w:val="21"/>
                <w:lang w:val="en-US" w:eastAsia="zh-CN"/>
              </w:rPr>
              <w:t>矿山编制了生产安全事故综合应急预案，并于当地</w:t>
            </w:r>
            <w:r>
              <w:rPr>
                <w:rFonts w:hint="eastAsia"/>
                <w:sz w:val="21"/>
                <w:szCs w:val="21"/>
              </w:rPr>
              <w:t>应急管理局进行了备案</w:t>
            </w:r>
            <w:r>
              <w:rPr>
                <w:rFonts w:hint="eastAsia"/>
                <w:sz w:val="21"/>
                <w:szCs w:val="21"/>
                <w:lang w:eastAsia="zh-CN"/>
              </w:rPr>
              <w:t>。</w:t>
            </w:r>
          </w:p>
        </w:tc>
        <w:tc>
          <w:tcPr>
            <w:tcW w:w="1149" w:type="dxa"/>
            <w:tcBorders>
              <w:tl2br w:val="nil"/>
              <w:tr2bl w:val="nil"/>
            </w:tcBorders>
            <w:noWrap w:val="0"/>
            <w:vAlign w:val="center"/>
          </w:tcPr>
          <w:p w14:paraId="5EA0A519">
            <w:pPr>
              <w:pStyle w:val="31"/>
              <w:bidi w:val="0"/>
              <w:rPr>
                <w:rFonts w:hint="eastAsia"/>
                <w:sz w:val="21"/>
                <w:szCs w:val="21"/>
                <w:lang w:val="en-US" w:eastAsia="zh-CN"/>
              </w:rPr>
            </w:pPr>
            <w:r>
              <w:rPr>
                <w:rFonts w:hint="eastAsia"/>
                <w:sz w:val="21"/>
                <w:szCs w:val="21"/>
              </w:rPr>
              <w:t>符合要求</w:t>
            </w:r>
          </w:p>
        </w:tc>
      </w:tr>
    </w:tbl>
    <w:p w14:paraId="200B484D">
      <w:pPr>
        <w:pStyle w:val="21"/>
        <w:bidi w:val="0"/>
        <w:rPr>
          <w:rFonts w:hint="eastAsia"/>
          <w:lang w:val="zh-CN"/>
        </w:rPr>
      </w:pPr>
      <w:r>
        <w:rPr>
          <w:rFonts w:hint="eastAsia"/>
          <w:lang w:val="zh-CN"/>
        </w:rPr>
        <w:t>建设单位在以后的生产中，只要落实本报告在安全管理方面提出的措施，建立安全管理机构、安全管理制度、应急救援预案，并要对安全管理人员和特种作业人员进行培训，生产中要落实矿领导带班下井制度等各项制度，以确保安全生产管理有效的运用于施工及生产的各个环节，就能够最大限度的确保本项目的安全生产。</w:t>
      </w:r>
    </w:p>
    <w:p w14:paraId="1FBCD6CD">
      <w:pPr>
        <w:pStyle w:val="28"/>
        <w:bidi w:val="0"/>
        <w:rPr>
          <w:rFonts w:hint="eastAsia"/>
          <w:lang w:val="zh-CN"/>
        </w:rPr>
      </w:pPr>
      <w:bookmarkStart w:id="49" w:name="_Toc18618"/>
      <w:r>
        <w:rPr>
          <w:rFonts w:hint="eastAsia"/>
          <w:lang w:val="zh-CN"/>
        </w:rPr>
        <w:t>重大危险源辨识单元</w:t>
      </w:r>
      <w:bookmarkEnd w:id="49"/>
    </w:p>
    <w:p w14:paraId="6CB3ADF8">
      <w:pPr>
        <w:pStyle w:val="21"/>
        <w:bidi w:val="0"/>
        <w:rPr>
          <w:rFonts w:hint="eastAsia"/>
          <w:lang w:val="zh-CN"/>
        </w:rPr>
      </w:pPr>
      <w:r>
        <w:rPr>
          <w:rFonts w:hint="eastAsia"/>
          <w:lang w:val="zh-CN"/>
        </w:rPr>
        <w:t>根据《国家安全监管总局关于宣布失效一批安全生产文件的通知》（安监总办〔2016〕13号），其中的第100条“国家安全生产监督管理局《关于开展重大危险源监督管理工作的指导意见》（安监管协调字〔2004〕56号”）已失效，地下矿山不需进行重大危险源辨识。</w:t>
      </w:r>
    </w:p>
    <w:p w14:paraId="4CF7A055">
      <w:pPr>
        <w:pStyle w:val="21"/>
        <w:bidi w:val="0"/>
        <w:rPr>
          <w:rFonts w:hint="eastAsia"/>
          <w:lang w:val="zh-CN"/>
        </w:rPr>
      </w:pPr>
      <w:r>
        <w:rPr>
          <w:rFonts w:hint="eastAsia"/>
          <w:lang w:val="zh-CN"/>
        </w:rPr>
        <w:t>根据《危险化学品重大危险源辨识》（GB18218-2018）进行辨识，该矿山不涉及危险化学品，因此，沈阳浑南矿业有限责任公司不涉及重大危险源。</w:t>
      </w:r>
    </w:p>
    <w:p w14:paraId="55489D51">
      <w:pPr>
        <w:pStyle w:val="21"/>
        <w:bidi w:val="0"/>
        <w:rPr>
          <w:rFonts w:hint="default"/>
          <w:lang w:val="en-US" w:eastAsia="zh-CN"/>
        </w:rPr>
        <w:sectPr>
          <w:pgSz w:w="11906" w:h="16838"/>
          <w:pgMar w:top="1417" w:right="1134" w:bottom="1134" w:left="1587" w:header="851" w:footer="992" w:gutter="0"/>
          <w:pgBorders>
            <w:top w:val="none" w:sz="0" w:space="0"/>
            <w:left w:val="none" w:sz="0" w:space="0"/>
            <w:bottom w:val="none" w:sz="0" w:space="0"/>
            <w:right w:val="none" w:sz="0" w:space="0"/>
          </w:pgBorders>
          <w:pgNumType w:fmt="decimal"/>
          <w:cols w:space="0" w:num="1"/>
          <w:rtlGutter w:val="0"/>
          <w:docGrid w:type="lines" w:linePitch="312" w:charSpace="0"/>
        </w:sectPr>
      </w:pPr>
    </w:p>
    <w:p w14:paraId="13DEAE56">
      <w:pPr>
        <w:pStyle w:val="27"/>
        <w:bidi w:val="0"/>
        <w:rPr>
          <w:rFonts w:hint="default"/>
          <w:lang w:val="en-US" w:eastAsia="zh-CN"/>
        </w:rPr>
      </w:pPr>
      <w:bookmarkStart w:id="50" w:name="_Toc14310"/>
      <w:r>
        <w:rPr>
          <w:rFonts w:hint="default"/>
          <w:lang w:val="en-US" w:eastAsia="zh-CN"/>
        </w:rPr>
        <w:t>安全对策措施建议</w:t>
      </w:r>
      <w:bookmarkEnd w:id="50"/>
    </w:p>
    <w:p w14:paraId="7E9FD9CB">
      <w:pPr>
        <w:pStyle w:val="28"/>
        <w:rPr>
          <w:rFonts w:hint="default"/>
          <w:lang w:val="en-US" w:eastAsia="zh-CN"/>
        </w:rPr>
      </w:pPr>
      <w:bookmarkStart w:id="51" w:name="_Toc4968"/>
      <w:r>
        <w:rPr>
          <w:rFonts w:hint="default"/>
          <w:lang w:val="en-US" w:eastAsia="zh-CN"/>
        </w:rPr>
        <w:t>本预评价补充的安全对策措施</w:t>
      </w:r>
      <w:bookmarkEnd w:id="51"/>
    </w:p>
    <w:p w14:paraId="3D173FF7">
      <w:pPr>
        <w:pStyle w:val="21"/>
        <w:bidi w:val="0"/>
        <w:rPr>
          <w:rFonts w:hint="default"/>
          <w:lang w:val="en-US" w:eastAsia="zh-CN"/>
        </w:rPr>
      </w:pPr>
      <w:r>
        <w:rPr>
          <w:rFonts w:hint="default"/>
          <w:lang w:val="en-US" w:eastAsia="zh-CN"/>
        </w:rPr>
        <w:t>《可研报告》提出的安全对策措施合理可行，但还存在一些不足，本安全预评价报告依据国家的相关安全标准、规范的要求，本着应具有针对性，可操作性和经济合理性原则，补充以下安全对策措施：</w:t>
      </w:r>
    </w:p>
    <w:p w14:paraId="189EC6A7">
      <w:pPr>
        <w:pStyle w:val="29"/>
        <w:bidi w:val="0"/>
        <w:rPr>
          <w:rFonts w:hint="eastAsia"/>
        </w:rPr>
      </w:pPr>
      <w:bookmarkStart w:id="52" w:name="_Toc406688059"/>
      <w:bookmarkStart w:id="53" w:name="_Toc4865"/>
      <w:bookmarkStart w:id="54" w:name="_Toc294674107"/>
      <w:bookmarkStart w:id="55" w:name="_Toc28317"/>
      <w:bookmarkStart w:id="56" w:name="_Toc12196"/>
      <w:r>
        <w:rPr>
          <w:rFonts w:hint="eastAsia"/>
        </w:rPr>
        <w:t>总平面布置单元</w:t>
      </w:r>
      <w:bookmarkEnd w:id="52"/>
      <w:bookmarkEnd w:id="53"/>
      <w:bookmarkEnd w:id="54"/>
      <w:bookmarkEnd w:id="55"/>
      <w:bookmarkEnd w:id="56"/>
    </w:p>
    <w:p w14:paraId="2EE5F7D1">
      <w:pPr>
        <w:pStyle w:val="21"/>
        <w:numPr>
          <w:ilvl w:val="0"/>
          <w:numId w:val="82"/>
        </w:numPr>
        <w:bidi w:val="0"/>
        <w:rPr>
          <w:rFonts w:hint="eastAsia"/>
        </w:rPr>
      </w:pPr>
      <w:r>
        <w:rPr>
          <w:rFonts w:hint="eastAsia"/>
        </w:rPr>
        <w:t>厂址应满足工业企业近期所必需的场地面积和适宜的地形坡度。根据工业企业远期发展规划的需要，适当留有发展的余地；</w:t>
      </w:r>
    </w:p>
    <w:p w14:paraId="2521DB5E">
      <w:pPr>
        <w:pStyle w:val="21"/>
        <w:numPr>
          <w:ilvl w:val="0"/>
          <w:numId w:val="82"/>
        </w:numPr>
        <w:bidi w:val="0"/>
        <w:rPr>
          <w:rFonts w:hint="eastAsia"/>
        </w:rPr>
      </w:pPr>
      <w:r>
        <w:rPr>
          <w:rFonts w:hint="eastAsia"/>
        </w:rPr>
        <w:t>在符合生产流程、操作要求和使用功能的前提下，建筑物、构筑物等设施，应联合多层布置；</w:t>
      </w:r>
    </w:p>
    <w:p w14:paraId="0C3943C5">
      <w:pPr>
        <w:pStyle w:val="21"/>
        <w:numPr>
          <w:ilvl w:val="0"/>
          <w:numId w:val="82"/>
        </w:numPr>
        <w:bidi w:val="0"/>
        <w:rPr>
          <w:rFonts w:hint="eastAsia"/>
        </w:rPr>
      </w:pPr>
      <w:r>
        <w:rPr>
          <w:rFonts w:hint="eastAsia"/>
        </w:rPr>
        <w:t>按功能分区，合理地确定通道宽度；</w:t>
      </w:r>
    </w:p>
    <w:p w14:paraId="47D1C863">
      <w:pPr>
        <w:pStyle w:val="21"/>
        <w:numPr>
          <w:ilvl w:val="0"/>
          <w:numId w:val="82"/>
        </w:numPr>
        <w:bidi w:val="0"/>
        <w:rPr>
          <w:rFonts w:hint="eastAsia"/>
        </w:rPr>
      </w:pPr>
      <w:r>
        <w:rPr>
          <w:rFonts w:hint="eastAsia"/>
        </w:rPr>
        <w:t>厂区、功能分区及建筑物、构筑物的外形宜规整；功能分区内各项设施的布置，应紧凑、合理。</w:t>
      </w:r>
    </w:p>
    <w:p w14:paraId="4B8F4A68">
      <w:pPr>
        <w:pStyle w:val="29"/>
        <w:bidi w:val="0"/>
        <w:rPr>
          <w:rFonts w:hint="default"/>
          <w:lang w:val="en-US" w:eastAsia="zh-CN"/>
        </w:rPr>
      </w:pPr>
      <w:r>
        <w:rPr>
          <w:rFonts w:hint="default"/>
          <w:lang w:val="en-US" w:eastAsia="zh-CN"/>
        </w:rPr>
        <w:t>开拓系统单元</w:t>
      </w:r>
    </w:p>
    <w:p w14:paraId="11C1C783">
      <w:pPr>
        <w:pStyle w:val="21"/>
        <w:numPr>
          <w:ilvl w:val="0"/>
          <w:numId w:val="83"/>
        </w:numPr>
        <w:bidi w:val="0"/>
        <w:rPr>
          <w:rFonts w:hint="eastAsia"/>
        </w:rPr>
      </w:pPr>
      <w:bookmarkStart w:id="57" w:name="_Toc262313574"/>
      <w:bookmarkStart w:id="58" w:name="_Toc290502867"/>
      <w:r>
        <w:rPr>
          <w:rFonts w:hint="eastAsia"/>
        </w:rPr>
        <w:t>井巷施工必须有施工组织设计。施工前，必须组织施工人员学习施工组织设计。施工中，必须按施工组织设计的规定作业。</w:t>
      </w:r>
    </w:p>
    <w:p w14:paraId="38F30FEF">
      <w:pPr>
        <w:pStyle w:val="21"/>
        <w:numPr>
          <w:ilvl w:val="0"/>
          <w:numId w:val="83"/>
        </w:numPr>
        <w:bidi w:val="0"/>
      </w:pPr>
      <w:r>
        <w:rPr>
          <w:rFonts w:hint="eastAsia"/>
        </w:rPr>
        <w:t>在不稳固的岩层中掘进时应进行支护；在松软、破碎或流砂地层中掘进时应在永久性支护与掘进工作面之间进行临时支护或者特殊支护。</w:t>
      </w:r>
    </w:p>
    <w:p w14:paraId="60958190">
      <w:pPr>
        <w:pStyle w:val="21"/>
        <w:numPr>
          <w:ilvl w:val="0"/>
          <w:numId w:val="83"/>
        </w:numPr>
        <w:bidi w:val="0"/>
      </w:pPr>
      <w:r>
        <w:rPr>
          <w:rFonts w:hint="eastAsia"/>
        </w:rPr>
        <w:t>天井施工必须防止物件下坠的措施。施工时井上下必须设置良好的联络信号。</w:t>
      </w:r>
      <w:bookmarkEnd w:id="57"/>
      <w:bookmarkEnd w:id="58"/>
    </w:p>
    <w:p w14:paraId="3BB6B4F7">
      <w:pPr>
        <w:pStyle w:val="21"/>
        <w:numPr>
          <w:ilvl w:val="0"/>
          <w:numId w:val="83"/>
        </w:numPr>
        <w:bidi w:val="0"/>
        <w:rPr>
          <w:rFonts w:hint="eastAsia"/>
        </w:rPr>
      </w:pPr>
      <w:r>
        <w:rPr>
          <w:rFonts w:hint="eastAsia"/>
        </w:rPr>
        <w:t>对井巷工程施工，必须遵守以下原则：按照设计的标准，保证井巷工程的断面形状、尺寸符合设计要求，并要对地质变化带进行必要的支护，确保其安全可靠。</w:t>
      </w:r>
    </w:p>
    <w:p w14:paraId="4174E7E9">
      <w:pPr>
        <w:pStyle w:val="21"/>
        <w:numPr>
          <w:ilvl w:val="0"/>
          <w:numId w:val="83"/>
        </w:numPr>
        <w:bidi w:val="0"/>
        <w:rPr>
          <w:rFonts w:hint="eastAsia"/>
        </w:rPr>
      </w:pPr>
      <w:r>
        <w:rPr>
          <w:rFonts w:hint="eastAsia"/>
        </w:rPr>
        <w:t>行人的水平运输巷道应设人行道，其有效净高应不小于1.9m。</w:t>
      </w:r>
    </w:p>
    <w:p w14:paraId="3D0A8B17">
      <w:pPr>
        <w:pStyle w:val="21"/>
        <w:numPr>
          <w:ilvl w:val="0"/>
          <w:numId w:val="83"/>
        </w:numPr>
        <w:bidi w:val="0"/>
        <w:rPr>
          <w:rFonts w:hint="eastAsia"/>
        </w:rPr>
      </w:pPr>
      <w:r>
        <w:rPr>
          <w:rFonts w:hint="eastAsia"/>
        </w:rPr>
        <w:t>需要支护的井巷，支护方法、支护与工作面间的距离，应在施工设计中规定；中途停止掘进时，支护应及时跟至工作面。</w:t>
      </w:r>
    </w:p>
    <w:p w14:paraId="12DA0309">
      <w:pPr>
        <w:pStyle w:val="21"/>
        <w:numPr>
          <w:ilvl w:val="0"/>
          <w:numId w:val="83"/>
        </w:numPr>
        <w:bidi w:val="0"/>
        <w:rPr>
          <w:rFonts w:hint="eastAsia"/>
        </w:rPr>
      </w:pPr>
      <w:r>
        <w:rPr>
          <w:rFonts w:hint="eastAsia"/>
        </w:rPr>
        <w:t>对所有支护的井巷，均应进行定期检查。</w:t>
      </w:r>
    </w:p>
    <w:p w14:paraId="4E79F117">
      <w:pPr>
        <w:pStyle w:val="21"/>
        <w:numPr>
          <w:ilvl w:val="0"/>
          <w:numId w:val="83"/>
        </w:numPr>
        <w:bidi w:val="0"/>
        <w:rPr>
          <w:rFonts w:hint="eastAsia"/>
        </w:rPr>
      </w:pPr>
      <w:r>
        <w:rPr>
          <w:rFonts w:hint="eastAsia"/>
        </w:rPr>
        <w:t>《安全设设计》明确利旧巷道、竖井相关处理措施。对于不满足设计井巷断面尺寸要求的进行刷帮挑顶，对于岩石不稳固地段，应打锚杆进行支护处理。不利用的巷道、穿脉进行封堵。</w:t>
      </w:r>
    </w:p>
    <w:p w14:paraId="06F06EA5">
      <w:pPr>
        <w:pStyle w:val="21"/>
        <w:numPr>
          <w:ilvl w:val="0"/>
          <w:numId w:val="83"/>
        </w:numPr>
        <w:bidi w:val="0"/>
        <w:rPr>
          <w:rFonts w:hint="eastAsia"/>
        </w:rPr>
      </w:pPr>
      <w:r>
        <w:rPr>
          <w:rFonts w:hint="eastAsia"/>
        </w:rPr>
        <w:t>井巷的分道口应有路标，注明其所在地点及通往地面出口的方向。所有井下作业人员，均应熟悉安全出口。</w:t>
      </w:r>
    </w:p>
    <w:p w14:paraId="5193EFE1">
      <w:pPr>
        <w:pStyle w:val="21"/>
        <w:numPr>
          <w:ilvl w:val="0"/>
          <w:numId w:val="83"/>
        </w:numPr>
        <w:bidi w:val="0"/>
        <w:rPr>
          <w:rFonts w:hint="eastAsia"/>
        </w:rPr>
      </w:pPr>
      <w:r>
        <w:rPr>
          <w:rFonts w:hint="eastAsia"/>
        </w:rPr>
        <w:t>天井、溜井、地井和漏斗口，应设有标志、照明、护栏或格筛、盖板。</w:t>
      </w:r>
    </w:p>
    <w:p w14:paraId="77E501B9">
      <w:pPr>
        <w:pStyle w:val="21"/>
        <w:numPr>
          <w:ilvl w:val="0"/>
          <w:numId w:val="83"/>
        </w:numPr>
        <w:bidi w:val="0"/>
        <w:rPr>
          <w:rFonts w:hint="eastAsia"/>
        </w:rPr>
      </w:pPr>
      <w:r>
        <w:rPr>
          <w:rFonts w:hint="eastAsia"/>
        </w:rPr>
        <w:t>在天井、溜井和漏斗口上方作业，以及在相对于坠落基准面2m及以上的其他地点作业，作业人员应系安全带，或者在作业点下方设防坠保护平台或安全网。作业时，应设专人监护。</w:t>
      </w:r>
    </w:p>
    <w:p w14:paraId="2AE4B59B">
      <w:pPr>
        <w:pStyle w:val="29"/>
        <w:bidi w:val="0"/>
        <w:rPr>
          <w:rFonts w:hint="default"/>
          <w:lang w:val="en-US" w:eastAsia="zh-CN"/>
        </w:rPr>
      </w:pPr>
      <w:r>
        <w:rPr>
          <w:rFonts w:hint="default"/>
          <w:lang w:val="en-US" w:eastAsia="zh-CN"/>
        </w:rPr>
        <w:t>提升运输单元</w:t>
      </w:r>
    </w:p>
    <w:p w14:paraId="4AC10C24">
      <w:pPr>
        <w:pStyle w:val="21"/>
        <w:numPr>
          <w:ilvl w:val="0"/>
          <w:numId w:val="84"/>
        </w:numPr>
        <w:bidi w:val="0"/>
        <w:rPr>
          <w:rFonts w:hint="eastAsia"/>
        </w:rPr>
      </w:pPr>
      <w:r>
        <w:rPr>
          <w:rFonts w:hint="eastAsia"/>
        </w:rPr>
        <w:t xml:space="preserve">井下运输过程中应采取控制车速、明确信号及加强管理等有效措施，以解决因部分巷道狭窄人车同行带来的安全隐患，避免发生安全事故。 </w:t>
      </w:r>
    </w:p>
    <w:p w14:paraId="6A6E05CE">
      <w:pPr>
        <w:pStyle w:val="21"/>
        <w:numPr>
          <w:ilvl w:val="0"/>
          <w:numId w:val="84"/>
        </w:numPr>
        <w:bidi w:val="0"/>
        <w:rPr>
          <w:rFonts w:hint="eastAsia"/>
        </w:rPr>
      </w:pPr>
      <w:r>
        <w:rPr>
          <w:rFonts w:hint="eastAsia"/>
        </w:rPr>
        <w:t>井下</w:t>
      </w:r>
      <w:r>
        <w:rPr>
          <w:rFonts w:hint="eastAsia"/>
          <w:lang w:val="en-US" w:eastAsia="zh-CN"/>
        </w:rPr>
        <w:t>无</w:t>
      </w:r>
      <w:r>
        <w:rPr>
          <w:rFonts w:hint="eastAsia"/>
        </w:rPr>
        <w:t>轨移动设备，作业时应保证刹车系统、灯光系统、报警系统齐全有效。</w:t>
      </w:r>
    </w:p>
    <w:p w14:paraId="0F2D3006">
      <w:pPr>
        <w:pStyle w:val="21"/>
        <w:numPr>
          <w:ilvl w:val="0"/>
          <w:numId w:val="84"/>
        </w:numPr>
        <w:bidi w:val="0"/>
        <w:rPr>
          <w:rFonts w:hint="eastAsia"/>
        </w:rPr>
      </w:pPr>
      <w:r>
        <w:rPr>
          <w:rFonts w:hint="eastAsia"/>
        </w:rPr>
        <w:t>利旧的原中段巷道尺寸不够处应进行扩刷断面符合设计要求</w:t>
      </w:r>
      <w:r>
        <w:rPr>
          <w:rFonts w:hint="eastAsia"/>
          <w:lang w:eastAsia="zh-CN"/>
        </w:rPr>
        <w:t>。</w:t>
      </w:r>
    </w:p>
    <w:p w14:paraId="3826E68E">
      <w:pPr>
        <w:pStyle w:val="21"/>
        <w:numPr>
          <w:ilvl w:val="0"/>
          <w:numId w:val="84"/>
        </w:numPr>
        <w:bidi w:val="0"/>
        <w:rPr>
          <w:rFonts w:hint="eastAsia"/>
        </w:rPr>
      </w:pPr>
      <w:r>
        <w:rPr>
          <w:rFonts w:hint="eastAsia"/>
        </w:rPr>
        <w:t>在运输巷道内，人员应沿人行道行走；不应在轨道上或者两条轨道之间停留；不应横跨列车。</w:t>
      </w:r>
    </w:p>
    <w:p w14:paraId="24C70C40">
      <w:pPr>
        <w:pStyle w:val="29"/>
        <w:bidi w:val="0"/>
        <w:rPr>
          <w:rFonts w:hint="eastAsia"/>
        </w:rPr>
      </w:pPr>
      <w:bookmarkStart w:id="59" w:name="_Toc24006"/>
      <w:bookmarkStart w:id="60" w:name="_Toc6933"/>
      <w:bookmarkStart w:id="61" w:name="_Toc7075"/>
      <w:r>
        <w:rPr>
          <w:rFonts w:hint="eastAsia"/>
        </w:rPr>
        <w:t>采掘单元</w:t>
      </w:r>
      <w:bookmarkEnd w:id="59"/>
      <w:bookmarkEnd w:id="60"/>
      <w:bookmarkEnd w:id="61"/>
    </w:p>
    <w:p w14:paraId="403CB22A">
      <w:pPr>
        <w:pStyle w:val="21"/>
        <w:numPr>
          <w:ilvl w:val="0"/>
          <w:numId w:val="85"/>
        </w:numPr>
        <w:bidi w:val="0"/>
        <w:rPr>
          <w:rFonts w:hint="eastAsia"/>
        </w:rPr>
      </w:pPr>
      <w:r>
        <w:rPr>
          <w:rFonts w:hint="eastAsia"/>
        </w:rPr>
        <w:t>除作为回采、运输和通风的巷道外，不得在采场顶柱内开掘其他巷道。</w:t>
      </w:r>
    </w:p>
    <w:p w14:paraId="244F892D">
      <w:pPr>
        <w:pStyle w:val="21"/>
        <w:numPr>
          <w:ilvl w:val="0"/>
          <w:numId w:val="85"/>
        </w:numPr>
        <w:bidi w:val="0"/>
        <w:rPr>
          <w:rFonts w:hint="eastAsia"/>
        </w:rPr>
      </w:pPr>
      <w:r>
        <w:rPr>
          <w:rFonts w:hint="eastAsia"/>
        </w:rPr>
        <w:t>上下中段的矿房和矿柱宜相对应，规格也宜相同。</w:t>
      </w:r>
    </w:p>
    <w:p w14:paraId="5F6131A4">
      <w:pPr>
        <w:pStyle w:val="21"/>
        <w:numPr>
          <w:ilvl w:val="0"/>
          <w:numId w:val="85"/>
        </w:numPr>
        <w:bidi w:val="0"/>
        <w:rPr>
          <w:rFonts w:hint="eastAsia"/>
        </w:rPr>
      </w:pPr>
      <w:r>
        <w:rPr>
          <w:rFonts w:hint="eastAsia"/>
        </w:rPr>
        <w:t>严禁建设单位在建设和生产中越过设计矿区范围进行建设和生产。矿山应严格按设计及规范要求对采空区进行处理，做好采空区的监控、治理措施，确保采矿生产的安全，严禁对中段保安矿柱进行回采，以防止上部中段开采结束后出现矿岩陷落等安全隐患，禁止任何人员在安全保障措施不完备的情况下进入采空区。</w:t>
      </w:r>
    </w:p>
    <w:p w14:paraId="201FCCB0">
      <w:pPr>
        <w:pStyle w:val="29"/>
        <w:bidi w:val="0"/>
        <w:rPr>
          <w:rFonts w:hint="eastAsia"/>
        </w:rPr>
      </w:pPr>
      <w:r>
        <w:rPr>
          <w:rFonts w:hint="default"/>
          <w:lang w:val="en-US" w:eastAsia="zh-CN"/>
        </w:rPr>
        <w:t>通风防尘</w:t>
      </w:r>
    </w:p>
    <w:p w14:paraId="4727AAEA">
      <w:pPr>
        <w:pStyle w:val="21"/>
        <w:numPr>
          <w:ilvl w:val="0"/>
          <w:numId w:val="86"/>
        </w:numPr>
        <w:bidi w:val="0"/>
        <w:rPr>
          <w:rFonts w:hint="eastAsia"/>
        </w:rPr>
      </w:pPr>
      <w:r>
        <w:rPr>
          <w:rFonts w:hint="eastAsia"/>
        </w:rPr>
        <w:t>进风井巷空气温度应不低于2℃；低于2℃时应有空气加热设施。不应采用明火直接加热进入矿井的空气。安全设施设计应完善此部分内容。</w:t>
      </w:r>
    </w:p>
    <w:p w14:paraId="3A883AD6">
      <w:pPr>
        <w:pStyle w:val="21"/>
        <w:numPr>
          <w:ilvl w:val="0"/>
          <w:numId w:val="86"/>
        </w:numPr>
        <w:bidi w:val="0"/>
        <w:rPr>
          <w:rFonts w:hint="eastAsia"/>
        </w:rPr>
      </w:pPr>
      <w:r>
        <w:rPr>
          <w:rFonts w:hint="eastAsia"/>
        </w:rPr>
        <w:t>应根据生产变化，及时调整矿井通风系统，并绘制全矿通风系统图。通风系统图应标明风流的方向和风量、与通风系统分离的区域、所有风机和通风构筑物的位置等。</w:t>
      </w:r>
    </w:p>
    <w:p w14:paraId="216FBC2D">
      <w:pPr>
        <w:pStyle w:val="21"/>
        <w:numPr>
          <w:ilvl w:val="0"/>
          <w:numId w:val="86"/>
        </w:numPr>
        <w:bidi w:val="0"/>
        <w:rPr>
          <w:rFonts w:hint="eastAsia"/>
        </w:rPr>
      </w:pPr>
      <w:r>
        <w:rPr>
          <w:rFonts w:hint="eastAsia"/>
        </w:rPr>
        <w:t>采场形成通风系统之前，不应进行回采作业。</w:t>
      </w:r>
    </w:p>
    <w:p w14:paraId="6AFC83F6">
      <w:pPr>
        <w:pStyle w:val="21"/>
        <w:numPr>
          <w:ilvl w:val="0"/>
          <w:numId w:val="86"/>
        </w:numPr>
        <w:bidi w:val="0"/>
        <w:rPr>
          <w:rFonts w:hint="eastAsia"/>
        </w:rPr>
      </w:pPr>
      <w:r>
        <w:rPr>
          <w:rFonts w:hint="eastAsia"/>
        </w:rPr>
        <w:t>采空区应及时密闭。采场开采结束后及时充填，充填后应封闭所有与采空区相通的影响正常通风的巷道；</w:t>
      </w:r>
    </w:p>
    <w:p w14:paraId="7D7476AA">
      <w:pPr>
        <w:pStyle w:val="21"/>
        <w:numPr>
          <w:ilvl w:val="0"/>
          <w:numId w:val="86"/>
        </w:numPr>
        <w:bidi w:val="0"/>
        <w:rPr>
          <w:rFonts w:hint="eastAsia"/>
        </w:rPr>
      </w:pPr>
      <w:r>
        <w:rPr>
          <w:rFonts w:hint="eastAsia"/>
        </w:rPr>
        <w:t>采用局扇通风的方式，保证分段联络道应有足够的新鲜风流。</w:t>
      </w:r>
    </w:p>
    <w:p w14:paraId="5763BDB7">
      <w:pPr>
        <w:pStyle w:val="29"/>
        <w:bidi w:val="0"/>
        <w:rPr>
          <w:rFonts w:hint="default"/>
          <w:lang w:val="en-US" w:eastAsia="zh-CN"/>
        </w:rPr>
      </w:pPr>
      <w:r>
        <w:rPr>
          <w:rFonts w:hint="default"/>
          <w:lang w:val="en-US" w:eastAsia="zh-CN"/>
        </w:rPr>
        <w:t>矿山电气</w:t>
      </w:r>
    </w:p>
    <w:p w14:paraId="25798A2A">
      <w:pPr>
        <w:pStyle w:val="21"/>
        <w:numPr>
          <w:ilvl w:val="0"/>
          <w:numId w:val="87"/>
        </w:numPr>
        <w:bidi w:val="0"/>
        <w:rPr>
          <w:rFonts w:hint="eastAsia"/>
        </w:rPr>
      </w:pPr>
      <w:r>
        <w:rPr>
          <w:rFonts w:hint="eastAsia"/>
        </w:rPr>
        <w:t>矿山应使用取得矿用产品安全标志的电缆。</w:t>
      </w:r>
    </w:p>
    <w:p w14:paraId="7187AC31">
      <w:pPr>
        <w:pStyle w:val="21"/>
        <w:numPr>
          <w:ilvl w:val="0"/>
          <w:numId w:val="87"/>
        </w:numPr>
        <w:bidi w:val="0"/>
        <w:rPr>
          <w:rFonts w:hint="eastAsia"/>
        </w:rPr>
      </w:pPr>
      <w:r>
        <w:rPr>
          <w:rFonts w:hint="eastAsia"/>
        </w:rPr>
        <w:t>严格执行空压机安全操作的规程。开机前要认真进行检查，确认无误后方可起动；运转时要按时进行巡回检查，发现问题，及时进行处理。</w:t>
      </w:r>
    </w:p>
    <w:p w14:paraId="207DCA65">
      <w:pPr>
        <w:pStyle w:val="21"/>
        <w:numPr>
          <w:ilvl w:val="0"/>
          <w:numId w:val="87"/>
        </w:numPr>
        <w:bidi w:val="0"/>
        <w:rPr>
          <w:rFonts w:hint="eastAsia"/>
        </w:rPr>
      </w:pPr>
      <w:r>
        <w:rPr>
          <w:rFonts w:hint="eastAsia"/>
        </w:rPr>
        <w:t>冷却水不得中断，出水温度不应超过40℃，并应有断水保护或断水信号。</w:t>
      </w:r>
    </w:p>
    <w:p w14:paraId="4E0E04B5">
      <w:pPr>
        <w:pStyle w:val="21"/>
        <w:numPr>
          <w:ilvl w:val="0"/>
          <w:numId w:val="87"/>
        </w:numPr>
        <w:bidi w:val="0"/>
        <w:rPr>
          <w:rFonts w:hint="eastAsia"/>
        </w:rPr>
      </w:pPr>
      <w:r>
        <w:rPr>
          <w:rFonts w:hint="eastAsia"/>
        </w:rPr>
        <w:t>气缸要使用专用的压缩机油，其闪点不得低于215℃。</w:t>
      </w:r>
    </w:p>
    <w:p w14:paraId="1705478B">
      <w:pPr>
        <w:pStyle w:val="21"/>
        <w:numPr>
          <w:ilvl w:val="0"/>
          <w:numId w:val="87"/>
        </w:numPr>
        <w:bidi w:val="0"/>
        <w:rPr>
          <w:rFonts w:hint="eastAsia"/>
        </w:rPr>
      </w:pPr>
      <w:r>
        <w:rPr>
          <w:rFonts w:hint="eastAsia"/>
        </w:rPr>
        <w:t>安全阀和压力调节器必须动作可靠，压力表指示准确。安全阀动作压力不得超过额定值的10%。定期检验安全阀，防止安全阀失灵。</w:t>
      </w:r>
    </w:p>
    <w:p w14:paraId="44937815">
      <w:pPr>
        <w:pStyle w:val="21"/>
        <w:numPr>
          <w:ilvl w:val="0"/>
          <w:numId w:val="87"/>
        </w:numPr>
        <w:bidi w:val="0"/>
        <w:rPr>
          <w:rFonts w:hint="eastAsia"/>
        </w:rPr>
      </w:pPr>
      <w:r>
        <w:rPr>
          <w:rFonts w:hint="eastAsia"/>
        </w:rPr>
        <w:t>风阀要加强维护、定期清洗积炭，消除漏气。</w:t>
      </w:r>
    </w:p>
    <w:p w14:paraId="327587E1">
      <w:pPr>
        <w:pStyle w:val="21"/>
        <w:numPr>
          <w:ilvl w:val="0"/>
          <w:numId w:val="87"/>
        </w:numPr>
        <w:bidi w:val="0"/>
        <w:rPr>
          <w:rFonts w:hint="eastAsia"/>
        </w:rPr>
      </w:pPr>
      <w:r>
        <w:rPr>
          <w:rFonts w:hint="eastAsia"/>
        </w:rPr>
        <w:t>绝缘损坏的橡套电缆，应经修理、试验合格，方准使用。在长度150m范围内，橡套电缆接头应不超过10个，否则应予以报废。</w:t>
      </w:r>
    </w:p>
    <w:p w14:paraId="3A33C66E">
      <w:pPr>
        <w:pStyle w:val="21"/>
        <w:numPr>
          <w:ilvl w:val="0"/>
          <w:numId w:val="87"/>
        </w:numPr>
        <w:bidi w:val="0"/>
        <w:rPr>
          <w:rFonts w:hint="eastAsia"/>
        </w:rPr>
      </w:pPr>
      <w:r>
        <w:rPr>
          <w:rFonts w:hint="eastAsia"/>
        </w:rPr>
        <w:t>在停电线路上工作时，应先采取验电和挂接地线等安全措施。工作完毕，应及时将地线拆除后再通电。</w:t>
      </w:r>
    </w:p>
    <w:p w14:paraId="69E513EE">
      <w:pPr>
        <w:pStyle w:val="21"/>
        <w:numPr>
          <w:ilvl w:val="0"/>
          <w:numId w:val="87"/>
        </w:numPr>
        <w:bidi w:val="0"/>
        <w:rPr>
          <w:rFonts w:hint="eastAsia"/>
        </w:rPr>
      </w:pPr>
      <w:r>
        <w:rPr>
          <w:rFonts w:hint="eastAsia"/>
        </w:rPr>
        <w:t>电气设备和装置的金属框架或外壳、电缆和金属包皮、互感器的二次绕组，应按有关规定进行保护接地。</w:t>
      </w:r>
    </w:p>
    <w:p w14:paraId="3269B986">
      <w:pPr>
        <w:pStyle w:val="21"/>
        <w:numPr>
          <w:ilvl w:val="0"/>
          <w:numId w:val="87"/>
        </w:numPr>
        <w:bidi w:val="0"/>
        <w:rPr>
          <w:rFonts w:hint="eastAsia"/>
        </w:rPr>
      </w:pPr>
      <w:r>
        <w:rPr>
          <w:rFonts w:hint="eastAsia"/>
        </w:rPr>
        <w:t>接地线应采用并联方式，不应将各电气设备的接地线串联接地。</w:t>
      </w:r>
    </w:p>
    <w:p w14:paraId="76C677F3">
      <w:pPr>
        <w:pStyle w:val="21"/>
        <w:numPr>
          <w:ilvl w:val="0"/>
          <w:numId w:val="87"/>
        </w:numPr>
        <w:bidi w:val="0"/>
        <w:rPr>
          <w:rFonts w:hint="eastAsia"/>
        </w:rPr>
      </w:pPr>
      <w:r>
        <w:rPr>
          <w:rFonts w:hint="eastAsia"/>
        </w:rPr>
        <w:t>接地电阻应每年测定一次，测定工作宜在该地区地下水位最低，最干燥的季节进行。</w:t>
      </w:r>
    </w:p>
    <w:p w14:paraId="130392DF">
      <w:pPr>
        <w:pStyle w:val="21"/>
        <w:numPr>
          <w:ilvl w:val="0"/>
          <w:numId w:val="87"/>
        </w:numPr>
        <w:bidi w:val="0"/>
        <w:rPr>
          <w:rFonts w:hint="eastAsia"/>
        </w:rPr>
      </w:pPr>
      <w:r>
        <w:rPr>
          <w:rFonts w:hint="eastAsia"/>
        </w:rPr>
        <w:t>直流线路零线的重复接地，应用人工接地体，不应与地下管网有金属联系。</w:t>
      </w:r>
    </w:p>
    <w:p w14:paraId="17C5C62E">
      <w:pPr>
        <w:pStyle w:val="21"/>
        <w:numPr>
          <w:ilvl w:val="0"/>
          <w:numId w:val="87"/>
        </w:numPr>
        <w:bidi w:val="0"/>
        <w:rPr>
          <w:rFonts w:hint="eastAsia"/>
        </w:rPr>
      </w:pPr>
      <w:r>
        <w:rPr>
          <w:rFonts w:hint="eastAsia"/>
        </w:rPr>
        <w:t>接地电阻应每年测定一次。</w:t>
      </w:r>
    </w:p>
    <w:p w14:paraId="0D6F6DE2">
      <w:pPr>
        <w:pStyle w:val="21"/>
        <w:numPr>
          <w:ilvl w:val="0"/>
          <w:numId w:val="87"/>
        </w:numPr>
        <w:bidi w:val="0"/>
        <w:rPr>
          <w:rFonts w:hint="eastAsia"/>
        </w:rPr>
      </w:pPr>
      <w:r>
        <w:rPr>
          <w:rFonts w:hint="eastAsia"/>
        </w:rPr>
        <w:t>机械设备裸露的传动部位、转动部位，要按规定配备必要的防护装置。</w:t>
      </w:r>
    </w:p>
    <w:p w14:paraId="468498D6">
      <w:pPr>
        <w:pStyle w:val="21"/>
        <w:numPr>
          <w:ilvl w:val="0"/>
          <w:numId w:val="87"/>
        </w:numPr>
        <w:bidi w:val="0"/>
        <w:rPr>
          <w:rFonts w:hint="eastAsia"/>
        </w:rPr>
      </w:pPr>
      <w:r>
        <w:rPr>
          <w:rFonts w:hint="eastAsia"/>
        </w:rPr>
        <w:t>设备在检修前必须切断电源，并挂上“有人工作，禁止送电”的标志牌，在机内或机下工作时，应有防止机器转动的措施。</w:t>
      </w:r>
    </w:p>
    <w:p w14:paraId="1D89C26B">
      <w:pPr>
        <w:pStyle w:val="21"/>
        <w:numPr>
          <w:ilvl w:val="0"/>
          <w:numId w:val="87"/>
        </w:numPr>
        <w:bidi w:val="0"/>
        <w:rPr>
          <w:rFonts w:hint="eastAsia"/>
        </w:rPr>
      </w:pPr>
      <w:r>
        <w:rPr>
          <w:rFonts w:hint="eastAsia"/>
        </w:rPr>
        <w:t>设备安装和检修完后，必须经过认真的检查，确认无误后，方可开机运转。</w:t>
      </w:r>
    </w:p>
    <w:p w14:paraId="73FB9095">
      <w:pPr>
        <w:pStyle w:val="29"/>
        <w:bidi w:val="0"/>
        <w:rPr>
          <w:rFonts w:hint="eastAsia"/>
        </w:rPr>
      </w:pPr>
      <w:r>
        <w:rPr>
          <w:rFonts w:hint="eastAsia"/>
        </w:rPr>
        <w:t>防排水与防灭火单元</w:t>
      </w:r>
    </w:p>
    <w:p w14:paraId="3246E723">
      <w:pPr>
        <w:pStyle w:val="21"/>
        <w:numPr>
          <w:ilvl w:val="0"/>
          <w:numId w:val="88"/>
        </w:numPr>
        <w:bidi w:val="0"/>
        <w:rPr>
          <w:rFonts w:hint="eastAsia"/>
        </w:rPr>
      </w:pPr>
      <w:r>
        <w:rPr>
          <w:rFonts w:hint="eastAsia"/>
        </w:rPr>
        <w:t>每年雨季前，应由主管矿长组织一次防水检查，并编制防水计划。其工程应在雨季前竣工。</w:t>
      </w:r>
    </w:p>
    <w:p w14:paraId="3763632C">
      <w:pPr>
        <w:pStyle w:val="21"/>
        <w:numPr>
          <w:ilvl w:val="0"/>
          <w:numId w:val="88"/>
        </w:numPr>
        <w:bidi w:val="0"/>
        <w:rPr>
          <w:rFonts w:hint="eastAsia"/>
        </w:rPr>
      </w:pPr>
      <w:r>
        <w:rPr>
          <w:rFonts w:hint="eastAsia"/>
        </w:rPr>
        <w:t>采掘过程中，应该采取超前探放水措施。</w:t>
      </w:r>
    </w:p>
    <w:p w14:paraId="16A8868A">
      <w:pPr>
        <w:pStyle w:val="21"/>
        <w:numPr>
          <w:ilvl w:val="0"/>
          <w:numId w:val="88"/>
        </w:numPr>
        <w:bidi w:val="0"/>
        <w:rPr>
          <w:rFonts w:hint="eastAsia"/>
        </w:rPr>
      </w:pPr>
      <w:r>
        <w:rPr>
          <w:rFonts w:hint="eastAsia"/>
        </w:rPr>
        <w:t>探水前应做好下列准备工作：检查钻孔近坑道的稳定性；清理巷道、准备水沟或其它水路；在工作地点或附近安装电话；巷道及其出口要有照明和便于人员通行的道路。</w:t>
      </w:r>
    </w:p>
    <w:p w14:paraId="09BC8990">
      <w:pPr>
        <w:pStyle w:val="21"/>
        <w:numPr>
          <w:ilvl w:val="0"/>
          <w:numId w:val="88"/>
        </w:numPr>
        <w:bidi w:val="0"/>
        <w:rPr>
          <w:rFonts w:hint="eastAsia"/>
        </w:rPr>
      </w:pPr>
      <w:r>
        <w:rPr>
          <w:rFonts w:hint="eastAsia"/>
        </w:rPr>
        <w:t>打探水眼时，如发现岩石变软（变软），或沿钻杆向外流水超过正常打钻供水量等现象时，必须停止打钻。</w:t>
      </w:r>
    </w:p>
    <w:p w14:paraId="61452DC0">
      <w:pPr>
        <w:pStyle w:val="21"/>
        <w:numPr>
          <w:ilvl w:val="0"/>
          <w:numId w:val="88"/>
        </w:numPr>
        <w:bidi w:val="0"/>
        <w:rPr>
          <w:rFonts w:hint="eastAsia"/>
        </w:rPr>
      </w:pPr>
      <w:r>
        <w:rPr>
          <w:rFonts w:hint="eastAsia"/>
        </w:rPr>
        <w:t>探水、防水工作应由有经验的工人根据专门设计进行。</w:t>
      </w:r>
    </w:p>
    <w:p w14:paraId="6E3FD321">
      <w:pPr>
        <w:pStyle w:val="21"/>
        <w:numPr>
          <w:ilvl w:val="0"/>
          <w:numId w:val="88"/>
        </w:numPr>
        <w:bidi w:val="0"/>
        <w:rPr>
          <w:rFonts w:hint="eastAsia"/>
        </w:rPr>
      </w:pPr>
      <w:r>
        <w:rPr>
          <w:rFonts w:hint="eastAsia"/>
        </w:rPr>
        <w:t>必须使泵房水泵保持完好状态，发生故障及时修理，时刻保证水泵能够正常工作，以20小时的矿井最大涌水，确保矿井安全。</w:t>
      </w:r>
    </w:p>
    <w:p w14:paraId="078AE227">
      <w:pPr>
        <w:pStyle w:val="21"/>
        <w:numPr>
          <w:ilvl w:val="0"/>
          <w:numId w:val="88"/>
        </w:numPr>
        <w:bidi w:val="0"/>
        <w:rPr>
          <w:rFonts w:hint="eastAsia"/>
        </w:rPr>
      </w:pPr>
      <w:r>
        <w:rPr>
          <w:rFonts w:hint="eastAsia"/>
        </w:rPr>
        <w:t>井下水泵房附近应备足沙袋、枕木等堵水材料。如产生突然涌水用来做挡水墙。</w:t>
      </w:r>
    </w:p>
    <w:p w14:paraId="4673D604">
      <w:pPr>
        <w:pStyle w:val="21"/>
        <w:numPr>
          <w:ilvl w:val="0"/>
          <w:numId w:val="88"/>
        </w:numPr>
        <w:bidi w:val="0"/>
        <w:rPr>
          <w:rFonts w:hint="eastAsia"/>
        </w:rPr>
      </w:pPr>
      <w:r>
        <w:rPr>
          <w:rFonts w:hint="eastAsia"/>
        </w:rPr>
        <w:t>每年雨季期间应及时与当地气象部门联系，如遇下雨天应停止生产，及时撤出井下人员。雨停后要派专人进行井下积水勘察，发现积水及时排出。</w:t>
      </w:r>
      <w:bookmarkStart w:id="62" w:name="_Toc262313581"/>
    </w:p>
    <w:p w14:paraId="38A6B239">
      <w:pPr>
        <w:pStyle w:val="21"/>
        <w:numPr>
          <w:ilvl w:val="0"/>
          <w:numId w:val="88"/>
        </w:numPr>
        <w:bidi w:val="0"/>
        <w:rPr>
          <w:rFonts w:hint="default"/>
          <w:lang w:val="en-US" w:eastAsia="zh-CN"/>
        </w:rPr>
      </w:pPr>
      <w:r>
        <w:rPr>
          <w:rFonts w:hint="eastAsia"/>
          <w:lang w:val="sq-AL"/>
        </w:rPr>
        <w:t>建议安全设施设计中，</w:t>
      </w:r>
      <w:r>
        <w:rPr>
          <w:rFonts w:hint="eastAsia"/>
        </w:rPr>
        <w:t>应补充井下消防栓设置内容。</w:t>
      </w:r>
      <w:bookmarkEnd w:id="62"/>
    </w:p>
    <w:p w14:paraId="68DDA42C">
      <w:pPr>
        <w:pStyle w:val="29"/>
        <w:bidi w:val="0"/>
        <w:rPr>
          <w:rFonts w:hint="default"/>
          <w:lang w:val="en-US" w:eastAsia="zh-CN"/>
        </w:rPr>
      </w:pPr>
      <w:r>
        <w:rPr>
          <w:rFonts w:hint="default"/>
          <w:lang w:val="en-US" w:eastAsia="zh-CN"/>
        </w:rPr>
        <w:t>废石场单元</w:t>
      </w:r>
    </w:p>
    <w:p w14:paraId="0B7B3C33">
      <w:pPr>
        <w:pStyle w:val="21"/>
        <w:numPr>
          <w:ilvl w:val="0"/>
          <w:numId w:val="89"/>
        </w:numPr>
        <w:bidi w:val="0"/>
        <w:rPr>
          <w:rFonts w:hint="eastAsia"/>
          <w:lang w:val="sq-AL"/>
        </w:rPr>
      </w:pPr>
      <w:r>
        <w:rPr>
          <w:rFonts w:hint="eastAsia"/>
          <w:lang w:val="sq-AL"/>
        </w:rPr>
        <w:t>排土作业时，应有专人指挥，非作业人员一律不得进入排土作业区，凡进入作业区内工作人员、车辆、工程机械必须服从指挥人员的指挥。</w:t>
      </w:r>
    </w:p>
    <w:p w14:paraId="2CDC94D5">
      <w:pPr>
        <w:pStyle w:val="21"/>
        <w:numPr>
          <w:ilvl w:val="0"/>
          <w:numId w:val="89"/>
        </w:numPr>
        <w:bidi w:val="0"/>
        <w:rPr>
          <w:rFonts w:hint="eastAsia"/>
          <w:lang w:val="sq-AL"/>
        </w:rPr>
      </w:pPr>
      <w:r>
        <w:rPr>
          <w:rFonts w:hint="eastAsia"/>
          <w:lang w:val="sq-AL"/>
        </w:rPr>
        <w:t>废石场平台必须平整，排土线应整体均衡推进，坡顶线应呈直线形或弧形，排土工作面向坡顶线方向应有3%～5%的反坡。</w:t>
      </w:r>
    </w:p>
    <w:p w14:paraId="75F27013">
      <w:pPr>
        <w:pStyle w:val="21"/>
        <w:numPr>
          <w:ilvl w:val="0"/>
          <w:numId w:val="89"/>
        </w:numPr>
        <w:bidi w:val="0"/>
        <w:rPr>
          <w:rFonts w:hint="eastAsia"/>
          <w:lang w:val="sq-AL"/>
        </w:rPr>
      </w:pPr>
      <w:r>
        <w:rPr>
          <w:rFonts w:hint="eastAsia"/>
          <w:lang w:val="sq-AL"/>
        </w:rPr>
        <w:t>排土卸载平台边缘要设置安全车挡，其高度不小于轮胎直径的2/5，车挡顶部和底部宽度应分别不小于轮胎直径的1/3和1.3倍；设置移动车挡设施的，要按移动车挡要求作业。</w:t>
      </w:r>
    </w:p>
    <w:p w14:paraId="24C481CD">
      <w:pPr>
        <w:pStyle w:val="21"/>
        <w:numPr>
          <w:ilvl w:val="0"/>
          <w:numId w:val="89"/>
        </w:numPr>
        <w:bidi w:val="0"/>
        <w:rPr>
          <w:rFonts w:hint="eastAsia"/>
          <w:lang w:val="sq-AL"/>
        </w:rPr>
      </w:pPr>
      <w:r>
        <w:rPr>
          <w:rFonts w:hint="eastAsia"/>
          <w:lang w:val="sq-AL"/>
        </w:rPr>
        <w:t>应按规定顺序排弃土岩，在同一地段进行卸车和推土作业时，设备之间必须保持足够的安全距离。</w:t>
      </w:r>
    </w:p>
    <w:p w14:paraId="5742598F">
      <w:pPr>
        <w:pStyle w:val="21"/>
        <w:numPr>
          <w:ilvl w:val="0"/>
          <w:numId w:val="89"/>
        </w:numPr>
        <w:bidi w:val="0"/>
        <w:rPr>
          <w:rFonts w:hint="eastAsia"/>
          <w:lang w:val="sq-AL"/>
        </w:rPr>
      </w:pPr>
      <w:r>
        <w:rPr>
          <w:rFonts w:hint="eastAsia"/>
          <w:lang w:val="sq-AL"/>
        </w:rPr>
        <w:t>卸土时，汽车应垂直于排土工作线；严禁高速倒车、冲撞安全车档。</w:t>
      </w:r>
    </w:p>
    <w:p w14:paraId="54A763A0">
      <w:pPr>
        <w:pStyle w:val="21"/>
        <w:numPr>
          <w:ilvl w:val="0"/>
          <w:numId w:val="89"/>
        </w:numPr>
        <w:bidi w:val="0"/>
        <w:rPr>
          <w:rFonts w:hint="eastAsia"/>
          <w:lang w:val="sq-AL"/>
        </w:rPr>
      </w:pPr>
      <w:r>
        <w:rPr>
          <w:rFonts w:hint="eastAsia"/>
          <w:lang w:val="sq-AL"/>
        </w:rPr>
        <w:t>推土时，在排土场边缘严禁推土机沿平行坡顶线方向推土。</w:t>
      </w:r>
    </w:p>
    <w:p w14:paraId="6050EBF8">
      <w:pPr>
        <w:pStyle w:val="21"/>
        <w:numPr>
          <w:ilvl w:val="0"/>
          <w:numId w:val="89"/>
        </w:numPr>
        <w:bidi w:val="0"/>
        <w:rPr>
          <w:rFonts w:hint="eastAsia"/>
          <w:lang w:val="sq-AL"/>
        </w:rPr>
      </w:pPr>
      <w:r>
        <w:rPr>
          <w:rFonts w:hint="eastAsia"/>
          <w:lang w:val="sq-AL"/>
        </w:rPr>
        <w:t>排土安全车挡或反坡不符合规定、坡顶线内侧30米范围内有大面积裂缝或不均匀下沉时，禁止汽车进入该危险区，排土场作业人员需对排土场作出及时处理。</w:t>
      </w:r>
    </w:p>
    <w:p w14:paraId="20A76729">
      <w:pPr>
        <w:pStyle w:val="29"/>
        <w:bidi w:val="0"/>
        <w:rPr>
          <w:rFonts w:hint="default"/>
          <w:lang w:val="en-US" w:eastAsia="zh-CN"/>
        </w:rPr>
      </w:pPr>
      <w:r>
        <w:rPr>
          <w:rFonts w:hint="default"/>
          <w:lang w:val="en-US" w:eastAsia="zh-CN"/>
        </w:rPr>
        <w:t>安全管理单元</w:t>
      </w:r>
    </w:p>
    <w:p w14:paraId="77FD10CE">
      <w:pPr>
        <w:pStyle w:val="21"/>
        <w:numPr>
          <w:ilvl w:val="0"/>
          <w:numId w:val="90"/>
        </w:numPr>
        <w:bidi w:val="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地下矿山应保存下列图纸，并根据实际情况的变化</w:t>
      </w:r>
      <w:r>
        <w:rPr>
          <w:rFonts w:hint="eastAsia" w:ascii="Times New Roman" w:hAnsi="Times New Roman"/>
          <w:caps w:val="0"/>
          <w:smallCaps w:val="0"/>
          <w:sz w:val="28"/>
          <w:szCs w:val="28"/>
        </w:rPr>
        <w:t>每</w:t>
      </w:r>
      <w:r>
        <w:rPr>
          <w:rFonts w:hint="eastAsia" w:ascii="Times New Roman" w:hAnsi="Times New Roman"/>
          <w:caps w:val="0"/>
          <w:smallCaps w:val="0"/>
          <w:sz w:val="28"/>
          <w:szCs w:val="28"/>
          <w:lang w:val="zh-CN"/>
        </w:rPr>
        <w:t>3个月更新</w:t>
      </w:r>
      <w:r>
        <w:rPr>
          <w:rFonts w:hint="eastAsia" w:ascii="Times New Roman" w:hAnsi="Times New Roman"/>
          <w:caps w:val="0"/>
          <w:smallCaps w:val="0"/>
          <w:sz w:val="28"/>
          <w:szCs w:val="28"/>
        </w:rPr>
        <w:t>一次</w:t>
      </w:r>
      <w:r>
        <w:rPr>
          <w:rFonts w:hint="eastAsia" w:ascii="Times New Roman" w:hAnsi="Times New Roman"/>
          <w:caps w:val="0"/>
          <w:smallCaps w:val="0"/>
          <w:sz w:val="28"/>
          <w:szCs w:val="28"/>
          <w:lang w:val="zh-CN"/>
        </w:rPr>
        <w:t>，</w:t>
      </w:r>
      <w:r>
        <w:rPr>
          <w:rFonts w:hint="eastAsia" w:ascii="Times New Roman" w:hAnsi="Times New Roman"/>
          <w:caps w:val="0"/>
          <w:smallCaps w:val="0"/>
          <w:sz w:val="28"/>
          <w:szCs w:val="28"/>
        </w:rPr>
        <w:t>基建矿山每1个月更新一次</w:t>
      </w:r>
      <w:r>
        <w:rPr>
          <w:rFonts w:hint="eastAsia" w:ascii="Times New Roman" w:hAnsi="Times New Roman"/>
          <w:caps w:val="0"/>
          <w:smallCaps w:val="0"/>
          <w:sz w:val="28"/>
          <w:szCs w:val="28"/>
          <w:lang w:val="zh-CN"/>
        </w:rPr>
        <w:t>：</w:t>
      </w:r>
    </w:p>
    <w:p w14:paraId="7B269E5D">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——矿区地形地质图、水文地质图（含平面和剖面）；</w:t>
      </w:r>
    </w:p>
    <w:p w14:paraId="6923168D">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 xml:space="preserve">——开拓系统图； </w:t>
      </w:r>
    </w:p>
    <w:p w14:paraId="418DD617">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 xml:space="preserve">——中段平面图； </w:t>
      </w:r>
    </w:p>
    <w:p w14:paraId="6D78134E">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——通风系统图；</w:t>
      </w:r>
    </w:p>
    <w:p w14:paraId="40078740">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 xml:space="preserve">——井上、井下对照图； </w:t>
      </w:r>
    </w:p>
    <w:p w14:paraId="58786A32">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 xml:space="preserve">——压风、供水、排水系统图； </w:t>
      </w:r>
    </w:p>
    <w:p w14:paraId="7A56C730">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 xml:space="preserve">——通信系统图； </w:t>
      </w:r>
    </w:p>
    <w:p w14:paraId="5F95EAE7">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 xml:space="preserve">——供配电系统图； </w:t>
      </w:r>
    </w:p>
    <w:p w14:paraId="3801C1E4">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 xml:space="preserve">——井下避灾路线图； </w:t>
      </w:r>
    </w:p>
    <w:p w14:paraId="24C0BF16">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 xml:space="preserve">——相邻采区或矿山与本矿山空间位置关系图。 </w:t>
      </w:r>
    </w:p>
    <w:p w14:paraId="458BE0DC">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 xml:space="preserve">图中应正确标记： </w:t>
      </w:r>
    </w:p>
    <w:p w14:paraId="34B6F032">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 xml:space="preserve">——已掘进巷道和计划掘进巷道的位置、名称、规格； </w:t>
      </w:r>
    </w:p>
    <w:p w14:paraId="714E2D1E">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——采空区和已充填采空区、废弃井巷和计划开采的采场的位置、名称与尺寸；</w:t>
      </w:r>
    </w:p>
    <w:p w14:paraId="53DA0087">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 xml:space="preserve">——通风、防尘、防火、防水、排水等主要设备和设施的位置； </w:t>
      </w:r>
    </w:p>
    <w:p w14:paraId="481B1BCB">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 xml:space="preserve">——风流方向，人员安全撤离的路线和安全出口； </w:t>
      </w:r>
    </w:p>
    <w:p w14:paraId="113F73A5">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 xml:space="preserve">——井下通信设备位置； </w:t>
      </w:r>
    </w:p>
    <w:p w14:paraId="4328B394">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——采空区及废弃井巷的处理方式、进度、现状及地表塌陷区的位置。</w:t>
      </w:r>
    </w:p>
    <w:p w14:paraId="43C1A601">
      <w:pPr>
        <w:pStyle w:val="21"/>
        <w:numPr>
          <w:ilvl w:val="0"/>
          <w:numId w:val="90"/>
        </w:numPr>
        <w:bidi w:val="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任何人不应酒后进入矿山作业场所，不应将酒类饮料带入矿 山作业场所；紧急医疗除外。</w:t>
      </w:r>
    </w:p>
    <w:p w14:paraId="249DDD59">
      <w:pPr>
        <w:pStyle w:val="21"/>
        <w:numPr>
          <w:ilvl w:val="0"/>
          <w:numId w:val="90"/>
        </w:numPr>
        <w:bidi w:val="0"/>
        <w:rPr>
          <w:rFonts w:hint="eastAsia"/>
          <w:lang w:val="zh-CN"/>
        </w:rPr>
      </w:pPr>
      <w:r>
        <w:rPr>
          <w:rFonts w:hint="eastAsia"/>
          <w:lang w:val="zh-CN"/>
        </w:rPr>
        <w:t>矿山井下禁止吸烟。</w:t>
      </w:r>
    </w:p>
    <w:p w14:paraId="7B42461B">
      <w:pPr>
        <w:pStyle w:val="21"/>
        <w:numPr>
          <w:ilvl w:val="0"/>
          <w:numId w:val="90"/>
        </w:numPr>
        <w:bidi w:val="0"/>
        <w:rPr>
          <w:rFonts w:hint="eastAsia"/>
          <w:lang w:val="zh-CN"/>
        </w:rPr>
      </w:pPr>
      <w:r>
        <w:rPr>
          <w:rFonts w:hint="eastAsia"/>
          <w:lang w:val="zh-CN"/>
        </w:rPr>
        <w:t>矿山企业的要害岗位、重要设备和设施周围及危险区域，应设置醒目的安全警示标志，并在生产使用期间保持完好。</w:t>
      </w:r>
    </w:p>
    <w:p w14:paraId="106E68D8">
      <w:pPr>
        <w:pStyle w:val="21"/>
        <w:numPr>
          <w:ilvl w:val="0"/>
          <w:numId w:val="90"/>
        </w:numPr>
        <w:bidi w:val="0"/>
        <w:rPr>
          <w:rFonts w:hint="eastAsia"/>
          <w:lang w:val="zh-CN"/>
        </w:rPr>
      </w:pPr>
      <w:r>
        <w:rPr>
          <w:rFonts w:hint="eastAsia"/>
          <w:lang w:val="zh-CN"/>
        </w:rPr>
        <w:t>矿山企业应对安全设施进行定期检查、维护和保养，记录结果并存档，记录应由相关人员签字确认；安全设施在用期间，不得拆除或者破坏。</w:t>
      </w:r>
    </w:p>
    <w:p w14:paraId="61024F59">
      <w:pPr>
        <w:pStyle w:val="21"/>
        <w:numPr>
          <w:ilvl w:val="0"/>
          <w:numId w:val="90"/>
        </w:numPr>
        <w:bidi w:val="0"/>
        <w:rPr>
          <w:rFonts w:hint="eastAsia"/>
          <w:lang w:val="zh-CN"/>
        </w:rPr>
      </w:pPr>
      <w:r>
        <w:rPr>
          <w:rFonts w:hint="eastAsia"/>
          <w:lang w:val="zh-CN"/>
        </w:rPr>
        <w:t>矿山设备不应在有明火或其他不安全因素的地点加油或加气。</w:t>
      </w:r>
    </w:p>
    <w:p w14:paraId="71B5786B">
      <w:pPr>
        <w:pStyle w:val="21"/>
        <w:numPr>
          <w:ilvl w:val="0"/>
          <w:numId w:val="90"/>
        </w:numPr>
        <w:bidi w:val="0"/>
        <w:rPr>
          <w:rFonts w:hint="eastAsia"/>
          <w:lang w:val="zh-CN"/>
        </w:rPr>
      </w:pPr>
      <w:r>
        <w:rPr>
          <w:rFonts w:hint="eastAsia"/>
          <w:lang w:val="zh-CN"/>
        </w:rPr>
        <w:t>矿山开拓工程及采场均必须设两个以上独立出口，以确保井下发生事故时作业人员能够安全撤出。安全出口井巷必须确保长期畅通，照明充足，中段运输平巷应长期确保人行道安全畅通。并应在通往第二安全出口巷道、岔口处悬挂明显的路标和安全警示标志。</w:t>
      </w:r>
    </w:p>
    <w:p w14:paraId="1067D383">
      <w:pPr>
        <w:pStyle w:val="21"/>
        <w:numPr>
          <w:ilvl w:val="0"/>
          <w:numId w:val="90"/>
        </w:numPr>
        <w:bidi w:val="0"/>
        <w:rPr>
          <w:rFonts w:hint="eastAsia"/>
          <w:lang w:val="zh-CN"/>
        </w:rPr>
      </w:pPr>
      <w:r>
        <w:rPr>
          <w:rFonts w:hint="eastAsia"/>
          <w:lang w:val="zh-CN"/>
        </w:rPr>
        <w:t>严格按照《关于发布金属非金属矿山禁止使用的设备及工艺目录（第一批）的通知》（安监总管一〔2013〕101号）的要求采用阻燃风筒和阻燃电缆，新掘、维修主要井巷禁止使用木支护。</w:t>
      </w:r>
    </w:p>
    <w:p w14:paraId="124BF91B">
      <w:pPr>
        <w:pStyle w:val="21"/>
        <w:numPr>
          <w:ilvl w:val="0"/>
          <w:numId w:val="90"/>
        </w:numPr>
        <w:bidi w:val="0"/>
        <w:rPr>
          <w:rFonts w:hint="eastAsia"/>
          <w:lang w:val="zh-CN"/>
        </w:rPr>
      </w:pPr>
      <w:r>
        <w:rPr>
          <w:rFonts w:hint="eastAsia"/>
          <w:lang w:val="zh-CN"/>
        </w:rPr>
        <w:t>必须在水平巷道的个别地段沿地面敷设电缆时，应用铁质或非可燃性材料覆盖。不应用木材覆盖电缆沟，不应在排水沟中敷设电缆。</w:t>
      </w:r>
    </w:p>
    <w:p w14:paraId="32B48B4D">
      <w:pPr>
        <w:pStyle w:val="21"/>
        <w:numPr>
          <w:ilvl w:val="0"/>
          <w:numId w:val="90"/>
        </w:numPr>
        <w:bidi w:val="0"/>
        <w:rPr>
          <w:rFonts w:hint="eastAsia"/>
          <w:lang w:val="zh-CN"/>
        </w:rPr>
      </w:pPr>
      <w:r>
        <w:rPr>
          <w:rFonts w:hint="eastAsia"/>
          <w:lang w:val="zh-CN"/>
        </w:rPr>
        <w:t>机械设备防护安全距离、机构设备防护罩和防护屏的安全要求以及设备安全卫生要求等应符合相关标准规范要求。</w:t>
      </w:r>
    </w:p>
    <w:p w14:paraId="238CB447">
      <w:pPr>
        <w:pStyle w:val="21"/>
        <w:numPr>
          <w:ilvl w:val="0"/>
          <w:numId w:val="90"/>
        </w:numPr>
        <w:bidi w:val="0"/>
        <w:rPr>
          <w:rFonts w:hint="eastAsia"/>
          <w:lang w:val="zh-CN"/>
        </w:rPr>
      </w:pPr>
      <w:r>
        <w:rPr>
          <w:rFonts w:hint="eastAsia"/>
          <w:lang w:val="zh-CN"/>
        </w:rPr>
        <w:t>企业按规定提取安全生产费用，安全生产经费不得挪作他用，确保安全设施的资金保障。地下矿山安全生产经费主要用在以下方面：</w:t>
      </w:r>
    </w:p>
    <w:p w14:paraId="064DBB10">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en-US" w:eastAsia="zh-CN"/>
        </w:rPr>
        <w:t>①</w:t>
      </w:r>
      <w:r>
        <w:rPr>
          <w:rFonts w:hint="eastAsia" w:ascii="Times New Roman" w:hAnsi="Times New Roman"/>
          <w:caps w:val="0"/>
          <w:smallCaps w:val="0"/>
          <w:sz w:val="28"/>
          <w:szCs w:val="28"/>
          <w:lang w:val="zh-CN"/>
        </w:rPr>
        <w:t>应急救援技术装备、设施配置和维护保养和应急演练支出；</w:t>
      </w:r>
    </w:p>
    <w:p w14:paraId="1A055F7A">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en-US" w:eastAsia="zh-CN"/>
        </w:rPr>
        <w:t>②</w:t>
      </w:r>
      <w:r>
        <w:rPr>
          <w:rFonts w:hint="eastAsia" w:ascii="Times New Roman" w:hAnsi="Times New Roman"/>
          <w:caps w:val="0"/>
          <w:smallCaps w:val="0"/>
          <w:sz w:val="28"/>
          <w:szCs w:val="28"/>
          <w:lang w:val="zh-CN"/>
        </w:rPr>
        <w:t>用于完善、改造和维护安全防护设施设备和重大安全隐患治理支出，主要包括矿山综合防尘、防灭火、防治水、井下空气监测、通风系统、支护、机电设备、供配电系统、运输系统以及实施地压监测监控等支出；</w:t>
      </w:r>
    </w:p>
    <w:p w14:paraId="78EAB211">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en-US" w:eastAsia="zh-CN"/>
        </w:rPr>
        <w:t>③</w:t>
      </w:r>
      <w:r>
        <w:rPr>
          <w:rFonts w:hint="eastAsia" w:ascii="Times New Roman" w:hAnsi="Times New Roman"/>
          <w:caps w:val="0"/>
          <w:smallCaps w:val="0"/>
          <w:sz w:val="28"/>
          <w:szCs w:val="28"/>
          <w:lang w:val="zh-CN"/>
        </w:rPr>
        <w:t>安全生产检查、评价、安全生产宣传、教育、培训等支出；</w:t>
      </w:r>
    </w:p>
    <w:p w14:paraId="7DD812C6">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en-US" w:eastAsia="zh-CN"/>
        </w:rPr>
        <w:t>④</w:t>
      </w:r>
      <w:r>
        <w:rPr>
          <w:rFonts w:hint="eastAsia" w:ascii="Times New Roman" w:hAnsi="Times New Roman"/>
          <w:caps w:val="0"/>
          <w:smallCaps w:val="0"/>
          <w:sz w:val="28"/>
          <w:szCs w:val="28"/>
          <w:lang w:val="zh-CN"/>
        </w:rPr>
        <w:t>按规定购置各种安全设备、器材、仪器；</w:t>
      </w:r>
    </w:p>
    <w:p w14:paraId="5DD6EF36">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en-US" w:eastAsia="zh-CN"/>
        </w:rPr>
        <w:t>⑤</w:t>
      </w:r>
      <w:r>
        <w:rPr>
          <w:rFonts w:hint="eastAsia" w:ascii="Times New Roman" w:hAnsi="Times New Roman"/>
          <w:caps w:val="0"/>
          <w:smallCaps w:val="0"/>
          <w:sz w:val="28"/>
          <w:szCs w:val="28"/>
          <w:lang w:val="zh-CN"/>
        </w:rPr>
        <w:t>配备和更新现场作业人员安全防护用品支出；</w:t>
      </w:r>
    </w:p>
    <w:p w14:paraId="0C5D717B">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en-US" w:eastAsia="zh-CN"/>
        </w:rPr>
        <w:t>⑥</w:t>
      </w:r>
      <w:r>
        <w:rPr>
          <w:rFonts w:hint="eastAsia" w:ascii="Times New Roman" w:hAnsi="Times New Roman"/>
          <w:caps w:val="0"/>
          <w:smallCaps w:val="0"/>
          <w:sz w:val="28"/>
          <w:szCs w:val="28"/>
          <w:lang w:val="zh-CN"/>
        </w:rPr>
        <w:t>安排职工进行安全生产教育和培训；</w:t>
      </w:r>
    </w:p>
    <w:p w14:paraId="1AEEAC5D">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en-US" w:eastAsia="zh-CN"/>
        </w:rPr>
        <w:t>⑦</w:t>
      </w:r>
      <w:r>
        <w:rPr>
          <w:rFonts w:hint="eastAsia" w:ascii="Times New Roman" w:hAnsi="Times New Roman"/>
          <w:caps w:val="0"/>
          <w:smallCaps w:val="0"/>
          <w:sz w:val="28"/>
          <w:szCs w:val="28"/>
          <w:lang w:val="zh-CN"/>
        </w:rPr>
        <w:t>其它安全专项资金投入。</w:t>
      </w:r>
    </w:p>
    <w:p w14:paraId="68DF247E">
      <w:pPr>
        <w:pStyle w:val="21"/>
        <w:numPr>
          <w:ilvl w:val="0"/>
          <w:numId w:val="90"/>
        </w:numPr>
        <w:bidi w:val="0"/>
        <w:rPr>
          <w:rFonts w:hint="eastAsia"/>
          <w:lang w:val="zh-CN"/>
        </w:rPr>
      </w:pPr>
      <w:r>
        <w:rPr>
          <w:rFonts w:hint="eastAsia"/>
          <w:lang w:val="zh-CN"/>
        </w:rPr>
        <w:t>根据国家有关规定，为从业人员配备符合国家标准或者行业标准的劳动防护用品，建立防护品更换、报废制度，并保证职工能正确使用。</w:t>
      </w:r>
    </w:p>
    <w:p w14:paraId="7B6BA182">
      <w:pPr>
        <w:pStyle w:val="21"/>
        <w:numPr>
          <w:ilvl w:val="0"/>
          <w:numId w:val="90"/>
        </w:numPr>
        <w:bidi w:val="0"/>
        <w:rPr>
          <w:rFonts w:hint="eastAsia"/>
          <w:lang w:val="zh-CN"/>
        </w:rPr>
      </w:pPr>
      <w:r>
        <w:rPr>
          <w:rFonts w:hint="eastAsia"/>
          <w:lang w:val="zh-CN"/>
        </w:rPr>
        <w:t>依法参加工伤保险</w:t>
      </w:r>
      <w:r>
        <w:rPr>
          <w:rFonts w:hint="eastAsia"/>
          <w:lang w:val="sq-AL"/>
        </w:rPr>
        <w:t>和</w:t>
      </w:r>
      <w:r>
        <w:rPr>
          <w:rFonts w:hint="eastAsia"/>
          <w:lang w:val="zh-CN"/>
        </w:rPr>
        <w:t>安全生产责任险，为从业人员缴纳保险费。</w:t>
      </w:r>
    </w:p>
    <w:p w14:paraId="379E288A">
      <w:pPr>
        <w:pStyle w:val="21"/>
        <w:numPr>
          <w:ilvl w:val="0"/>
          <w:numId w:val="90"/>
        </w:numPr>
        <w:bidi w:val="0"/>
        <w:rPr>
          <w:rFonts w:hint="eastAsia"/>
          <w:lang w:val="zh-CN"/>
        </w:rPr>
      </w:pPr>
      <w:r>
        <w:rPr>
          <w:rFonts w:hint="eastAsia"/>
          <w:lang w:val="zh-CN"/>
        </w:rPr>
        <w:t>加强建设人员的安全教育、提高安全意识，避免高处坠落、设备、管道撞击伤人事故的发生。</w:t>
      </w:r>
    </w:p>
    <w:p w14:paraId="1D186FAE">
      <w:pPr>
        <w:pStyle w:val="21"/>
        <w:numPr>
          <w:ilvl w:val="0"/>
          <w:numId w:val="90"/>
        </w:numPr>
        <w:bidi w:val="0"/>
        <w:rPr>
          <w:rFonts w:hint="eastAsia"/>
          <w:lang w:val="zh-CN"/>
        </w:rPr>
      </w:pPr>
      <w:r>
        <w:rPr>
          <w:rFonts w:hint="eastAsia"/>
          <w:lang w:val="zh-CN"/>
        </w:rPr>
        <w:t>建议按《安全标志及其使用导则》（GB2894-2008）要求设置矿山安全标志，安全标志的符号、图形、含义、补充文字、配置规范等应符合《安全色》（GB2893）和《安全标志及其使用导则》（GB2894）中的有关规定。</w:t>
      </w:r>
    </w:p>
    <w:p w14:paraId="30947DC3">
      <w:pPr>
        <w:pStyle w:val="21"/>
        <w:numPr>
          <w:ilvl w:val="0"/>
          <w:numId w:val="90"/>
        </w:numPr>
        <w:bidi w:val="0"/>
        <w:rPr>
          <w:rFonts w:hint="eastAsia"/>
          <w:lang w:val="zh-CN"/>
        </w:rPr>
      </w:pPr>
      <w:r>
        <w:rPr>
          <w:rFonts w:hint="eastAsia"/>
          <w:lang w:val="zh-CN"/>
        </w:rPr>
        <w:t>充分利用红（禁止、危险）、黄（警告、注意）、蓝（指令、遵守）、绿（通行、安全）四种传递安全信息的安全色，使人员能够迅速发现或分辨安全标志、及时受到提醒，防止事故、危害的发生。</w:t>
      </w:r>
    </w:p>
    <w:p w14:paraId="2DA53C1D">
      <w:pPr>
        <w:pStyle w:val="21"/>
        <w:numPr>
          <w:ilvl w:val="0"/>
          <w:numId w:val="90"/>
        </w:numPr>
        <w:bidi w:val="0"/>
        <w:rPr>
          <w:rFonts w:hint="eastAsia"/>
          <w:lang w:val="zh-CN"/>
        </w:rPr>
      </w:pPr>
      <w:r>
        <w:rPr>
          <w:rFonts w:hint="eastAsia"/>
          <w:lang w:val="zh-CN"/>
        </w:rPr>
        <w:t>严格执行领导带班下井制度，制定领导带班下井月度计划，领导带班下井月度计划应当在本单位办公楼及矿井井口予以公示。</w:t>
      </w:r>
    </w:p>
    <w:p w14:paraId="640DF9E6">
      <w:pPr>
        <w:pStyle w:val="21"/>
        <w:numPr>
          <w:ilvl w:val="0"/>
          <w:numId w:val="90"/>
        </w:numPr>
        <w:bidi w:val="0"/>
        <w:rPr>
          <w:rFonts w:hint="eastAsia"/>
          <w:lang w:val="zh-CN"/>
        </w:rPr>
      </w:pPr>
      <w:r>
        <w:rPr>
          <w:rFonts w:hint="eastAsia"/>
          <w:lang w:val="zh-CN"/>
        </w:rPr>
        <w:t>加强作业人员的安全教育、培训，提高作业人员的素质和安全技能及识别、预防、处理事故的能力，提高安全意识。</w:t>
      </w:r>
    </w:p>
    <w:p w14:paraId="32DFAA64">
      <w:pPr>
        <w:pStyle w:val="21"/>
        <w:numPr>
          <w:ilvl w:val="0"/>
          <w:numId w:val="90"/>
        </w:numPr>
        <w:bidi w:val="0"/>
        <w:rPr>
          <w:rFonts w:hint="eastAsia"/>
          <w:lang w:val="zh-CN"/>
        </w:rPr>
      </w:pPr>
      <w:r>
        <w:rPr>
          <w:rFonts w:hint="eastAsia"/>
          <w:lang w:val="zh-CN"/>
        </w:rPr>
        <w:t>建立健全矿山安全管理档案，对勘察、设计、施工、监理、及试运行等相关资料进行整理和归档。</w:t>
      </w:r>
    </w:p>
    <w:p w14:paraId="6BDB9166">
      <w:pPr>
        <w:pStyle w:val="21"/>
        <w:numPr>
          <w:ilvl w:val="0"/>
          <w:numId w:val="90"/>
        </w:numPr>
        <w:bidi w:val="0"/>
        <w:rPr>
          <w:rFonts w:hint="eastAsia"/>
          <w:lang w:val="sq-AL"/>
        </w:rPr>
      </w:pPr>
      <w:r>
        <w:rPr>
          <w:rFonts w:hint="eastAsia"/>
          <w:lang w:val="zh-CN"/>
        </w:rPr>
        <w:t>外包工程队伍原则上不超过3家。</w:t>
      </w:r>
    </w:p>
    <w:p w14:paraId="70F1939F">
      <w:pPr>
        <w:pStyle w:val="28"/>
        <w:bidi w:val="0"/>
        <w:rPr>
          <w:rFonts w:hint="eastAsia" w:ascii="Times New Roman" w:hAnsi="Times New Roman" w:eastAsia="黑体"/>
          <w:caps w:val="0"/>
          <w:smallCaps w:val="0"/>
          <w:sz w:val="30"/>
        </w:rPr>
      </w:pPr>
      <w:bookmarkStart w:id="63" w:name="_Toc32323"/>
      <w:bookmarkStart w:id="64" w:name="_Toc294674111"/>
      <w:bookmarkStart w:id="65" w:name="_Toc26311"/>
      <w:r>
        <w:rPr>
          <w:rFonts w:hint="eastAsia" w:ascii="Times New Roman" w:hAnsi="Times New Roman" w:eastAsia="黑体"/>
          <w:caps w:val="0"/>
          <w:smallCaps w:val="0"/>
          <w:sz w:val="30"/>
        </w:rPr>
        <w:t>安全设施设计原则</w:t>
      </w:r>
      <w:bookmarkEnd w:id="63"/>
      <w:bookmarkEnd w:id="64"/>
      <w:bookmarkEnd w:id="65"/>
    </w:p>
    <w:p w14:paraId="75BC79BF">
      <w:pPr>
        <w:pStyle w:val="21"/>
        <w:numPr>
          <w:ilvl w:val="0"/>
          <w:numId w:val="91"/>
        </w:numPr>
        <w:bidi w:val="0"/>
        <w:rPr>
          <w:rFonts w:hint="eastAsia"/>
          <w:lang w:val="zh-CN"/>
        </w:rPr>
      </w:pPr>
      <w:r>
        <w:rPr>
          <w:rFonts w:hint="eastAsia"/>
          <w:lang w:val="zh-CN"/>
        </w:rPr>
        <w:t>《安全设施设计》阶段</w:t>
      </w:r>
      <w:r>
        <w:rPr>
          <w:rFonts w:hint="eastAsia"/>
          <w:lang w:val="en-US" w:eastAsia="zh-CN"/>
        </w:rPr>
        <w:t>应</w:t>
      </w:r>
      <w:r>
        <w:rPr>
          <w:rFonts w:hint="eastAsia"/>
          <w:lang w:val="zh-CN"/>
        </w:rPr>
        <w:t>补充</w:t>
      </w:r>
      <w:r>
        <w:rPr>
          <w:rFonts w:hint="eastAsia"/>
          <w:lang w:val="en-US" w:eastAsia="zh-CN"/>
        </w:rPr>
        <w:t>露天采坑排水设施，并说明对生产的影响。</w:t>
      </w:r>
    </w:p>
    <w:p w14:paraId="6748D296">
      <w:pPr>
        <w:pStyle w:val="21"/>
        <w:numPr>
          <w:ilvl w:val="0"/>
          <w:numId w:val="91"/>
        </w:numPr>
        <w:bidi w:val="0"/>
        <w:rPr>
          <w:rFonts w:hint="eastAsia"/>
          <w:lang w:val="zh-CN"/>
        </w:rPr>
      </w:pPr>
      <w:r>
        <w:rPr>
          <w:rFonts w:hint="eastAsia"/>
          <w:lang w:val="zh-CN"/>
        </w:rPr>
        <w:t>《安全设施设计》阶段</w:t>
      </w:r>
      <w:r>
        <w:rPr>
          <w:rFonts w:hint="eastAsia"/>
          <w:lang w:val="en-US" w:eastAsia="zh-CN"/>
        </w:rPr>
        <w:t>应</w:t>
      </w:r>
      <w:r>
        <w:rPr>
          <w:rFonts w:hint="eastAsia"/>
          <w:lang w:val="zh-CN"/>
        </w:rPr>
        <w:t>补充</w:t>
      </w:r>
      <w:r>
        <w:rPr>
          <w:rFonts w:hint="eastAsia"/>
          <w:lang w:val="en-US" w:eastAsia="zh-CN"/>
        </w:rPr>
        <w:t>通风构筑物设置的位置。</w:t>
      </w:r>
    </w:p>
    <w:p w14:paraId="7C77E864">
      <w:pPr>
        <w:pStyle w:val="21"/>
        <w:numPr>
          <w:ilvl w:val="0"/>
          <w:numId w:val="91"/>
        </w:numPr>
        <w:bidi w:val="0"/>
        <w:rPr>
          <w:rFonts w:hint="eastAsia"/>
          <w:lang w:val="zh-CN"/>
        </w:rPr>
      </w:pPr>
      <w:r>
        <w:rPr>
          <w:rFonts w:hint="eastAsia"/>
          <w:lang w:val="en-US" w:eastAsia="zh-CN"/>
        </w:rPr>
        <w:t>《安全设施设计》阶段应在主要中段井底车场设计消火栓。</w:t>
      </w:r>
    </w:p>
    <w:p w14:paraId="27BFBB02">
      <w:pPr>
        <w:pStyle w:val="21"/>
        <w:numPr>
          <w:ilvl w:val="0"/>
          <w:numId w:val="91"/>
        </w:numPr>
        <w:bidi w:val="0"/>
        <w:rPr>
          <w:rFonts w:hint="default"/>
          <w:lang w:val="en-US" w:eastAsia="zh-CN"/>
        </w:rPr>
      </w:pPr>
      <w:r>
        <w:rPr>
          <w:rFonts w:hint="eastAsia"/>
          <w:lang w:val="zh-CN"/>
        </w:rPr>
        <w:t>《安全设施设计》阶段</w:t>
      </w:r>
      <w:r>
        <w:rPr>
          <w:rFonts w:hint="eastAsia"/>
          <w:lang w:val="en-US" w:eastAsia="zh-CN"/>
        </w:rPr>
        <w:t>在视频监测摄像设备安装位置中，应明确在采场中安装一个摄像设备。</w:t>
      </w:r>
    </w:p>
    <w:p w14:paraId="6AEB9446">
      <w:pPr>
        <w:pStyle w:val="27"/>
        <w:bidi w:val="0"/>
        <w:rPr>
          <w:rFonts w:hint="default"/>
          <w:lang w:val="en-US" w:eastAsia="zh-CN"/>
        </w:rPr>
      </w:pPr>
      <w:bookmarkStart w:id="66" w:name="_Toc22570"/>
      <w:r>
        <w:rPr>
          <w:rFonts w:hint="default"/>
          <w:lang w:val="en-US" w:eastAsia="zh-CN"/>
        </w:rPr>
        <w:t>评价结论</w:t>
      </w:r>
      <w:bookmarkEnd w:id="66"/>
    </w:p>
    <w:p w14:paraId="584485AC">
      <w:pPr>
        <w:pStyle w:val="21"/>
        <w:bidi w:val="0"/>
        <w:rPr>
          <w:rFonts w:hint="default"/>
          <w:lang w:val="en-US" w:eastAsia="zh-CN"/>
        </w:rPr>
      </w:pPr>
      <w:r>
        <w:rPr>
          <w:rFonts w:hint="default"/>
          <w:lang w:val="en-US" w:eastAsia="zh-CN"/>
        </w:rPr>
        <w:t>按照《安全评价通则》、《安全预评价导则》的要求，依据国家及行业的相关法律、法规、规范、标准和规程，评价组对</w:t>
      </w:r>
      <w:r>
        <w:rPr>
          <w:rFonts w:hint="eastAsia"/>
          <w:lang w:val="en-US" w:eastAsia="zh-CN"/>
        </w:rPr>
        <w:t>沈阳浑南矿业有限责任公司（铁矿）地下开采建设项目</w:t>
      </w:r>
      <w:r>
        <w:rPr>
          <w:rFonts w:hint="default"/>
          <w:lang w:val="en-US" w:eastAsia="zh-CN"/>
        </w:rPr>
        <w:t>进行了安全预评价。本报告利用安全检查表法、预先危险性分析法、专家评议法等定性定量评价方法对项目建成后可能存在的有害因素进行分析和评价，提出了相应的对策措施，进而形成如下评价结论。</w:t>
      </w:r>
    </w:p>
    <w:p w14:paraId="573E54D7">
      <w:pPr>
        <w:pStyle w:val="21"/>
        <w:bidi w:val="0"/>
        <w:rPr>
          <w:rFonts w:hint="default"/>
          <w:b/>
          <w:bCs/>
          <w:lang w:val="en-US" w:eastAsia="zh-CN"/>
        </w:rPr>
        <w:sectPr>
          <w:pgSz w:w="11906" w:h="16838"/>
          <w:pgMar w:top="1417" w:right="1134" w:bottom="1134" w:left="1587" w:header="851" w:footer="992" w:gutter="0"/>
          <w:pgBorders>
            <w:top w:val="none" w:sz="0" w:space="0"/>
            <w:left w:val="none" w:sz="0" w:space="0"/>
            <w:bottom w:val="none" w:sz="0" w:space="0"/>
            <w:right w:val="none" w:sz="0" w:space="0"/>
          </w:pgBorders>
          <w:pgNumType w:fmt="decimal"/>
          <w:cols w:space="0" w:num="1"/>
          <w:rtlGutter w:val="0"/>
          <w:docGrid w:type="lines" w:linePitch="312" w:charSpace="0"/>
        </w:sectPr>
      </w:pPr>
      <w:r>
        <w:rPr>
          <w:rFonts w:hint="eastAsia"/>
          <w:lang w:val="en-US" w:eastAsia="zh-CN"/>
        </w:rPr>
        <w:t>沈阳浑南矿业有限责任公司（铁矿）地下开采建设项目</w:t>
      </w:r>
      <w:r>
        <w:rPr>
          <w:rFonts w:hint="default"/>
          <w:lang w:val="en-US" w:eastAsia="zh-CN"/>
        </w:rPr>
        <w:t>安全预评价在评价时的条件下符合国家有关法律、法规、标准、规章、规范的要求，可行性研究报告提出的安全对策措施较完善，拟采取的预防危险因素和有害因素的各项技术措施和防范设施可行。</w:t>
      </w:r>
      <w:r>
        <w:rPr>
          <w:rFonts w:hint="default"/>
          <w:b/>
          <w:bCs/>
          <w:lang w:val="en-US" w:eastAsia="zh-CN"/>
        </w:rPr>
        <w:t>建设单位如能按照可行性研究报告和本预评价报告提出的安全对策措施和建议实施，能够将该建设项目潜在的危险有害因素控制在可接受范围之内，该建设项目在安全上是可行的。</w:t>
      </w:r>
    </w:p>
    <w:p w14:paraId="73006D71">
      <w:pPr>
        <w:pStyle w:val="27"/>
        <w:bidi w:val="0"/>
        <w:rPr>
          <w:rFonts w:hint="eastAsia"/>
        </w:rPr>
      </w:pPr>
      <w:bookmarkStart w:id="67" w:name="_Toc15118"/>
      <w:bookmarkStart w:id="68" w:name="_Toc10738"/>
      <w:r>
        <w:rPr>
          <w:rFonts w:hint="eastAsia"/>
        </w:rPr>
        <w:t>附件</w:t>
      </w:r>
      <w:bookmarkEnd w:id="67"/>
      <w:bookmarkEnd w:id="68"/>
    </w:p>
    <w:p w14:paraId="2E21B5D8">
      <w:pPr>
        <w:pStyle w:val="21"/>
        <w:numPr>
          <w:ilvl w:val="0"/>
          <w:numId w:val="92"/>
        </w:numPr>
        <w:bidi w:val="0"/>
        <w:rPr>
          <w:rFonts w:hint="eastAsia"/>
          <w:lang w:val="zh-CN" w:eastAsia="zh-CN"/>
        </w:rPr>
      </w:pPr>
      <w:r>
        <w:rPr>
          <w:rFonts w:hint="eastAsia"/>
          <w:lang w:val="zh-CN" w:eastAsia="zh-CN"/>
        </w:rPr>
        <w:t>《营业执照》；</w:t>
      </w:r>
    </w:p>
    <w:p w14:paraId="3DFB3076">
      <w:pPr>
        <w:pStyle w:val="21"/>
        <w:numPr>
          <w:ilvl w:val="0"/>
          <w:numId w:val="92"/>
        </w:numPr>
        <w:bidi w:val="0"/>
        <w:rPr>
          <w:rFonts w:hint="eastAsia"/>
          <w:lang w:val="zh-CN" w:eastAsia="zh-CN"/>
        </w:rPr>
      </w:pPr>
      <w:r>
        <w:rPr>
          <w:rFonts w:hint="eastAsia"/>
          <w:lang w:val="zh-CN" w:eastAsia="zh-CN"/>
        </w:rPr>
        <w:t>《采矿许可证》；</w:t>
      </w:r>
    </w:p>
    <w:p w14:paraId="0D106ED9">
      <w:pPr>
        <w:pStyle w:val="21"/>
        <w:numPr>
          <w:ilvl w:val="0"/>
          <w:numId w:val="92"/>
        </w:numPr>
        <w:bidi w:val="0"/>
        <w:rPr>
          <w:rFonts w:hint="eastAsia"/>
          <w:lang w:val="zh-CN" w:eastAsia="zh-CN"/>
        </w:rPr>
      </w:pPr>
      <w:r>
        <w:rPr>
          <w:rFonts w:hint="eastAsia"/>
          <w:lang w:val="zh-CN" w:eastAsia="zh-CN"/>
        </w:rPr>
        <w:t>《</w:t>
      </w:r>
      <w:r>
        <w:rPr>
          <w:rFonts w:hint="eastAsia"/>
          <w:lang w:val="en-US" w:eastAsia="zh-CN"/>
        </w:rPr>
        <w:t>省发展改革委关于沈阳浑南矿业有限责任公司(铁矿)地下开采建设项目核准的批复</w:t>
      </w:r>
      <w:r>
        <w:rPr>
          <w:rFonts w:hint="eastAsia"/>
          <w:lang w:val="zh-CN" w:eastAsia="zh-CN"/>
        </w:rPr>
        <w:t>》；</w:t>
      </w:r>
    </w:p>
    <w:p w14:paraId="51B89AE0">
      <w:pPr>
        <w:pStyle w:val="21"/>
        <w:numPr>
          <w:ilvl w:val="0"/>
          <w:numId w:val="92"/>
        </w:numPr>
        <w:bidi w:val="0"/>
        <w:rPr>
          <w:rFonts w:hint="eastAsia"/>
          <w:lang w:val="zh-CN" w:eastAsia="zh-CN"/>
        </w:rPr>
      </w:pPr>
      <w:r>
        <w:rPr>
          <w:rFonts w:hint="eastAsia"/>
          <w:lang w:val="zh-CN" w:eastAsia="zh-CN"/>
        </w:rPr>
        <w:t>《储量核实报告评审</w:t>
      </w:r>
      <w:r>
        <w:rPr>
          <w:rFonts w:hint="eastAsia"/>
          <w:lang w:val="en-US" w:eastAsia="zh-CN"/>
        </w:rPr>
        <w:t>备案证明</w:t>
      </w:r>
      <w:r>
        <w:rPr>
          <w:rFonts w:hint="eastAsia"/>
          <w:lang w:val="zh-CN" w:eastAsia="zh-CN"/>
        </w:rPr>
        <w:t>》（</w:t>
      </w:r>
      <w:r>
        <w:rPr>
          <w:rFonts w:hint="eastAsia"/>
          <w:lang w:val="en-US" w:eastAsia="zh-CN"/>
        </w:rPr>
        <w:t>辽自然资储备字〔2019〕164号</w:t>
      </w:r>
      <w:r>
        <w:rPr>
          <w:rFonts w:hint="eastAsia"/>
          <w:lang w:val="zh-CN" w:eastAsia="zh-CN"/>
        </w:rPr>
        <w:t>）；</w:t>
      </w:r>
    </w:p>
    <w:p w14:paraId="77F4C6DE">
      <w:pPr>
        <w:pStyle w:val="21"/>
        <w:numPr>
          <w:ilvl w:val="0"/>
          <w:numId w:val="92"/>
        </w:numPr>
        <w:bidi w:val="0"/>
        <w:rPr>
          <w:rFonts w:hint="eastAsia"/>
          <w:lang w:val="zh-CN" w:eastAsia="zh-CN"/>
        </w:rPr>
      </w:pPr>
      <w:r>
        <w:rPr>
          <w:rFonts w:hint="eastAsia"/>
          <w:lang w:val="zh-CN" w:eastAsia="zh-CN"/>
        </w:rPr>
        <w:t>《</w:t>
      </w:r>
      <w:r>
        <w:rPr>
          <w:rFonts w:hint="eastAsia"/>
          <w:lang w:val="en-US" w:eastAsia="zh-CN"/>
        </w:rPr>
        <w:t>开发利用方案审查意见书</w:t>
      </w:r>
      <w:r>
        <w:rPr>
          <w:rFonts w:hint="eastAsia"/>
          <w:lang w:val="zh-CN" w:eastAsia="zh-CN"/>
        </w:rPr>
        <w:t>》（</w:t>
      </w:r>
      <w:r>
        <w:rPr>
          <w:rFonts w:hint="eastAsia"/>
          <w:lang w:val="en-US" w:eastAsia="zh-CN"/>
        </w:rPr>
        <w:t>辽地会审字〔2020〕C013号</w:t>
      </w:r>
      <w:r>
        <w:rPr>
          <w:rFonts w:hint="eastAsia"/>
          <w:lang w:val="zh-CN" w:eastAsia="zh-CN"/>
        </w:rPr>
        <w:t>））；</w:t>
      </w:r>
    </w:p>
    <w:p w14:paraId="4909BB9C">
      <w:pPr>
        <w:pStyle w:val="21"/>
        <w:numPr>
          <w:ilvl w:val="0"/>
          <w:numId w:val="92"/>
        </w:numPr>
        <w:bidi w:val="0"/>
        <w:rPr>
          <w:rFonts w:hint="eastAsia"/>
          <w:lang w:val="zh-CN" w:eastAsia="zh-CN"/>
        </w:rPr>
      </w:pPr>
      <w:r>
        <w:rPr>
          <w:rFonts w:hint="eastAsia"/>
          <w:lang w:val="zh-CN" w:eastAsia="zh-CN"/>
        </w:rPr>
        <w:t>《</w:t>
      </w:r>
      <w:r>
        <w:rPr>
          <w:rFonts w:hint="eastAsia"/>
          <w:lang w:val="en-US" w:eastAsia="zh-CN"/>
        </w:rPr>
        <w:t>矿区范围涉及基本农田保护区和永久基本农田审核和论证情况报告</w:t>
      </w:r>
      <w:r>
        <w:rPr>
          <w:rFonts w:hint="eastAsia"/>
          <w:lang w:val="zh-CN" w:eastAsia="zh-CN"/>
        </w:rPr>
        <w:t>》；</w:t>
      </w:r>
    </w:p>
    <w:p w14:paraId="41D661C5">
      <w:pPr>
        <w:pStyle w:val="21"/>
        <w:numPr>
          <w:ilvl w:val="0"/>
          <w:numId w:val="92"/>
        </w:numPr>
        <w:bidi w:val="0"/>
        <w:rPr>
          <w:rFonts w:hint="eastAsia"/>
          <w:lang w:val="zh-CN" w:eastAsia="zh-CN"/>
        </w:rPr>
      </w:pPr>
      <w:r>
        <w:rPr>
          <w:rFonts w:hint="eastAsia"/>
          <w:lang w:val="zh-CN" w:eastAsia="zh-CN"/>
        </w:rPr>
        <w:t>《</w:t>
      </w:r>
      <w:r>
        <w:rPr>
          <w:rFonts w:hint="eastAsia"/>
          <w:lang w:val="en-US" w:eastAsia="zh-CN"/>
        </w:rPr>
        <w:t>矿区范围涉及压覆S107省道有关事宜的批复</w:t>
      </w:r>
      <w:r>
        <w:rPr>
          <w:rFonts w:hint="eastAsia"/>
          <w:lang w:val="zh-CN" w:eastAsia="zh-CN"/>
        </w:rPr>
        <w:t>》；</w:t>
      </w:r>
    </w:p>
    <w:p w14:paraId="3CC0268A">
      <w:pPr>
        <w:pStyle w:val="21"/>
        <w:numPr>
          <w:ilvl w:val="0"/>
          <w:numId w:val="92"/>
        </w:numPr>
        <w:bidi w:val="0"/>
        <w:rPr>
          <w:rFonts w:hint="eastAsia"/>
          <w:lang w:val="zh-CN" w:eastAsia="zh-CN"/>
        </w:rPr>
      </w:pPr>
      <w:r>
        <w:rPr>
          <w:rFonts w:hint="eastAsia"/>
          <w:lang w:val="zh-CN" w:eastAsia="zh-CN"/>
        </w:rPr>
        <w:t>《</w:t>
      </w:r>
      <w:r>
        <w:rPr>
          <w:rFonts w:hint="eastAsia"/>
          <w:lang w:val="en-US" w:eastAsia="zh-CN"/>
        </w:rPr>
        <w:t>隐蔽致灾因素普查报告审查意见</w:t>
      </w:r>
      <w:r>
        <w:rPr>
          <w:rFonts w:hint="eastAsia"/>
          <w:lang w:val="zh-CN" w:eastAsia="zh-CN"/>
        </w:rPr>
        <w:t>》。</w:t>
      </w:r>
    </w:p>
    <w:p w14:paraId="425B1922">
      <w:pPr>
        <w:rPr>
          <w:rFonts w:hint="default"/>
          <w:lang w:val="en-US" w:eastAsia="zh-CN"/>
        </w:rPr>
      </w:pPr>
      <w:r>
        <w:rPr>
          <w:rFonts w:hint="default"/>
          <w:lang w:val="en-US" w:eastAsia="zh-CN"/>
        </w:rPr>
        <w:br w:type="page"/>
      </w:r>
    </w:p>
    <w:p w14:paraId="2406CE48">
      <w:pPr>
        <w:pStyle w:val="27"/>
        <w:bidi w:val="0"/>
        <w:rPr>
          <w:rFonts w:hint="default"/>
          <w:lang w:val="en-US" w:eastAsia="zh-CN"/>
        </w:rPr>
      </w:pPr>
      <w:bookmarkStart w:id="69" w:name="_Toc18803"/>
      <w:r>
        <w:rPr>
          <w:rFonts w:hint="eastAsia"/>
          <w:lang w:val="en-US" w:eastAsia="zh-CN"/>
        </w:rPr>
        <w:t>附图</w:t>
      </w:r>
      <w:bookmarkEnd w:id="69"/>
    </w:p>
    <w:p w14:paraId="70BB3001">
      <w:pPr>
        <w:pStyle w:val="21"/>
        <w:numPr>
          <w:ilvl w:val="0"/>
          <w:numId w:val="93"/>
        </w:numPr>
        <w:bidi w:val="0"/>
        <w:rPr>
          <w:rFonts w:hint="eastAsia"/>
          <w:lang w:val="en-US" w:eastAsia="zh-CN"/>
        </w:rPr>
      </w:pPr>
      <w:r>
        <w:rPr>
          <w:rFonts w:hint="eastAsia"/>
          <w:lang w:val="en-US" w:eastAsia="zh-CN"/>
        </w:rPr>
        <w:t>图纸目录</w:t>
      </w:r>
    </w:p>
    <w:p w14:paraId="06B52BB6">
      <w:pPr>
        <w:pStyle w:val="21"/>
        <w:numPr>
          <w:ilvl w:val="0"/>
          <w:numId w:val="93"/>
        </w:numPr>
        <w:bidi w:val="0"/>
        <w:rPr>
          <w:rFonts w:hint="eastAsia"/>
          <w:lang w:val="en-US" w:eastAsia="zh-CN"/>
        </w:rPr>
      </w:pPr>
      <w:r>
        <w:rPr>
          <w:rFonts w:hint="eastAsia"/>
          <w:lang w:val="en-US" w:eastAsia="zh-CN"/>
        </w:rPr>
        <w:t>地形地质图</w:t>
      </w:r>
    </w:p>
    <w:p w14:paraId="6205FA5C">
      <w:pPr>
        <w:pStyle w:val="21"/>
        <w:numPr>
          <w:ilvl w:val="0"/>
          <w:numId w:val="93"/>
        </w:numPr>
        <w:bidi w:val="0"/>
        <w:rPr>
          <w:rFonts w:hint="eastAsia"/>
          <w:lang w:val="en-US" w:eastAsia="zh-CN"/>
        </w:rPr>
      </w:pPr>
      <w:r>
        <w:rPr>
          <w:rFonts w:hint="eastAsia"/>
          <w:lang w:val="en-US" w:eastAsia="zh-CN"/>
        </w:rPr>
        <w:t>地质剖面图</w:t>
      </w:r>
    </w:p>
    <w:p w14:paraId="1B64B00E">
      <w:pPr>
        <w:pStyle w:val="21"/>
        <w:numPr>
          <w:ilvl w:val="0"/>
          <w:numId w:val="93"/>
        </w:numPr>
        <w:bidi w:val="0"/>
        <w:rPr>
          <w:rFonts w:hint="eastAsia"/>
          <w:lang w:val="en-US" w:eastAsia="zh-CN"/>
        </w:rPr>
      </w:pPr>
      <w:r>
        <w:rPr>
          <w:rFonts w:hint="eastAsia"/>
          <w:lang w:val="en-US" w:eastAsia="zh-CN"/>
        </w:rPr>
        <w:t>总平面布置图</w:t>
      </w:r>
    </w:p>
    <w:p w14:paraId="64F0EEED">
      <w:pPr>
        <w:pStyle w:val="21"/>
        <w:numPr>
          <w:ilvl w:val="0"/>
          <w:numId w:val="93"/>
        </w:numPr>
        <w:bidi w:val="0"/>
        <w:rPr>
          <w:rFonts w:hint="eastAsia"/>
          <w:lang w:val="en-US" w:eastAsia="zh-CN"/>
        </w:rPr>
      </w:pPr>
      <w:r>
        <w:rPr>
          <w:rFonts w:hint="eastAsia"/>
          <w:lang w:val="en-US" w:eastAsia="zh-CN"/>
        </w:rPr>
        <w:t>井上下工程对照图</w:t>
      </w:r>
    </w:p>
    <w:p w14:paraId="49BFFB1F">
      <w:pPr>
        <w:pStyle w:val="21"/>
        <w:numPr>
          <w:ilvl w:val="0"/>
          <w:numId w:val="93"/>
        </w:numPr>
        <w:bidi w:val="0"/>
        <w:rPr>
          <w:rFonts w:hint="eastAsia"/>
          <w:lang w:val="en-US" w:eastAsia="zh-CN"/>
        </w:rPr>
      </w:pPr>
      <w:r>
        <w:rPr>
          <w:rFonts w:hint="eastAsia"/>
          <w:lang w:val="en-US" w:eastAsia="zh-CN"/>
        </w:rPr>
        <w:t>0m水平平面布置图</w:t>
      </w:r>
    </w:p>
    <w:p w14:paraId="0A48290F">
      <w:pPr>
        <w:pStyle w:val="21"/>
        <w:numPr>
          <w:ilvl w:val="0"/>
          <w:numId w:val="93"/>
        </w:numPr>
        <w:bidi w:val="0"/>
        <w:rPr>
          <w:rFonts w:hint="eastAsia"/>
          <w:lang w:val="en-US" w:eastAsia="zh-CN"/>
        </w:rPr>
      </w:pPr>
      <w:r>
        <w:rPr>
          <w:rFonts w:hint="eastAsia"/>
          <w:lang w:val="en-US" w:eastAsia="zh-CN"/>
        </w:rPr>
        <w:t>-50m水平平面布置图</w:t>
      </w:r>
    </w:p>
    <w:p w14:paraId="7344A87A">
      <w:pPr>
        <w:pStyle w:val="21"/>
        <w:numPr>
          <w:ilvl w:val="0"/>
          <w:numId w:val="93"/>
        </w:numPr>
        <w:bidi w:val="0"/>
        <w:rPr>
          <w:rFonts w:hint="eastAsia"/>
          <w:lang w:val="en-US" w:eastAsia="zh-CN"/>
        </w:rPr>
      </w:pPr>
      <w:r>
        <w:rPr>
          <w:rFonts w:hint="eastAsia"/>
          <w:lang w:val="en-US" w:eastAsia="zh-CN"/>
        </w:rPr>
        <w:t>-100m水平平面布置图</w:t>
      </w:r>
    </w:p>
    <w:p w14:paraId="5BEE374B">
      <w:pPr>
        <w:pStyle w:val="21"/>
        <w:numPr>
          <w:ilvl w:val="0"/>
          <w:numId w:val="93"/>
        </w:numPr>
        <w:bidi w:val="0"/>
        <w:rPr>
          <w:rFonts w:hint="eastAsia"/>
          <w:lang w:val="en-US" w:eastAsia="zh-CN"/>
        </w:rPr>
      </w:pPr>
      <w:r>
        <w:rPr>
          <w:rFonts w:hint="eastAsia"/>
          <w:lang w:val="en-US" w:eastAsia="zh-CN"/>
        </w:rPr>
        <w:t>-150m水平平面布置图</w:t>
      </w:r>
    </w:p>
    <w:p w14:paraId="2F0CD44D">
      <w:pPr>
        <w:pStyle w:val="21"/>
        <w:numPr>
          <w:ilvl w:val="0"/>
          <w:numId w:val="93"/>
        </w:numPr>
        <w:bidi w:val="0"/>
        <w:rPr>
          <w:rFonts w:hint="eastAsia"/>
          <w:lang w:val="en-US" w:eastAsia="zh-CN"/>
        </w:rPr>
      </w:pPr>
      <w:r>
        <w:rPr>
          <w:rFonts w:hint="eastAsia"/>
          <w:lang w:val="en-US" w:eastAsia="zh-CN"/>
        </w:rPr>
        <w:t>-200m水平平面布置图</w:t>
      </w:r>
    </w:p>
    <w:p w14:paraId="156E714A">
      <w:pPr>
        <w:pStyle w:val="21"/>
        <w:numPr>
          <w:ilvl w:val="0"/>
          <w:numId w:val="93"/>
        </w:numPr>
        <w:bidi w:val="0"/>
        <w:rPr>
          <w:rFonts w:hint="eastAsia"/>
          <w:lang w:val="en-US" w:eastAsia="zh-CN"/>
        </w:rPr>
      </w:pPr>
      <w:r>
        <w:rPr>
          <w:rFonts w:hint="eastAsia"/>
          <w:lang w:val="en-US" w:eastAsia="zh-CN"/>
        </w:rPr>
        <w:t>-250m水平平面布置图</w:t>
      </w:r>
    </w:p>
    <w:p w14:paraId="24CF1A4E">
      <w:pPr>
        <w:pStyle w:val="21"/>
        <w:numPr>
          <w:ilvl w:val="0"/>
          <w:numId w:val="93"/>
        </w:numPr>
        <w:bidi w:val="0"/>
        <w:rPr>
          <w:rFonts w:hint="eastAsia"/>
          <w:lang w:val="en-US" w:eastAsia="zh-CN"/>
        </w:rPr>
      </w:pPr>
      <w:r>
        <w:rPr>
          <w:rFonts w:hint="eastAsia"/>
          <w:lang w:val="en-US" w:eastAsia="zh-CN"/>
        </w:rPr>
        <w:t>-300m水平平面布置图</w:t>
      </w:r>
    </w:p>
    <w:p w14:paraId="28C2FFDB">
      <w:pPr>
        <w:pStyle w:val="21"/>
        <w:numPr>
          <w:ilvl w:val="0"/>
          <w:numId w:val="93"/>
        </w:numPr>
        <w:bidi w:val="0"/>
        <w:rPr>
          <w:rFonts w:hint="eastAsia"/>
          <w:lang w:val="en-US" w:eastAsia="zh-CN"/>
        </w:rPr>
      </w:pPr>
      <w:r>
        <w:rPr>
          <w:rFonts w:hint="eastAsia"/>
          <w:lang w:val="en-US" w:eastAsia="zh-CN"/>
        </w:rPr>
        <w:t>-350m水平平面布置图</w:t>
      </w:r>
    </w:p>
    <w:p w14:paraId="0AE4AA3A">
      <w:pPr>
        <w:pStyle w:val="21"/>
        <w:numPr>
          <w:ilvl w:val="0"/>
          <w:numId w:val="93"/>
        </w:numPr>
        <w:bidi w:val="0"/>
        <w:rPr>
          <w:rFonts w:hint="eastAsia"/>
          <w:lang w:val="en-US" w:eastAsia="zh-CN"/>
        </w:rPr>
      </w:pPr>
      <w:r>
        <w:rPr>
          <w:rFonts w:hint="eastAsia"/>
          <w:lang w:val="en-US" w:eastAsia="zh-CN"/>
        </w:rPr>
        <w:t>-400m水平平面布置图</w:t>
      </w:r>
    </w:p>
    <w:p w14:paraId="7A2C6FEC">
      <w:pPr>
        <w:pStyle w:val="21"/>
        <w:numPr>
          <w:ilvl w:val="0"/>
          <w:numId w:val="93"/>
        </w:numPr>
        <w:bidi w:val="0"/>
        <w:rPr>
          <w:rFonts w:hint="eastAsia"/>
          <w:lang w:val="en-US" w:eastAsia="zh-CN"/>
        </w:rPr>
      </w:pPr>
      <w:r>
        <w:rPr>
          <w:rFonts w:hint="eastAsia"/>
          <w:lang w:val="en-US" w:eastAsia="zh-CN"/>
        </w:rPr>
        <w:t>-450m水平平面布置图</w:t>
      </w:r>
    </w:p>
    <w:p w14:paraId="3EF52940">
      <w:pPr>
        <w:pStyle w:val="21"/>
        <w:numPr>
          <w:ilvl w:val="0"/>
          <w:numId w:val="93"/>
        </w:numPr>
        <w:bidi w:val="0"/>
        <w:rPr>
          <w:rFonts w:hint="eastAsia"/>
          <w:lang w:val="en-US" w:eastAsia="zh-CN"/>
        </w:rPr>
      </w:pPr>
      <w:r>
        <w:rPr>
          <w:rFonts w:hint="eastAsia"/>
          <w:lang w:val="en-US" w:eastAsia="zh-CN"/>
        </w:rPr>
        <w:t>开拓系统垂直纵投影图</w:t>
      </w:r>
    </w:p>
    <w:p w14:paraId="408E597D">
      <w:pPr>
        <w:pStyle w:val="21"/>
        <w:numPr>
          <w:ilvl w:val="0"/>
          <w:numId w:val="93"/>
        </w:numPr>
        <w:bidi w:val="0"/>
        <w:rPr>
          <w:rFonts w:hint="eastAsia"/>
          <w:lang w:val="en-US" w:eastAsia="zh-CN"/>
        </w:rPr>
      </w:pPr>
      <w:r>
        <w:rPr>
          <w:rFonts w:hint="eastAsia"/>
          <w:lang w:val="en-US" w:eastAsia="zh-CN"/>
        </w:rPr>
        <w:t>一期通风系统图</w:t>
      </w:r>
    </w:p>
    <w:p w14:paraId="29F12AAD">
      <w:pPr>
        <w:pStyle w:val="21"/>
        <w:numPr>
          <w:ilvl w:val="0"/>
          <w:numId w:val="93"/>
        </w:numPr>
        <w:bidi w:val="0"/>
        <w:rPr>
          <w:rFonts w:hint="eastAsia"/>
          <w:lang w:val="en-US" w:eastAsia="zh-CN"/>
        </w:rPr>
      </w:pPr>
      <w:r>
        <w:rPr>
          <w:rFonts w:hint="eastAsia"/>
          <w:lang w:val="en-US" w:eastAsia="zh-CN"/>
        </w:rPr>
        <w:t>二期通风系统图</w:t>
      </w:r>
    </w:p>
    <w:p w14:paraId="68361B2C">
      <w:pPr>
        <w:pStyle w:val="21"/>
        <w:numPr>
          <w:ilvl w:val="0"/>
          <w:numId w:val="93"/>
        </w:numPr>
        <w:bidi w:val="0"/>
        <w:rPr>
          <w:rFonts w:hint="eastAsia"/>
          <w:lang w:val="en-US" w:eastAsia="zh-CN"/>
        </w:rPr>
      </w:pPr>
      <w:r>
        <w:rPr>
          <w:rFonts w:hint="eastAsia"/>
          <w:lang w:val="en-US" w:eastAsia="zh-CN"/>
        </w:rPr>
        <w:t>排水系统图</w:t>
      </w:r>
    </w:p>
    <w:p w14:paraId="4E414DAD">
      <w:pPr>
        <w:pStyle w:val="21"/>
        <w:numPr>
          <w:ilvl w:val="0"/>
          <w:numId w:val="93"/>
        </w:numPr>
        <w:bidi w:val="0"/>
        <w:rPr>
          <w:rFonts w:hint="eastAsia"/>
          <w:lang w:val="en-US" w:eastAsia="zh-CN"/>
        </w:rPr>
      </w:pPr>
      <w:r>
        <w:rPr>
          <w:rFonts w:hint="eastAsia"/>
          <w:lang w:val="en-US" w:eastAsia="zh-CN"/>
        </w:rPr>
        <w:t>基建工程纵投影图</w:t>
      </w:r>
    </w:p>
    <w:p w14:paraId="5B43461C">
      <w:pPr>
        <w:pStyle w:val="21"/>
        <w:numPr>
          <w:ilvl w:val="0"/>
          <w:numId w:val="93"/>
        </w:numPr>
        <w:bidi w:val="0"/>
        <w:rPr>
          <w:rFonts w:hint="eastAsia"/>
          <w:lang w:val="en-US" w:eastAsia="zh-CN"/>
        </w:rPr>
      </w:pPr>
      <w:r>
        <w:rPr>
          <w:rFonts w:hint="eastAsia"/>
          <w:lang w:val="en-US" w:eastAsia="zh-CN"/>
        </w:rPr>
        <w:t>避灾线路图（紧急避险系统图）</w:t>
      </w:r>
    </w:p>
    <w:p w14:paraId="5FC9C82A">
      <w:pPr>
        <w:pStyle w:val="21"/>
        <w:numPr>
          <w:ilvl w:val="0"/>
          <w:numId w:val="93"/>
        </w:numPr>
        <w:bidi w:val="0"/>
        <w:rPr>
          <w:rFonts w:hint="eastAsia"/>
          <w:lang w:val="en-US" w:eastAsia="zh-CN"/>
        </w:rPr>
      </w:pPr>
      <w:r>
        <w:rPr>
          <w:rFonts w:hint="eastAsia"/>
          <w:lang w:val="en-US" w:eastAsia="zh-CN"/>
        </w:rPr>
        <w:t xml:space="preserve">供水施救系统图 </w:t>
      </w:r>
    </w:p>
    <w:p w14:paraId="5EAC3BA1">
      <w:pPr>
        <w:pStyle w:val="21"/>
        <w:numPr>
          <w:ilvl w:val="0"/>
          <w:numId w:val="93"/>
        </w:numPr>
        <w:bidi w:val="0"/>
        <w:rPr>
          <w:rFonts w:hint="eastAsia"/>
          <w:lang w:val="en-US" w:eastAsia="zh-CN"/>
        </w:rPr>
      </w:pPr>
      <w:r>
        <w:rPr>
          <w:rFonts w:hint="eastAsia"/>
          <w:lang w:val="en-US" w:eastAsia="zh-CN"/>
        </w:rPr>
        <w:t xml:space="preserve">压风自救系统图 </w:t>
      </w:r>
    </w:p>
    <w:p w14:paraId="4D0E0CF3">
      <w:pPr>
        <w:pStyle w:val="21"/>
        <w:numPr>
          <w:ilvl w:val="0"/>
          <w:numId w:val="93"/>
        </w:numPr>
        <w:bidi w:val="0"/>
        <w:rPr>
          <w:rFonts w:hint="eastAsia"/>
          <w:lang w:val="en-US" w:eastAsia="zh-CN"/>
        </w:rPr>
      </w:pPr>
      <w:r>
        <w:rPr>
          <w:rFonts w:hint="eastAsia"/>
          <w:lang w:val="en-US" w:eastAsia="zh-CN"/>
        </w:rPr>
        <w:t xml:space="preserve">监测监控系统图 </w:t>
      </w:r>
    </w:p>
    <w:p w14:paraId="7A70324F">
      <w:pPr>
        <w:pStyle w:val="21"/>
        <w:numPr>
          <w:ilvl w:val="0"/>
          <w:numId w:val="93"/>
        </w:numPr>
        <w:bidi w:val="0"/>
        <w:rPr>
          <w:rFonts w:hint="eastAsia"/>
          <w:lang w:val="en-US" w:eastAsia="zh-CN"/>
        </w:rPr>
      </w:pPr>
      <w:r>
        <w:rPr>
          <w:rFonts w:hint="eastAsia"/>
          <w:lang w:val="en-US" w:eastAsia="zh-CN"/>
        </w:rPr>
        <w:t xml:space="preserve">通信联络系统图 </w:t>
      </w:r>
    </w:p>
    <w:p w14:paraId="4112D8FA">
      <w:pPr>
        <w:pStyle w:val="21"/>
        <w:numPr>
          <w:ilvl w:val="0"/>
          <w:numId w:val="93"/>
        </w:numPr>
        <w:bidi w:val="0"/>
        <w:rPr>
          <w:rFonts w:hint="eastAsia"/>
          <w:lang w:val="en-US" w:eastAsia="zh-CN"/>
        </w:rPr>
      </w:pPr>
      <w:r>
        <w:rPr>
          <w:rFonts w:hint="eastAsia"/>
          <w:lang w:val="en-US" w:eastAsia="zh-CN"/>
        </w:rPr>
        <w:t xml:space="preserve">人员定位系统图 </w:t>
      </w:r>
    </w:p>
    <w:p w14:paraId="06921571">
      <w:pPr>
        <w:pStyle w:val="21"/>
        <w:numPr>
          <w:ilvl w:val="0"/>
          <w:numId w:val="93"/>
        </w:numPr>
        <w:bidi w:val="0"/>
        <w:rPr>
          <w:rFonts w:hint="eastAsia"/>
          <w:lang w:val="en-US" w:eastAsia="zh-CN"/>
        </w:rPr>
      </w:pPr>
      <w:r>
        <w:rPr>
          <w:rFonts w:hint="eastAsia"/>
          <w:lang w:val="en-US" w:eastAsia="zh-CN"/>
        </w:rPr>
        <w:t>基建进度计划表</w:t>
      </w:r>
    </w:p>
    <w:p w14:paraId="5476B80C">
      <w:pPr>
        <w:pStyle w:val="21"/>
        <w:numPr>
          <w:ilvl w:val="0"/>
          <w:numId w:val="93"/>
        </w:numPr>
        <w:bidi w:val="0"/>
        <w:rPr>
          <w:rFonts w:hint="eastAsia"/>
          <w:lang w:val="en-US" w:eastAsia="zh-CN"/>
        </w:rPr>
      </w:pPr>
      <w:r>
        <w:rPr>
          <w:rFonts w:hint="eastAsia"/>
          <w:lang w:val="en-US" w:eastAsia="zh-CN"/>
        </w:rPr>
        <w:t>浅孔留矿嗣后充填采矿法</w:t>
      </w:r>
    </w:p>
    <w:p w14:paraId="47D23EFE">
      <w:pPr>
        <w:pStyle w:val="21"/>
        <w:numPr>
          <w:ilvl w:val="0"/>
          <w:numId w:val="93"/>
        </w:numPr>
        <w:bidi w:val="0"/>
        <w:rPr>
          <w:rFonts w:hint="eastAsia"/>
          <w:lang w:val="en-US" w:eastAsia="zh-CN"/>
        </w:rPr>
      </w:pPr>
      <w:r>
        <w:rPr>
          <w:rFonts w:hint="eastAsia"/>
          <w:lang w:val="en-US" w:eastAsia="zh-CN"/>
        </w:rPr>
        <w:t xml:space="preserve">垂直走向分段空场嗣后充填采矿法 </w:t>
      </w:r>
    </w:p>
    <w:p w14:paraId="16FE929B">
      <w:pPr>
        <w:pStyle w:val="21"/>
        <w:numPr>
          <w:ilvl w:val="0"/>
          <w:numId w:val="93"/>
        </w:numPr>
        <w:bidi w:val="0"/>
        <w:rPr>
          <w:rFonts w:hint="eastAsia"/>
          <w:lang w:val="en-US" w:eastAsia="zh-CN"/>
        </w:rPr>
      </w:pPr>
      <w:r>
        <w:rPr>
          <w:rFonts w:hint="eastAsia"/>
          <w:lang w:val="en-US" w:eastAsia="zh-CN"/>
        </w:rPr>
        <w:t xml:space="preserve">沿走向分段空场嗣后充填采矿法 </w:t>
      </w:r>
    </w:p>
    <w:p w14:paraId="639A710A">
      <w:pPr>
        <w:pStyle w:val="21"/>
        <w:numPr>
          <w:ilvl w:val="0"/>
          <w:numId w:val="93"/>
        </w:numPr>
        <w:bidi w:val="0"/>
        <w:rPr>
          <w:rFonts w:hint="eastAsia"/>
          <w:lang w:val="en-US" w:eastAsia="zh-CN"/>
        </w:rPr>
      </w:pPr>
      <w:r>
        <w:rPr>
          <w:rFonts w:hint="eastAsia"/>
          <w:lang w:val="en-US" w:eastAsia="zh-CN"/>
        </w:rPr>
        <w:t>全尾砂膏体充填工艺流程图</w:t>
      </w:r>
    </w:p>
    <w:p w14:paraId="0A0FC28B">
      <w:pPr>
        <w:pStyle w:val="21"/>
        <w:numPr>
          <w:ilvl w:val="0"/>
          <w:numId w:val="93"/>
        </w:numPr>
        <w:bidi w:val="0"/>
        <w:rPr>
          <w:rFonts w:hint="eastAsia"/>
          <w:lang w:val="en-US" w:eastAsia="zh-CN"/>
        </w:rPr>
      </w:pPr>
      <w:r>
        <w:rPr>
          <w:rFonts w:hint="eastAsia"/>
          <w:lang w:val="en-US" w:eastAsia="zh-CN"/>
        </w:rPr>
        <w:t>供电系统图</w:t>
      </w:r>
    </w:p>
    <w:p w14:paraId="16610591">
      <w:pPr>
        <w:pStyle w:val="21"/>
        <w:numPr>
          <w:ilvl w:val="0"/>
          <w:numId w:val="93"/>
        </w:numPr>
        <w:bidi w:val="0"/>
        <w:rPr>
          <w:rFonts w:hint="eastAsia"/>
          <w:lang w:val="en-US" w:eastAsia="zh-CN"/>
        </w:rPr>
      </w:pPr>
      <w:r>
        <w:rPr>
          <w:rFonts w:hint="eastAsia"/>
          <w:lang w:val="en-US" w:eastAsia="zh-CN"/>
        </w:rPr>
        <w:t>井巷工程断面图</w:t>
      </w:r>
    </w:p>
    <w:p w14:paraId="6A33EEA4">
      <w:pPr>
        <w:pStyle w:val="21"/>
        <w:numPr>
          <w:ilvl w:val="0"/>
          <w:numId w:val="93"/>
        </w:numPr>
        <w:bidi w:val="0"/>
        <w:rPr>
          <w:rFonts w:hint="eastAsia"/>
          <w:lang w:val="en-US" w:eastAsia="zh-CN"/>
        </w:rPr>
      </w:pPr>
      <w:r>
        <w:rPr>
          <w:rFonts w:hint="eastAsia"/>
          <w:lang w:val="en-US" w:eastAsia="zh-CN"/>
        </w:rPr>
        <w:t>-300m水泵房布置图</w:t>
      </w:r>
    </w:p>
    <w:p w14:paraId="0BFE5279">
      <w:pPr>
        <w:pStyle w:val="21"/>
        <w:numPr>
          <w:ilvl w:val="0"/>
          <w:numId w:val="93"/>
        </w:numPr>
        <w:bidi w:val="0"/>
        <w:rPr>
          <w:rFonts w:hint="eastAsia"/>
          <w:lang w:val="en-US" w:eastAsia="zh-CN"/>
        </w:rPr>
      </w:pPr>
      <w:r>
        <w:rPr>
          <w:rFonts w:hint="eastAsia"/>
          <w:lang w:val="en-US" w:eastAsia="zh-CN"/>
        </w:rPr>
        <w:t>-450m水泵房布置图</w:t>
      </w:r>
    </w:p>
    <w:p w14:paraId="41802709">
      <w:pPr>
        <w:pStyle w:val="21"/>
        <w:numPr>
          <w:ilvl w:val="0"/>
          <w:numId w:val="93"/>
        </w:numPr>
        <w:bidi w:val="0"/>
        <w:rPr>
          <w:rFonts w:hint="eastAsia"/>
          <w:lang w:val="en-US" w:eastAsia="zh-CN"/>
        </w:rPr>
      </w:pPr>
      <w:r>
        <w:rPr>
          <w:rFonts w:hint="eastAsia"/>
          <w:lang w:val="en-US" w:eastAsia="zh-CN"/>
        </w:rPr>
        <w:t>配电硐室布置示意图</w:t>
      </w:r>
    </w:p>
    <w:p w14:paraId="2B2D0E4A">
      <w:pPr>
        <w:pStyle w:val="21"/>
        <w:bidi w:val="0"/>
        <w:rPr>
          <w:rFonts w:hint="default"/>
          <w:lang w:val="en-US" w:eastAsia="zh-CN"/>
        </w:rPr>
      </w:pPr>
    </w:p>
    <w:sectPr>
      <w:pgSz w:w="11906" w:h="16838"/>
      <w:pgMar w:top="1417" w:right="1134" w:bottom="1134" w:left="1587" w:header="851" w:footer="992" w:gutter="0"/>
      <w:pgBorders>
        <w:top w:val="none" w:sz="0" w:space="0"/>
        <w:left w:val="none" w:sz="0" w:space="0"/>
        <w:bottom w:val="none" w:sz="0" w:space="0"/>
        <w:right w:val="none" w:sz="0" w:space="0"/>
      </w:pgBorders>
      <w:pgNumType w:fmt="decimal"/>
      <w:cols w:space="0" w:num="1"/>
      <w:rtlGutter w:val="0"/>
      <w:docGrid w:type="lines" w:linePitch="312" w:charSpace="0"/>
    </w:sectPr>
  </w:body>
</w:document>
</file>

<file path=word/customizations.xml><?xml version="1.0" encoding="utf-8"?>
<wne:tcg xmlns:r="http://schemas.openxmlformats.org/officeDocument/2006/relationships" xmlns:wne="http://schemas.microsoft.com/office/word/2006/wordml">
  <wne:keymaps>
    <wne:keymap wne:kcmPrimary="0070">
      <wne:acd wne:acdName="acd0"/>
    </wne:keymap>
    <wne:keymap wne:kcmPrimary="0072">
      <wne:acd wne:acdName="acd1"/>
    </wne:keymap>
    <wne:keymap wne:kcmPrimary="0071">
      <wne:acd wne:acdName="acd2"/>
    </wne:keymap>
    <wne:keymap wne:kcmPrimary="0074">
      <wne:acd wne:acdName="acd3"/>
    </wne:keymap>
    <wne:keymap wne:kcmPrimary="0073">
      <wne:acd wne:acdName="acd4"/>
    </wne:keymap>
  </wne:keymaps>
  <wne:acds>
    <wne:acd wne:argValue="AgAATqd+B2iYmA==" wne:acdName="acd0" wne:fciIndexBasedOn="0065"/>
    <wne:acd wne:argValue="AgAJTqd+B2iYmA==" wne:acdName="acd1" wne:fciIndexBasedOn="0065"/>
    <wne:acd wne:argValue="AgCMTqd+B2iYmA==" wne:acdName="acd2" wne:fciIndexBasedOn="0065"/>
    <wne:acd wne:argValue="AgD+VmiIDVTweQ==" wne:acdName="acd3" wne:fciIndexBasedOn="0065"/>
    <wne:acd wne:argValue="AgCHZSxn" wne:acdName="acd4" wne:fciIndexBasedOn="0065"/>
  </wne:acds>
</wne:tcg>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F"/>
    <w:family w:val="auto"/>
    <w:pitch w:val="default"/>
    <w:sig w:usb0="E0002EFF" w:usb1="C000785B" w:usb2="00000009" w:usb3="00000000" w:csb0="400001FF" w:csb1="FFFF0000"/>
  </w:font>
  <w:font w:name="宋体">
    <w:panose1 w:val="02010600030101010101"/>
    <w:charset w:val="FE"/>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swiss"/>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Plotter">
    <w:altName w:val="Lucida Console"/>
    <w:panose1 w:val="00000000000000000000"/>
    <w:charset w:val="00"/>
    <w:family w:val="modern"/>
    <w:pitch w:val="default"/>
    <w:sig w:usb0="00000000" w:usb1="00000000" w:usb2="00000000" w:usb3="00000000" w:csb0="00000001" w:csb1="00000000"/>
  </w:font>
  <w:font w:name="Lucida Console">
    <w:panose1 w:val="020B0609040504020204"/>
    <w:charset w:val="00"/>
    <w:family w:val="auto"/>
    <w:pitch w:val="default"/>
    <w:sig w:usb0="8000028F" w:usb1="00001800" w:usb2="00000000" w:usb3="00000000" w:csb0="0000001F" w:csb1="D7D70000"/>
  </w:font>
  <w:font w:name="仿宋">
    <w:panose1 w:val="02010609060101010101"/>
    <w:charset w:val="86"/>
    <w:family w:val="auto"/>
    <w:pitch w:val="default"/>
    <w:sig w:usb0="800002BF" w:usb1="38CF7CFA" w:usb2="00000016" w:usb3="00000000" w:csb0="00040001" w:csb1="00000000"/>
  </w:font>
  <w:font w:name="Cambria Math">
    <w:panose1 w:val="02040503050406030204"/>
    <w:charset w:val="00"/>
    <w:family w:val="auto"/>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A290E4">
    <w:pPr>
      <w:pStyle w:val="17"/>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5E2FCA">
                          <w:pPr>
                            <w:pStyle w:val="17"/>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4D5E2FCA">
                    <w:pPr>
                      <w:pStyle w:val="17"/>
                    </w:pPr>
                    <w:r>
                      <w:fldChar w:fldCharType="begin"/>
                    </w:r>
                    <w:r>
                      <w:instrText xml:space="preserve"> PAGE  \* MERGEFORMAT </w:instrText>
                    </w:r>
                    <w:r>
                      <w:fldChar w:fldCharType="separate"/>
                    </w:r>
                    <w:r>
                      <w:t>3</w:t>
                    </w:r>
                    <w:r>
                      <w:fldChar w:fldCharType="end"/>
                    </w:r>
                  </w:p>
                </w:txbxContent>
              </v:textbox>
            </v:shape>
          </w:pict>
        </mc:Fallback>
      </mc:AlternateContent>
    </w:r>
    <w:r>
      <w:rPr>
        <w:rFonts w:hint="eastAsia"/>
      </w:rPr>
      <w:drawing>
        <wp:inline distT="0" distB="0" distL="114300" distR="114300">
          <wp:extent cx="361315" cy="136525"/>
          <wp:effectExtent l="0" t="0" r="0" b="15875"/>
          <wp:docPr id="3" name="图片 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hint="eastAsia" w:ascii="楷体" w:hAnsi="楷体" w:eastAsia="楷体" w:cs="楷体"/>
        <w:sz w:val="21"/>
        <w:szCs w:val="21"/>
        <w:lang w:eastAsia="zh-CN"/>
      </w:rPr>
      <w:t>辽宁诺诚安全科技有限公司</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874FB0">
    <w:pPr>
      <w:pStyle w:val="18"/>
      <w:pBdr>
        <w:bottom w:val="single" w:color="auto" w:sz="4" w:space="1"/>
      </w:pBdr>
      <w:jc w:val="center"/>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沈阳浑南矿业有限责任公司（铁矿）地下开采建设项目安全预评价报告</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A55B2E"/>
    <w:multiLevelType w:val="singleLevel"/>
    <w:tmpl w:val="81A55B2E"/>
    <w:lvl w:ilvl="0" w:tentative="0">
      <w:start w:val="1"/>
      <w:numFmt w:val="decimal"/>
      <w:suff w:val="nothing"/>
      <w:lvlText w:val="（%1）"/>
      <w:lvlJc w:val="left"/>
    </w:lvl>
  </w:abstractNum>
  <w:abstractNum w:abstractNumId="1">
    <w:nsid w:val="82884E14"/>
    <w:multiLevelType w:val="multilevel"/>
    <w:tmpl w:val="82884E14"/>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868A7C63"/>
    <w:multiLevelType w:val="singleLevel"/>
    <w:tmpl w:val="868A7C63"/>
    <w:lvl w:ilvl="0" w:tentative="0">
      <w:start w:val="1"/>
      <w:numFmt w:val="decimal"/>
      <w:suff w:val="nothing"/>
      <w:lvlText w:val="（%1）"/>
      <w:lvlJc w:val="left"/>
    </w:lvl>
  </w:abstractNum>
  <w:abstractNum w:abstractNumId="3">
    <w:nsid w:val="8BEA4602"/>
    <w:multiLevelType w:val="singleLevel"/>
    <w:tmpl w:val="8BEA4602"/>
    <w:lvl w:ilvl="0" w:tentative="0">
      <w:start w:val="1"/>
      <w:numFmt w:val="decimalEnclosedCircleChinese"/>
      <w:suff w:val="nothing"/>
      <w:lvlText w:val="%1"/>
      <w:lvlJc w:val="left"/>
      <w:pPr>
        <w:ind w:left="0" w:firstLine="40"/>
      </w:pPr>
      <w:rPr>
        <w:rFonts w:hint="eastAsia"/>
      </w:rPr>
    </w:lvl>
  </w:abstractNum>
  <w:abstractNum w:abstractNumId="4">
    <w:nsid w:val="9112F9E2"/>
    <w:multiLevelType w:val="multilevel"/>
    <w:tmpl w:val="9112F9E2"/>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95A2DC15"/>
    <w:multiLevelType w:val="multilevel"/>
    <w:tmpl w:val="95A2DC15"/>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9CB44456"/>
    <w:multiLevelType w:val="singleLevel"/>
    <w:tmpl w:val="9CB44456"/>
    <w:lvl w:ilvl="0" w:tentative="0">
      <w:start w:val="1"/>
      <w:numFmt w:val="decimal"/>
      <w:suff w:val="nothing"/>
      <w:lvlText w:val="（%1）"/>
      <w:lvlJc w:val="left"/>
    </w:lvl>
  </w:abstractNum>
  <w:abstractNum w:abstractNumId="7">
    <w:nsid w:val="9F75E966"/>
    <w:multiLevelType w:val="singleLevel"/>
    <w:tmpl w:val="9F75E966"/>
    <w:lvl w:ilvl="0" w:tentative="0">
      <w:start w:val="1"/>
      <w:numFmt w:val="decimalEnclosedCircleChinese"/>
      <w:suff w:val="nothing"/>
      <w:lvlText w:val="%1"/>
      <w:lvlJc w:val="left"/>
      <w:pPr>
        <w:ind w:left="0" w:firstLine="40"/>
      </w:pPr>
      <w:rPr>
        <w:rFonts w:hint="eastAsia"/>
      </w:rPr>
    </w:lvl>
  </w:abstractNum>
  <w:abstractNum w:abstractNumId="8">
    <w:nsid w:val="A4DA50B0"/>
    <w:multiLevelType w:val="multilevel"/>
    <w:tmpl w:val="A4DA50B0"/>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A7620859"/>
    <w:multiLevelType w:val="multilevel"/>
    <w:tmpl w:val="A7620859"/>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0">
    <w:nsid w:val="A9882291"/>
    <w:multiLevelType w:val="multilevel"/>
    <w:tmpl w:val="A9882291"/>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1">
    <w:nsid w:val="B01985F0"/>
    <w:multiLevelType w:val="multilevel"/>
    <w:tmpl w:val="B01985F0"/>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2">
    <w:nsid w:val="C12E2EA4"/>
    <w:multiLevelType w:val="multilevel"/>
    <w:tmpl w:val="C12E2EA4"/>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3">
    <w:nsid w:val="C451C83C"/>
    <w:multiLevelType w:val="singleLevel"/>
    <w:tmpl w:val="C451C83C"/>
    <w:lvl w:ilvl="0" w:tentative="0">
      <w:start w:val="1"/>
      <w:numFmt w:val="decimal"/>
      <w:suff w:val="nothing"/>
      <w:lvlText w:val="（%1）"/>
      <w:lvlJc w:val="left"/>
      <w:pPr>
        <w:ind w:left="0" w:firstLine="420"/>
      </w:pPr>
      <w:rPr>
        <w:rFonts w:hint="default"/>
      </w:rPr>
    </w:lvl>
  </w:abstractNum>
  <w:abstractNum w:abstractNumId="14">
    <w:nsid w:val="CF54299D"/>
    <w:multiLevelType w:val="multilevel"/>
    <w:tmpl w:val="CF54299D"/>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5">
    <w:nsid w:val="D0E09533"/>
    <w:multiLevelType w:val="singleLevel"/>
    <w:tmpl w:val="D0E09533"/>
    <w:lvl w:ilvl="0" w:tentative="0">
      <w:start w:val="1"/>
      <w:numFmt w:val="decimalEnclosedCircleChinese"/>
      <w:suff w:val="nothing"/>
      <w:lvlText w:val="%1"/>
      <w:lvlJc w:val="left"/>
      <w:pPr>
        <w:ind w:left="0" w:firstLine="40"/>
      </w:pPr>
      <w:rPr>
        <w:rFonts w:hint="eastAsia"/>
      </w:rPr>
    </w:lvl>
  </w:abstractNum>
  <w:abstractNum w:abstractNumId="16">
    <w:nsid w:val="DA00F7A9"/>
    <w:multiLevelType w:val="multilevel"/>
    <w:tmpl w:val="DA00F7A9"/>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7">
    <w:nsid w:val="DA2CFF6C"/>
    <w:multiLevelType w:val="multilevel"/>
    <w:tmpl w:val="DA2CFF6C"/>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8">
    <w:nsid w:val="DE1CF2BF"/>
    <w:multiLevelType w:val="multilevel"/>
    <w:tmpl w:val="DE1CF2BF"/>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9">
    <w:nsid w:val="DE61973D"/>
    <w:multiLevelType w:val="singleLevel"/>
    <w:tmpl w:val="DE61973D"/>
    <w:lvl w:ilvl="0" w:tentative="0">
      <w:start w:val="1"/>
      <w:numFmt w:val="decimal"/>
      <w:suff w:val="nothing"/>
      <w:lvlText w:val="（%1）"/>
      <w:lvlJc w:val="left"/>
    </w:lvl>
  </w:abstractNum>
  <w:abstractNum w:abstractNumId="20">
    <w:nsid w:val="E2F85F9C"/>
    <w:multiLevelType w:val="multilevel"/>
    <w:tmpl w:val="E2F85F9C"/>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E5C73C8B"/>
    <w:multiLevelType w:val="multilevel"/>
    <w:tmpl w:val="E5C73C8B"/>
    <w:lvl w:ilvl="0" w:tentative="0">
      <w:start w:val="1"/>
      <w:numFmt w:val="decimal"/>
      <w:suff w:val="space"/>
      <w:lvlText w:val="%1."/>
      <w:lvlJc w:val="center"/>
      <w:pPr>
        <w:tabs>
          <w:tab w:val="left" w:pos="0"/>
        </w:tabs>
        <w:ind w:left="0" w:leftChars="0" w:firstLine="0" w:firstLineChars="0"/>
      </w:pPr>
      <w:rPr>
        <w:rFonts w:hint="default"/>
      </w:rPr>
    </w:lvl>
    <w:lvl w:ilvl="1" w:tentative="0">
      <w:start w:val="1"/>
      <w:numFmt w:val="decimal"/>
      <w:suff w:val="space"/>
      <w:lvlText w:val="%1.%2."/>
      <w:lvlJc w:val="center"/>
      <w:pPr>
        <w:tabs>
          <w:tab w:val="left" w:pos="0"/>
        </w:tabs>
        <w:ind w:left="0" w:leftChars="0" w:firstLine="0" w:firstLineChars="0"/>
      </w:pPr>
      <w:rPr>
        <w:rFonts w:hint="default"/>
      </w:rPr>
    </w:lvl>
    <w:lvl w:ilvl="2" w:tentative="0">
      <w:start w:val="1"/>
      <w:numFmt w:val="decimal"/>
      <w:pStyle w:val="4"/>
      <w:suff w:val="nothing"/>
      <w:lvlText w:val="%1.%2.%3."/>
      <w:lvlJc w:val="left"/>
      <w:pPr>
        <w:tabs>
          <w:tab w:val="left" w:pos="0"/>
        </w:tabs>
        <w:ind w:left="720" w:hanging="720"/>
      </w:pPr>
      <w:rPr>
        <w:rFonts w:hint="default"/>
      </w:rPr>
    </w:lvl>
    <w:lvl w:ilvl="3" w:tentative="0">
      <w:start w:val="1"/>
      <w:numFmt w:val="decimal"/>
      <w:lvlText w:val="%1.%2.%3.%4."/>
      <w:lvlJc w:val="left"/>
      <w:pPr>
        <w:ind w:left="864" w:hanging="864"/>
      </w:pPr>
      <w:rPr>
        <w:rFonts w:hint="default"/>
      </w:rPr>
    </w:lvl>
    <w:lvl w:ilvl="4" w:tentative="0">
      <w:start w:val="1"/>
      <w:numFmt w:val="decimal"/>
      <w:lvlText w:val="%1.%2.%3.%4.%5."/>
      <w:lvlJc w:val="left"/>
      <w:pPr>
        <w:ind w:left="1008" w:hanging="1008"/>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abstractNum w:abstractNumId="22">
    <w:nsid w:val="E7E0C75E"/>
    <w:multiLevelType w:val="singleLevel"/>
    <w:tmpl w:val="E7E0C75E"/>
    <w:lvl w:ilvl="0" w:tentative="0">
      <w:start w:val="1"/>
      <w:numFmt w:val="decimal"/>
      <w:suff w:val="nothing"/>
      <w:lvlText w:val="（%1）"/>
      <w:lvlJc w:val="left"/>
      <w:pPr>
        <w:ind w:left="0" w:firstLine="420"/>
      </w:pPr>
      <w:rPr>
        <w:rFonts w:hint="default"/>
      </w:rPr>
    </w:lvl>
  </w:abstractNum>
  <w:abstractNum w:abstractNumId="23">
    <w:nsid w:val="EBF29231"/>
    <w:multiLevelType w:val="singleLevel"/>
    <w:tmpl w:val="EBF29231"/>
    <w:lvl w:ilvl="0" w:tentative="0">
      <w:start w:val="1"/>
      <w:numFmt w:val="decimalEnclosedCircleChinese"/>
      <w:suff w:val="nothing"/>
      <w:lvlText w:val="%1"/>
      <w:lvlJc w:val="left"/>
      <w:pPr>
        <w:ind w:left="0" w:firstLine="40"/>
      </w:pPr>
      <w:rPr>
        <w:rFonts w:hint="eastAsia"/>
      </w:rPr>
    </w:lvl>
  </w:abstractNum>
  <w:abstractNum w:abstractNumId="24">
    <w:nsid w:val="ECE5ED75"/>
    <w:multiLevelType w:val="singleLevel"/>
    <w:tmpl w:val="ECE5ED75"/>
    <w:lvl w:ilvl="0" w:tentative="0">
      <w:start w:val="1"/>
      <w:numFmt w:val="decimal"/>
      <w:suff w:val="nothing"/>
      <w:lvlText w:val="（%1）"/>
      <w:lvlJc w:val="left"/>
    </w:lvl>
  </w:abstractNum>
  <w:abstractNum w:abstractNumId="25">
    <w:nsid w:val="EE236B43"/>
    <w:multiLevelType w:val="singleLevel"/>
    <w:tmpl w:val="EE236B43"/>
    <w:lvl w:ilvl="0" w:tentative="0">
      <w:start w:val="1"/>
      <w:numFmt w:val="decimalEnclosedCircleChinese"/>
      <w:suff w:val="nothing"/>
      <w:lvlText w:val="%1"/>
      <w:lvlJc w:val="left"/>
      <w:pPr>
        <w:ind w:left="0" w:firstLine="40"/>
      </w:pPr>
      <w:rPr>
        <w:rFonts w:hint="eastAsia"/>
      </w:rPr>
    </w:lvl>
  </w:abstractNum>
  <w:abstractNum w:abstractNumId="26">
    <w:nsid w:val="EF2450CA"/>
    <w:multiLevelType w:val="multilevel"/>
    <w:tmpl w:val="EF2450CA"/>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7">
    <w:nsid w:val="F7A90633"/>
    <w:multiLevelType w:val="multilevel"/>
    <w:tmpl w:val="F7A90633"/>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8">
    <w:nsid w:val="F96BEFEE"/>
    <w:multiLevelType w:val="multilevel"/>
    <w:tmpl w:val="F96BEFEE"/>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9">
    <w:nsid w:val="FAE5398F"/>
    <w:multiLevelType w:val="singleLevel"/>
    <w:tmpl w:val="FAE5398F"/>
    <w:lvl w:ilvl="0" w:tentative="0">
      <w:start w:val="1"/>
      <w:numFmt w:val="decimalEnclosedCircleChinese"/>
      <w:suff w:val="nothing"/>
      <w:lvlText w:val="%1"/>
      <w:lvlJc w:val="left"/>
      <w:pPr>
        <w:ind w:left="0" w:firstLine="40"/>
      </w:pPr>
      <w:rPr>
        <w:rFonts w:hint="eastAsia"/>
      </w:rPr>
    </w:lvl>
  </w:abstractNum>
  <w:abstractNum w:abstractNumId="30">
    <w:nsid w:val="019D64FE"/>
    <w:multiLevelType w:val="singleLevel"/>
    <w:tmpl w:val="019D64FE"/>
    <w:lvl w:ilvl="0" w:tentative="0">
      <w:start w:val="1"/>
      <w:numFmt w:val="decimalEnclosedCircleChinese"/>
      <w:suff w:val="nothing"/>
      <w:lvlText w:val="%1"/>
      <w:lvlJc w:val="left"/>
      <w:pPr>
        <w:ind w:left="0" w:firstLine="40"/>
      </w:pPr>
      <w:rPr>
        <w:rFonts w:hint="eastAsia"/>
      </w:rPr>
    </w:lvl>
  </w:abstractNum>
  <w:abstractNum w:abstractNumId="31">
    <w:nsid w:val="024690FA"/>
    <w:multiLevelType w:val="multilevel"/>
    <w:tmpl w:val="024690FA"/>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2">
    <w:nsid w:val="09DA0FEC"/>
    <w:multiLevelType w:val="multilevel"/>
    <w:tmpl w:val="09DA0FEC"/>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3">
    <w:nsid w:val="0B1D0E89"/>
    <w:multiLevelType w:val="multilevel"/>
    <w:tmpl w:val="0B1D0E89"/>
    <w:lvl w:ilvl="0" w:tentative="0">
      <w:start w:val="1"/>
      <w:numFmt w:val="decimal"/>
      <w:lvlText w:val="（%1）"/>
      <w:lvlJc w:val="left"/>
      <w:pPr>
        <w:tabs>
          <w:tab w:val="left" w:pos="720"/>
        </w:tabs>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4">
    <w:nsid w:val="12C3F796"/>
    <w:multiLevelType w:val="multilevel"/>
    <w:tmpl w:val="12C3F796"/>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5">
    <w:nsid w:val="13C10EF8"/>
    <w:multiLevelType w:val="multilevel"/>
    <w:tmpl w:val="13C10EF8"/>
    <w:lvl w:ilvl="0" w:tentative="0">
      <w:start w:val="1"/>
      <w:numFmt w:val="decimal"/>
      <w:lvlText w:val="（%1）"/>
      <w:lvlJc w:val="left"/>
      <w:pPr>
        <w:tabs>
          <w:tab w:val="left" w:pos="720"/>
        </w:tabs>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6">
    <w:nsid w:val="14D41E90"/>
    <w:multiLevelType w:val="singleLevel"/>
    <w:tmpl w:val="14D41E90"/>
    <w:lvl w:ilvl="0" w:tentative="0">
      <w:start w:val="1"/>
      <w:numFmt w:val="decimal"/>
      <w:lvlText w:val="%1."/>
      <w:lvlJc w:val="left"/>
      <w:pPr>
        <w:tabs>
          <w:tab w:val="left" w:pos="312"/>
        </w:tabs>
      </w:pPr>
    </w:lvl>
  </w:abstractNum>
  <w:abstractNum w:abstractNumId="37">
    <w:nsid w:val="153E1172"/>
    <w:multiLevelType w:val="multilevel"/>
    <w:tmpl w:val="153E1172"/>
    <w:lvl w:ilvl="0" w:tentative="0">
      <w:start w:val="1"/>
      <w:numFmt w:val="decimal"/>
      <w:lvlText w:val="（%1）"/>
      <w:lvlJc w:val="left"/>
      <w:pPr>
        <w:tabs>
          <w:tab w:val="left" w:pos="0"/>
        </w:tabs>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8">
    <w:nsid w:val="15ECE23E"/>
    <w:multiLevelType w:val="singleLevel"/>
    <w:tmpl w:val="15ECE23E"/>
    <w:lvl w:ilvl="0" w:tentative="0">
      <w:start w:val="1"/>
      <w:numFmt w:val="decimalEnclosedCircleChinese"/>
      <w:suff w:val="nothing"/>
      <w:lvlText w:val="%1"/>
      <w:lvlJc w:val="left"/>
      <w:pPr>
        <w:ind w:left="0" w:firstLine="40"/>
      </w:pPr>
      <w:rPr>
        <w:rFonts w:hint="eastAsia"/>
      </w:rPr>
    </w:lvl>
  </w:abstractNum>
  <w:abstractNum w:abstractNumId="39">
    <w:nsid w:val="176E795B"/>
    <w:multiLevelType w:val="multilevel"/>
    <w:tmpl w:val="176E795B"/>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0">
    <w:nsid w:val="18D83C37"/>
    <w:multiLevelType w:val="multilevel"/>
    <w:tmpl w:val="18D83C37"/>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1">
    <w:nsid w:val="19A98ADA"/>
    <w:multiLevelType w:val="multilevel"/>
    <w:tmpl w:val="19A98ADA"/>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2">
    <w:nsid w:val="20D0D0B2"/>
    <w:multiLevelType w:val="multilevel"/>
    <w:tmpl w:val="20D0D0B2"/>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3">
    <w:nsid w:val="257798C1"/>
    <w:multiLevelType w:val="singleLevel"/>
    <w:tmpl w:val="257798C1"/>
    <w:lvl w:ilvl="0" w:tentative="0">
      <w:start w:val="1"/>
      <w:numFmt w:val="decimal"/>
      <w:suff w:val="nothing"/>
      <w:lvlText w:val="（%1）"/>
      <w:lvlJc w:val="left"/>
    </w:lvl>
  </w:abstractNum>
  <w:abstractNum w:abstractNumId="44">
    <w:nsid w:val="25ED20EA"/>
    <w:multiLevelType w:val="multilevel"/>
    <w:tmpl w:val="25ED20EA"/>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5">
    <w:nsid w:val="28C37A35"/>
    <w:multiLevelType w:val="multilevel"/>
    <w:tmpl w:val="28C37A35"/>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6">
    <w:nsid w:val="2ACD463F"/>
    <w:multiLevelType w:val="multilevel"/>
    <w:tmpl w:val="2ACD463F"/>
    <w:lvl w:ilvl="0" w:tentative="0">
      <w:start w:val="1"/>
      <w:numFmt w:val="decimal"/>
      <w:lvlText w:val="（%1）"/>
      <w:lvlJc w:val="left"/>
      <w:pPr>
        <w:tabs>
          <w:tab w:val="left" w:pos="0"/>
        </w:tabs>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7">
    <w:nsid w:val="2CA6D885"/>
    <w:multiLevelType w:val="singleLevel"/>
    <w:tmpl w:val="2CA6D885"/>
    <w:lvl w:ilvl="0" w:tentative="0">
      <w:start w:val="1"/>
      <w:numFmt w:val="decimalEnclosedCircleChinese"/>
      <w:suff w:val="nothing"/>
      <w:lvlText w:val="%1"/>
      <w:lvlJc w:val="left"/>
      <w:pPr>
        <w:ind w:left="0" w:firstLine="40"/>
      </w:pPr>
      <w:rPr>
        <w:rFonts w:hint="eastAsia"/>
      </w:rPr>
    </w:lvl>
  </w:abstractNum>
  <w:abstractNum w:abstractNumId="48">
    <w:nsid w:val="2E304438"/>
    <w:multiLevelType w:val="singleLevel"/>
    <w:tmpl w:val="2E304438"/>
    <w:lvl w:ilvl="0" w:tentative="0">
      <w:start w:val="1"/>
      <w:numFmt w:val="decimal"/>
      <w:suff w:val="nothing"/>
      <w:lvlText w:val="（%1）"/>
      <w:lvlJc w:val="left"/>
    </w:lvl>
  </w:abstractNum>
  <w:abstractNum w:abstractNumId="49">
    <w:nsid w:val="2EE95A13"/>
    <w:multiLevelType w:val="multilevel"/>
    <w:tmpl w:val="2EE95A13"/>
    <w:lvl w:ilvl="0" w:tentative="0">
      <w:start w:val="1"/>
      <w:numFmt w:val="decimal"/>
      <w:lvlText w:val="（%1）"/>
      <w:lvlJc w:val="left"/>
      <w:pPr>
        <w:tabs>
          <w:tab w:val="left" w:pos="0"/>
        </w:tabs>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0">
    <w:nsid w:val="30E85E93"/>
    <w:multiLevelType w:val="multilevel"/>
    <w:tmpl w:val="30E85E93"/>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1">
    <w:nsid w:val="34596782"/>
    <w:multiLevelType w:val="multilevel"/>
    <w:tmpl w:val="34596782"/>
    <w:lvl w:ilvl="0" w:tentative="0">
      <w:start w:val="1"/>
      <w:numFmt w:val="decimal"/>
      <w:lvlText w:val="（%1）"/>
      <w:lvlJc w:val="left"/>
      <w:pPr>
        <w:tabs>
          <w:tab w:val="left" w:pos="720"/>
        </w:tabs>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2">
    <w:nsid w:val="36115B1D"/>
    <w:multiLevelType w:val="multilevel"/>
    <w:tmpl w:val="36115B1D"/>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3">
    <w:nsid w:val="37D03788"/>
    <w:multiLevelType w:val="singleLevel"/>
    <w:tmpl w:val="37D03788"/>
    <w:lvl w:ilvl="0" w:tentative="0">
      <w:start w:val="1"/>
      <w:numFmt w:val="decimal"/>
      <w:suff w:val="nothing"/>
      <w:lvlText w:val="（%1）"/>
      <w:lvlJc w:val="left"/>
    </w:lvl>
  </w:abstractNum>
  <w:abstractNum w:abstractNumId="54">
    <w:nsid w:val="3A5E6E5D"/>
    <w:multiLevelType w:val="multilevel"/>
    <w:tmpl w:val="3A5E6E5D"/>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5">
    <w:nsid w:val="3BC012AF"/>
    <w:multiLevelType w:val="singleLevel"/>
    <w:tmpl w:val="3BC012AF"/>
    <w:lvl w:ilvl="0" w:tentative="0">
      <w:start w:val="1"/>
      <w:numFmt w:val="decimalEnclosedCircleChinese"/>
      <w:suff w:val="nothing"/>
      <w:lvlText w:val="%1"/>
      <w:lvlJc w:val="left"/>
      <w:pPr>
        <w:ind w:left="0" w:firstLine="40"/>
      </w:pPr>
      <w:rPr>
        <w:rFonts w:hint="eastAsia"/>
      </w:rPr>
    </w:lvl>
  </w:abstractNum>
  <w:abstractNum w:abstractNumId="56">
    <w:nsid w:val="3C6C2E4D"/>
    <w:multiLevelType w:val="multilevel"/>
    <w:tmpl w:val="3C6C2E4D"/>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7">
    <w:nsid w:val="3C9693A9"/>
    <w:multiLevelType w:val="multilevel"/>
    <w:tmpl w:val="3C9693A9"/>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8">
    <w:nsid w:val="3D2878C7"/>
    <w:multiLevelType w:val="multilevel"/>
    <w:tmpl w:val="3D2878C7"/>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9">
    <w:nsid w:val="3E5196C2"/>
    <w:multiLevelType w:val="singleLevel"/>
    <w:tmpl w:val="3E5196C2"/>
    <w:lvl w:ilvl="0" w:tentative="0">
      <w:start w:val="1"/>
      <w:numFmt w:val="decimalEnclosedCircleChinese"/>
      <w:suff w:val="nothing"/>
      <w:lvlText w:val="%1"/>
      <w:lvlJc w:val="left"/>
      <w:pPr>
        <w:ind w:left="0" w:firstLine="40"/>
      </w:pPr>
      <w:rPr>
        <w:rFonts w:hint="eastAsia"/>
      </w:rPr>
    </w:lvl>
  </w:abstractNum>
  <w:abstractNum w:abstractNumId="60">
    <w:nsid w:val="3EB0D2DB"/>
    <w:multiLevelType w:val="singleLevel"/>
    <w:tmpl w:val="3EB0D2DB"/>
    <w:lvl w:ilvl="0" w:tentative="0">
      <w:start w:val="1"/>
      <w:numFmt w:val="decimal"/>
      <w:suff w:val="nothing"/>
      <w:lvlText w:val="（%1）"/>
      <w:lvlJc w:val="left"/>
    </w:lvl>
  </w:abstractNum>
  <w:abstractNum w:abstractNumId="61">
    <w:nsid w:val="40D4806D"/>
    <w:multiLevelType w:val="multilevel"/>
    <w:tmpl w:val="40D4806D"/>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2">
    <w:nsid w:val="433447A7"/>
    <w:multiLevelType w:val="singleLevel"/>
    <w:tmpl w:val="433447A7"/>
    <w:lvl w:ilvl="0" w:tentative="0">
      <w:start w:val="1"/>
      <w:numFmt w:val="decimalEnclosedCircleChinese"/>
      <w:suff w:val="nothing"/>
      <w:lvlText w:val="%1"/>
      <w:lvlJc w:val="left"/>
      <w:pPr>
        <w:ind w:left="0" w:firstLine="40"/>
      </w:pPr>
      <w:rPr>
        <w:rFonts w:hint="eastAsia"/>
      </w:rPr>
    </w:lvl>
  </w:abstractNum>
  <w:abstractNum w:abstractNumId="63">
    <w:nsid w:val="43CD6AD7"/>
    <w:multiLevelType w:val="multilevel"/>
    <w:tmpl w:val="43CD6AD7"/>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4">
    <w:nsid w:val="44E532D6"/>
    <w:multiLevelType w:val="multilevel"/>
    <w:tmpl w:val="44E532D6"/>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5">
    <w:nsid w:val="4BAC3BD1"/>
    <w:multiLevelType w:val="multilevel"/>
    <w:tmpl w:val="4BAC3BD1"/>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6">
    <w:nsid w:val="4BC03C94"/>
    <w:multiLevelType w:val="multilevel"/>
    <w:tmpl w:val="4BC03C94"/>
    <w:lvl w:ilvl="0" w:tentative="0">
      <w:start w:val="1"/>
      <w:numFmt w:val="decimal"/>
      <w:lvlText w:val="（%1）"/>
      <w:lvlJc w:val="left"/>
      <w:pPr>
        <w:tabs>
          <w:tab w:val="left" w:pos="720"/>
        </w:tabs>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7">
    <w:nsid w:val="50F2B440"/>
    <w:multiLevelType w:val="singleLevel"/>
    <w:tmpl w:val="50F2B440"/>
    <w:lvl w:ilvl="0" w:tentative="0">
      <w:start w:val="1"/>
      <w:numFmt w:val="decimalEnclosedCircleChinese"/>
      <w:suff w:val="nothing"/>
      <w:lvlText w:val="%1"/>
      <w:lvlJc w:val="left"/>
      <w:pPr>
        <w:ind w:left="0" w:firstLine="40"/>
      </w:pPr>
      <w:rPr>
        <w:rFonts w:hint="eastAsia"/>
      </w:rPr>
    </w:lvl>
  </w:abstractNum>
  <w:abstractNum w:abstractNumId="68">
    <w:nsid w:val="522B0D22"/>
    <w:multiLevelType w:val="multilevel"/>
    <w:tmpl w:val="522B0D22"/>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9">
    <w:nsid w:val="552E9823"/>
    <w:multiLevelType w:val="singleLevel"/>
    <w:tmpl w:val="552E9823"/>
    <w:lvl w:ilvl="0" w:tentative="0">
      <w:start w:val="1"/>
      <w:numFmt w:val="decimal"/>
      <w:suff w:val="nothing"/>
      <w:lvlText w:val="（%1）"/>
      <w:lvlJc w:val="left"/>
    </w:lvl>
  </w:abstractNum>
  <w:abstractNum w:abstractNumId="70">
    <w:nsid w:val="57F111F1"/>
    <w:multiLevelType w:val="multilevel"/>
    <w:tmpl w:val="57F111F1"/>
    <w:lvl w:ilvl="0" w:tentative="0">
      <w:start w:val="1"/>
      <w:numFmt w:val="decimal"/>
      <w:lvlText w:val="（%1）"/>
      <w:lvlJc w:val="left"/>
      <w:pPr>
        <w:tabs>
          <w:tab w:val="left" w:pos="720"/>
        </w:tabs>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1">
    <w:nsid w:val="58A7A0A9"/>
    <w:multiLevelType w:val="multilevel"/>
    <w:tmpl w:val="58A7A0A9"/>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2">
    <w:nsid w:val="58F86A50"/>
    <w:multiLevelType w:val="singleLevel"/>
    <w:tmpl w:val="58F86A50"/>
    <w:lvl w:ilvl="0" w:tentative="0">
      <w:start w:val="1"/>
      <w:numFmt w:val="decimal"/>
      <w:suff w:val="nothing"/>
      <w:lvlText w:val="（%1）"/>
      <w:lvlJc w:val="left"/>
    </w:lvl>
  </w:abstractNum>
  <w:abstractNum w:abstractNumId="73">
    <w:nsid w:val="59CD62CC"/>
    <w:multiLevelType w:val="multilevel"/>
    <w:tmpl w:val="59CD62CC"/>
    <w:lvl w:ilvl="0" w:tentative="0">
      <w:start w:val="1"/>
      <w:numFmt w:val="decimal"/>
      <w:lvlText w:val="（%1）"/>
      <w:lvlJc w:val="left"/>
      <w:pPr>
        <w:tabs>
          <w:tab w:val="left" w:pos="720"/>
        </w:tabs>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4">
    <w:nsid w:val="5BA0E63D"/>
    <w:multiLevelType w:val="singleLevel"/>
    <w:tmpl w:val="5BA0E63D"/>
    <w:lvl w:ilvl="0" w:tentative="0">
      <w:start w:val="1"/>
      <w:numFmt w:val="decimalEnclosedCircleChinese"/>
      <w:suff w:val="nothing"/>
      <w:lvlText w:val="%1"/>
      <w:lvlJc w:val="left"/>
      <w:pPr>
        <w:ind w:left="0" w:firstLine="40"/>
      </w:pPr>
      <w:rPr>
        <w:rFonts w:hint="eastAsia"/>
      </w:rPr>
    </w:lvl>
  </w:abstractNum>
  <w:abstractNum w:abstractNumId="75">
    <w:nsid w:val="5DDE0AC3"/>
    <w:multiLevelType w:val="singleLevel"/>
    <w:tmpl w:val="5DDE0AC3"/>
    <w:lvl w:ilvl="0" w:tentative="0">
      <w:start w:val="1"/>
      <w:numFmt w:val="decimal"/>
      <w:suff w:val="nothing"/>
      <w:lvlText w:val="（%1）"/>
      <w:lvlJc w:val="left"/>
    </w:lvl>
  </w:abstractNum>
  <w:abstractNum w:abstractNumId="76">
    <w:nsid w:val="5E79A901"/>
    <w:multiLevelType w:val="multilevel"/>
    <w:tmpl w:val="5E79A901"/>
    <w:lvl w:ilvl="0" w:tentative="0">
      <w:start w:val="1"/>
      <w:numFmt w:val="decimal"/>
      <w:pStyle w:val="27"/>
      <w:suff w:val="space"/>
      <w:lvlText w:val="%1"/>
      <w:lvlJc w:val="center"/>
      <w:pPr>
        <w:tabs>
          <w:tab w:val="left" w:pos="0"/>
        </w:tabs>
        <w:ind w:left="0" w:leftChars="0" w:firstLine="0" w:firstLineChars="0"/>
      </w:pPr>
      <w:rPr>
        <w:rFonts w:hint="default"/>
      </w:rPr>
    </w:lvl>
    <w:lvl w:ilvl="1" w:tentative="0">
      <w:start w:val="1"/>
      <w:numFmt w:val="decimal"/>
      <w:pStyle w:val="28"/>
      <w:suff w:val="space"/>
      <w:lvlText w:val="%1.%2"/>
      <w:lvlJc w:val="center"/>
      <w:pPr>
        <w:tabs>
          <w:tab w:val="left" w:pos="420"/>
        </w:tabs>
        <w:ind w:left="0" w:leftChars="0" w:firstLine="0" w:firstLineChars="0"/>
      </w:pPr>
      <w:rPr>
        <w:rFonts w:hint="default"/>
      </w:rPr>
    </w:lvl>
    <w:lvl w:ilvl="2" w:tentative="0">
      <w:start w:val="1"/>
      <w:numFmt w:val="decimal"/>
      <w:pStyle w:val="29"/>
      <w:suff w:val="nothing"/>
      <w:lvlText w:val="%1.%2.%3"/>
      <w:lvlJc w:val="left"/>
      <w:pPr>
        <w:tabs>
          <w:tab w:val="left" w:pos="0"/>
        </w:tabs>
        <w:ind w:left="720" w:hanging="720"/>
      </w:pPr>
      <w:rPr>
        <w:rFonts w:hint="default"/>
      </w:rPr>
    </w:lvl>
    <w:lvl w:ilvl="3" w:tentative="0">
      <w:start w:val="1"/>
      <w:numFmt w:val="decimal"/>
      <w:pStyle w:val="5"/>
      <w:lvlText w:val="%1.%2.%3.%4."/>
      <w:lvlJc w:val="left"/>
      <w:pPr>
        <w:ind w:left="864" w:hanging="864"/>
      </w:pPr>
      <w:rPr>
        <w:rFonts w:hint="default"/>
      </w:rPr>
    </w:lvl>
    <w:lvl w:ilvl="4" w:tentative="0">
      <w:start w:val="1"/>
      <w:numFmt w:val="decimal"/>
      <w:pStyle w:val="6"/>
      <w:lvlText w:val="%1.%2.%3.%4.%5."/>
      <w:lvlJc w:val="left"/>
      <w:pPr>
        <w:ind w:left="1008" w:hanging="1008"/>
      </w:pPr>
      <w:rPr>
        <w:rFonts w:hint="default"/>
      </w:rPr>
    </w:lvl>
    <w:lvl w:ilvl="5" w:tentative="0">
      <w:start w:val="1"/>
      <w:numFmt w:val="decimal"/>
      <w:pStyle w:val="7"/>
      <w:lvlText w:val="%1.%2.%3.%4.%5.%6."/>
      <w:lvlJc w:val="left"/>
      <w:pPr>
        <w:ind w:left="1151" w:hanging="1151"/>
      </w:pPr>
      <w:rPr>
        <w:rFonts w:hint="default"/>
      </w:rPr>
    </w:lvl>
    <w:lvl w:ilvl="6" w:tentative="0">
      <w:start w:val="1"/>
      <w:numFmt w:val="decimal"/>
      <w:pStyle w:val="8"/>
      <w:lvlText w:val="%1.%2.%3.%4.%5.%6.%7."/>
      <w:lvlJc w:val="left"/>
      <w:pPr>
        <w:ind w:left="1296" w:hanging="1296"/>
      </w:pPr>
      <w:rPr>
        <w:rFonts w:hint="default"/>
      </w:rPr>
    </w:lvl>
    <w:lvl w:ilvl="7" w:tentative="0">
      <w:start w:val="1"/>
      <w:numFmt w:val="decimal"/>
      <w:pStyle w:val="9"/>
      <w:lvlText w:val="%1.%2.%3.%4.%5.%6.%7.%8."/>
      <w:lvlJc w:val="left"/>
      <w:pPr>
        <w:ind w:left="1440" w:hanging="1440"/>
      </w:pPr>
      <w:rPr>
        <w:rFonts w:hint="default"/>
      </w:rPr>
    </w:lvl>
    <w:lvl w:ilvl="8" w:tentative="0">
      <w:start w:val="1"/>
      <w:numFmt w:val="decimal"/>
      <w:pStyle w:val="10"/>
      <w:lvlText w:val="%1.%2.%3.%4.%5.%6.%7.%8.%9."/>
      <w:lvlJc w:val="left"/>
      <w:pPr>
        <w:ind w:left="1583" w:hanging="1583"/>
      </w:pPr>
      <w:rPr>
        <w:rFonts w:hint="default"/>
      </w:rPr>
    </w:lvl>
  </w:abstractNum>
  <w:abstractNum w:abstractNumId="77">
    <w:nsid w:val="5F0DAC40"/>
    <w:multiLevelType w:val="singleLevel"/>
    <w:tmpl w:val="5F0DAC40"/>
    <w:lvl w:ilvl="0" w:tentative="0">
      <w:start w:val="1"/>
      <w:numFmt w:val="decimalEnclosedCircleChinese"/>
      <w:suff w:val="nothing"/>
      <w:lvlText w:val="%1"/>
      <w:lvlJc w:val="left"/>
      <w:pPr>
        <w:ind w:left="0" w:firstLine="40"/>
      </w:pPr>
      <w:rPr>
        <w:rFonts w:hint="eastAsia"/>
      </w:rPr>
    </w:lvl>
  </w:abstractNum>
  <w:abstractNum w:abstractNumId="78">
    <w:nsid w:val="605EEA3F"/>
    <w:multiLevelType w:val="singleLevel"/>
    <w:tmpl w:val="605EEA3F"/>
    <w:lvl w:ilvl="0" w:tentative="0">
      <w:start w:val="1"/>
      <w:numFmt w:val="decimalEnclosedCircleChinese"/>
      <w:suff w:val="nothing"/>
      <w:lvlText w:val="%1"/>
      <w:lvlJc w:val="left"/>
      <w:pPr>
        <w:ind w:left="0" w:firstLine="40"/>
      </w:pPr>
      <w:rPr>
        <w:rFonts w:hint="eastAsia"/>
      </w:rPr>
    </w:lvl>
  </w:abstractNum>
  <w:abstractNum w:abstractNumId="79">
    <w:nsid w:val="66BF1FBF"/>
    <w:multiLevelType w:val="singleLevel"/>
    <w:tmpl w:val="66BF1FBF"/>
    <w:lvl w:ilvl="0" w:tentative="0">
      <w:start w:val="1"/>
      <w:numFmt w:val="decimalEnclosedCircleChinese"/>
      <w:suff w:val="nothing"/>
      <w:lvlText w:val="%1"/>
      <w:lvlJc w:val="left"/>
      <w:pPr>
        <w:ind w:left="0" w:firstLine="40"/>
      </w:pPr>
      <w:rPr>
        <w:rFonts w:hint="eastAsia"/>
      </w:rPr>
    </w:lvl>
  </w:abstractNum>
  <w:abstractNum w:abstractNumId="80">
    <w:nsid w:val="6A5042B0"/>
    <w:multiLevelType w:val="multilevel"/>
    <w:tmpl w:val="6A5042B0"/>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1">
    <w:nsid w:val="6AC83A66"/>
    <w:multiLevelType w:val="multilevel"/>
    <w:tmpl w:val="6AC83A66"/>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2">
    <w:nsid w:val="6EA809F5"/>
    <w:multiLevelType w:val="singleLevel"/>
    <w:tmpl w:val="6EA809F5"/>
    <w:lvl w:ilvl="0" w:tentative="0">
      <w:start w:val="1"/>
      <w:numFmt w:val="decimalEnclosedCircleChinese"/>
      <w:suff w:val="nothing"/>
      <w:lvlText w:val="%1"/>
      <w:lvlJc w:val="left"/>
      <w:pPr>
        <w:ind w:left="0" w:firstLine="40"/>
      </w:pPr>
      <w:rPr>
        <w:rFonts w:hint="eastAsia"/>
      </w:rPr>
    </w:lvl>
  </w:abstractNum>
  <w:abstractNum w:abstractNumId="83">
    <w:nsid w:val="6EDA0228"/>
    <w:multiLevelType w:val="multilevel"/>
    <w:tmpl w:val="6EDA0228"/>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4">
    <w:nsid w:val="6F030740"/>
    <w:multiLevelType w:val="multilevel"/>
    <w:tmpl w:val="6F030740"/>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5">
    <w:nsid w:val="70344FA2"/>
    <w:multiLevelType w:val="multilevel"/>
    <w:tmpl w:val="70344FA2"/>
    <w:lvl w:ilvl="0" w:tentative="0">
      <w:start w:val="1"/>
      <w:numFmt w:val="decimal"/>
      <w:lvlText w:val="（%1）"/>
      <w:lvlJc w:val="left"/>
      <w:pPr>
        <w:tabs>
          <w:tab w:val="left" w:pos="720"/>
        </w:tabs>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6">
    <w:nsid w:val="703A3793"/>
    <w:multiLevelType w:val="multilevel"/>
    <w:tmpl w:val="703A3793"/>
    <w:lvl w:ilvl="0" w:tentative="0">
      <w:start w:val="1"/>
      <w:numFmt w:val="decimal"/>
      <w:lvlText w:val="（%1）"/>
      <w:lvlJc w:val="left"/>
      <w:pPr>
        <w:tabs>
          <w:tab w:val="left" w:pos="0"/>
        </w:tabs>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7">
    <w:nsid w:val="7551923E"/>
    <w:multiLevelType w:val="singleLevel"/>
    <w:tmpl w:val="7551923E"/>
    <w:lvl w:ilvl="0" w:tentative="0">
      <w:start w:val="1"/>
      <w:numFmt w:val="decimalEnclosedCircleChinese"/>
      <w:suff w:val="nothing"/>
      <w:lvlText w:val="%1"/>
      <w:lvlJc w:val="left"/>
      <w:pPr>
        <w:ind w:left="0" w:firstLine="40"/>
      </w:pPr>
      <w:rPr>
        <w:rFonts w:hint="eastAsia"/>
      </w:rPr>
    </w:lvl>
  </w:abstractNum>
  <w:abstractNum w:abstractNumId="88">
    <w:nsid w:val="757C56CA"/>
    <w:multiLevelType w:val="multilevel"/>
    <w:tmpl w:val="757C56CA"/>
    <w:lvl w:ilvl="0" w:tentative="0">
      <w:start w:val="1"/>
      <w:numFmt w:val="decimal"/>
      <w:lvlText w:val="（%1）"/>
      <w:lvlJc w:val="left"/>
      <w:pPr>
        <w:tabs>
          <w:tab w:val="left" w:pos="0"/>
        </w:tabs>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9">
    <w:nsid w:val="7662DD51"/>
    <w:multiLevelType w:val="multilevel"/>
    <w:tmpl w:val="7662DD51"/>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0">
    <w:nsid w:val="7B6B78B0"/>
    <w:multiLevelType w:val="multilevel"/>
    <w:tmpl w:val="7B6B78B0"/>
    <w:lvl w:ilvl="0" w:tentative="0">
      <w:start w:val="1"/>
      <w:numFmt w:val="decimal"/>
      <w:lvlText w:val="（%1）"/>
      <w:lvlJc w:val="left"/>
      <w:pPr>
        <w:tabs>
          <w:tab w:val="left" w:pos="720"/>
        </w:tabs>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1">
    <w:nsid w:val="7D791606"/>
    <w:multiLevelType w:val="singleLevel"/>
    <w:tmpl w:val="7D791606"/>
    <w:lvl w:ilvl="0" w:tentative="0">
      <w:start w:val="1"/>
      <w:numFmt w:val="decimalEnclosedCircleChinese"/>
      <w:suff w:val="nothing"/>
      <w:lvlText w:val="%1"/>
      <w:lvlJc w:val="left"/>
      <w:pPr>
        <w:ind w:left="0" w:firstLine="40"/>
      </w:pPr>
      <w:rPr>
        <w:rFonts w:hint="eastAsia"/>
      </w:rPr>
    </w:lvl>
  </w:abstractNum>
  <w:abstractNum w:abstractNumId="92">
    <w:nsid w:val="7DD10F57"/>
    <w:multiLevelType w:val="multilevel"/>
    <w:tmpl w:val="7DD10F57"/>
    <w:lvl w:ilvl="0" w:tentative="0">
      <w:start w:val="1"/>
      <w:numFmt w:val="decimal"/>
      <w:lvlText w:val="（%1）"/>
      <w:lvlJc w:val="left"/>
      <w:pPr>
        <w:tabs>
          <w:tab w:val="left" w:pos="0"/>
        </w:tabs>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21"/>
  </w:num>
  <w:num w:numId="2">
    <w:abstractNumId w:val="76"/>
  </w:num>
  <w:num w:numId="3">
    <w:abstractNumId w:val="42"/>
  </w:num>
  <w:num w:numId="4">
    <w:abstractNumId w:val="34"/>
  </w:num>
  <w:num w:numId="5">
    <w:abstractNumId w:val="22"/>
  </w:num>
  <w:num w:numId="6">
    <w:abstractNumId w:val="13"/>
  </w:num>
  <w:num w:numId="7">
    <w:abstractNumId w:val="27"/>
  </w:num>
  <w:num w:numId="8">
    <w:abstractNumId w:val="8"/>
  </w:num>
  <w:num w:numId="9">
    <w:abstractNumId w:val="12"/>
  </w:num>
  <w:num w:numId="10">
    <w:abstractNumId w:val="89"/>
  </w:num>
  <w:num w:numId="11">
    <w:abstractNumId w:val="81"/>
  </w:num>
  <w:num w:numId="12">
    <w:abstractNumId w:val="63"/>
  </w:num>
  <w:num w:numId="13">
    <w:abstractNumId w:val="64"/>
  </w:num>
  <w:num w:numId="14">
    <w:abstractNumId w:val="61"/>
  </w:num>
  <w:num w:numId="15">
    <w:abstractNumId w:val="16"/>
  </w:num>
  <w:num w:numId="16">
    <w:abstractNumId w:val="11"/>
  </w:num>
  <w:num w:numId="17">
    <w:abstractNumId w:val="14"/>
  </w:num>
  <w:num w:numId="18">
    <w:abstractNumId w:val="28"/>
  </w:num>
  <w:num w:numId="19">
    <w:abstractNumId w:val="68"/>
  </w:num>
  <w:num w:numId="20">
    <w:abstractNumId w:val="4"/>
  </w:num>
  <w:num w:numId="21">
    <w:abstractNumId w:val="31"/>
  </w:num>
  <w:num w:numId="22">
    <w:abstractNumId w:val="39"/>
  </w:num>
  <w:num w:numId="23">
    <w:abstractNumId w:val="57"/>
  </w:num>
  <w:num w:numId="24">
    <w:abstractNumId w:val="18"/>
  </w:num>
  <w:num w:numId="25">
    <w:abstractNumId w:val="5"/>
  </w:num>
  <w:num w:numId="26">
    <w:abstractNumId w:val="26"/>
  </w:num>
  <w:num w:numId="27">
    <w:abstractNumId w:val="71"/>
  </w:num>
  <w:num w:numId="28">
    <w:abstractNumId w:val="65"/>
  </w:num>
  <w:num w:numId="29">
    <w:abstractNumId w:val="25"/>
  </w:num>
  <w:num w:numId="30">
    <w:abstractNumId w:val="47"/>
  </w:num>
  <w:num w:numId="31">
    <w:abstractNumId w:val="38"/>
  </w:num>
  <w:num w:numId="32">
    <w:abstractNumId w:val="67"/>
  </w:num>
  <w:num w:numId="33">
    <w:abstractNumId w:val="15"/>
  </w:num>
  <w:num w:numId="34">
    <w:abstractNumId w:val="82"/>
  </w:num>
  <w:num w:numId="35">
    <w:abstractNumId w:val="91"/>
  </w:num>
  <w:num w:numId="36">
    <w:abstractNumId w:val="29"/>
  </w:num>
  <w:num w:numId="37">
    <w:abstractNumId w:val="23"/>
  </w:num>
  <w:num w:numId="38">
    <w:abstractNumId w:val="55"/>
  </w:num>
  <w:num w:numId="39">
    <w:abstractNumId w:val="74"/>
  </w:num>
  <w:num w:numId="40">
    <w:abstractNumId w:val="3"/>
  </w:num>
  <w:num w:numId="41">
    <w:abstractNumId w:val="9"/>
  </w:num>
  <w:num w:numId="42">
    <w:abstractNumId w:val="51"/>
  </w:num>
  <w:num w:numId="43">
    <w:abstractNumId w:val="73"/>
  </w:num>
  <w:num w:numId="44">
    <w:abstractNumId w:val="90"/>
  </w:num>
  <w:num w:numId="45">
    <w:abstractNumId w:val="35"/>
  </w:num>
  <w:num w:numId="46">
    <w:abstractNumId w:val="70"/>
  </w:num>
  <w:num w:numId="47">
    <w:abstractNumId w:val="40"/>
  </w:num>
  <w:num w:numId="48">
    <w:abstractNumId w:val="80"/>
  </w:num>
  <w:num w:numId="49">
    <w:abstractNumId w:val="56"/>
  </w:num>
  <w:num w:numId="50">
    <w:abstractNumId w:val="44"/>
  </w:num>
  <w:num w:numId="51">
    <w:abstractNumId w:val="87"/>
  </w:num>
  <w:num w:numId="52">
    <w:abstractNumId w:val="1"/>
  </w:num>
  <w:num w:numId="53">
    <w:abstractNumId w:val="49"/>
  </w:num>
  <w:num w:numId="54">
    <w:abstractNumId w:val="92"/>
  </w:num>
  <w:num w:numId="55">
    <w:abstractNumId w:val="86"/>
  </w:num>
  <w:num w:numId="56">
    <w:abstractNumId w:val="54"/>
  </w:num>
  <w:num w:numId="57">
    <w:abstractNumId w:val="45"/>
  </w:num>
  <w:num w:numId="58">
    <w:abstractNumId w:val="79"/>
  </w:num>
  <w:num w:numId="59">
    <w:abstractNumId w:val="77"/>
  </w:num>
  <w:num w:numId="60">
    <w:abstractNumId w:val="7"/>
  </w:num>
  <w:num w:numId="61">
    <w:abstractNumId w:val="20"/>
  </w:num>
  <w:num w:numId="62">
    <w:abstractNumId w:val="52"/>
  </w:num>
  <w:num w:numId="63">
    <w:abstractNumId w:val="88"/>
  </w:num>
  <w:num w:numId="64">
    <w:abstractNumId w:val="83"/>
  </w:num>
  <w:num w:numId="65">
    <w:abstractNumId w:val="37"/>
  </w:num>
  <w:num w:numId="66">
    <w:abstractNumId w:val="50"/>
  </w:num>
  <w:num w:numId="67">
    <w:abstractNumId w:val="84"/>
  </w:num>
  <w:num w:numId="68">
    <w:abstractNumId w:val="36"/>
  </w:num>
  <w:num w:numId="69">
    <w:abstractNumId w:val="17"/>
  </w:num>
  <w:num w:numId="70">
    <w:abstractNumId w:val="78"/>
  </w:num>
  <w:num w:numId="71">
    <w:abstractNumId w:val="59"/>
  </w:num>
  <w:num w:numId="72">
    <w:abstractNumId w:val="10"/>
  </w:num>
  <w:num w:numId="73">
    <w:abstractNumId w:val="66"/>
  </w:num>
  <w:num w:numId="74">
    <w:abstractNumId w:val="85"/>
  </w:num>
  <w:num w:numId="75">
    <w:abstractNumId w:val="33"/>
  </w:num>
  <w:num w:numId="76">
    <w:abstractNumId w:val="62"/>
  </w:num>
  <w:num w:numId="77">
    <w:abstractNumId w:val="30"/>
  </w:num>
  <w:num w:numId="78">
    <w:abstractNumId w:val="46"/>
  </w:num>
  <w:num w:numId="79">
    <w:abstractNumId w:val="58"/>
  </w:num>
  <w:num w:numId="80">
    <w:abstractNumId w:val="32"/>
  </w:num>
  <w:num w:numId="81">
    <w:abstractNumId w:val="41"/>
  </w:num>
  <w:num w:numId="82">
    <w:abstractNumId w:val="24"/>
  </w:num>
  <w:num w:numId="83">
    <w:abstractNumId w:val="75"/>
  </w:num>
  <w:num w:numId="84">
    <w:abstractNumId w:val="43"/>
  </w:num>
  <w:num w:numId="85">
    <w:abstractNumId w:val="2"/>
  </w:num>
  <w:num w:numId="86">
    <w:abstractNumId w:val="60"/>
  </w:num>
  <w:num w:numId="87">
    <w:abstractNumId w:val="6"/>
  </w:num>
  <w:num w:numId="88">
    <w:abstractNumId w:val="0"/>
  </w:num>
  <w:num w:numId="89">
    <w:abstractNumId w:val="48"/>
  </w:num>
  <w:num w:numId="90">
    <w:abstractNumId w:val="53"/>
  </w:num>
  <w:num w:numId="91">
    <w:abstractNumId w:val="69"/>
  </w:num>
  <w:num w:numId="92">
    <w:abstractNumId w:val="19"/>
  </w:num>
  <w:num w:numId="93">
    <w:abstractNumId w:val="7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mirrorMargin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M4OGUzYTM5YjlkYzliZGNjMWZlNTUxMmJkYmIzZDYifQ=="/>
  </w:docVars>
  <w:rsids>
    <w:rsidRoot w:val="00000000"/>
    <w:rsid w:val="00052A18"/>
    <w:rsid w:val="000C024B"/>
    <w:rsid w:val="00164F47"/>
    <w:rsid w:val="001A64C4"/>
    <w:rsid w:val="0026130D"/>
    <w:rsid w:val="00333A2A"/>
    <w:rsid w:val="003357D8"/>
    <w:rsid w:val="00346B8D"/>
    <w:rsid w:val="004874D5"/>
    <w:rsid w:val="004C7EA1"/>
    <w:rsid w:val="004D4AEB"/>
    <w:rsid w:val="005F45CD"/>
    <w:rsid w:val="0067722F"/>
    <w:rsid w:val="006F69AF"/>
    <w:rsid w:val="00702588"/>
    <w:rsid w:val="007535B9"/>
    <w:rsid w:val="00771B68"/>
    <w:rsid w:val="00854A7B"/>
    <w:rsid w:val="008878D1"/>
    <w:rsid w:val="00960C8B"/>
    <w:rsid w:val="009D3880"/>
    <w:rsid w:val="00AD10E6"/>
    <w:rsid w:val="00B71F65"/>
    <w:rsid w:val="00B871F7"/>
    <w:rsid w:val="00BA7CA7"/>
    <w:rsid w:val="00BB147E"/>
    <w:rsid w:val="00C621A8"/>
    <w:rsid w:val="00CB77BE"/>
    <w:rsid w:val="00CD3536"/>
    <w:rsid w:val="00D56B5D"/>
    <w:rsid w:val="00D72607"/>
    <w:rsid w:val="00D91EDB"/>
    <w:rsid w:val="00EB60B2"/>
    <w:rsid w:val="00FA2C23"/>
    <w:rsid w:val="010F3B4F"/>
    <w:rsid w:val="01213882"/>
    <w:rsid w:val="012A2737"/>
    <w:rsid w:val="01323CE1"/>
    <w:rsid w:val="014C6B51"/>
    <w:rsid w:val="01527EDF"/>
    <w:rsid w:val="015B4120"/>
    <w:rsid w:val="015B6D94"/>
    <w:rsid w:val="015E4AD6"/>
    <w:rsid w:val="016245C6"/>
    <w:rsid w:val="016F0A91"/>
    <w:rsid w:val="01722330"/>
    <w:rsid w:val="017E64C1"/>
    <w:rsid w:val="01916C5A"/>
    <w:rsid w:val="01A249C3"/>
    <w:rsid w:val="01AA3877"/>
    <w:rsid w:val="01BB5A85"/>
    <w:rsid w:val="01BE5948"/>
    <w:rsid w:val="01C26E13"/>
    <w:rsid w:val="01C7267B"/>
    <w:rsid w:val="01CB01B3"/>
    <w:rsid w:val="01CC0E66"/>
    <w:rsid w:val="01CD4D28"/>
    <w:rsid w:val="01CF1530"/>
    <w:rsid w:val="01E46D89"/>
    <w:rsid w:val="01E943A0"/>
    <w:rsid w:val="01F66ABD"/>
    <w:rsid w:val="01F9035B"/>
    <w:rsid w:val="0200481C"/>
    <w:rsid w:val="020531A4"/>
    <w:rsid w:val="020E2058"/>
    <w:rsid w:val="021138F7"/>
    <w:rsid w:val="021179FE"/>
    <w:rsid w:val="02140B55"/>
    <w:rsid w:val="021533E7"/>
    <w:rsid w:val="021A09FD"/>
    <w:rsid w:val="021D229B"/>
    <w:rsid w:val="02290C40"/>
    <w:rsid w:val="02391278"/>
    <w:rsid w:val="0261487E"/>
    <w:rsid w:val="02685C0C"/>
    <w:rsid w:val="026B1259"/>
    <w:rsid w:val="026B74AB"/>
    <w:rsid w:val="027C16B8"/>
    <w:rsid w:val="028E6DDF"/>
    <w:rsid w:val="02936A01"/>
    <w:rsid w:val="02987B74"/>
    <w:rsid w:val="029C3B08"/>
    <w:rsid w:val="029C58B6"/>
    <w:rsid w:val="02A4298F"/>
    <w:rsid w:val="02AD361F"/>
    <w:rsid w:val="02AE55E9"/>
    <w:rsid w:val="02BC7D06"/>
    <w:rsid w:val="02BF15A4"/>
    <w:rsid w:val="02C57005"/>
    <w:rsid w:val="02C95F7F"/>
    <w:rsid w:val="02CE3596"/>
    <w:rsid w:val="02D05560"/>
    <w:rsid w:val="02E84657"/>
    <w:rsid w:val="02F456F2"/>
    <w:rsid w:val="02F53218"/>
    <w:rsid w:val="02F70D3E"/>
    <w:rsid w:val="03035935"/>
    <w:rsid w:val="0305345B"/>
    <w:rsid w:val="03084CFA"/>
    <w:rsid w:val="03086AA8"/>
    <w:rsid w:val="03092820"/>
    <w:rsid w:val="031E276F"/>
    <w:rsid w:val="03353615"/>
    <w:rsid w:val="03411FB9"/>
    <w:rsid w:val="03443858"/>
    <w:rsid w:val="035B751F"/>
    <w:rsid w:val="03681C3C"/>
    <w:rsid w:val="03806F86"/>
    <w:rsid w:val="03A644DC"/>
    <w:rsid w:val="03B10EED"/>
    <w:rsid w:val="03B60BF9"/>
    <w:rsid w:val="03C9092D"/>
    <w:rsid w:val="03CC5D27"/>
    <w:rsid w:val="03CF75C5"/>
    <w:rsid w:val="03D1333D"/>
    <w:rsid w:val="03D472D2"/>
    <w:rsid w:val="03D746CC"/>
    <w:rsid w:val="03F35447"/>
    <w:rsid w:val="03FA6D38"/>
    <w:rsid w:val="040C25C7"/>
    <w:rsid w:val="040E4592"/>
    <w:rsid w:val="04126601"/>
    <w:rsid w:val="0422003D"/>
    <w:rsid w:val="04247911"/>
    <w:rsid w:val="04351B1E"/>
    <w:rsid w:val="043A35D9"/>
    <w:rsid w:val="04446205"/>
    <w:rsid w:val="04510922"/>
    <w:rsid w:val="046C3066"/>
    <w:rsid w:val="046E3282"/>
    <w:rsid w:val="04806B11"/>
    <w:rsid w:val="04912ACD"/>
    <w:rsid w:val="04C23FCE"/>
    <w:rsid w:val="04C80BE4"/>
    <w:rsid w:val="04C86E57"/>
    <w:rsid w:val="04C870EF"/>
    <w:rsid w:val="04CB5FDF"/>
    <w:rsid w:val="04CF70C9"/>
    <w:rsid w:val="04DA0918"/>
    <w:rsid w:val="04DC71D5"/>
    <w:rsid w:val="04E377CC"/>
    <w:rsid w:val="04EF43C3"/>
    <w:rsid w:val="04F75026"/>
    <w:rsid w:val="04FF3EDA"/>
    <w:rsid w:val="050D65F7"/>
    <w:rsid w:val="05165F64"/>
    <w:rsid w:val="051B02AC"/>
    <w:rsid w:val="053578FC"/>
    <w:rsid w:val="053C6A9B"/>
    <w:rsid w:val="05404C1F"/>
    <w:rsid w:val="05461B09"/>
    <w:rsid w:val="055378B1"/>
    <w:rsid w:val="055F2BCB"/>
    <w:rsid w:val="056326BB"/>
    <w:rsid w:val="056F1060"/>
    <w:rsid w:val="05726DA2"/>
    <w:rsid w:val="05860158"/>
    <w:rsid w:val="058D14E6"/>
    <w:rsid w:val="058D598A"/>
    <w:rsid w:val="05924D4E"/>
    <w:rsid w:val="059C797B"/>
    <w:rsid w:val="05A36F5B"/>
    <w:rsid w:val="05AC4062"/>
    <w:rsid w:val="05BB42A5"/>
    <w:rsid w:val="05C0366A"/>
    <w:rsid w:val="05C25634"/>
    <w:rsid w:val="05D5449F"/>
    <w:rsid w:val="05DE0AE0"/>
    <w:rsid w:val="05E7509A"/>
    <w:rsid w:val="05EE467B"/>
    <w:rsid w:val="05F45A09"/>
    <w:rsid w:val="05FE0636"/>
    <w:rsid w:val="06007F0A"/>
    <w:rsid w:val="06093262"/>
    <w:rsid w:val="06094867"/>
    <w:rsid w:val="062C0CFF"/>
    <w:rsid w:val="06510766"/>
    <w:rsid w:val="06527034"/>
    <w:rsid w:val="06532730"/>
    <w:rsid w:val="06620BC5"/>
    <w:rsid w:val="06664059"/>
    <w:rsid w:val="066E30C6"/>
    <w:rsid w:val="066E7569"/>
    <w:rsid w:val="06764670"/>
    <w:rsid w:val="068943A3"/>
    <w:rsid w:val="069025ED"/>
    <w:rsid w:val="06965CA6"/>
    <w:rsid w:val="069F3BC7"/>
    <w:rsid w:val="06A25465"/>
    <w:rsid w:val="06A967F3"/>
    <w:rsid w:val="06AE3E0A"/>
    <w:rsid w:val="06B05B29"/>
    <w:rsid w:val="06B70F10"/>
    <w:rsid w:val="06BB2083"/>
    <w:rsid w:val="06C54CB0"/>
    <w:rsid w:val="06C90C44"/>
    <w:rsid w:val="06EC048E"/>
    <w:rsid w:val="06F53B15"/>
    <w:rsid w:val="06F75D79"/>
    <w:rsid w:val="06FF6413"/>
    <w:rsid w:val="07094565"/>
    <w:rsid w:val="07247C28"/>
    <w:rsid w:val="074309F6"/>
    <w:rsid w:val="074A1D85"/>
    <w:rsid w:val="07591FC8"/>
    <w:rsid w:val="076F17EB"/>
    <w:rsid w:val="07723089"/>
    <w:rsid w:val="077961C6"/>
    <w:rsid w:val="077B6BA6"/>
    <w:rsid w:val="077E7C81"/>
    <w:rsid w:val="078801B7"/>
    <w:rsid w:val="078B5D81"/>
    <w:rsid w:val="07AD2313"/>
    <w:rsid w:val="07C35693"/>
    <w:rsid w:val="07D17DB0"/>
    <w:rsid w:val="07E01DA1"/>
    <w:rsid w:val="07E51AAD"/>
    <w:rsid w:val="07EC20C2"/>
    <w:rsid w:val="07EF0236"/>
    <w:rsid w:val="07F414F5"/>
    <w:rsid w:val="080812F8"/>
    <w:rsid w:val="08090966"/>
    <w:rsid w:val="080B2B96"/>
    <w:rsid w:val="080D2DB2"/>
    <w:rsid w:val="082A5712"/>
    <w:rsid w:val="082D6FB0"/>
    <w:rsid w:val="0858402D"/>
    <w:rsid w:val="08590C95"/>
    <w:rsid w:val="086147A3"/>
    <w:rsid w:val="08687FE8"/>
    <w:rsid w:val="086E55FF"/>
    <w:rsid w:val="086F75C9"/>
    <w:rsid w:val="0878647D"/>
    <w:rsid w:val="088405DA"/>
    <w:rsid w:val="0889068B"/>
    <w:rsid w:val="0892558C"/>
    <w:rsid w:val="08986B20"/>
    <w:rsid w:val="089F7EAE"/>
    <w:rsid w:val="08B60D54"/>
    <w:rsid w:val="08B80F70"/>
    <w:rsid w:val="08BB280E"/>
    <w:rsid w:val="08BB45BC"/>
    <w:rsid w:val="08BF22FE"/>
    <w:rsid w:val="08C23B9D"/>
    <w:rsid w:val="08C416C3"/>
    <w:rsid w:val="08CC67C9"/>
    <w:rsid w:val="08F301FA"/>
    <w:rsid w:val="08FA6E92"/>
    <w:rsid w:val="09045F63"/>
    <w:rsid w:val="090715AF"/>
    <w:rsid w:val="091066B6"/>
    <w:rsid w:val="09120680"/>
    <w:rsid w:val="091837BC"/>
    <w:rsid w:val="09187C60"/>
    <w:rsid w:val="091D7025"/>
    <w:rsid w:val="091F2D9D"/>
    <w:rsid w:val="092108C3"/>
    <w:rsid w:val="092A3C3E"/>
    <w:rsid w:val="09572537"/>
    <w:rsid w:val="0958005D"/>
    <w:rsid w:val="0959188D"/>
    <w:rsid w:val="095A3DD5"/>
    <w:rsid w:val="095F13EB"/>
    <w:rsid w:val="096F6562"/>
    <w:rsid w:val="097529BD"/>
    <w:rsid w:val="09842C00"/>
    <w:rsid w:val="098F678F"/>
    <w:rsid w:val="099A32D1"/>
    <w:rsid w:val="09A45050"/>
    <w:rsid w:val="09B5725D"/>
    <w:rsid w:val="09BC683E"/>
    <w:rsid w:val="09C53944"/>
    <w:rsid w:val="09CB4CD3"/>
    <w:rsid w:val="09DA6CC4"/>
    <w:rsid w:val="09EA5159"/>
    <w:rsid w:val="09ED056C"/>
    <w:rsid w:val="09EF09C1"/>
    <w:rsid w:val="09EF276F"/>
    <w:rsid w:val="09F2400E"/>
    <w:rsid w:val="09F61D50"/>
    <w:rsid w:val="09FE6E56"/>
    <w:rsid w:val="0A011480"/>
    <w:rsid w:val="0A096DD5"/>
    <w:rsid w:val="0A0C1573"/>
    <w:rsid w:val="0A122902"/>
    <w:rsid w:val="0A1C108A"/>
    <w:rsid w:val="0A1E71F4"/>
    <w:rsid w:val="0A2D14EA"/>
    <w:rsid w:val="0A397E8E"/>
    <w:rsid w:val="0A3B7763"/>
    <w:rsid w:val="0A3C64F5"/>
    <w:rsid w:val="0A410AF1"/>
    <w:rsid w:val="0A4A3E4A"/>
    <w:rsid w:val="0A544CC8"/>
    <w:rsid w:val="0A560A40"/>
    <w:rsid w:val="0A6F1B02"/>
    <w:rsid w:val="0A6F38B0"/>
    <w:rsid w:val="0A762E91"/>
    <w:rsid w:val="0A943317"/>
    <w:rsid w:val="0A992510"/>
    <w:rsid w:val="0A9B6453"/>
    <w:rsid w:val="0A9D666F"/>
    <w:rsid w:val="0AA2576C"/>
    <w:rsid w:val="0AC97464"/>
    <w:rsid w:val="0AE0030A"/>
    <w:rsid w:val="0AEE0C79"/>
    <w:rsid w:val="0AFD2C6A"/>
    <w:rsid w:val="0B0A5387"/>
    <w:rsid w:val="0B293A5F"/>
    <w:rsid w:val="0B3A3EBE"/>
    <w:rsid w:val="0B3A7FBD"/>
    <w:rsid w:val="0B3C19E4"/>
    <w:rsid w:val="0B3F14D4"/>
    <w:rsid w:val="0B4B60CB"/>
    <w:rsid w:val="0B774EE9"/>
    <w:rsid w:val="0B9C5955"/>
    <w:rsid w:val="0BA457DB"/>
    <w:rsid w:val="0BA80E28"/>
    <w:rsid w:val="0BB53545"/>
    <w:rsid w:val="0BB73761"/>
    <w:rsid w:val="0BC1013B"/>
    <w:rsid w:val="0BC4514F"/>
    <w:rsid w:val="0BCB0FBA"/>
    <w:rsid w:val="0BD02715"/>
    <w:rsid w:val="0BD240F7"/>
    <w:rsid w:val="0BDF6813"/>
    <w:rsid w:val="0BED0F30"/>
    <w:rsid w:val="0BEE1523"/>
    <w:rsid w:val="0BF4406D"/>
    <w:rsid w:val="0C061FF2"/>
    <w:rsid w:val="0C1607C9"/>
    <w:rsid w:val="0C1B5A9E"/>
    <w:rsid w:val="0C1C35C4"/>
    <w:rsid w:val="0C201306"/>
    <w:rsid w:val="0C25691C"/>
    <w:rsid w:val="0C2A5CE1"/>
    <w:rsid w:val="0C2A7A8F"/>
    <w:rsid w:val="0C2D57D1"/>
    <w:rsid w:val="0C3866BC"/>
    <w:rsid w:val="0C3923C8"/>
    <w:rsid w:val="0C3959AE"/>
    <w:rsid w:val="0C476893"/>
    <w:rsid w:val="0C4A6383"/>
    <w:rsid w:val="0C5745FC"/>
    <w:rsid w:val="0C662A91"/>
    <w:rsid w:val="0C676F35"/>
    <w:rsid w:val="0C851169"/>
    <w:rsid w:val="0C8925FB"/>
    <w:rsid w:val="0C8D626F"/>
    <w:rsid w:val="0CAA0BCF"/>
    <w:rsid w:val="0CAD06C0"/>
    <w:rsid w:val="0CB357AA"/>
    <w:rsid w:val="0CB41A4E"/>
    <w:rsid w:val="0CBE467B"/>
    <w:rsid w:val="0CCF0636"/>
    <w:rsid w:val="0CCF6888"/>
    <w:rsid w:val="0CDE52DC"/>
    <w:rsid w:val="0CDF2F6F"/>
    <w:rsid w:val="0CE40585"/>
    <w:rsid w:val="0CE51C08"/>
    <w:rsid w:val="0CE95B9C"/>
    <w:rsid w:val="0CF87B8D"/>
    <w:rsid w:val="0D004C93"/>
    <w:rsid w:val="0D136775"/>
    <w:rsid w:val="0D2C7836"/>
    <w:rsid w:val="0D305579"/>
    <w:rsid w:val="0D442DD2"/>
    <w:rsid w:val="0D466B4A"/>
    <w:rsid w:val="0D4923B3"/>
    <w:rsid w:val="0D5F19BA"/>
    <w:rsid w:val="0D6B65B1"/>
    <w:rsid w:val="0D6E7E4F"/>
    <w:rsid w:val="0D7511DD"/>
    <w:rsid w:val="0D7613D0"/>
    <w:rsid w:val="0D927FE1"/>
    <w:rsid w:val="0D9517B9"/>
    <w:rsid w:val="0DA27AF9"/>
    <w:rsid w:val="0DA87805"/>
    <w:rsid w:val="0DB25F8E"/>
    <w:rsid w:val="0DC67C8B"/>
    <w:rsid w:val="0DE10621"/>
    <w:rsid w:val="0DE87C01"/>
    <w:rsid w:val="0DEB76F2"/>
    <w:rsid w:val="0DF04D08"/>
    <w:rsid w:val="0E06452B"/>
    <w:rsid w:val="0E0E1F7D"/>
    <w:rsid w:val="0E166A6E"/>
    <w:rsid w:val="0E203083"/>
    <w:rsid w:val="0E270EE5"/>
    <w:rsid w:val="0E2A646C"/>
    <w:rsid w:val="0E3177FA"/>
    <w:rsid w:val="0E320E7D"/>
    <w:rsid w:val="0E3E5A73"/>
    <w:rsid w:val="0E456E02"/>
    <w:rsid w:val="0E593927"/>
    <w:rsid w:val="0E653000"/>
    <w:rsid w:val="0E6F20D1"/>
    <w:rsid w:val="0E770389"/>
    <w:rsid w:val="0E80608C"/>
    <w:rsid w:val="0E813BB2"/>
    <w:rsid w:val="0E8272A8"/>
    <w:rsid w:val="0E8A2A67"/>
    <w:rsid w:val="0E8F4521"/>
    <w:rsid w:val="0E947D89"/>
    <w:rsid w:val="0E9E6512"/>
    <w:rsid w:val="0EA55AF2"/>
    <w:rsid w:val="0EA7186A"/>
    <w:rsid w:val="0EAC6E81"/>
    <w:rsid w:val="0EBE0962"/>
    <w:rsid w:val="0ECF491D"/>
    <w:rsid w:val="0ED10695"/>
    <w:rsid w:val="0ED14B39"/>
    <w:rsid w:val="0ED32660"/>
    <w:rsid w:val="0EE3661B"/>
    <w:rsid w:val="0EE533A3"/>
    <w:rsid w:val="0EF44384"/>
    <w:rsid w:val="0F000F7B"/>
    <w:rsid w:val="0F00541F"/>
    <w:rsid w:val="0F026AA1"/>
    <w:rsid w:val="0F056591"/>
    <w:rsid w:val="0F1E557C"/>
    <w:rsid w:val="0F256C33"/>
    <w:rsid w:val="0F2E3D3A"/>
    <w:rsid w:val="0F3155D8"/>
    <w:rsid w:val="0F3D1F95"/>
    <w:rsid w:val="0F3D21CF"/>
    <w:rsid w:val="0F4C41C0"/>
    <w:rsid w:val="0F567287"/>
    <w:rsid w:val="0F655282"/>
    <w:rsid w:val="0F6B109E"/>
    <w:rsid w:val="0F7200CA"/>
    <w:rsid w:val="0F781459"/>
    <w:rsid w:val="0F7B6853"/>
    <w:rsid w:val="0F8971C2"/>
    <w:rsid w:val="0FA67D74"/>
    <w:rsid w:val="0FA94FA9"/>
    <w:rsid w:val="0FCD3553"/>
    <w:rsid w:val="0FD3668F"/>
    <w:rsid w:val="0FDA5C70"/>
    <w:rsid w:val="0FDD12BC"/>
    <w:rsid w:val="0FDD4840"/>
    <w:rsid w:val="0FDF3286"/>
    <w:rsid w:val="0FE8213B"/>
    <w:rsid w:val="0FF14A76"/>
    <w:rsid w:val="0FFF266D"/>
    <w:rsid w:val="10093E5F"/>
    <w:rsid w:val="101A606C"/>
    <w:rsid w:val="101F18D4"/>
    <w:rsid w:val="102962AF"/>
    <w:rsid w:val="102F3975"/>
    <w:rsid w:val="10501A8E"/>
    <w:rsid w:val="10534DBE"/>
    <w:rsid w:val="10545A22"/>
    <w:rsid w:val="1057106E"/>
    <w:rsid w:val="106043C7"/>
    <w:rsid w:val="107439CE"/>
    <w:rsid w:val="10953945"/>
    <w:rsid w:val="10A51DDA"/>
    <w:rsid w:val="10A65B52"/>
    <w:rsid w:val="10AB3168"/>
    <w:rsid w:val="10B431F2"/>
    <w:rsid w:val="10BE733F"/>
    <w:rsid w:val="10DE21A7"/>
    <w:rsid w:val="10E072B6"/>
    <w:rsid w:val="10F16DCD"/>
    <w:rsid w:val="10F51BD2"/>
    <w:rsid w:val="11005262"/>
    <w:rsid w:val="11107C6D"/>
    <w:rsid w:val="111725AC"/>
    <w:rsid w:val="113A43BB"/>
    <w:rsid w:val="113B0990"/>
    <w:rsid w:val="114E2471"/>
    <w:rsid w:val="11535CDA"/>
    <w:rsid w:val="115E23ED"/>
    <w:rsid w:val="11665A0D"/>
    <w:rsid w:val="116A6B7F"/>
    <w:rsid w:val="119360D6"/>
    <w:rsid w:val="11943BFC"/>
    <w:rsid w:val="119B18B2"/>
    <w:rsid w:val="11A32AB7"/>
    <w:rsid w:val="11BC387F"/>
    <w:rsid w:val="11C336ED"/>
    <w:rsid w:val="11CC783A"/>
    <w:rsid w:val="11D53F94"/>
    <w:rsid w:val="11E20E0C"/>
    <w:rsid w:val="11E80EC7"/>
    <w:rsid w:val="11ED1C8A"/>
    <w:rsid w:val="11F1099F"/>
    <w:rsid w:val="11F10F3E"/>
    <w:rsid w:val="11F12DFD"/>
    <w:rsid w:val="12072620"/>
    <w:rsid w:val="12086AC4"/>
    <w:rsid w:val="120A0293"/>
    <w:rsid w:val="12107727"/>
    <w:rsid w:val="12176D07"/>
    <w:rsid w:val="12217C9B"/>
    <w:rsid w:val="123125F3"/>
    <w:rsid w:val="123C676E"/>
    <w:rsid w:val="12435D4E"/>
    <w:rsid w:val="124473D0"/>
    <w:rsid w:val="12555A81"/>
    <w:rsid w:val="1256746E"/>
    <w:rsid w:val="126D5F2F"/>
    <w:rsid w:val="129245E0"/>
    <w:rsid w:val="12971BF6"/>
    <w:rsid w:val="12980B5D"/>
    <w:rsid w:val="12A85BB1"/>
    <w:rsid w:val="12C47AD5"/>
    <w:rsid w:val="12E72FD2"/>
    <w:rsid w:val="12F157AA"/>
    <w:rsid w:val="12F232D0"/>
    <w:rsid w:val="12FC7CAB"/>
    <w:rsid w:val="130508BC"/>
    <w:rsid w:val="131B6383"/>
    <w:rsid w:val="1332191F"/>
    <w:rsid w:val="133A2B6A"/>
    <w:rsid w:val="133B07D3"/>
    <w:rsid w:val="133B4C77"/>
    <w:rsid w:val="133B4F65"/>
    <w:rsid w:val="13427DB4"/>
    <w:rsid w:val="136F4921"/>
    <w:rsid w:val="13806B2E"/>
    <w:rsid w:val="13824654"/>
    <w:rsid w:val="13A50343"/>
    <w:rsid w:val="13A75E69"/>
    <w:rsid w:val="13B63079"/>
    <w:rsid w:val="13B80076"/>
    <w:rsid w:val="13BC4629"/>
    <w:rsid w:val="13C63668"/>
    <w:rsid w:val="13C91FE9"/>
    <w:rsid w:val="13D34EB0"/>
    <w:rsid w:val="13E0137B"/>
    <w:rsid w:val="13E75FB2"/>
    <w:rsid w:val="13F015BE"/>
    <w:rsid w:val="13F54E26"/>
    <w:rsid w:val="13F56BD4"/>
    <w:rsid w:val="13F60B9E"/>
    <w:rsid w:val="13F6294C"/>
    <w:rsid w:val="13FD017F"/>
    <w:rsid w:val="13FD1F2D"/>
    <w:rsid w:val="14045069"/>
    <w:rsid w:val="14164D9C"/>
    <w:rsid w:val="14174580"/>
    <w:rsid w:val="14185F29"/>
    <w:rsid w:val="14215C1B"/>
    <w:rsid w:val="14221993"/>
    <w:rsid w:val="14302302"/>
    <w:rsid w:val="143D057B"/>
    <w:rsid w:val="144B2C98"/>
    <w:rsid w:val="14624D93"/>
    <w:rsid w:val="1472490D"/>
    <w:rsid w:val="14786E9D"/>
    <w:rsid w:val="14883EEC"/>
    <w:rsid w:val="14B53B35"/>
    <w:rsid w:val="14B545B5"/>
    <w:rsid w:val="14B940A6"/>
    <w:rsid w:val="14C30A80"/>
    <w:rsid w:val="14DE1D5E"/>
    <w:rsid w:val="14E46C49"/>
    <w:rsid w:val="14E6501B"/>
    <w:rsid w:val="14E8498B"/>
    <w:rsid w:val="14F11A91"/>
    <w:rsid w:val="14F21366"/>
    <w:rsid w:val="14FC21E4"/>
    <w:rsid w:val="14FE7D0A"/>
    <w:rsid w:val="15146C09"/>
    <w:rsid w:val="15155054"/>
    <w:rsid w:val="151E65FF"/>
    <w:rsid w:val="15202377"/>
    <w:rsid w:val="15235081"/>
    <w:rsid w:val="152534E9"/>
    <w:rsid w:val="152B4878"/>
    <w:rsid w:val="152D239E"/>
    <w:rsid w:val="156A1844"/>
    <w:rsid w:val="156C1118"/>
    <w:rsid w:val="156C2EC6"/>
    <w:rsid w:val="156D6C3E"/>
    <w:rsid w:val="15712BD2"/>
    <w:rsid w:val="15791A87"/>
    <w:rsid w:val="15877D00"/>
    <w:rsid w:val="15A22D8C"/>
    <w:rsid w:val="15A43808"/>
    <w:rsid w:val="15A765F4"/>
    <w:rsid w:val="15B7753C"/>
    <w:rsid w:val="15BD1974"/>
    <w:rsid w:val="15D31197"/>
    <w:rsid w:val="15DE18EA"/>
    <w:rsid w:val="15E33279"/>
    <w:rsid w:val="15E92769"/>
    <w:rsid w:val="15EF3AF7"/>
    <w:rsid w:val="15F07F9B"/>
    <w:rsid w:val="1606331B"/>
    <w:rsid w:val="160E0624"/>
    <w:rsid w:val="162714E3"/>
    <w:rsid w:val="162C08A7"/>
    <w:rsid w:val="1635775C"/>
    <w:rsid w:val="163A2FC4"/>
    <w:rsid w:val="164E4CC1"/>
    <w:rsid w:val="165A18B8"/>
    <w:rsid w:val="166D15EC"/>
    <w:rsid w:val="16726F3A"/>
    <w:rsid w:val="168B3820"/>
    <w:rsid w:val="168B7CC4"/>
    <w:rsid w:val="168E50BE"/>
    <w:rsid w:val="169A6994"/>
    <w:rsid w:val="16A74423"/>
    <w:rsid w:val="16B72867"/>
    <w:rsid w:val="16CF7BB0"/>
    <w:rsid w:val="16D01B7A"/>
    <w:rsid w:val="16D451C7"/>
    <w:rsid w:val="16D46256"/>
    <w:rsid w:val="16DD59CE"/>
    <w:rsid w:val="16E15B36"/>
    <w:rsid w:val="16EA49EA"/>
    <w:rsid w:val="16ED6288"/>
    <w:rsid w:val="16F412D7"/>
    <w:rsid w:val="170535D2"/>
    <w:rsid w:val="17095180"/>
    <w:rsid w:val="17127A9D"/>
    <w:rsid w:val="17285513"/>
    <w:rsid w:val="172A3039"/>
    <w:rsid w:val="173043C7"/>
    <w:rsid w:val="17514A69"/>
    <w:rsid w:val="1752433D"/>
    <w:rsid w:val="17536547"/>
    <w:rsid w:val="17560E52"/>
    <w:rsid w:val="176127D3"/>
    <w:rsid w:val="1767428D"/>
    <w:rsid w:val="1767603B"/>
    <w:rsid w:val="17680005"/>
    <w:rsid w:val="176E561B"/>
    <w:rsid w:val="1781202E"/>
    <w:rsid w:val="17836BED"/>
    <w:rsid w:val="178766DD"/>
    <w:rsid w:val="178A7F7B"/>
    <w:rsid w:val="178C784F"/>
    <w:rsid w:val="178D35C8"/>
    <w:rsid w:val="179761F4"/>
    <w:rsid w:val="17A902B1"/>
    <w:rsid w:val="17BD20FF"/>
    <w:rsid w:val="17BD5C5B"/>
    <w:rsid w:val="17C0399D"/>
    <w:rsid w:val="17EF7DDE"/>
    <w:rsid w:val="17F43647"/>
    <w:rsid w:val="17F94589"/>
    <w:rsid w:val="1804388A"/>
    <w:rsid w:val="18075128"/>
    <w:rsid w:val="180F2490"/>
    <w:rsid w:val="18164840"/>
    <w:rsid w:val="181E2472"/>
    <w:rsid w:val="1820443C"/>
    <w:rsid w:val="182757CA"/>
    <w:rsid w:val="184B14B9"/>
    <w:rsid w:val="185A16FC"/>
    <w:rsid w:val="18661881"/>
    <w:rsid w:val="186D58D3"/>
    <w:rsid w:val="187C5B16"/>
    <w:rsid w:val="1881137E"/>
    <w:rsid w:val="1881312C"/>
    <w:rsid w:val="18890233"/>
    <w:rsid w:val="188E5849"/>
    <w:rsid w:val="188E75F7"/>
    <w:rsid w:val="189270E7"/>
    <w:rsid w:val="189664AC"/>
    <w:rsid w:val="189A5F9C"/>
    <w:rsid w:val="18A60DE5"/>
    <w:rsid w:val="18B057C0"/>
    <w:rsid w:val="18C354F3"/>
    <w:rsid w:val="18C748B7"/>
    <w:rsid w:val="18C82B09"/>
    <w:rsid w:val="18D53478"/>
    <w:rsid w:val="18DA45EA"/>
    <w:rsid w:val="18DE057F"/>
    <w:rsid w:val="18ED6A14"/>
    <w:rsid w:val="18FE477D"/>
    <w:rsid w:val="19081158"/>
    <w:rsid w:val="190F698A"/>
    <w:rsid w:val="19151713"/>
    <w:rsid w:val="191D58FB"/>
    <w:rsid w:val="19263CD4"/>
    <w:rsid w:val="192F2B88"/>
    <w:rsid w:val="19353964"/>
    <w:rsid w:val="193B777F"/>
    <w:rsid w:val="194A50CB"/>
    <w:rsid w:val="194B1EC4"/>
    <w:rsid w:val="19550115"/>
    <w:rsid w:val="197467ED"/>
    <w:rsid w:val="199944A6"/>
    <w:rsid w:val="19A90B8D"/>
    <w:rsid w:val="19B968F6"/>
    <w:rsid w:val="19C04EA2"/>
    <w:rsid w:val="19C534ED"/>
    <w:rsid w:val="19C71013"/>
    <w:rsid w:val="19CE23A1"/>
    <w:rsid w:val="19CF1C75"/>
    <w:rsid w:val="19E03E83"/>
    <w:rsid w:val="19F53DD2"/>
    <w:rsid w:val="1A007C3E"/>
    <w:rsid w:val="1A0F4768"/>
    <w:rsid w:val="1A1A55E6"/>
    <w:rsid w:val="1A2D5428"/>
    <w:rsid w:val="1A3F504D"/>
    <w:rsid w:val="1A4E34E2"/>
    <w:rsid w:val="1A516B2E"/>
    <w:rsid w:val="1A562397"/>
    <w:rsid w:val="1A6C5716"/>
    <w:rsid w:val="1A6C61D4"/>
    <w:rsid w:val="1A77355B"/>
    <w:rsid w:val="1A7840BB"/>
    <w:rsid w:val="1A8011C2"/>
    <w:rsid w:val="1A9A04D5"/>
    <w:rsid w:val="1A9B5311"/>
    <w:rsid w:val="1AA11864"/>
    <w:rsid w:val="1AA72BF2"/>
    <w:rsid w:val="1AB4014A"/>
    <w:rsid w:val="1ABA7CDE"/>
    <w:rsid w:val="1ABE4E06"/>
    <w:rsid w:val="1AC15A62"/>
    <w:rsid w:val="1AC60B16"/>
    <w:rsid w:val="1ACD2659"/>
    <w:rsid w:val="1AD27C6F"/>
    <w:rsid w:val="1AD75285"/>
    <w:rsid w:val="1AE17EB2"/>
    <w:rsid w:val="1AEC292D"/>
    <w:rsid w:val="1AED589C"/>
    <w:rsid w:val="1AF5570C"/>
    <w:rsid w:val="1B010554"/>
    <w:rsid w:val="1B1F6C2C"/>
    <w:rsid w:val="1B22439C"/>
    <w:rsid w:val="1B293607"/>
    <w:rsid w:val="1B2D30F7"/>
    <w:rsid w:val="1B304996"/>
    <w:rsid w:val="1B326960"/>
    <w:rsid w:val="1B3E3557"/>
    <w:rsid w:val="1B770817"/>
    <w:rsid w:val="1B7B0307"/>
    <w:rsid w:val="1B8D0562"/>
    <w:rsid w:val="1B944F25"/>
    <w:rsid w:val="1B9C550B"/>
    <w:rsid w:val="1BAF6202"/>
    <w:rsid w:val="1BB67591"/>
    <w:rsid w:val="1BC32313"/>
    <w:rsid w:val="1BC577D4"/>
    <w:rsid w:val="1BC872C4"/>
    <w:rsid w:val="1BCC0B62"/>
    <w:rsid w:val="1BE37C5A"/>
    <w:rsid w:val="1BEF65FF"/>
    <w:rsid w:val="1BF27E9D"/>
    <w:rsid w:val="1BFB31F6"/>
    <w:rsid w:val="1BFC2ACA"/>
    <w:rsid w:val="1C071B9A"/>
    <w:rsid w:val="1C085913"/>
    <w:rsid w:val="1C200EAE"/>
    <w:rsid w:val="1C326E0B"/>
    <w:rsid w:val="1C3D736A"/>
    <w:rsid w:val="1C4F709D"/>
    <w:rsid w:val="1C556DAA"/>
    <w:rsid w:val="1C5A616E"/>
    <w:rsid w:val="1C850D11"/>
    <w:rsid w:val="1C8C20A0"/>
    <w:rsid w:val="1C9F6277"/>
    <w:rsid w:val="1CBD289F"/>
    <w:rsid w:val="1CC01D49"/>
    <w:rsid w:val="1CC052B0"/>
    <w:rsid w:val="1CCC6940"/>
    <w:rsid w:val="1CDC3027"/>
    <w:rsid w:val="1CE160CB"/>
    <w:rsid w:val="1CE912A0"/>
    <w:rsid w:val="1CF57C45"/>
    <w:rsid w:val="1CF75960"/>
    <w:rsid w:val="1CF77E61"/>
    <w:rsid w:val="1CFF6D16"/>
    <w:rsid w:val="1D0B56BA"/>
    <w:rsid w:val="1D0D31E0"/>
    <w:rsid w:val="1D1A0F0A"/>
    <w:rsid w:val="1D3E783E"/>
    <w:rsid w:val="1D4B1F5B"/>
    <w:rsid w:val="1D5F5A06"/>
    <w:rsid w:val="1D5F77B4"/>
    <w:rsid w:val="1D721295"/>
    <w:rsid w:val="1D7B63DE"/>
    <w:rsid w:val="1D7F67FE"/>
    <w:rsid w:val="1D835251"/>
    <w:rsid w:val="1D8D4321"/>
    <w:rsid w:val="1D9B6A3E"/>
    <w:rsid w:val="1DA13929"/>
    <w:rsid w:val="1DA90ACE"/>
    <w:rsid w:val="1DB24206"/>
    <w:rsid w:val="1DB7314C"/>
    <w:rsid w:val="1DB943F8"/>
    <w:rsid w:val="1DEF0B38"/>
    <w:rsid w:val="1DF47EFC"/>
    <w:rsid w:val="1DF779ED"/>
    <w:rsid w:val="1DFC3255"/>
    <w:rsid w:val="1E002D45"/>
    <w:rsid w:val="1E0A5972"/>
    <w:rsid w:val="1E0F4D36"/>
    <w:rsid w:val="1E205195"/>
    <w:rsid w:val="1E2D0F85"/>
    <w:rsid w:val="1E2F53D8"/>
    <w:rsid w:val="1E472722"/>
    <w:rsid w:val="1E4D585F"/>
    <w:rsid w:val="1E632DE0"/>
    <w:rsid w:val="1E74728F"/>
    <w:rsid w:val="1E761259"/>
    <w:rsid w:val="1E805C34"/>
    <w:rsid w:val="1E8079E2"/>
    <w:rsid w:val="1E890F8D"/>
    <w:rsid w:val="1E8A2924"/>
    <w:rsid w:val="1E8F40C9"/>
    <w:rsid w:val="1E9D2342"/>
    <w:rsid w:val="1EA336D1"/>
    <w:rsid w:val="1EAD4FD5"/>
    <w:rsid w:val="1EBC3110"/>
    <w:rsid w:val="1EBF675C"/>
    <w:rsid w:val="1EDA17E8"/>
    <w:rsid w:val="1EDE1A0F"/>
    <w:rsid w:val="1EF5217E"/>
    <w:rsid w:val="1F026649"/>
    <w:rsid w:val="1F0B3750"/>
    <w:rsid w:val="1F152820"/>
    <w:rsid w:val="1F1935E7"/>
    <w:rsid w:val="1F2C1918"/>
    <w:rsid w:val="1F325180"/>
    <w:rsid w:val="1F3A2287"/>
    <w:rsid w:val="1F4D1FBA"/>
    <w:rsid w:val="1F5A6485"/>
    <w:rsid w:val="1F5F3A9B"/>
    <w:rsid w:val="1F6E4A4F"/>
    <w:rsid w:val="1F8B2894"/>
    <w:rsid w:val="1F8B7303"/>
    <w:rsid w:val="1FB738D7"/>
    <w:rsid w:val="1FC27595"/>
    <w:rsid w:val="1FC4505B"/>
    <w:rsid w:val="1FCA5A5B"/>
    <w:rsid w:val="1FD43BB2"/>
    <w:rsid w:val="1FDB5818"/>
    <w:rsid w:val="1FDB6619"/>
    <w:rsid w:val="1FDE0E64"/>
    <w:rsid w:val="1FE43FA1"/>
    <w:rsid w:val="1FEA15B7"/>
    <w:rsid w:val="1FF349E3"/>
    <w:rsid w:val="1FFC0079"/>
    <w:rsid w:val="20016901"/>
    <w:rsid w:val="20116038"/>
    <w:rsid w:val="202C7E22"/>
    <w:rsid w:val="204131A1"/>
    <w:rsid w:val="20484530"/>
    <w:rsid w:val="204A02A8"/>
    <w:rsid w:val="204F26A2"/>
    <w:rsid w:val="206155F1"/>
    <w:rsid w:val="20630479"/>
    <w:rsid w:val="2063580D"/>
    <w:rsid w:val="207672EF"/>
    <w:rsid w:val="20831A0C"/>
    <w:rsid w:val="208F03B0"/>
    <w:rsid w:val="208F6602"/>
    <w:rsid w:val="20A0611A"/>
    <w:rsid w:val="20A774A8"/>
    <w:rsid w:val="20B00A53"/>
    <w:rsid w:val="20B83463"/>
    <w:rsid w:val="20BB2F53"/>
    <w:rsid w:val="20C31E08"/>
    <w:rsid w:val="20D02EA3"/>
    <w:rsid w:val="20E80162"/>
    <w:rsid w:val="212B00D9"/>
    <w:rsid w:val="21336F8E"/>
    <w:rsid w:val="21374CD0"/>
    <w:rsid w:val="213D1BBA"/>
    <w:rsid w:val="213D7E0C"/>
    <w:rsid w:val="2144119B"/>
    <w:rsid w:val="21445A0C"/>
    <w:rsid w:val="214E201A"/>
    <w:rsid w:val="21505D92"/>
    <w:rsid w:val="21535882"/>
    <w:rsid w:val="21537630"/>
    <w:rsid w:val="21771570"/>
    <w:rsid w:val="2177331E"/>
    <w:rsid w:val="217C0935"/>
    <w:rsid w:val="218477E9"/>
    <w:rsid w:val="219043E0"/>
    <w:rsid w:val="21933ED0"/>
    <w:rsid w:val="21937A2C"/>
    <w:rsid w:val="2196775F"/>
    <w:rsid w:val="219E4D4F"/>
    <w:rsid w:val="21A47E8B"/>
    <w:rsid w:val="21A659B2"/>
    <w:rsid w:val="21AB2FC8"/>
    <w:rsid w:val="21AF5D06"/>
    <w:rsid w:val="21B04A82"/>
    <w:rsid w:val="21BE0F4D"/>
    <w:rsid w:val="21C46C8E"/>
    <w:rsid w:val="21F91F85"/>
    <w:rsid w:val="22032E04"/>
    <w:rsid w:val="220628F4"/>
    <w:rsid w:val="220B3A67"/>
    <w:rsid w:val="22124DF5"/>
    <w:rsid w:val="221E7C3E"/>
    <w:rsid w:val="221F7512"/>
    <w:rsid w:val="222D60D3"/>
    <w:rsid w:val="223C6316"/>
    <w:rsid w:val="223E7B13"/>
    <w:rsid w:val="22484CBB"/>
    <w:rsid w:val="226F0499"/>
    <w:rsid w:val="227B0BEC"/>
    <w:rsid w:val="228A36C0"/>
    <w:rsid w:val="228C2DF9"/>
    <w:rsid w:val="22941CAE"/>
    <w:rsid w:val="22A068A5"/>
    <w:rsid w:val="22A75261"/>
    <w:rsid w:val="22B67E76"/>
    <w:rsid w:val="22CD2012"/>
    <w:rsid w:val="22D12F02"/>
    <w:rsid w:val="22D84291"/>
    <w:rsid w:val="22DF5F10"/>
    <w:rsid w:val="22E744D4"/>
    <w:rsid w:val="22F4099F"/>
    <w:rsid w:val="23076924"/>
    <w:rsid w:val="230C7A96"/>
    <w:rsid w:val="231D6147"/>
    <w:rsid w:val="23272B22"/>
    <w:rsid w:val="23476D20"/>
    <w:rsid w:val="235651B5"/>
    <w:rsid w:val="23566043"/>
    <w:rsid w:val="23571659"/>
    <w:rsid w:val="235A6A54"/>
    <w:rsid w:val="235F22BC"/>
    <w:rsid w:val="23600585"/>
    <w:rsid w:val="23641680"/>
    <w:rsid w:val="2367592D"/>
    <w:rsid w:val="238166D6"/>
    <w:rsid w:val="23857F3F"/>
    <w:rsid w:val="2389558B"/>
    <w:rsid w:val="23953F30"/>
    <w:rsid w:val="23AB72AF"/>
    <w:rsid w:val="23AD1279"/>
    <w:rsid w:val="23B1063E"/>
    <w:rsid w:val="23C91223"/>
    <w:rsid w:val="23CB5BA3"/>
    <w:rsid w:val="23D5257E"/>
    <w:rsid w:val="23E66539"/>
    <w:rsid w:val="23EE3640"/>
    <w:rsid w:val="23EE53EE"/>
    <w:rsid w:val="23F724F4"/>
    <w:rsid w:val="23FF75FB"/>
    <w:rsid w:val="24084702"/>
    <w:rsid w:val="244A09D9"/>
    <w:rsid w:val="244D0366"/>
    <w:rsid w:val="24575689"/>
    <w:rsid w:val="245C67FB"/>
    <w:rsid w:val="2460453E"/>
    <w:rsid w:val="24616C60"/>
    <w:rsid w:val="247B1377"/>
    <w:rsid w:val="249A152D"/>
    <w:rsid w:val="24AD52A9"/>
    <w:rsid w:val="24B228BF"/>
    <w:rsid w:val="24B86128"/>
    <w:rsid w:val="24BC54EC"/>
    <w:rsid w:val="24BE74B6"/>
    <w:rsid w:val="24D42836"/>
    <w:rsid w:val="24DB5972"/>
    <w:rsid w:val="24DD793C"/>
    <w:rsid w:val="24DE36B4"/>
    <w:rsid w:val="24E16D01"/>
    <w:rsid w:val="24EC5DD1"/>
    <w:rsid w:val="24F32234"/>
    <w:rsid w:val="24F627AC"/>
    <w:rsid w:val="24FA6740"/>
    <w:rsid w:val="2504136D"/>
    <w:rsid w:val="25164BFC"/>
    <w:rsid w:val="251915B4"/>
    <w:rsid w:val="25290DD3"/>
    <w:rsid w:val="2551032A"/>
    <w:rsid w:val="25535E50"/>
    <w:rsid w:val="255C2942"/>
    <w:rsid w:val="255E0351"/>
    <w:rsid w:val="2560231B"/>
    <w:rsid w:val="257760D2"/>
    <w:rsid w:val="25777D91"/>
    <w:rsid w:val="257A33DD"/>
    <w:rsid w:val="25987D07"/>
    <w:rsid w:val="259B3353"/>
    <w:rsid w:val="25A15886"/>
    <w:rsid w:val="25A17491"/>
    <w:rsid w:val="25A77F4A"/>
    <w:rsid w:val="25CA6E09"/>
    <w:rsid w:val="25D074A1"/>
    <w:rsid w:val="25EB42DB"/>
    <w:rsid w:val="25EC3BAF"/>
    <w:rsid w:val="25F413E1"/>
    <w:rsid w:val="260D5FFF"/>
    <w:rsid w:val="26176E7E"/>
    <w:rsid w:val="26192BF6"/>
    <w:rsid w:val="26202AAD"/>
    <w:rsid w:val="26301CEE"/>
    <w:rsid w:val="264B2FCC"/>
    <w:rsid w:val="266100F9"/>
    <w:rsid w:val="2679051E"/>
    <w:rsid w:val="268F3122"/>
    <w:rsid w:val="26B26BA7"/>
    <w:rsid w:val="26B75F6B"/>
    <w:rsid w:val="26BB3CAD"/>
    <w:rsid w:val="26C4386A"/>
    <w:rsid w:val="26CA2142"/>
    <w:rsid w:val="26CD306C"/>
    <w:rsid w:val="26D905D7"/>
    <w:rsid w:val="26DD1E76"/>
    <w:rsid w:val="26FE1DEC"/>
    <w:rsid w:val="27070CA1"/>
    <w:rsid w:val="270A69E3"/>
    <w:rsid w:val="2714160F"/>
    <w:rsid w:val="27160EE4"/>
    <w:rsid w:val="27207FB4"/>
    <w:rsid w:val="2725381D"/>
    <w:rsid w:val="272E26D1"/>
    <w:rsid w:val="27335F39"/>
    <w:rsid w:val="27535620"/>
    <w:rsid w:val="275639D6"/>
    <w:rsid w:val="275D2FB6"/>
    <w:rsid w:val="27604855"/>
    <w:rsid w:val="276854B7"/>
    <w:rsid w:val="276A7481"/>
    <w:rsid w:val="27706D61"/>
    <w:rsid w:val="27711F42"/>
    <w:rsid w:val="277B51EB"/>
    <w:rsid w:val="278247CB"/>
    <w:rsid w:val="27930786"/>
    <w:rsid w:val="27932534"/>
    <w:rsid w:val="27960276"/>
    <w:rsid w:val="279B3ADF"/>
    <w:rsid w:val="27A74232"/>
    <w:rsid w:val="27B23302"/>
    <w:rsid w:val="27B34984"/>
    <w:rsid w:val="27B64475"/>
    <w:rsid w:val="27BF3329"/>
    <w:rsid w:val="27C070A1"/>
    <w:rsid w:val="27CE17BE"/>
    <w:rsid w:val="27DD7C53"/>
    <w:rsid w:val="27DF5779"/>
    <w:rsid w:val="27E62FAC"/>
    <w:rsid w:val="27FC27CF"/>
    <w:rsid w:val="27FF5E1C"/>
    <w:rsid w:val="280B2A12"/>
    <w:rsid w:val="2815563F"/>
    <w:rsid w:val="281A4A03"/>
    <w:rsid w:val="28351EB4"/>
    <w:rsid w:val="28357A8F"/>
    <w:rsid w:val="283C0E1E"/>
    <w:rsid w:val="28414686"/>
    <w:rsid w:val="284952E9"/>
    <w:rsid w:val="284A35A6"/>
    <w:rsid w:val="284C59E2"/>
    <w:rsid w:val="285048C9"/>
    <w:rsid w:val="28546167"/>
    <w:rsid w:val="2858552C"/>
    <w:rsid w:val="28620159"/>
    <w:rsid w:val="2862422F"/>
    <w:rsid w:val="287E0F5C"/>
    <w:rsid w:val="288D78CB"/>
    <w:rsid w:val="288F53F1"/>
    <w:rsid w:val="289C7B0E"/>
    <w:rsid w:val="289E3886"/>
    <w:rsid w:val="28AB7D51"/>
    <w:rsid w:val="28AC5FA3"/>
    <w:rsid w:val="28BC3D0D"/>
    <w:rsid w:val="28C50E13"/>
    <w:rsid w:val="28CF1C92"/>
    <w:rsid w:val="28E82D54"/>
    <w:rsid w:val="28EA6ACC"/>
    <w:rsid w:val="28F840FE"/>
    <w:rsid w:val="28F96D0F"/>
    <w:rsid w:val="28FC05AD"/>
    <w:rsid w:val="28FC52BC"/>
    <w:rsid w:val="29053906"/>
    <w:rsid w:val="292C2C40"/>
    <w:rsid w:val="292F024E"/>
    <w:rsid w:val="294066EC"/>
    <w:rsid w:val="29477A7A"/>
    <w:rsid w:val="29491A44"/>
    <w:rsid w:val="2956167E"/>
    <w:rsid w:val="2964062C"/>
    <w:rsid w:val="2964687E"/>
    <w:rsid w:val="297739B7"/>
    <w:rsid w:val="29807A50"/>
    <w:rsid w:val="2984482A"/>
    <w:rsid w:val="2987256D"/>
    <w:rsid w:val="298F31CF"/>
    <w:rsid w:val="29906C50"/>
    <w:rsid w:val="29930F11"/>
    <w:rsid w:val="2996630C"/>
    <w:rsid w:val="299A22A0"/>
    <w:rsid w:val="299F78B6"/>
    <w:rsid w:val="29A24A5E"/>
    <w:rsid w:val="29C4731D"/>
    <w:rsid w:val="29CC271C"/>
    <w:rsid w:val="29E21551"/>
    <w:rsid w:val="29E452C9"/>
    <w:rsid w:val="29E7300B"/>
    <w:rsid w:val="29F5184A"/>
    <w:rsid w:val="29F85218"/>
    <w:rsid w:val="29FB2613"/>
    <w:rsid w:val="29FF0355"/>
    <w:rsid w:val="29FF6A30"/>
    <w:rsid w:val="2A021BF3"/>
    <w:rsid w:val="2A0239A1"/>
    <w:rsid w:val="2A067935"/>
    <w:rsid w:val="2A0C2A72"/>
    <w:rsid w:val="2A102562"/>
    <w:rsid w:val="2A10297A"/>
    <w:rsid w:val="2A135BAE"/>
    <w:rsid w:val="2A17569E"/>
    <w:rsid w:val="2A1C0F07"/>
    <w:rsid w:val="2A2B739C"/>
    <w:rsid w:val="2A3738D4"/>
    <w:rsid w:val="2A3A313B"/>
    <w:rsid w:val="2A3E70CF"/>
    <w:rsid w:val="2A497822"/>
    <w:rsid w:val="2A5F2BA2"/>
    <w:rsid w:val="2A630895"/>
    <w:rsid w:val="2A662182"/>
    <w:rsid w:val="2A6C52BE"/>
    <w:rsid w:val="2A746625"/>
    <w:rsid w:val="2A750617"/>
    <w:rsid w:val="2A7C7BF7"/>
    <w:rsid w:val="2A9071FF"/>
    <w:rsid w:val="2A97233B"/>
    <w:rsid w:val="2A997F7C"/>
    <w:rsid w:val="2AAD1B5F"/>
    <w:rsid w:val="2AB253C7"/>
    <w:rsid w:val="2AB915BA"/>
    <w:rsid w:val="2ABD408D"/>
    <w:rsid w:val="2AD417E1"/>
    <w:rsid w:val="2AD510B6"/>
    <w:rsid w:val="2AE337D3"/>
    <w:rsid w:val="2AE80DE9"/>
    <w:rsid w:val="2AE9690F"/>
    <w:rsid w:val="2AF53506"/>
    <w:rsid w:val="2AF61758"/>
    <w:rsid w:val="2AFC4894"/>
    <w:rsid w:val="2AFE685E"/>
    <w:rsid w:val="2B0105CC"/>
    <w:rsid w:val="2B0C0F7B"/>
    <w:rsid w:val="2B164533"/>
    <w:rsid w:val="2B1D30F2"/>
    <w:rsid w:val="2B2C33CC"/>
    <w:rsid w:val="2B346B23"/>
    <w:rsid w:val="2B356C23"/>
    <w:rsid w:val="2B391645"/>
    <w:rsid w:val="2B3A5713"/>
    <w:rsid w:val="2B3B716B"/>
    <w:rsid w:val="2B44397F"/>
    <w:rsid w:val="2B522706"/>
    <w:rsid w:val="2B563FA5"/>
    <w:rsid w:val="2B603075"/>
    <w:rsid w:val="2B626DED"/>
    <w:rsid w:val="2B6366C1"/>
    <w:rsid w:val="2B69017C"/>
    <w:rsid w:val="2B6A7A50"/>
    <w:rsid w:val="2B7164D1"/>
    <w:rsid w:val="2B824D9A"/>
    <w:rsid w:val="2B8E1990"/>
    <w:rsid w:val="2B98280F"/>
    <w:rsid w:val="2BA47406"/>
    <w:rsid w:val="2BAE3DE1"/>
    <w:rsid w:val="2BBB474F"/>
    <w:rsid w:val="2BBB64FD"/>
    <w:rsid w:val="2BC01D66"/>
    <w:rsid w:val="2BC03B14"/>
    <w:rsid w:val="2BC317AE"/>
    <w:rsid w:val="2BCB145B"/>
    <w:rsid w:val="2C057779"/>
    <w:rsid w:val="2C0A4D8F"/>
    <w:rsid w:val="2C0C6D59"/>
    <w:rsid w:val="2C1005F7"/>
    <w:rsid w:val="2C153E60"/>
    <w:rsid w:val="2C45390A"/>
    <w:rsid w:val="2C493B09"/>
    <w:rsid w:val="2C5B55EB"/>
    <w:rsid w:val="2C607287"/>
    <w:rsid w:val="2C701096"/>
    <w:rsid w:val="2C70553A"/>
    <w:rsid w:val="2C7B1B7F"/>
    <w:rsid w:val="2C7F323D"/>
    <w:rsid w:val="2C875551"/>
    <w:rsid w:val="2C90798A"/>
    <w:rsid w:val="2C9A25B7"/>
    <w:rsid w:val="2C9A4365"/>
    <w:rsid w:val="2CA13945"/>
    <w:rsid w:val="2CAD4098"/>
    <w:rsid w:val="2CAD5026"/>
    <w:rsid w:val="2CB03B88"/>
    <w:rsid w:val="2CB25B52"/>
    <w:rsid w:val="2CBA67B5"/>
    <w:rsid w:val="2CC80ED2"/>
    <w:rsid w:val="2CD5539D"/>
    <w:rsid w:val="2CE33F5E"/>
    <w:rsid w:val="2CEE645F"/>
    <w:rsid w:val="2CEF46B1"/>
    <w:rsid w:val="2CF73565"/>
    <w:rsid w:val="2CFC6DCE"/>
    <w:rsid w:val="2D0068BE"/>
    <w:rsid w:val="2D03015C"/>
    <w:rsid w:val="2D0A3299"/>
    <w:rsid w:val="2D0B5263"/>
    <w:rsid w:val="2D0F6B01"/>
    <w:rsid w:val="2D1B36F8"/>
    <w:rsid w:val="2D2F0F51"/>
    <w:rsid w:val="2D314E05"/>
    <w:rsid w:val="2D3447B9"/>
    <w:rsid w:val="2D346567"/>
    <w:rsid w:val="2D3E2F42"/>
    <w:rsid w:val="2D74105A"/>
    <w:rsid w:val="2D9B2143"/>
    <w:rsid w:val="2DAD00C8"/>
    <w:rsid w:val="2DC72F38"/>
    <w:rsid w:val="2DD13DB6"/>
    <w:rsid w:val="2DEB6A75"/>
    <w:rsid w:val="2DFD104F"/>
    <w:rsid w:val="2E0C3040"/>
    <w:rsid w:val="2E13467B"/>
    <w:rsid w:val="2E156399"/>
    <w:rsid w:val="2E1C36A2"/>
    <w:rsid w:val="2E24038A"/>
    <w:rsid w:val="2E2760CC"/>
    <w:rsid w:val="2E2D19AE"/>
    <w:rsid w:val="2E3A7BAD"/>
    <w:rsid w:val="2E4C5B33"/>
    <w:rsid w:val="2E4F162E"/>
    <w:rsid w:val="2E5A0250"/>
    <w:rsid w:val="2E5F13C2"/>
    <w:rsid w:val="2E5F7614"/>
    <w:rsid w:val="2E7C7EF7"/>
    <w:rsid w:val="2E876B6B"/>
    <w:rsid w:val="2E9C2616"/>
    <w:rsid w:val="2EA66FF1"/>
    <w:rsid w:val="2EA72D69"/>
    <w:rsid w:val="2EAA78F3"/>
    <w:rsid w:val="2EC102CF"/>
    <w:rsid w:val="2EE23DA1"/>
    <w:rsid w:val="2EE355AD"/>
    <w:rsid w:val="2EE61AE3"/>
    <w:rsid w:val="2EE711B5"/>
    <w:rsid w:val="2F0562AC"/>
    <w:rsid w:val="2F087CAC"/>
    <w:rsid w:val="2F120B2A"/>
    <w:rsid w:val="2F193C67"/>
    <w:rsid w:val="2F1C3757"/>
    <w:rsid w:val="2F1E5661"/>
    <w:rsid w:val="2F2820FC"/>
    <w:rsid w:val="2F452CAE"/>
    <w:rsid w:val="2F49673C"/>
    <w:rsid w:val="2F5922B5"/>
    <w:rsid w:val="2F61560E"/>
    <w:rsid w:val="2F651F62"/>
    <w:rsid w:val="2F7C41F6"/>
    <w:rsid w:val="2F827A5E"/>
    <w:rsid w:val="2F911A4F"/>
    <w:rsid w:val="2F9257C7"/>
    <w:rsid w:val="2F9B467C"/>
    <w:rsid w:val="2F9E23BE"/>
    <w:rsid w:val="2FB35E69"/>
    <w:rsid w:val="2FCB74E2"/>
    <w:rsid w:val="2FD2467C"/>
    <w:rsid w:val="2FD656B4"/>
    <w:rsid w:val="2FDC6A42"/>
    <w:rsid w:val="2FEA115F"/>
    <w:rsid w:val="2FEA73B1"/>
    <w:rsid w:val="2FF3270A"/>
    <w:rsid w:val="300C557A"/>
    <w:rsid w:val="300E4E84"/>
    <w:rsid w:val="300F6E18"/>
    <w:rsid w:val="30274161"/>
    <w:rsid w:val="30284F2D"/>
    <w:rsid w:val="30446AC1"/>
    <w:rsid w:val="304940D8"/>
    <w:rsid w:val="304A7E50"/>
    <w:rsid w:val="304B42F4"/>
    <w:rsid w:val="306058C5"/>
    <w:rsid w:val="306233EC"/>
    <w:rsid w:val="30645ED2"/>
    <w:rsid w:val="30647164"/>
    <w:rsid w:val="30705B08"/>
    <w:rsid w:val="307849BD"/>
    <w:rsid w:val="30823A8E"/>
    <w:rsid w:val="308710A4"/>
    <w:rsid w:val="308C2216"/>
    <w:rsid w:val="309A0976"/>
    <w:rsid w:val="30B10DD9"/>
    <w:rsid w:val="30D616E4"/>
    <w:rsid w:val="30E3277E"/>
    <w:rsid w:val="30EB518F"/>
    <w:rsid w:val="30EE2ED1"/>
    <w:rsid w:val="30F5600E"/>
    <w:rsid w:val="30F93D50"/>
    <w:rsid w:val="30FC500D"/>
    <w:rsid w:val="310B6BF3"/>
    <w:rsid w:val="31102E48"/>
    <w:rsid w:val="31122E9F"/>
    <w:rsid w:val="31267258"/>
    <w:rsid w:val="31344D88"/>
    <w:rsid w:val="314D5E4A"/>
    <w:rsid w:val="314E571E"/>
    <w:rsid w:val="316513E5"/>
    <w:rsid w:val="318A2BFA"/>
    <w:rsid w:val="318A49A8"/>
    <w:rsid w:val="318B6972"/>
    <w:rsid w:val="31921AAF"/>
    <w:rsid w:val="31927D00"/>
    <w:rsid w:val="31943A79"/>
    <w:rsid w:val="319B4E07"/>
    <w:rsid w:val="31A87524"/>
    <w:rsid w:val="31B41A25"/>
    <w:rsid w:val="31B62952"/>
    <w:rsid w:val="31B9703B"/>
    <w:rsid w:val="31C12394"/>
    <w:rsid w:val="31C61758"/>
    <w:rsid w:val="31CA749A"/>
    <w:rsid w:val="31D04385"/>
    <w:rsid w:val="31D420C7"/>
    <w:rsid w:val="31D52E88"/>
    <w:rsid w:val="31D65E3F"/>
    <w:rsid w:val="31DF1C69"/>
    <w:rsid w:val="31E247E4"/>
    <w:rsid w:val="31E35351"/>
    <w:rsid w:val="31E83DC4"/>
    <w:rsid w:val="31F14A27"/>
    <w:rsid w:val="31FC517A"/>
    <w:rsid w:val="32032617"/>
    <w:rsid w:val="32036508"/>
    <w:rsid w:val="32097FFD"/>
    <w:rsid w:val="321A0F82"/>
    <w:rsid w:val="322C3CB1"/>
    <w:rsid w:val="32335B68"/>
    <w:rsid w:val="323963CE"/>
    <w:rsid w:val="324C6101"/>
    <w:rsid w:val="324E3C27"/>
    <w:rsid w:val="324F79A0"/>
    <w:rsid w:val="32546D64"/>
    <w:rsid w:val="32780CA4"/>
    <w:rsid w:val="32785148"/>
    <w:rsid w:val="3281224F"/>
    <w:rsid w:val="32A01FA9"/>
    <w:rsid w:val="32A73338"/>
    <w:rsid w:val="32AB107A"/>
    <w:rsid w:val="32AF043E"/>
    <w:rsid w:val="32D22AAA"/>
    <w:rsid w:val="32E4633A"/>
    <w:rsid w:val="32FD73FC"/>
    <w:rsid w:val="3301513E"/>
    <w:rsid w:val="33042538"/>
    <w:rsid w:val="33072028"/>
    <w:rsid w:val="330A6447"/>
    <w:rsid w:val="33136C1F"/>
    <w:rsid w:val="3328091C"/>
    <w:rsid w:val="333A41AC"/>
    <w:rsid w:val="3344327C"/>
    <w:rsid w:val="33492641"/>
    <w:rsid w:val="334D0383"/>
    <w:rsid w:val="334E7C57"/>
    <w:rsid w:val="335419DE"/>
    <w:rsid w:val="33550FE6"/>
    <w:rsid w:val="33582884"/>
    <w:rsid w:val="336254B1"/>
    <w:rsid w:val="33633703"/>
    <w:rsid w:val="336D632F"/>
    <w:rsid w:val="338813BB"/>
    <w:rsid w:val="339F04B3"/>
    <w:rsid w:val="33A1422B"/>
    <w:rsid w:val="33A930DF"/>
    <w:rsid w:val="33B4169A"/>
    <w:rsid w:val="33C00B55"/>
    <w:rsid w:val="33CB12A8"/>
    <w:rsid w:val="33CF2B46"/>
    <w:rsid w:val="33F56325"/>
    <w:rsid w:val="33F702EF"/>
    <w:rsid w:val="33F7209D"/>
    <w:rsid w:val="33FB7DDF"/>
    <w:rsid w:val="33FE78CF"/>
    <w:rsid w:val="34030A42"/>
    <w:rsid w:val="34034EE6"/>
    <w:rsid w:val="3411315F"/>
    <w:rsid w:val="34180991"/>
    <w:rsid w:val="341963CA"/>
    <w:rsid w:val="341D5FA7"/>
    <w:rsid w:val="342509B8"/>
    <w:rsid w:val="34384B8F"/>
    <w:rsid w:val="343D21A6"/>
    <w:rsid w:val="3445105A"/>
    <w:rsid w:val="345179FF"/>
    <w:rsid w:val="345614B9"/>
    <w:rsid w:val="34565015"/>
    <w:rsid w:val="345B6AD0"/>
    <w:rsid w:val="345D1245"/>
    <w:rsid w:val="346314E0"/>
    <w:rsid w:val="34763909"/>
    <w:rsid w:val="347831DE"/>
    <w:rsid w:val="348002E4"/>
    <w:rsid w:val="34862E6B"/>
    <w:rsid w:val="348A1163"/>
    <w:rsid w:val="34CC52D7"/>
    <w:rsid w:val="34CF6B76"/>
    <w:rsid w:val="34E02B31"/>
    <w:rsid w:val="34E46AC5"/>
    <w:rsid w:val="34E56399"/>
    <w:rsid w:val="34F52A80"/>
    <w:rsid w:val="34F605A6"/>
    <w:rsid w:val="34FA62E8"/>
    <w:rsid w:val="34FD7B87"/>
    <w:rsid w:val="35134CB4"/>
    <w:rsid w:val="351372E2"/>
    <w:rsid w:val="351A24E7"/>
    <w:rsid w:val="35337105"/>
    <w:rsid w:val="3538471B"/>
    <w:rsid w:val="353D61D5"/>
    <w:rsid w:val="35441312"/>
    <w:rsid w:val="35447564"/>
    <w:rsid w:val="35586B6B"/>
    <w:rsid w:val="355C48AD"/>
    <w:rsid w:val="35633E8E"/>
    <w:rsid w:val="35645510"/>
    <w:rsid w:val="3566572C"/>
    <w:rsid w:val="3586192A"/>
    <w:rsid w:val="358856A2"/>
    <w:rsid w:val="35A10512"/>
    <w:rsid w:val="35A27F45"/>
    <w:rsid w:val="35A324DC"/>
    <w:rsid w:val="35A3428A"/>
    <w:rsid w:val="35A65B28"/>
    <w:rsid w:val="35B2271F"/>
    <w:rsid w:val="35C83CF1"/>
    <w:rsid w:val="35C91817"/>
    <w:rsid w:val="35CB37E1"/>
    <w:rsid w:val="35CB558F"/>
    <w:rsid w:val="35D5640E"/>
    <w:rsid w:val="35E11256"/>
    <w:rsid w:val="35E6686D"/>
    <w:rsid w:val="35ED3757"/>
    <w:rsid w:val="36017203"/>
    <w:rsid w:val="36034D29"/>
    <w:rsid w:val="360E2FFA"/>
    <w:rsid w:val="36140CE4"/>
    <w:rsid w:val="361433DA"/>
    <w:rsid w:val="36160F00"/>
    <w:rsid w:val="36174C78"/>
    <w:rsid w:val="36471CFB"/>
    <w:rsid w:val="364F61C0"/>
    <w:rsid w:val="36631C6B"/>
    <w:rsid w:val="36783969"/>
    <w:rsid w:val="367C4ADB"/>
    <w:rsid w:val="36802C75"/>
    <w:rsid w:val="36AA33F6"/>
    <w:rsid w:val="36C46BAE"/>
    <w:rsid w:val="36CD3586"/>
    <w:rsid w:val="36EE55DD"/>
    <w:rsid w:val="36F62AE0"/>
    <w:rsid w:val="37021484"/>
    <w:rsid w:val="37076A9B"/>
    <w:rsid w:val="37092813"/>
    <w:rsid w:val="371D62BE"/>
    <w:rsid w:val="37492C0F"/>
    <w:rsid w:val="375259EE"/>
    <w:rsid w:val="37533A8E"/>
    <w:rsid w:val="37691503"/>
    <w:rsid w:val="376A384F"/>
    <w:rsid w:val="377528DC"/>
    <w:rsid w:val="377D0B0B"/>
    <w:rsid w:val="377F2AD5"/>
    <w:rsid w:val="37904CE2"/>
    <w:rsid w:val="379245B6"/>
    <w:rsid w:val="37985945"/>
    <w:rsid w:val="37AB38CA"/>
    <w:rsid w:val="37AB5678"/>
    <w:rsid w:val="37AD7642"/>
    <w:rsid w:val="37B3452D"/>
    <w:rsid w:val="37BF1123"/>
    <w:rsid w:val="37BF2ED1"/>
    <w:rsid w:val="37D44BCF"/>
    <w:rsid w:val="37E10029"/>
    <w:rsid w:val="37F232A7"/>
    <w:rsid w:val="38076DB3"/>
    <w:rsid w:val="38170F5F"/>
    <w:rsid w:val="381A150A"/>
    <w:rsid w:val="381B27FE"/>
    <w:rsid w:val="38211DDE"/>
    <w:rsid w:val="382236EC"/>
    <w:rsid w:val="382A0C93"/>
    <w:rsid w:val="38327B47"/>
    <w:rsid w:val="38367638"/>
    <w:rsid w:val="383C4522"/>
    <w:rsid w:val="38417D8A"/>
    <w:rsid w:val="38481119"/>
    <w:rsid w:val="38511CCE"/>
    <w:rsid w:val="38545D10"/>
    <w:rsid w:val="38565A55"/>
    <w:rsid w:val="385E6B8E"/>
    <w:rsid w:val="38683569"/>
    <w:rsid w:val="386A108F"/>
    <w:rsid w:val="38776C02"/>
    <w:rsid w:val="388D1222"/>
    <w:rsid w:val="38910D12"/>
    <w:rsid w:val="389820A0"/>
    <w:rsid w:val="38A26A7B"/>
    <w:rsid w:val="38B92017"/>
    <w:rsid w:val="38BB0BB3"/>
    <w:rsid w:val="38E70932"/>
    <w:rsid w:val="38E76B84"/>
    <w:rsid w:val="390A4620"/>
    <w:rsid w:val="39162FC5"/>
    <w:rsid w:val="39180AEB"/>
    <w:rsid w:val="391C07F9"/>
    <w:rsid w:val="392C0A3B"/>
    <w:rsid w:val="393A3157"/>
    <w:rsid w:val="3942025E"/>
    <w:rsid w:val="395064D7"/>
    <w:rsid w:val="3951224F"/>
    <w:rsid w:val="39635BC8"/>
    <w:rsid w:val="396F26D5"/>
    <w:rsid w:val="39781027"/>
    <w:rsid w:val="39812B34"/>
    <w:rsid w:val="39830783"/>
    <w:rsid w:val="398E0DAD"/>
    <w:rsid w:val="39924D42"/>
    <w:rsid w:val="399565E0"/>
    <w:rsid w:val="399C13FB"/>
    <w:rsid w:val="39A22AAB"/>
    <w:rsid w:val="39AB7BB1"/>
    <w:rsid w:val="39CE1AF2"/>
    <w:rsid w:val="39E62997"/>
    <w:rsid w:val="39E92488"/>
    <w:rsid w:val="39F6132E"/>
    <w:rsid w:val="3A00614F"/>
    <w:rsid w:val="3A0177D1"/>
    <w:rsid w:val="3A175247"/>
    <w:rsid w:val="3A1F40FB"/>
    <w:rsid w:val="3A451310"/>
    <w:rsid w:val="3A485400"/>
    <w:rsid w:val="3A4D2A17"/>
    <w:rsid w:val="3A52002D"/>
    <w:rsid w:val="3A5B13FF"/>
    <w:rsid w:val="3A654204"/>
    <w:rsid w:val="3A6A7A6C"/>
    <w:rsid w:val="3A7461F5"/>
    <w:rsid w:val="3A7C154E"/>
    <w:rsid w:val="3A836438"/>
    <w:rsid w:val="3A852B7B"/>
    <w:rsid w:val="3A8B353F"/>
    <w:rsid w:val="3A903A88"/>
    <w:rsid w:val="3A9B336A"/>
    <w:rsid w:val="3AA1137B"/>
    <w:rsid w:val="3ABE55CD"/>
    <w:rsid w:val="3AC151B3"/>
    <w:rsid w:val="3ACD3B57"/>
    <w:rsid w:val="3AD43138"/>
    <w:rsid w:val="3ADB2718"/>
    <w:rsid w:val="3ADB44C6"/>
    <w:rsid w:val="3AE35129"/>
    <w:rsid w:val="3AE63920"/>
    <w:rsid w:val="3AEF1D20"/>
    <w:rsid w:val="3AF47336"/>
    <w:rsid w:val="3B0674C9"/>
    <w:rsid w:val="3B091033"/>
    <w:rsid w:val="3B1654FE"/>
    <w:rsid w:val="3B2220F5"/>
    <w:rsid w:val="3B3E6803"/>
    <w:rsid w:val="3B4007CD"/>
    <w:rsid w:val="3B4173DE"/>
    <w:rsid w:val="3B424545"/>
    <w:rsid w:val="3B44206B"/>
    <w:rsid w:val="3B4B164C"/>
    <w:rsid w:val="3B4E6A46"/>
    <w:rsid w:val="3B4F0A10"/>
    <w:rsid w:val="3B547DD5"/>
    <w:rsid w:val="3B5B73B5"/>
    <w:rsid w:val="3B632A29"/>
    <w:rsid w:val="3B892174"/>
    <w:rsid w:val="3B8D5E0F"/>
    <w:rsid w:val="3B963F49"/>
    <w:rsid w:val="3BA24FE4"/>
    <w:rsid w:val="3BA45464"/>
    <w:rsid w:val="3BB80364"/>
    <w:rsid w:val="3BB83F2C"/>
    <w:rsid w:val="3BBA232E"/>
    <w:rsid w:val="3BC35686"/>
    <w:rsid w:val="3BC46D08"/>
    <w:rsid w:val="3BC5686C"/>
    <w:rsid w:val="3BCC2061"/>
    <w:rsid w:val="3BD14FA8"/>
    <w:rsid w:val="3BD5563E"/>
    <w:rsid w:val="3BD56390"/>
    <w:rsid w:val="3BD66A3C"/>
    <w:rsid w:val="3BD94643"/>
    <w:rsid w:val="3BDC6712"/>
    <w:rsid w:val="3BFA4E20"/>
    <w:rsid w:val="3C067321"/>
    <w:rsid w:val="3C243C4B"/>
    <w:rsid w:val="3C2854E9"/>
    <w:rsid w:val="3C2D0D52"/>
    <w:rsid w:val="3C2E6878"/>
    <w:rsid w:val="3C487939"/>
    <w:rsid w:val="3C522566"/>
    <w:rsid w:val="3C6109FB"/>
    <w:rsid w:val="3C676202"/>
    <w:rsid w:val="3C6978B0"/>
    <w:rsid w:val="3C6D114E"/>
    <w:rsid w:val="3C6D55F2"/>
    <w:rsid w:val="3C6E4EC6"/>
    <w:rsid w:val="3C7060DA"/>
    <w:rsid w:val="3C75203E"/>
    <w:rsid w:val="3C7A1ABD"/>
    <w:rsid w:val="3C7C5835"/>
    <w:rsid w:val="3C7F70D3"/>
    <w:rsid w:val="3C8D0372"/>
    <w:rsid w:val="3C8D359E"/>
    <w:rsid w:val="3C97242F"/>
    <w:rsid w:val="3C99459C"/>
    <w:rsid w:val="3C9A5EEE"/>
    <w:rsid w:val="3CA134EE"/>
    <w:rsid w:val="3CC03974"/>
    <w:rsid w:val="3CC03E16"/>
    <w:rsid w:val="3CC17E21"/>
    <w:rsid w:val="3CD63197"/>
    <w:rsid w:val="3CDB1237"/>
    <w:rsid w:val="3CDC7C6A"/>
    <w:rsid w:val="3CF950D8"/>
    <w:rsid w:val="3D0575D8"/>
    <w:rsid w:val="3D0A1093"/>
    <w:rsid w:val="3D0D46DF"/>
    <w:rsid w:val="3D0F66A9"/>
    <w:rsid w:val="3D1006A2"/>
    <w:rsid w:val="3D127DBE"/>
    <w:rsid w:val="3D18555E"/>
    <w:rsid w:val="3D257C7B"/>
    <w:rsid w:val="3D3F6F8E"/>
    <w:rsid w:val="3D453E79"/>
    <w:rsid w:val="3D483969"/>
    <w:rsid w:val="3D4A148F"/>
    <w:rsid w:val="3D4A5E08"/>
    <w:rsid w:val="3D4D6987"/>
    <w:rsid w:val="3D54230E"/>
    <w:rsid w:val="3D5F318D"/>
    <w:rsid w:val="3D623B40"/>
    <w:rsid w:val="3D69400B"/>
    <w:rsid w:val="3D6C7658"/>
    <w:rsid w:val="3D6D7401"/>
    <w:rsid w:val="3D74475E"/>
    <w:rsid w:val="3D7804FA"/>
    <w:rsid w:val="3D7D3613"/>
    <w:rsid w:val="3D8E5820"/>
    <w:rsid w:val="3D98669F"/>
    <w:rsid w:val="3DAD7631"/>
    <w:rsid w:val="3DBB238D"/>
    <w:rsid w:val="3DBD4357"/>
    <w:rsid w:val="3DC079A3"/>
    <w:rsid w:val="3DC47494"/>
    <w:rsid w:val="3DCB25D0"/>
    <w:rsid w:val="3DCB6A74"/>
    <w:rsid w:val="3DE96EFA"/>
    <w:rsid w:val="3DF31B27"/>
    <w:rsid w:val="3DF633C5"/>
    <w:rsid w:val="3DF77869"/>
    <w:rsid w:val="3DF8538F"/>
    <w:rsid w:val="3DFE0FBD"/>
    <w:rsid w:val="3E015FF2"/>
    <w:rsid w:val="3E077380"/>
    <w:rsid w:val="3E0E070F"/>
    <w:rsid w:val="3E171CB9"/>
    <w:rsid w:val="3E18333B"/>
    <w:rsid w:val="3E317A42"/>
    <w:rsid w:val="3E33045B"/>
    <w:rsid w:val="3E3F2B1B"/>
    <w:rsid w:val="3E467EA9"/>
    <w:rsid w:val="3E500D27"/>
    <w:rsid w:val="3E5D51F2"/>
    <w:rsid w:val="3E661B42"/>
    <w:rsid w:val="3E725142"/>
    <w:rsid w:val="3E740EBA"/>
    <w:rsid w:val="3E746C35"/>
    <w:rsid w:val="3E817133"/>
    <w:rsid w:val="3E8B53C9"/>
    <w:rsid w:val="3E8D3D29"/>
    <w:rsid w:val="3E93265B"/>
    <w:rsid w:val="3E990920"/>
    <w:rsid w:val="3E9B5F83"/>
    <w:rsid w:val="3E9E1A93"/>
    <w:rsid w:val="3EA177D5"/>
    <w:rsid w:val="3EAB2402"/>
    <w:rsid w:val="3EB75EA1"/>
    <w:rsid w:val="3EC15781"/>
    <w:rsid w:val="3EC314F9"/>
    <w:rsid w:val="3EC3774B"/>
    <w:rsid w:val="3ED23E32"/>
    <w:rsid w:val="3EF21DDE"/>
    <w:rsid w:val="3EF66B94"/>
    <w:rsid w:val="3EF913BF"/>
    <w:rsid w:val="3F0264C5"/>
    <w:rsid w:val="3F087868"/>
    <w:rsid w:val="3F0C0417"/>
    <w:rsid w:val="3F367F1D"/>
    <w:rsid w:val="3F3E3276"/>
    <w:rsid w:val="3F4058C2"/>
    <w:rsid w:val="3F4940F4"/>
    <w:rsid w:val="3F4F492A"/>
    <w:rsid w:val="3F5B3E28"/>
    <w:rsid w:val="3F5E56C6"/>
    <w:rsid w:val="3F724CCD"/>
    <w:rsid w:val="3F7B6278"/>
    <w:rsid w:val="3F84512C"/>
    <w:rsid w:val="3F870779"/>
    <w:rsid w:val="3F8A0269"/>
    <w:rsid w:val="3F8A2017"/>
    <w:rsid w:val="3F9133A5"/>
    <w:rsid w:val="3F9335C1"/>
    <w:rsid w:val="3F966C0E"/>
    <w:rsid w:val="3F9D1D4A"/>
    <w:rsid w:val="3FA4132B"/>
    <w:rsid w:val="3FC1012F"/>
    <w:rsid w:val="3FC224AA"/>
    <w:rsid w:val="3FCA4B09"/>
    <w:rsid w:val="3FEA0D08"/>
    <w:rsid w:val="3FFA53EF"/>
    <w:rsid w:val="40291830"/>
    <w:rsid w:val="40463E1D"/>
    <w:rsid w:val="406D3FE9"/>
    <w:rsid w:val="406E1939"/>
    <w:rsid w:val="40736F4F"/>
    <w:rsid w:val="407451A1"/>
    <w:rsid w:val="40774C91"/>
    <w:rsid w:val="408D0011"/>
    <w:rsid w:val="409C64A6"/>
    <w:rsid w:val="40A4535A"/>
    <w:rsid w:val="40A81B60"/>
    <w:rsid w:val="40B51316"/>
    <w:rsid w:val="40B732E0"/>
    <w:rsid w:val="40BE641C"/>
    <w:rsid w:val="40C559FD"/>
    <w:rsid w:val="40C854ED"/>
    <w:rsid w:val="40D45C40"/>
    <w:rsid w:val="40D55514"/>
    <w:rsid w:val="40D81790"/>
    <w:rsid w:val="40DB5220"/>
    <w:rsid w:val="40DE261A"/>
    <w:rsid w:val="40ED4F53"/>
    <w:rsid w:val="410D1152"/>
    <w:rsid w:val="411249BA"/>
    <w:rsid w:val="41171FD0"/>
    <w:rsid w:val="411B386E"/>
    <w:rsid w:val="411E335F"/>
    <w:rsid w:val="41263FC1"/>
    <w:rsid w:val="41272213"/>
    <w:rsid w:val="412A5860"/>
    <w:rsid w:val="41320CFA"/>
    <w:rsid w:val="41377F7D"/>
    <w:rsid w:val="413C46BC"/>
    <w:rsid w:val="41452699"/>
    <w:rsid w:val="414B08D8"/>
    <w:rsid w:val="414D77A0"/>
    <w:rsid w:val="415149D7"/>
    <w:rsid w:val="4162324B"/>
    <w:rsid w:val="41944E05"/>
    <w:rsid w:val="419453CF"/>
    <w:rsid w:val="419844BE"/>
    <w:rsid w:val="41A6671D"/>
    <w:rsid w:val="41AC44C7"/>
    <w:rsid w:val="41AC7E24"/>
    <w:rsid w:val="41AE46E3"/>
    <w:rsid w:val="41BA505D"/>
    <w:rsid w:val="41BB295C"/>
    <w:rsid w:val="41BE41FA"/>
    <w:rsid w:val="41C23CEA"/>
    <w:rsid w:val="41CE08E1"/>
    <w:rsid w:val="41D103D1"/>
    <w:rsid w:val="41EE0C01"/>
    <w:rsid w:val="42002A64"/>
    <w:rsid w:val="42024A2E"/>
    <w:rsid w:val="420C765B"/>
    <w:rsid w:val="422E137F"/>
    <w:rsid w:val="42462B6D"/>
    <w:rsid w:val="42470693"/>
    <w:rsid w:val="424741EF"/>
    <w:rsid w:val="424D3EFC"/>
    <w:rsid w:val="425D7EB7"/>
    <w:rsid w:val="425F778B"/>
    <w:rsid w:val="42674891"/>
    <w:rsid w:val="426B4382"/>
    <w:rsid w:val="428471F1"/>
    <w:rsid w:val="429733C9"/>
    <w:rsid w:val="42B45D29"/>
    <w:rsid w:val="42C10446"/>
    <w:rsid w:val="42C228FD"/>
    <w:rsid w:val="42D27F5D"/>
    <w:rsid w:val="42D309FB"/>
    <w:rsid w:val="42EB54C2"/>
    <w:rsid w:val="42EF6D61"/>
    <w:rsid w:val="430622FC"/>
    <w:rsid w:val="43307E70"/>
    <w:rsid w:val="43486471"/>
    <w:rsid w:val="4355293C"/>
    <w:rsid w:val="43811A9E"/>
    <w:rsid w:val="438374A9"/>
    <w:rsid w:val="43911BC6"/>
    <w:rsid w:val="4396542E"/>
    <w:rsid w:val="43994F1E"/>
    <w:rsid w:val="43996CCD"/>
    <w:rsid w:val="439D20BD"/>
    <w:rsid w:val="43AA7F17"/>
    <w:rsid w:val="43B81849"/>
    <w:rsid w:val="43C006FD"/>
    <w:rsid w:val="43CD6976"/>
    <w:rsid w:val="43D910B9"/>
    <w:rsid w:val="43DF35A8"/>
    <w:rsid w:val="43E133CB"/>
    <w:rsid w:val="43EF4B3E"/>
    <w:rsid w:val="43F87E97"/>
    <w:rsid w:val="43FE2FD4"/>
    <w:rsid w:val="441427F7"/>
    <w:rsid w:val="441B1DD7"/>
    <w:rsid w:val="442962A2"/>
    <w:rsid w:val="44316F05"/>
    <w:rsid w:val="44332C7D"/>
    <w:rsid w:val="443D58AA"/>
    <w:rsid w:val="445C3C7C"/>
    <w:rsid w:val="445F1CC4"/>
    <w:rsid w:val="44703ED1"/>
    <w:rsid w:val="447A4D50"/>
    <w:rsid w:val="4484172B"/>
    <w:rsid w:val="4487121B"/>
    <w:rsid w:val="448B5125"/>
    <w:rsid w:val="44901E7E"/>
    <w:rsid w:val="44913E48"/>
    <w:rsid w:val="44B1564F"/>
    <w:rsid w:val="44B26298"/>
    <w:rsid w:val="44B5224F"/>
    <w:rsid w:val="44BD4C3D"/>
    <w:rsid w:val="44C1472D"/>
    <w:rsid w:val="44C63AF1"/>
    <w:rsid w:val="44D206E8"/>
    <w:rsid w:val="44DD0E3B"/>
    <w:rsid w:val="44E64193"/>
    <w:rsid w:val="44E707EA"/>
    <w:rsid w:val="4504461A"/>
    <w:rsid w:val="450B59A8"/>
    <w:rsid w:val="45132AAF"/>
    <w:rsid w:val="45151974"/>
    <w:rsid w:val="45156827"/>
    <w:rsid w:val="4521341D"/>
    <w:rsid w:val="452A22D2"/>
    <w:rsid w:val="45374186"/>
    <w:rsid w:val="45462E84"/>
    <w:rsid w:val="454B3FF6"/>
    <w:rsid w:val="455A06DD"/>
    <w:rsid w:val="455B692F"/>
    <w:rsid w:val="456D5D06"/>
    <w:rsid w:val="45744DF5"/>
    <w:rsid w:val="457A48DC"/>
    <w:rsid w:val="457B4FF5"/>
    <w:rsid w:val="458319E2"/>
    <w:rsid w:val="4584426D"/>
    <w:rsid w:val="458F3751"/>
    <w:rsid w:val="45B778DE"/>
    <w:rsid w:val="45B84329"/>
    <w:rsid w:val="45B93656"/>
    <w:rsid w:val="45C05B04"/>
    <w:rsid w:val="45C676B7"/>
    <w:rsid w:val="45CB49F3"/>
    <w:rsid w:val="45CC4CD7"/>
    <w:rsid w:val="45D71D2E"/>
    <w:rsid w:val="45E2495B"/>
    <w:rsid w:val="45FD1795"/>
    <w:rsid w:val="46024FFD"/>
    <w:rsid w:val="46032B23"/>
    <w:rsid w:val="460348D1"/>
    <w:rsid w:val="460D5750"/>
    <w:rsid w:val="460F771A"/>
    <w:rsid w:val="461A0599"/>
    <w:rsid w:val="46222FA9"/>
    <w:rsid w:val="462C5BD6"/>
    <w:rsid w:val="46313BA0"/>
    <w:rsid w:val="46537607"/>
    <w:rsid w:val="46623CEE"/>
    <w:rsid w:val="4677499D"/>
    <w:rsid w:val="46780E1B"/>
    <w:rsid w:val="46873754"/>
    <w:rsid w:val="46932567"/>
    <w:rsid w:val="46933EA7"/>
    <w:rsid w:val="46A55988"/>
    <w:rsid w:val="46A9191C"/>
    <w:rsid w:val="46AE0CE1"/>
    <w:rsid w:val="46AF1094"/>
    <w:rsid w:val="46B1257F"/>
    <w:rsid w:val="46BA7FB1"/>
    <w:rsid w:val="46BC33FE"/>
    <w:rsid w:val="46CC1167"/>
    <w:rsid w:val="46DD5122"/>
    <w:rsid w:val="46EE732F"/>
    <w:rsid w:val="46F5246C"/>
    <w:rsid w:val="46FA2178"/>
    <w:rsid w:val="46FC1A4C"/>
    <w:rsid w:val="47022DDB"/>
    <w:rsid w:val="473B3B1F"/>
    <w:rsid w:val="473B51AB"/>
    <w:rsid w:val="4740402F"/>
    <w:rsid w:val="47503B46"/>
    <w:rsid w:val="47523D62"/>
    <w:rsid w:val="47574ED5"/>
    <w:rsid w:val="475F1FDB"/>
    <w:rsid w:val="476B4E24"/>
    <w:rsid w:val="4779309D"/>
    <w:rsid w:val="477A0BC3"/>
    <w:rsid w:val="478163F5"/>
    <w:rsid w:val="478B2DD0"/>
    <w:rsid w:val="478D3956"/>
    <w:rsid w:val="478F466E"/>
    <w:rsid w:val="479003E6"/>
    <w:rsid w:val="4791488A"/>
    <w:rsid w:val="47925F0D"/>
    <w:rsid w:val="479B1265"/>
    <w:rsid w:val="47B10A89"/>
    <w:rsid w:val="47B9793D"/>
    <w:rsid w:val="47CC58C3"/>
    <w:rsid w:val="47CD5197"/>
    <w:rsid w:val="47CF0F0F"/>
    <w:rsid w:val="47D14C87"/>
    <w:rsid w:val="47D169E5"/>
    <w:rsid w:val="47DB3DAD"/>
    <w:rsid w:val="47E30DFE"/>
    <w:rsid w:val="47E30E5E"/>
    <w:rsid w:val="47E56984"/>
    <w:rsid w:val="47EC1AC1"/>
    <w:rsid w:val="47EF15B1"/>
    <w:rsid w:val="480768FB"/>
    <w:rsid w:val="481132D5"/>
    <w:rsid w:val="48147269"/>
    <w:rsid w:val="4828061F"/>
    <w:rsid w:val="482A4397"/>
    <w:rsid w:val="482F5E51"/>
    <w:rsid w:val="484A2E33"/>
    <w:rsid w:val="484F2050"/>
    <w:rsid w:val="48512886"/>
    <w:rsid w:val="48527ACC"/>
    <w:rsid w:val="48537D92"/>
    <w:rsid w:val="485458B8"/>
    <w:rsid w:val="48552B21"/>
    <w:rsid w:val="485D4EFD"/>
    <w:rsid w:val="485F0B41"/>
    <w:rsid w:val="486F26F2"/>
    <w:rsid w:val="488E4926"/>
    <w:rsid w:val="488F68F0"/>
    <w:rsid w:val="48931F3C"/>
    <w:rsid w:val="489451D8"/>
    <w:rsid w:val="48965ED0"/>
    <w:rsid w:val="48A979B2"/>
    <w:rsid w:val="48AC2FFE"/>
    <w:rsid w:val="48BB76E5"/>
    <w:rsid w:val="48BF0F83"/>
    <w:rsid w:val="48C04CFB"/>
    <w:rsid w:val="48D6451F"/>
    <w:rsid w:val="48DD571A"/>
    <w:rsid w:val="48E374F8"/>
    <w:rsid w:val="48E44E8E"/>
    <w:rsid w:val="48FA645F"/>
    <w:rsid w:val="48FC3F85"/>
    <w:rsid w:val="48FE1020"/>
    <w:rsid w:val="49096929"/>
    <w:rsid w:val="490C607A"/>
    <w:rsid w:val="490D6193"/>
    <w:rsid w:val="491D5CAA"/>
    <w:rsid w:val="49262DB0"/>
    <w:rsid w:val="493C57C4"/>
    <w:rsid w:val="494033B4"/>
    <w:rsid w:val="49494CF1"/>
    <w:rsid w:val="494B2817"/>
    <w:rsid w:val="494E2307"/>
    <w:rsid w:val="495E69EE"/>
    <w:rsid w:val="496F29A9"/>
    <w:rsid w:val="497125DE"/>
    <w:rsid w:val="499C3073"/>
    <w:rsid w:val="49AA1C33"/>
    <w:rsid w:val="49AC5BED"/>
    <w:rsid w:val="49BF3E9A"/>
    <w:rsid w:val="49C63CB5"/>
    <w:rsid w:val="49CA7BE0"/>
    <w:rsid w:val="49FC7FB5"/>
    <w:rsid w:val="4A076836"/>
    <w:rsid w:val="4A0A26D2"/>
    <w:rsid w:val="4A114214"/>
    <w:rsid w:val="4A4200BE"/>
    <w:rsid w:val="4A4831FA"/>
    <w:rsid w:val="4A4A6F73"/>
    <w:rsid w:val="4A5778B2"/>
    <w:rsid w:val="4A5D6CA6"/>
    <w:rsid w:val="4A653B05"/>
    <w:rsid w:val="4A691AF4"/>
    <w:rsid w:val="4A6C0C97"/>
    <w:rsid w:val="4A6C6EE9"/>
    <w:rsid w:val="4A7B35D0"/>
    <w:rsid w:val="4A8A6194"/>
    <w:rsid w:val="4A8F0E29"/>
    <w:rsid w:val="4A914BA1"/>
    <w:rsid w:val="4A9F6F2A"/>
    <w:rsid w:val="4AA246B9"/>
    <w:rsid w:val="4AAA603E"/>
    <w:rsid w:val="4AC51354"/>
    <w:rsid w:val="4AC77F1B"/>
    <w:rsid w:val="4ACC1859"/>
    <w:rsid w:val="4AD32B7C"/>
    <w:rsid w:val="4ADD7DE7"/>
    <w:rsid w:val="4AE72A13"/>
    <w:rsid w:val="4AFA62A3"/>
    <w:rsid w:val="4AFF1B0B"/>
    <w:rsid w:val="4B0C5FD6"/>
    <w:rsid w:val="4B131B6F"/>
    <w:rsid w:val="4B137364"/>
    <w:rsid w:val="4B187071"/>
    <w:rsid w:val="4B1A6945"/>
    <w:rsid w:val="4B2C0D79"/>
    <w:rsid w:val="4B2C6678"/>
    <w:rsid w:val="4B2E23F0"/>
    <w:rsid w:val="4B320132"/>
    <w:rsid w:val="4B367AD7"/>
    <w:rsid w:val="4B38501D"/>
    <w:rsid w:val="4B4340EE"/>
    <w:rsid w:val="4B481704"/>
    <w:rsid w:val="4B4E65EF"/>
    <w:rsid w:val="4B5F4C84"/>
    <w:rsid w:val="4B6127C6"/>
    <w:rsid w:val="4B614574"/>
    <w:rsid w:val="4B616322"/>
    <w:rsid w:val="4B702A09"/>
    <w:rsid w:val="4B756271"/>
    <w:rsid w:val="4B810772"/>
    <w:rsid w:val="4B840262"/>
    <w:rsid w:val="4B982148"/>
    <w:rsid w:val="4BA157E9"/>
    <w:rsid w:val="4BA92BA5"/>
    <w:rsid w:val="4BAD7C0A"/>
    <w:rsid w:val="4BB5041C"/>
    <w:rsid w:val="4BB74194"/>
    <w:rsid w:val="4BBD5522"/>
    <w:rsid w:val="4BC02B8A"/>
    <w:rsid w:val="4BCB5E91"/>
    <w:rsid w:val="4BF17C2D"/>
    <w:rsid w:val="4BF83E68"/>
    <w:rsid w:val="4C094698"/>
    <w:rsid w:val="4C26737A"/>
    <w:rsid w:val="4C2F4672"/>
    <w:rsid w:val="4C325F10"/>
    <w:rsid w:val="4C373527"/>
    <w:rsid w:val="4C4338BA"/>
    <w:rsid w:val="4C4874E2"/>
    <w:rsid w:val="4C4C3B78"/>
    <w:rsid w:val="4C4C5224"/>
    <w:rsid w:val="4C51324C"/>
    <w:rsid w:val="4C583BC9"/>
    <w:rsid w:val="4C650094"/>
    <w:rsid w:val="4C6755B6"/>
    <w:rsid w:val="4C675BBA"/>
    <w:rsid w:val="4C742085"/>
    <w:rsid w:val="4C746529"/>
    <w:rsid w:val="4C79760A"/>
    <w:rsid w:val="4C8C5620"/>
    <w:rsid w:val="4C8F6EBF"/>
    <w:rsid w:val="4C9A3242"/>
    <w:rsid w:val="4CA254C8"/>
    <w:rsid w:val="4CA961D2"/>
    <w:rsid w:val="4CAE1A3B"/>
    <w:rsid w:val="4CAE37E9"/>
    <w:rsid w:val="4CBF59F6"/>
    <w:rsid w:val="4CC0176E"/>
    <w:rsid w:val="4CC4300C"/>
    <w:rsid w:val="4CC50B32"/>
    <w:rsid w:val="4CCF375F"/>
    <w:rsid w:val="4CD07C03"/>
    <w:rsid w:val="4CF02261"/>
    <w:rsid w:val="4D0C49B3"/>
    <w:rsid w:val="4D111FCA"/>
    <w:rsid w:val="4D1D096E"/>
    <w:rsid w:val="4D2E0486"/>
    <w:rsid w:val="4D3C1030"/>
    <w:rsid w:val="4D56487E"/>
    <w:rsid w:val="4D5819A6"/>
    <w:rsid w:val="4D583754"/>
    <w:rsid w:val="4D595308"/>
    <w:rsid w:val="4D6A51F3"/>
    <w:rsid w:val="4D767F72"/>
    <w:rsid w:val="4D7E765F"/>
    <w:rsid w:val="4D8E53C8"/>
    <w:rsid w:val="4DA42E3E"/>
    <w:rsid w:val="4DBE5CAD"/>
    <w:rsid w:val="4DC112FA"/>
    <w:rsid w:val="4DCD7C9F"/>
    <w:rsid w:val="4DD252B5"/>
    <w:rsid w:val="4DD52FF7"/>
    <w:rsid w:val="4DDA060D"/>
    <w:rsid w:val="4DDD3C5A"/>
    <w:rsid w:val="4DDE1EAC"/>
    <w:rsid w:val="4DE02688"/>
    <w:rsid w:val="4DE67084"/>
    <w:rsid w:val="4DF70E68"/>
    <w:rsid w:val="4E061402"/>
    <w:rsid w:val="4E067654"/>
    <w:rsid w:val="4E1753BE"/>
    <w:rsid w:val="4E191136"/>
    <w:rsid w:val="4E222111"/>
    <w:rsid w:val="4E287F63"/>
    <w:rsid w:val="4E351802"/>
    <w:rsid w:val="4E3C4E24"/>
    <w:rsid w:val="4E6525CD"/>
    <w:rsid w:val="4E6A1991"/>
    <w:rsid w:val="4E6D3230"/>
    <w:rsid w:val="4E7D7917"/>
    <w:rsid w:val="4E8F13F8"/>
    <w:rsid w:val="4E9026C9"/>
    <w:rsid w:val="4E984750"/>
    <w:rsid w:val="4EB57700"/>
    <w:rsid w:val="4EB726FD"/>
    <w:rsid w:val="4EC617D0"/>
    <w:rsid w:val="4ECD3CCE"/>
    <w:rsid w:val="4ECF7A46"/>
    <w:rsid w:val="4ED67313"/>
    <w:rsid w:val="4ED84B4D"/>
    <w:rsid w:val="4EDB463D"/>
    <w:rsid w:val="4EE95DB8"/>
    <w:rsid w:val="4EEA4880"/>
    <w:rsid w:val="4EEF633A"/>
    <w:rsid w:val="4EF676C9"/>
    <w:rsid w:val="4EF94AC3"/>
    <w:rsid w:val="4F10078B"/>
    <w:rsid w:val="4F1A33B7"/>
    <w:rsid w:val="4F1D4C56"/>
    <w:rsid w:val="4F22226C"/>
    <w:rsid w:val="4F2E0C11"/>
    <w:rsid w:val="4F451D45"/>
    <w:rsid w:val="4F483E30"/>
    <w:rsid w:val="4F5747F4"/>
    <w:rsid w:val="4F585C8E"/>
    <w:rsid w:val="4F5F0DCA"/>
    <w:rsid w:val="4F7C7BCE"/>
    <w:rsid w:val="4F822D0B"/>
    <w:rsid w:val="4F8D1DDB"/>
    <w:rsid w:val="4F9111A0"/>
    <w:rsid w:val="4FAA2FE5"/>
    <w:rsid w:val="4FAB2261"/>
    <w:rsid w:val="4FB76E58"/>
    <w:rsid w:val="4FCB46B2"/>
    <w:rsid w:val="4FD04988"/>
    <w:rsid w:val="4FD64330"/>
    <w:rsid w:val="4FDC066D"/>
    <w:rsid w:val="4FDF1F0B"/>
    <w:rsid w:val="4FE319FB"/>
    <w:rsid w:val="4FEE65F2"/>
    <w:rsid w:val="4FF84D7B"/>
    <w:rsid w:val="4FF97471"/>
    <w:rsid w:val="500C13FE"/>
    <w:rsid w:val="500D0826"/>
    <w:rsid w:val="500E27F0"/>
    <w:rsid w:val="502D2C76"/>
    <w:rsid w:val="503009B9"/>
    <w:rsid w:val="50306C0B"/>
    <w:rsid w:val="50361381"/>
    <w:rsid w:val="504A4CD4"/>
    <w:rsid w:val="504B57F2"/>
    <w:rsid w:val="5066262C"/>
    <w:rsid w:val="506D5166"/>
    <w:rsid w:val="50720FD1"/>
    <w:rsid w:val="507B7E86"/>
    <w:rsid w:val="507E38BC"/>
    <w:rsid w:val="50850D04"/>
    <w:rsid w:val="50AD2009"/>
    <w:rsid w:val="50B213CE"/>
    <w:rsid w:val="50C6264E"/>
    <w:rsid w:val="50CE4E56"/>
    <w:rsid w:val="50E52B3B"/>
    <w:rsid w:val="50F11EF6"/>
    <w:rsid w:val="50FD6AED"/>
    <w:rsid w:val="50FE2865"/>
    <w:rsid w:val="510734C7"/>
    <w:rsid w:val="510A745C"/>
    <w:rsid w:val="510C4F82"/>
    <w:rsid w:val="510F6820"/>
    <w:rsid w:val="51124655"/>
    <w:rsid w:val="51145BE4"/>
    <w:rsid w:val="5117340D"/>
    <w:rsid w:val="511917E7"/>
    <w:rsid w:val="5119769F"/>
    <w:rsid w:val="511F2F07"/>
    <w:rsid w:val="51204589"/>
    <w:rsid w:val="512C2F2E"/>
    <w:rsid w:val="513149E8"/>
    <w:rsid w:val="513403C7"/>
    <w:rsid w:val="514364CA"/>
    <w:rsid w:val="51450494"/>
    <w:rsid w:val="514C1822"/>
    <w:rsid w:val="51530621"/>
    <w:rsid w:val="51621046"/>
    <w:rsid w:val="516C77CE"/>
    <w:rsid w:val="516E3547"/>
    <w:rsid w:val="51705511"/>
    <w:rsid w:val="51713037"/>
    <w:rsid w:val="517D3840"/>
    <w:rsid w:val="51842D6A"/>
    <w:rsid w:val="51870AAC"/>
    <w:rsid w:val="519805C3"/>
    <w:rsid w:val="519C236E"/>
    <w:rsid w:val="51A927D1"/>
    <w:rsid w:val="51B00003"/>
    <w:rsid w:val="51B03B5F"/>
    <w:rsid w:val="51D6733E"/>
    <w:rsid w:val="51F37EF0"/>
    <w:rsid w:val="51F85506"/>
    <w:rsid w:val="5201085F"/>
    <w:rsid w:val="52097713"/>
    <w:rsid w:val="52100317"/>
    <w:rsid w:val="52263E21"/>
    <w:rsid w:val="522D3402"/>
    <w:rsid w:val="522E1E73"/>
    <w:rsid w:val="523A5B1F"/>
    <w:rsid w:val="523B6791"/>
    <w:rsid w:val="523F4EE3"/>
    <w:rsid w:val="524D5852"/>
    <w:rsid w:val="524F07B7"/>
    <w:rsid w:val="52650DED"/>
    <w:rsid w:val="5268443A"/>
    <w:rsid w:val="526C1465"/>
    <w:rsid w:val="527C6137"/>
    <w:rsid w:val="52831274"/>
    <w:rsid w:val="52903990"/>
    <w:rsid w:val="529F7B67"/>
    <w:rsid w:val="52A1794C"/>
    <w:rsid w:val="52BB6C5F"/>
    <w:rsid w:val="52CD0741"/>
    <w:rsid w:val="52D63A99"/>
    <w:rsid w:val="52D715BF"/>
    <w:rsid w:val="52E15F7C"/>
    <w:rsid w:val="52FE08FA"/>
    <w:rsid w:val="53034162"/>
    <w:rsid w:val="530A729F"/>
    <w:rsid w:val="53165C44"/>
    <w:rsid w:val="531D3476"/>
    <w:rsid w:val="531D5224"/>
    <w:rsid w:val="531E0F9C"/>
    <w:rsid w:val="53230361"/>
    <w:rsid w:val="532B1A01"/>
    <w:rsid w:val="532E7431"/>
    <w:rsid w:val="532F6D06"/>
    <w:rsid w:val="53334A48"/>
    <w:rsid w:val="533662E6"/>
    <w:rsid w:val="533E519B"/>
    <w:rsid w:val="535D7D17"/>
    <w:rsid w:val="53607807"/>
    <w:rsid w:val="53670B95"/>
    <w:rsid w:val="53715570"/>
    <w:rsid w:val="53755060"/>
    <w:rsid w:val="537961D3"/>
    <w:rsid w:val="538928BA"/>
    <w:rsid w:val="538E0A92"/>
    <w:rsid w:val="539227A8"/>
    <w:rsid w:val="5394300C"/>
    <w:rsid w:val="53B8319F"/>
    <w:rsid w:val="53DA1367"/>
    <w:rsid w:val="53DB0C3B"/>
    <w:rsid w:val="53DC50DF"/>
    <w:rsid w:val="53F1045F"/>
    <w:rsid w:val="53F561A1"/>
    <w:rsid w:val="54000993"/>
    <w:rsid w:val="54023290"/>
    <w:rsid w:val="54133FC5"/>
    <w:rsid w:val="54181E8F"/>
    <w:rsid w:val="542B1BC3"/>
    <w:rsid w:val="542C5C75"/>
    <w:rsid w:val="544929FF"/>
    <w:rsid w:val="54554E92"/>
    <w:rsid w:val="545666FE"/>
    <w:rsid w:val="54576514"/>
    <w:rsid w:val="545C7FCE"/>
    <w:rsid w:val="54660E4D"/>
    <w:rsid w:val="546B6463"/>
    <w:rsid w:val="547C241E"/>
    <w:rsid w:val="547F1F0F"/>
    <w:rsid w:val="547F5A6B"/>
    <w:rsid w:val="54926564"/>
    <w:rsid w:val="54A92AE8"/>
    <w:rsid w:val="54C55B73"/>
    <w:rsid w:val="54CB6F02"/>
    <w:rsid w:val="54DF6509"/>
    <w:rsid w:val="54EC5B9C"/>
    <w:rsid w:val="54F627E5"/>
    <w:rsid w:val="550B5550"/>
    <w:rsid w:val="55180399"/>
    <w:rsid w:val="554051FA"/>
    <w:rsid w:val="55455E89"/>
    <w:rsid w:val="554E136B"/>
    <w:rsid w:val="55517407"/>
    <w:rsid w:val="556C4241"/>
    <w:rsid w:val="55807CEC"/>
    <w:rsid w:val="558E065B"/>
    <w:rsid w:val="559317CE"/>
    <w:rsid w:val="55986DE4"/>
    <w:rsid w:val="559A7000"/>
    <w:rsid w:val="55A734CB"/>
    <w:rsid w:val="55A75279"/>
    <w:rsid w:val="55AA4D69"/>
    <w:rsid w:val="55AC6D33"/>
    <w:rsid w:val="55BE25C3"/>
    <w:rsid w:val="55BF0815"/>
    <w:rsid w:val="55BF3C5C"/>
    <w:rsid w:val="55C93441"/>
    <w:rsid w:val="55D1679A"/>
    <w:rsid w:val="55DD0C9B"/>
    <w:rsid w:val="55DF2C65"/>
    <w:rsid w:val="55E42029"/>
    <w:rsid w:val="55E53FF3"/>
    <w:rsid w:val="55E55DA1"/>
    <w:rsid w:val="55F61D5C"/>
    <w:rsid w:val="55FF3307"/>
    <w:rsid w:val="56073F6A"/>
    <w:rsid w:val="56077881"/>
    <w:rsid w:val="560826E9"/>
    <w:rsid w:val="56116B96"/>
    <w:rsid w:val="561346BC"/>
    <w:rsid w:val="56135CC8"/>
    <w:rsid w:val="561623FF"/>
    <w:rsid w:val="561641AD"/>
    <w:rsid w:val="562D0EF4"/>
    <w:rsid w:val="56521689"/>
    <w:rsid w:val="56535401"/>
    <w:rsid w:val="565371AF"/>
    <w:rsid w:val="565465FE"/>
    <w:rsid w:val="56582A17"/>
    <w:rsid w:val="565C42B5"/>
    <w:rsid w:val="565C6063"/>
    <w:rsid w:val="566255AB"/>
    <w:rsid w:val="566273F2"/>
    <w:rsid w:val="5666172C"/>
    <w:rsid w:val="567F1D52"/>
    <w:rsid w:val="56890E23"/>
    <w:rsid w:val="569D042A"/>
    <w:rsid w:val="569E48CE"/>
    <w:rsid w:val="56A63783"/>
    <w:rsid w:val="56A93273"/>
    <w:rsid w:val="56C36721"/>
    <w:rsid w:val="56C854A7"/>
    <w:rsid w:val="56CE08B4"/>
    <w:rsid w:val="56D06A51"/>
    <w:rsid w:val="56D402F0"/>
    <w:rsid w:val="56DA167E"/>
    <w:rsid w:val="56E55706"/>
    <w:rsid w:val="56F42740"/>
    <w:rsid w:val="56F50266"/>
    <w:rsid w:val="57082318"/>
    <w:rsid w:val="570A1F63"/>
    <w:rsid w:val="570A2CF2"/>
    <w:rsid w:val="571B7CCD"/>
    <w:rsid w:val="57286DB3"/>
    <w:rsid w:val="573568B4"/>
    <w:rsid w:val="57430FD1"/>
    <w:rsid w:val="574B1C86"/>
    <w:rsid w:val="57520A58"/>
    <w:rsid w:val="57611783"/>
    <w:rsid w:val="57650F48"/>
    <w:rsid w:val="57692728"/>
    <w:rsid w:val="57711FE2"/>
    <w:rsid w:val="57787490"/>
    <w:rsid w:val="57956B74"/>
    <w:rsid w:val="57993370"/>
    <w:rsid w:val="57A44166"/>
    <w:rsid w:val="57AD76A5"/>
    <w:rsid w:val="57B679F5"/>
    <w:rsid w:val="57C2283E"/>
    <w:rsid w:val="57CD4D3F"/>
    <w:rsid w:val="57D434CE"/>
    <w:rsid w:val="57D95558"/>
    <w:rsid w:val="57E44562"/>
    <w:rsid w:val="57E5252E"/>
    <w:rsid w:val="57E94810"/>
    <w:rsid w:val="57F549C2"/>
    <w:rsid w:val="57FF139C"/>
    <w:rsid w:val="580E15DF"/>
    <w:rsid w:val="58170F85"/>
    <w:rsid w:val="58190BF6"/>
    <w:rsid w:val="582310F2"/>
    <w:rsid w:val="582726A1"/>
    <w:rsid w:val="583C439E"/>
    <w:rsid w:val="5842572D"/>
    <w:rsid w:val="584A6390"/>
    <w:rsid w:val="584C2108"/>
    <w:rsid w:val="585B2DA9"/>
    <w:rsid w:val="585D2567"/>
    <w:rsid w:val="58670CF0"/>
    <w:rsid w:val="586C27AA"/>
    <w:rsid w:val="5870229A"/>
    <w:rsid w:val="58A7169E"/>
    <w:rsid w:val="58AC2BA6"/>
    <w:rsid w:val="58B63D97"/>
    <w:rsid w:val="58B8154B"/>
    <w:rsid w:val="58BD6B62"/>
    <w:rsid w:val="58C60A56"/>
    <w:rsid w:val="58CF47FC"/>
    <w:rsid w:val="58D72319"/>
    <w:rsid w:val="58DC7930"/>
    <w:rsid w:val="58E6255C"/>
    <w:rsid w:val="58F702C5"/>
    <w:rsid w:val="590E560F"/>
    <w:rsid w:val="591936AB"/>
    <w:rsid w:val="591E5852"/>
    <w:rsid w:val="593E7CA2"/>
    <w:rsid w:val="593F3A1A"/>
    <w:rsid w:val="59407EBE"/>
    <w:rsid w:val="59411541"/>
    <w:rsid w:val="59457283"/>
    <w:rsid w:val="59480B21"/>
    <w:rsid w:val="594A6647"/>
    <w:rsid w:val="595079D6"/>
    <w:rsid w:val="5960560A"/>
    <w:rsid w:val="59632FD1"/>
    <w:rsid w:val="5963595B"/>
    <w:rsid w:val="59657925"/>
    <w:rsid w:val="59741916"/>
    <w:rsid w:val="597731B4"/>
    <w:rsid w:val="59831B59"/>
    <w:rsid w:val="598D29D8"/>
    <w:rsid w:val="598D4786"/>
    <w:rsid w:val="59941FB8"/>
    <w:rsid w:val="59981AA8"/>
    <w:rsid w:val="599C0E6D"/>
    <w:rsid w:val="59A0270B"/>
    <w:rsid w:val="59AD6BD6"/>
    <w:rsid w:val="59C74DFE"/>
    <w:rsid w:val="59C75185"/>
    <w:rsid w:val="59D55467"/>
    <w:rsid w:val="59D86349"/>
    <w:rsid w:val="59E12724"/>
    <w:rsid w:val="59E36A9C"/>
    <w:rsid w:val="59F42A57"/>
    <w:rsid w:val="59F478F2"/>
    <w:rsid w:val="59F91E1B"/>
    <w:rsid w:val="5A086C57"/>
    <w:rsid w:val="5A18057C"/>
    <w:rsid w:val="5A236E98"/>
    <w:rsid w:val="5A6462E6"/>
    <w:rsid w:val="5A6A4AC7"/>
    <w:rsid w:val="5A6C6FE1"/>
    <w:rsid w:val="5A737E20"/>
    <w:rsid w:val="5A772091"/>
    <w:rsid w:val="5A7871E4"/>
    <w:rsid w:val="5A8A2DEF"/>
    <w:rsid w:val="5A8E07B6"/>
    <w:rsid w:val="5A902780"/>
    <w:rsid w:val="5A971D60"/>
    <w:rsid w:val="5A987886"/>
    <w:rsid w:val="5AA77AC9"/>
    <w:rsid w:val="5ADF3707"/>
    <w:rsid w:val="5AE12FDB"/>
    <w:rsid w:val="5AE44879"/>
    <w:rsid w:val="5AE76118"/>
    <w:rsid w:val="5AED7BD2"/>
    <w:rsid w:val="5AFA5E4B"/>
    <w:rsid w:val="5B054F4B"/>
    <w:rsid w:val="5B0A3312"/>
    <w:rsid w:val="5B0A6C79"/>
    <w:rsid w:val="5B1A029B"/>
    <w:rsid w:val="5B1A64ED"/>
    <w:rsid w:val="5B1E12B7"/>
    <w:rsid w:val="5B21162A"/>
    <w:rsid w:val="5B215ACE"/>
    <w:rsid w:val="5B286E5C"/>
    <w:rsid w:val="5B2A2BD4"/>
    <w:rsid w:val="5B3E6680"/>
    <w:rsid w:val="5B4041A6"/>
    <w:rsid w:val="5B417F1E"/>
    <w:rsid w:val="5B463D7C"/>
    <w:rsid w:val="5B5E63DA"/>
    <w:rsid w:val="5B624B6B"/>
    <w:rsid w:val="5B637E94"/>
    <w:rsid w:val="5B687259"/>
    <w:rsid w:val="5B6D2AC1"/>
    <w:rsid w:val="5B707C36"/>
    <w:rsid w:val="5B8D6CBF"/>
    <w:rsid w:val="5B921F4F"/>
    <w:rsid w:val="5B9C33A6"/>
    <w:rsid w:val="5BA87F9D"/>
    <w:rsid w:val="5BC30933"/>
    <w:rsid w:val="5BC76675"/>
    <w:rsid w:val="5BD1221B"/>
    <w:rsid w:val="5BDB3ECE"/>
    <w:rsid w:val="5BDC684B"/>
    <w:rsid w:val="5BEF7366"/>
    <w:rsid w:val="5BFB00CD"/>
    <w:rsid w:val="5C02756B"/>
    <w:rsid w:val="5C0547DD"/>
    <w:rsid w:val="5C0F3B78"/>
    <w:rsid w:val="5C195855"/>
    <w:rsid w:val="5C2A6C04"/>
    <w:rsid w:val="5C425CFC"/>
    <w:rsid w:val="5C4E28F2"/>
    <w:rsid w:val="5C5617A7"/>
    <w:rsid w:val="5C5679F9"/>
    <w:rsid w:val="5C6043D4"/>
    <w:rsid w:val="5C844566"/>
    <w:rsid w:val="5C8C6F77"/>
    <w:rsid w:val="5C9A5B38"/>
    <w:rsid w:val="5C9D73D6"/>
    <w:rsid w:val="5C9F6CAA"/>
    <w:rsid w:val="5CA731F3"/>
    <w:rsid w:val="5CAA4A7B"/>
    <w:rsid w:val="5CB14C2F"/>
    <w:rsid w:val="5CB87D6C"/>
    <w:rsid w:val="5CBB785C"/>
    <w:rsid w:val="5CBE543E"/>
    <w:rsid w:val="5CBF10FA"/>
    <w:rsid w:val="5CC42BB4"/>
    <w:rsid w:val="5CC901CB"/>
    <w:rsid w:val="5CC90DBE"/>
    <w:rsid w:val="5CE460C7"/>
    <w:rsid w:val="5CEE7C31"/>
    <w:rsid w:val="5CF039A9"/>
    <w:rsid w:val="5CFB2E43"/>
    <w:rsid w:val="5D271EAF"/>
    <w:rsid w:val="5D2C42B6"/>
    <w:rsid w:val="5D30024A"/>
    <w:rsid w:val="5D414205"/>
    <w:rsid w:val="5D423AD9"/>
    <w:rsid w:val="5D4358E5"/>
    <w:rsid w:val="5D5177E6"/>
    <w:rsid w:val="5D59154F"/>
    <w:rsid w:val="5D5A7075"/>
    <w:rsid w:val="5D5C2DED"/>
    <w:rsid w:val="5D600B2F"/>
    <w:rsid w:val="5D641CA2"/>
    <w:rsid w:val="5D655039"/>
    <w:rsid w:val="5D6B1282"/>
    <w:rsid w:val="5D6E2740"/>
    <w:rsid w:val="5D7719D5"/>
    <w:rsid w:val="5D77374D"/>
    <w:rsid w:val="5D8B722E"/>
    <w:rsid w:val="5DA33F6C"/>
    <w:rsid w:val="5DB72D9E"/>
    <w:rsid w:val="5DD314E0"/>
    <w:rsid w:val="5DFE20F6"/>
    <w:rsid w:val="5E006E0E"/>
    <w:rsid w:val="5E0C7162"/>
    <w:rsid w:val="5E11747C"/>
    <w:rsid w:val="5E2733FB"/>
    <w:rsid w:val="5E31427A"/>
    <w:rsid w:val="5E387121"/>
    <w:rsid w:val="5E3C43B8"/>
    <w:rsid w:val="5E3E0586"/>
    <w:rsid w:val="5E4044BD"/>
    <w:rsid w:val="5E423B66"/>
    <w:rsid w:val="5E48511F"/>
    <w:rsid w:val="5E543AC4"/>
    <w:rsid w:val="5E565A8E"/>
    <w:rsid w:val="5E6964AE"/>
    <w:rsid w:val="5E8A10C2"/>
    <w:rsid w:val="5E8C001D"/>
    <w:rsid w:val="5E8C7702"/>
    <w:rsid w:val="5EA4274E"/>
    <w:rsid w:val="5EAA360D"/>
    <w:rsid w:val="5EAB402C"/>
    <w:rsid w:val="5EB36A3D"/>
    <w:rsid w:val="5EBD5B0D"/>
    <w:rsid w:val="5EC073AC"/>
    <w:rsid w:val="5ECB647C"/>
    <w:rsid w:val="5EE017FC"/>
    <w:rsid w:val="5EE27322"/>
    <w:rsid w:val="5EF3152F"/>
    <w:rsid w:val="5F0E45BB"/>
    <w:rsid w:val="5F1D035A"/>
    <w:rsid w:val="5F3C4C84"/>
    <w:rsid w:val="5F465B03"/>
    <w:rsid w:val="5F4C7DD5"/>
    <w:rsid w:val="5F4E49B7"/>
    <w:rsid w:val="5F5D4BFA"/>
    <w:rsid w:val="5F622211"/>
    <w:rsid w:val="5F630463"/>
    <w:rsid w:val="5F6D7533"/>
    <w:rsid w:val="5F772160"/>
    <w:rsid w:val="5F795ED8"/>
    <w:rsid w:val="5F8605F5"/>
    <w:rsid w:val="5F93061C"/>
    <w:rsid w:val="5FA016B7"/>
    <w:rsid w:val="5FA97E40"/>
    <w:rsid w:val="5FAD16DE"/>
    <w:rsid w:val="5FAE5456"/>
    <w:rsid w:val="5FAF36A8"/>
    <w:rsid w:val="5FB011CE"/>
    <w:rsid w:val="5FB05672"/>
    <w:rsid w:val="5FB951A6"/>
    <w:rsid w:val="5FBE38EB"/>
    <w:rsid w:val="5FC44C79"/>
    <w:rsid w:val="5FCF3FEF"/>
    <w:rsid w:val="5FD314FE"/>
    <w:rsid w:val="5FD72BFF"/>
    <w:rsid w:val="5FD87942"/>
    <w:rsid w:val="5FDC0215"/>
    <w:rsid w:val="5FEB66AA"/>
    <w:rsid w:val="5FF44FA2"/>
    <w:rsid w:val="5FF53085"/>
    <w:rsid w:val="60065292"/>
    <w:rsid w:val="60174CA1"/>
    <w:rsid w:val="601B6F8F"/>
    <w:rsid w:val="601C4AB5"/>
    <w:rsid w:val="60234096"/>
    <w:rsid w:val="602C4CF9"/>
    <w:rsid w:val="602F6597"/>
    <w:rsid w:val="604C0EF7"/>
    <w:rsid w:val="605B155E"/>
    <w:rsid w:val="605E0C2A"/>
    <w:rsid w:val="606A3A73"/>
    <w:rsid w:val="606F1089"/>
    <w:rsid w:val="60787F3E"/>
    <w:rsid w:val="607D37A6"/>
    <w:rsid w:val="60822B6A"/>
    <w:rsid w:val="60824919"/>
    <w:rsid w:val="60966616"/>
    <w:rsid w:val="60AF592A"/>
    <w:rsid w:val="60B82A30"/>
    <w:rsid w:val="60BF3DBF"/>
    <w:rsid w:val="60C72C73"/>
    <w:rsid w:val="60D158A0"/>
    <w:rsid w:val="60D4713E"/>
    <w:rsid w:val="60DD2497"/>
    <w:rsid w:val="60E530F9"/>
    <w:rsid w:val="60E94998"/>
    <w:rsid w:val="60F15F42"/>
    <w:rsid w:val="60F35816"/>
    <w:rsid w:val="60F872D1"/>
    <w:rsid w:val="60FB0B6F"/>
    <w:rsid w:val="610619ED"/>
    <w:rsid w:val="611D0AE5"/>
    <w:rsid w:val="61306A6A"/>
    <w:rsid w:val="613C540F"/>
    <w:rsid w:val="613D2F35"/>
    <w:rsid w:val="613F6CAD"/>
    <w:rsid w:val="614442C4"/>
    <w:rsid w:val="61565DA5"/>
    <w:rsid w:val="61587D6F"/>
    <w:rsid w:val="61614E76"/>
    <w:rsid w:val="61642270"/>
    <w:rsid w:val="6166248C"/>
    <w:rsid w:val="61707F91"/>
    <w:rsid w:val="618172C6"/>
    <w:rsid w:val="6192502F"/>
    <w:rsid w:val="61954B1F"/>
    <w:rsid w:val="61A134C4"/>
    <w:rsid w:val="61A44245"/>
    <w:rsid w:val="61B96A60"/>
    <w:rsid w:val="61BA6334"/>
    <w:rsid w:val="61C64CD9"/>
    <w:rsid w:val="61D76EE6"/>
    <w:rsid w:val="61E37639"/>
    <w:rsid w:val="61E433B1"/>
    <w:rsid w:val="61EB06EE"/>
    <w:rsid w:val="61EB0BE3"/>
    <w:rsid w:val="61F41846"/>
    <w:rsid w:val="61F45CEA"/>
    <w:rsid w:val="61FB0AE1"/>
    <w:rsid w:val="620C3034"/>
    <w:rsid w:val="621A5025"/>
    <w:rsid w:val="621C0D9D"/>
    <w:rsid w:val="62210161"/>
    <w:rsid w:val="623205C0"/>
    <w:rsid w:val="62326812"/>
    <w:rsid w:val="62353C0D"/>
    <w:rsid w:val="624327CD"/>
    <w:rsid w:val="62471F04"/>
    <w:rsid w:val="626C278F"/>
    <w:rsid w:val="626F3307"/>
    <w:rsid w:val="62726C0F"/>
    <w:rsid w:val="627604AD"/>
    <w:rsid w:val="627666FF"/>
    <w:rsid w:val="62810F0E"/>
    <w:rsid w:val="628277E3"/>
    <w:rsid w:val="628506F0"/>
    <w:rsid w:val="6291178B"/>
    <w:rsid w:val="62A274F4"/>
    <w:rsid w:val="62A414BE"/>
    <w:rsid w:val="62AC0373"/>
    <w:rsid w:val="62AF39BF"/>
    <w:rsid w:val="62BC7E8A"/>
    <w:rsid w:val="62C76F5B"/>
    <w:rsid w:val="62D117C8"/>
    <w:rsid w:val="62F35FA1"/>
    <w:rsid w:val="62F615EE"/>
    <w:rsid w:val="62F84464"/>
    <w:rsid w:val="62FB30A8"/>
    <w:rsid w:val="630261E5"/>
    <w:rsid w:val="630C0E11"/>
    <w:rsid w:val="63350368"/>
    <w:rsid w:val="63387E58"/>
    <w:rsid w:val="633D546F"/>
    <w:rsid w:val="633D721D"/>
    <w:rsid w:val="634560D1"/>
    <w:rsid w:val="634C56B2"/>
    <w:rsid w:val="63620A31"/>
    <w:rsid w:val="636E5628"/>
    <w:rsid w:val="637013A0"/>
    <w:rsid w:val="63730E90"/>
    <w:rsid w:val="637349EC"/>
    <w:rsid w:val="63745D72"/>
    <w:rsid w:val="637644DD"/>
    <w:rsid w:val="63770981"/>
    <w:rsid w:val="637F15E3"/>
    <w:rsid w:val="638B7F88"/>
    <w:rsid w:val="639C058F"/>
    <w:rsid w:val="639D1436"/>
    <w:rsid w:val="639F57E1"/>
    <w:rsid w:val="63C45248"/>
    <w:rsid w:val="63CB2A7A"/>
    <w:rsid w:val="63D40B0B"/>
    <w:rsid w:val="63DD630A"/>
    <w:rsid w:val="63E1404C"/>
    <w:rsid w:val="63EC712E"/>
    <w:rsid w:val="63F57AF7"/>
    <w:rsid w:val="63FB2FA9"/>
    <w:rsid w:val="63FE4BFE"/>
    <w:rsid w:val="64061D04"/>
    <w:rsid w:val="64065861"/>
    <w:rsid w:val="640D3093"/>
    <w:rsid w:val="64116879"/>
    <w:rsid w:val="641C3A32"/>
    <w:rsid w:val="642108EC"/>
    <w:rsid w:val="6421269A"/>
    <w:rsid w:val="64216B3E"/>
    <w:rsid w:val="6424539D"/>
    <w:rsid w:val="64281364"/>
    <w:rsid w:val="6429154F"/>
    <w:rsid w:val="642F3009"/>
    <w:rsid w:val="64373C6C"/>
    <w:rsid w:val="64414AEB"/>
    <w:rsid w:val="6449399F"/>
    <w:rsid w:val="645760BC"/>
    <w:rsid w:val="64590E9F"/>
    <w:rsid w:val="6461518D"/>
    <w:rsid w:val="646A5FF4"/>
    <w:rsid w:val="646D3B32"/>
    <w:rsid w:val="64785766"/>
    <w:rsid w:val="64874BF3"/>
    <w:rsid w:val="648D7D30"/>
    <w:rsid w:val="64964E36"/>
    <w:rsid w:val="64A07A63"/>
    <w:rsid w:val="64AD3F2E"/>
    <w:rsid w:val="64C37BF6"/>
    <w:rsid w:val="64CA335B"/>
    <w:rsid w:val="64CE2822"/>
    <w:rsid w:val="64CF0348"/>
    <w:rsid w:val="64D836A1"/>
    <w:rsid w:val="64EA6F30"/>
    <w:rsid w:val="64F04C2B"/>
    <w:rsid w:val="64F1206D"/>
    <w:rsid w:val="64F55A2C"/>
    <w:rsid w:val="65046244"/>
    <w:rsid w:val="65053D6A"/>
    <w:rsid w:val="65077657"/>
    <w:rsid w:val="65110712"/>
    <w:rsid w:val="65150451"/>
    <w:rsid w:val="6522491C"/>
    <w:rsid w:val="65257F68"/>
    <w:rsid w:val="653603C7"/>
    <w:rsid w:val="65384140"/>
    <w:rsid w:val="6545060B"/>
    <w:rsid w:val="654A79CF"/>
    <w:rsid w:val="654B3C55"/>
    <w:rsid w:val="65534AD5"/>
    <w:rsid w:val="655B398A"/>
    <w:rsid w:val="655C606A"/>
    <w:rsid w:val="655D5954"/>
    <w:rsid w:val="65766A16"/>
    <w:rsid w:val="658D448B"/>
    <w:rsid w:val="65A2617E"/>
    <w:rsid w:val="65A2780B"/>
    <w:rsid w:val="65B03CD6"/>
    <w:rsid w:val="65B65064"/>
    <w:rsid w:val="65D200F0"/>
    <w:rsid w:val="65D33E68"/>
    <w:rsid w:val="65E35C92"/>
    <w:rsid w:val="65E47E23"/>
    <w:rsid w:val="65F1102F"/>
    <w:rsid w:val="65FA13F5"/>
    <w:rsid w:val="65FB3157"/>
    <w:rsid w:val="660109D5"/>
    <w:rsid w:val="660D737A"/>
    <w:rsid w:val="661E50E3"/>
    <w:rsid w:val="66214BD4"/>
    <w:rsid w:val="66236B9E"/>
    <w:rsid w:val="6635067F"/>
    <w:rsid w:val="663A5C95"/>
    <w:rsid w:val="663E5786"/>
    <w:rsid w:val="664F7993"/>
    <w:rsid w:val="66507267"/>
    <w:rsid w:val="66630D48"/>
    <w:rsid w:val="6663397A"/>
    <w:rsid w:val="66641A48"/>
    <w:rsid w:val="66660838"/>
    <w:rsid w:val="66664368"/>
    <w:rsid w:val="666D606B"/>
    <w:rsid w:val="667B2536"/>
    <w:rsid w:val="668F7D8F"/>
    <w:rsid w:val="669E6224"/>
    <w:rsid w:val="66A17AC3"/>
    <w:rsid w:val="66A31BBE"/>
    <w:rsid w:val="66BE0674"/>
    <w:rsid w:val="66C11F13"/>
    <w:rsid w:val="66C20165"/>
    <w:rsid w:val="66E53E53"/>
    <w:rsid w:val="66EC6F90"/>
    <w:rsid w:val="66F95B50"/>
    <w:rsid w:val="66FE3167"/>
    <w:rsid w:val="671D35ED"/>
    <w:rsid w:val="673B3A73"/>
    <w:rsid w:val="673D5A3D"/>
    <w:rsid w:val="674072DB"/>
    <w:rsid w:val="674A015A"/>
    <w:rsid w:val="674C7A2E"/>
    <w:rsid w:val="67530DBD"/>
    <w:rsid w:val="677D408C"/>
    <w:rsid w:val="677F5452"/>
    <w:rsid w:val="67803B7C"/>
    <w:rsid w:val="6784541A"/>
    <w:rsid w:val="6787315C"/>
    <w:rsid w:val="67903D65"/>
    <w:rsid w:val="6796339F"/>
    <w:rsid w:val="6796514D"/>
    <w:rsid w:val="67A23AF2"/>
    <w:rsid w:val="67B13D35"/>
    <w:rsid w:val="67C43A69"/>
    <w:rsid w:val="67D9743A"/>
    <w:rsid w:val="67E81E4D"/>
    <w:rsid w:val="67EC2FBF"/>
    <w:rsid w:val="67F105D6"/>
    <w:rsid w:val="67F12B70"/>
    <w:rsid w:val="67F3434E"/>
    <w:rsid w:val="67FD143E"/>
    <w:rsid w:val="67FD341E"/>
    <w:rsid w:val="68106CAE"/>
    <w:rsid w:val="683010FE"/>
    <w:rsid w:val="683E1A6D"/>
    <w:rsid w:val="68476448"/>
    <w:rsid w:val="684B418A"/>
    <w:rsid w:val="684E5A28"/>
    <w:rsid w:val="686A6A4B"/>
    <w:rsid w:val="68701E42"/>
    <w:rsid w:val="68716F70"/>
    <w:rsid w:val="687A05CB"/>
    <w:rsid w:val="689618A9"/>
    <w:rsid w:val="68975621"/>
    <w:rsid w:val="68A65864"/>
    <w:rsid w:val="68AD6BF3"/>
    <w:rsid w:val="68B43ADD"/>
    <w:rsid w:val="68BA4E6C"/>
    <w:rsid w:val="68C61A62"/>
    <w:rsid w:val="68D0643D"/>
    <w:rsid w:val="68D20A01"/>
    <w:rsid w:val="68D777CC"/>
    <w:rsid w:val="68DB5F16"/>
    <w:rsid w:val="68E048D2"/>
    <w:rsid w:val="68E249DE"/>
    <w:rsid w:val="68E87C2B"/>
    <w:rsid w:val="690802CD"/>
    <w:rsid w:val="6909452C"/>
    <w:rsid w:val="6922313D"/>
    <w:rsid w:val="692C7B17"/>
    <w:rsid w:val="693B41FE"/>
    <w:rsid w:val="69407A67"/>
    <w:rsid w:val="694A2693"/>
    <w:rsid w:val="694E3F32"/>
    <w:rsid w:val="695E7EED"/>
    <w:rsid w:val="69615031"/>
    <w:rsid w:val="6962178B"/>
    <w:rsid w:val="69623539"/>
    <w:rsid w:val="6979471D"/>
    <w:rsid w:val="697F058F"/>
    <w:rsid w:val="69825989"/>
    <w:rsid w:val="69831701"/>
    <w:rsid w:val="69855479"/>
    <w:rsid w:val="6990454A"/>
    <w:rsid w:val="6994390F"/>
    <w:rsid w:val="69B875FD"/>
    <w:rsid w:val="69BB70ED"/>
    <w:rsid w:val="69BE2739"/>
    <w:rsid w:val="69CA10DE"/>
    <w:rsid w:val="69CB37D4"/>
    <w:rsid w:val="69D044D3"/>
    <w:rsid w:val="69E228CC"/>
    <w:rsid w:val="69E62DFD"/>
    <w:rsid w:val="69F34AD9"/>
    <w:rsid w:val="69FF522C"/>
    <w:rsid w:val="6A1707C7"/>
    <w:rsid w:val="6A274783"/>
    <w:rsid w:val="6A2B6021"/>
    <w:rsid w:val="6A2E5B11"/>
    <w:rsid w:val="6A325601"/>
    <w:rsid w:val="6A3C74A8"/>
    <w:rsid w:val="6A4610AD"/>
    <w:rsid w:val="6A4B0471"/>
    <w:rsid w:val="6A4E1D0F"/>
    <w:rsid w:val="6A611A43"/>
    <w:rsid w:val="6A6908F7"/>
    <w:rsid w:val="6A6D4EFC"/>
    <w:rsid w:val="6A7259FE"/>
    <w:rsid w:val="6A7A2B04"/>
    <w:rsid w:val="6A843983"/>
    <w:rsid w:val="6A90057A"/>
    <w:rsid w:val="6A955B90"/>
    <w:rsid w:val="6A9736B6"/>
    <w:rsid w:val="6AA656A7"/>
    <w:rsid w:val="6AB57FE0"/>
    <w:rsid w:val="6ABC136F"/>
    <w:rsid w:val="6AC02C0D"/>
    <w:rsid w:val="6AD541DF"/>
    <w:rsid w:val="6AD95A7D"/>
    <w:rsid w:val="6AE55C25"/>
    <w:rsid w:val="6B0074AE"/>
    <w:rsid w:val="6B014FD4"/>
    <w:rsid w:val="6B0625EA"/>
    <w:rsid w:val="6B0A032C"/>
    <w:rsid w:val="6B1C5A6F"/>
    <w:rsid w:val="6B2A452A"/>
    <w:rsid w:val="6B3D341D"/>
    <w:rsid w:val="6B43739A"/>
    <w:rsid w:val="6B44611A"/>
    <w:rsid w:val="6B560E7C"/>
    <w:rsid w:val="6B572E46"/>
    <w:rsid w:val="6B60619E"/>
    <w:rsid w:val="6B637A3C"/>
    <w:rsid w:val="6B6B60E4"/>
    <w:rsid w:val="6B737C7F"/>
    <w:rsid w:val="6B76151E"/>
    <w:rsid w:val="6B7D50A7"/>
    <w:rsid w:val="6BA02A3F"/>
    <w:rsid w:val="6BA351CB"/>
    <w:rsid w:val="6BAC3782"/>
    <w:rsid w:val="6BB01138"/>
    <w:rsid w:val="6BBB3287"/>
    <w:rsid w:val="6BBD714D"/>
    <w:rsid w:val="6BBF2335"/>
    <w:rsid w:val="6BCB7ABB"/>
    <w:rsid w:val="6BCE220C"/>
    <w:rsid w:val="6BD529F8"/>
    <w:rsid w:val="6BD749FF"/>
    <w:rsid w:val="6BDD77EF"/>
    <w:rsid w:val="6BEC6217"/>
    <w:rsid w:val="6BEF4FFD"/>
    <w:rsid w:val="6BF568E6"/>
    <w:rsid w:val="6BF6265F"/>
    <w:rsid w:val="6BFA214F"/>
    <w:rsid w:val="6BFD1C3F"/>
    <w:rsid w:val="6C0134DD"/>
    <w:rsid w:val="6C050161"/>
    <w:rsid w:val="6C060AF4"/>
    <w:rsid w:val="6C0F54CE"/>
    <w:rsid w:val="6C133210"/>
    <w:rsid w:val="6C1825D5"/>
    <w:rsid w:val="6C3870FA"/>
    <w:rsid w:val="6C472EBA"/>
    <w:rsid w:val="6C4E4249"/>
    <w:rsid w:val="6C57134F"/>
    <w:rsid w:val="6C5A499B"/>
    <w:rsid w:val="6C5F5AA2"/>
    <w:rsid w:val="6C7517D5"/>
    <w:rsid w:val="6C77554D"/>
    <w:rsid w:val="6C7A503E"/>
    <w:rsid w:val="6C88775B"/>
    <w:rsid w:val="6C8B2DA7"/>
    <w:rsid w:val="6C9B45C8"/>
    <w:rsid w:val="6C9D2ADA"/>
    <w:rsid w:val="6CA0380F"/>
    <w:rsid w:val="6CA125CA"/>
    <w:rsid w:val="6CBC7404"/>
    <w:rsid w:val="6CC339C8"/>
    <w:rsid w:val="6CC664D5"/>
    <w:rsid w:val="6CDA4C16"/>
    <w:rsid w:val="6CDE1D45"/>
    <w:rsid w:val="6CDE55CC"/>
    <w:rsid w:val="6CE81FA7"/>
    <w:rsid w:val="6CEA00F9"/>
    <w:rsid w:val="6CEF77DA"/>
    <w:rsid w:val="6CF50B68"/>
    <w:rsid w:val="6CF7668E"/>
    <w:rsid w:val="6CF941B4"/>
    <w:rsid w:val="6CFA7F2C"/>
    <w:rsid w:val="6CFC61C3"/>
    <w:rsid w:val="6D0D4104"/>
    <w:rsid w:val="6D4D62AE"/>
    <w:rsid w:val="6D605FE2"/>
    <w:rsid w:val="6D8E6FF3"/>
    <w:rsid w:val="6DA265FA"/>
    <w:rsid w:val="6DA4203B"/>
    <w:rsid w:val="6DB9718A"/>
    <w:rsid w:val="6DD54C21"/>
    <w:rsid w:val="6DEE183F"/>
    <w:rsid w:val="6E0472B5"/>
    <w:rsid w:val="6E056B89"/>
    <w:rsid w:val="6E1374F8"/>
    <w:rsid w:val="6E274D51"/>
    <w:rsid w:val="6E2E60E0"/>
    <w:rsid w:val="6E3C25B5"/>
    <w:rsid w:val="6E46167B"/>
    <w:rsid w:val="6E55366C"/>
    <w:rsid w:val="6E5B2C4D"/>
    <w:rsid w:val="6E5C0E9F"/>
    <w:rsid w:val="6E625D89"/>
    <w:rsid w:val="6E6C09B6"/>
    <w:rsid w:val="6E6F0F81"/>
    <w:rsid w:val="6E7D1D95"/>
    <w:rsid w:val="6EA14B04"/>
    <w:rsid w:val="6EAB5982"/>
    <w:rsid w:val="6EAB7730"/>
    <w:rsid w:val="6EAE0FCF"/>
    <w:rsid w:val="6EB20ABF"/>
    <w:rsid w:val="6EB5235D"/>
    <w:rsid w:val="6EB760D5"/>
    <w:rsid w:val="6EB83BFB"/>
    <w:rsid w:val="6EBA5BC5"/>
    <w:rsid w:val="6EC16F54"/>
    <w:rsid w:val="6ED0363B"/>
    <w:rsid w:val="6ED8604B"/>
    <w:rsid w:val="6ED924EF"/>
    <w:rsid w:val="6EDC1FE0"/>
    <w:rsid w:val="6EE0065C"/>
    <w:rsid w:val="6EE36ECA"/>
    <w:rsid w:val="6EE964AB"/>
    <w:rsid w:val="6EFA2466"/>
    <w:rsid w:val="6F0926A9"/>
    <w:rsid w:val="6F0D3F47"/>
    <w:rsid w:val="6F173018"/>
    <w:rsid w:val="6F1C062E"/>
    <w:rsid w:val="6F32335C"/>
    <w:rsid w:val="6F373EA5"/>
    <w:rsid w:val="6F481786"/>
    <w:rsid w:val="6F4E7F01"/>
    <w:rsid w:val="6F4F4560"/>
    <w:rsid w:val="6F5516B4"/>
    <w:rsid w:val="6F5B73A8"/>
    <w:rsid w:val="6F5C6C7D"/>
    <w:rsid w:val="6F60676D"/>
    <w:rsid w:val="6F6F7AB6"/>
    <w:rsid w:val="6F7915DC"/>
    <w:rsid w:val="6F7E6BF3"/>
    <w:rsid w:val="6F896C52"/>
    <w:rsid w:val="6F8A1A3C"/>
    <w:rsid w:val="6F944668"/>
    <w:rsid w:val="6F963F3C"/>
    <w:rsid w:val="6F991C7F"/>
    <w:rsid w:val="6F9B1553"/>
    <w:rsid w:val="6FA26D85"/>
    <w:rsid w:val="6FA83C70"/>
    <w:rsid w:val="6FB22D40"/>
    <w:rsid w:val="6FD35191"/>
    <w:rsid w:val="6FD66A2F"/>
    <w:rsid w:val="6FD827A7"/>
    <w:rsid w:val="70027824"/>
    <w:rsid w:val="701A2DBF"/>
    <w:rsid w:val="70207CAA"/>
    <w:rsid w:val="70227EC6"/>
    <w:rsid w:val="70231548"/>
    <w:rsid w:val="7036571F"/>
    <w:rsid w:val="70384FF4"/>
    <w:rsid w:val="704C6CF1"/>
    <w:rsid w:val="705744C3"/>
    <w:rsid w:val="705931BC"/>
    <w:rsid w:val="707F0391"/>
    <w:rsid w:val="7087094C"/>
    <w:rsid w:val="70882E8A"/>
    <w:rsid w:val="70932B72"/>
    <w:rsid w:val="70980188"/>
    <w:rsid w:val="70A1528F"/>
    <w:rsid w:val="70A703CB"/>
    <w:rsid w:val="70A97C9F"/>
    <w:rsid w:val="70B44D99"/>
    <w:rsid w:val="70C42D2B"/>
    <w:rsid w:val="70C525FF"/>
    <w:rsid w:val="70CB5E68"/>
    <w:rsid w:val="70CC398E"/>
    <w:rsid w:val="70D34D1C"/>
    <w:rsid w:val="70D50A94"/>
    <w:rsid w:val="70D8620A"/>
    <w:rsid w:val="70DE203F"/>
    <w:rsid w:val="70FF4985"/>
    <w:rsid w:val="71031AA6"/>
    <w:rsid w:val="711517D9"/>
    <w:rsid w:val="711C2B67"/>
    <w:rsid w:val="71273CBC"/>
    <w:rsid w:val="712E4649"/>
    <w:rsid w:val="71303482"/>
    <w:rsid w:val="713056CE"/>
    <w:rsid w:val="71330B4C"/>
    <w:rsid w:val="713D663A"/>
    <w:rsid w:val="715220E5"/>
    <w:rsid w:val="716A38D3"/>
    <w:rsid w:val="71724535"/>
    <w:rsid w:val="717C53B4"/>
    <w:rsid w:val="7185070D"/>
    <w:rsid w:val="718E0BE9"/>
    <w:rsid w:val="71900E5F"/>
    <w:rsid w:val="71924BD7"/>
    <w:rsid w:val="71926986"/>
    <w:rsid w:val="719646C8"/>
    <w:rsid w:val="719B1CDE"/>
    <w:rsid w:val="719F16DB"/>
    <w:rsid w:val="71A30B93"/>
    <w:rsid w:val="71A54B2A"/>
    <w:rsid w:val="71B44B4E"/>
    <w:rsid w:val="71B608C6"/>
    <w:rsid w:val="71BC7EA6"/>
    <w:rsid w:val="71C31235"/>
    <w:rsid w:val="71C32FE3"/>
    <w:rsid w:val="71CD3E62"/>
    <w:rsid w:val="71D13952"/>
    <w:rsid w:val="71DC40A5"/>
    <w:rsid w:val="71DC5E53"/>
    <w:rsid w:val="71DD22F7"/>
    <w:rsid w:val="71F655F7"/>
    <w:rsid w:val="7205184D"/>
    <w:rsid w:val="720D425E"/>
    <w:rsid w:val="721101F2"/>
    <w:rsid w:val="72231CD3"/>
    <w:rsid w:val="72275320"/>
    <w:rsid w:val="722F0678"/>
    <w:rsid w:val="72304FD3"/>
    <w:rsid w:val="725E2D0C"/>
    <w:rsid w:val="72604CD6"/>
    <w:rsid w:val="72710C91"/>
    <w:rsid w:val="7275252F"/>
    <w:rsid w:val="72763829"/>
    <w:rsid w:val="72785B7B"/>
    <w:rsid w:val="727B1B10"/>
    <w:rsid w:val="72807126"/>
    <w:rsid w:val="72827AE5"/>
    <w:rsid w:val="728A58AF"/>
    <w:rsid w:val="728E35F1"/>
    <w:rsid w:val="729130E1"/>
    <w:rsid w:val="72A03324"/>
    <w:rsid w:val="72A526E9"/>
    <w:rsid w:val="72A746B3"/>
    <w:rsid w:val="72AE5A41"/>
    <w:rsid w:val="72BD5C84"/>
    <w:rsid w:val="72BF19FC"/>
    <w:rsid w:val="72C9287B"/>
    <w:rsid w:val="72D44A63"/>
    <w:rsid w:val="72E01973"/>
    <w:rsid w:val="72E70F53"/>
    <w:rsid w:val="73075045"/>
    <w:rsid w:val="732301DD"/>
    <w:rsid w:val="733A72D5"/>
    <w:rsid w:val="733D0B73"/>
    <w:rsid w:val="73463ECB"/>
    <w:rsid w:val="73552361"/>
    <w:rsid w:val="735F6D3B"/>
    <w:rsid w:val="73626323"/>
    <w:rsid w:val="737722D7"/>
    <w:rsid w:val="737E5413"/>
    <w:rsid w:val="737F2F3A"/>
    <w:rsid w:val="73835B5A"/>
    <w:rsid w:val="739C3AEB"/>
    <w:rsid w:val="73A54057"/>
    <w:rsid w:val="73A806E2"/>
    <w:rsid w:val="73A86934"/>
    <w:rsid w:val="73B30004"/>
    <w:rsid w:val="73C5726C"/>
    <w:rsid w:val="73CD2428"/>
    <w:rsid w:val="73D019D3"/>
    <w:rsid w:val="73D440E3"/>
    <w:rsid w:val="73DC65DE"/>
    <w:rsid w:val="73E55492"/>
    <w:rsid w:val="73E67EA2"/>
    <w:rsid w:val="73E71C5A"/>
    <w:rsid w:val="73E7745D"/>
    <w:rsid w:val="73FE47A6"/>
    <w:rsid w:val="74024296"/>
    <w:rsid w:val="74082F2F"/>
    <w:rsid w:val="740F42BD"/>
    <w:rsid w:val="74307A19"/>
    <w:rsid w:val="74341F76"/>
    <w:rsid w:val="744C5512"/>
    <w:rsid w:val="74510D7A"/>
    <w:rsid w:val="746C5BB4"/>
    <w:rsid w:val="74736F42"/>
    <w:rsid w:val="74AE3AD6"/>
    <w:rsid w:val="74B135C7"/>
    <w:rsid w:val="74B27EF5"/>
    <w:rsid w:val="74B80DF9"/>
    <w:rsid w:val="74C50E20"/>
    <w:rsid w:val="74C7054F"/>
    <w:rsid w:val="74C90910"/>
    <w:rsid w:val="74CF7DF7"/>
    <w:rsid w:val="74D55507"/>
    <w:rsid w:val="74D86DA5"/>
    <w:rsid w:val="74DA48CB"/>
    <w:rsid w:val="74DF34DD"/>
    <w:rsid w:val="74EE0377"/>
    <w:rsid w:val="74F55BA9"/>
    <w:rsid w:val="74F71921"/>
    <w:rsid w:val="74FE7C75"/>
    <w:rsid w:val="750202C6"/>
    <w:rsid w:val="75061B64"/>
    <w:rsid w:val="7507768A"/>
    <w:rsid w:val="75144CBB"/>
    <w:rsid w:val="75295853"/>
    <w:rsid w:val="752B3379"/>
    <w:rsid w:val="75306BE1"/>
    <w:rsid w:val="753F5076"/>
    <w:rsid w:val="755042E8"/>
    <w:rsid w:val="75530B22"/>
    <w:rsid w:val="757765BE"/>
    <w:rsid w:val="758051AD"/>
    <w:rsid w:val="758058F9"/>
    <w:rsid w:val="7589009F"/>
    <w:rsid w:val="758B3E18"/>
    <w:rsid w:val="75994786"/>
    <w:rsid w:val="759E7B46"/>
    <w:rsid w:val="759F78C3"/>
    <w:rsid w:val="75A573B8"/>
    <w:rsid w:val="75B25848"/>
    <w:rsid w:val="75B625D5"/>
    <w:rsid w:val="75BA46FD"/>
    <w:rsid w:val="75BC3186"/>
    <w:rsid w:val="75C537CD"/>
    <w:rsid w:val="75C90F3B"/>
    <w:rsid w:val="75CA0DE4"/>
    <w:rsid w:val="75CF63FA"/>
    <w:rsid w:val="75DB1837"/>
    <w:rsid w:val="75DB4D9F"/>
    <w:rsid w:val="75DF5F11"/>
    <w:rsid w:val="75F23E97"/>
    <w:rsid w:val="75F257F1"/>
    <w:rsid w:val="75F53987"/>
    <w:rsid w:val="75FF0A4C"/>
    <w:rsid w:val="76085468"/>
    <w:rsid w:val="760D0CD1"/>
    <w:rsid w:val="76112054"/>
    <w:rsid w:val="76167E51"/>
    <w:rsid w:val="76194D8E"/>
    <w:rsid w:val="761E4C8C"/>
    <w:rsid w:val="761E6A3A"/>
    <w:rsid w:val="762A3631"/>
    <w:rsid w:val="762B7A7D"/>
    <w:rsid w:val="762D3121"/>
    <w:rsid w:val="7634625D"/>
    <w:rsid w:val="76361CF9"/>
    <w:rsid w:val="763F5DC7"/>
    <w:rsid w:val="76452218"/>
    <w:rsid w:val="7647342F"/>
    <w:rsid w:val="764F753B"/>
    <w:rsid w:val="7651520C"/>
    <w:rsid w:val="765B7C8E"/>
    <w:rsid w:val="766E5C0F"/>
    <w:rsid w:val="767174B1"/>
    <w:rsid w:val="76746FA2"/>
    <w:rsid w:val="76766876"/>
    <w:rsid w:val="76856AB9"/>
    <w:rsid w:val="768F5B89"/>
    <w:rsid w:val="76966F18"/>
    <w:rsid w:val="769B0718"/>
    <w:rsid w:val="769E7B7B"/>
    <w:rsid w:val="76A04269"/>
    <w:rsid w:val="76A21419"/>
    <w:rsid w:val="76A2766B"/>
    <w:rsid w:val="76A809F9"/>
    <w:rsid w:val="76B14208"/>
    <w:rsid w:val="76BF646F"/>
    <w:rsid w:val="76C116C8"/>
    <w:rsid w:val="76C13171"/>
    <w:rsid w:val="76C53359"/>
    <w:rsid w:val="76C577FD"/>
    <w:rsid w:val="76C9109B"/>
    <w:rsid w:val="76D438AB"/>
    <w:rsid w:val="76D6480C"/>
    <w:rsid w:val="76F93003"/>
    <w:rsid w:val="76FB321F"/>
    <w:rsid w:val="770627FE"/>
    <w:rsid w:val="7709593C"/>
    <w:rsid w:val="7715608F"/>
    <w:rsid w:val="77163BB5"/>
    <w:rsid w:val="77170059"/>
    <w:rsid w:val="771D13E7"/>
    <w:rsid w:val="771D3195"/>
    <w:rsid w:val="771F0CBB"/>
    <w:rsid w:val="772A140E"/>
    <w:rsid w:val="772C162A"/>
    <w:rsid w:val="772C5186"/>
    <w:rsid w:val="772D4DB2"/>
    <w:rsid w:val="773C186D"/>
    <w:rsid w:val="77422BFC"/>
    <w:rsid w:val="77440722"/>
    <w:rsid w:val="774424D0"/>
    <w:rsid w:val="77476464"/>
    <w:rsid w:val="77510F5D"/>
    <w:rsid w:val="775A1CF3"/>
    <w:rsid w:val="777234E1"/>
    <w:rsid w:val="777D59E2"/>
    <w:rsid w:val="778B00FF"/>
    <w:rsid w:val="778B60F5"/>
    <w:rsid w:val="77950F7E"/>
    <w:rsid w:val="77960B3D"/>
    <w:rsid w:val="779A47E6"/>
    <w:rsid w:val="77AB64D2"/>
    <w:rsid w:val="77D62CF0"/>
    <w:rsid w:val="77DA2E34"/>
    <w:rsid w:val="77F263D0"/>
    <w:rsid w:val="77F43EF6"/>
    <w:rsid w:val="77FF289B"/>
    <w:rsid w:val="78016C2B"/>
    <w:rsid w:val="78040264"/>
    <w:rsid w:val="78122D3A"/>
    <w:rsid w:val="781474EB"/>
    <w:rsid w:val="78160310"/>
    <w:rsid w:val="78174088"/>
    <w:rsid w:val="78175E36"/>
    <w:rsid w:val="78252301"/>
    <w:rsid w:val="782567A5"/>
    <w:rsid w:val="782D565A"/>
    <w:rsid w:val="782F4F2E"/>
    <w:rsid w:val="783B1B25"/>
    <w:rsid w:val="78434E7D"/>
    <w:rsid w:val="784604CA"/>
    <w:rsid w:val="785B49AB"/>
    <w:rsid w:val="78645522"/>
    <w:rsid w:val="78654DF4"/>
    <w:rsid w:val="786C6182"/>
    <w:rsid w:val="786D5A56"/>
    <w:rsid w:val="787153FD"/>
    <w:rsid w:val="78760DAF"/>
    <w:rsid w:val="78771B09"/>
    <w:rsid w:val="787E1A12"/>
    <w:rsid w:val="7880578A"/>
    <w:rsid w:val="788C05D2"/>
    <w:rsid w:val="788D7EA7"/>
    <w:rsid w:val="788F3C1F"/>
    <w:rsid w:val="78981BAF"/>
    <w:rsid w:val="78992CEF"/>
    <w:rsid w:val="78B638A1"/>
    <w:rsid w:val="78CC09CF"/>
    <w:rsid w:val="78D21D5D"/>
    <w:rsid w:val="78D855C6"/>
    <w:rsid w:val="78DC74D9"/>
    <w:rsid w:val="78E33F6B"/>
    <w:rsid w:val="78EA52F9"/>
    <w:rsid w:val="78F41CD4"/>
    <w:rsid w:val="78F61EF0"/>
    <w:rsid w:val="79030169"/>
    <w:rsid w:val="79110AD8"/>
    <w:rsid w:val="793523E6"/>
    <w:rsid w:val="794E5888"/>
    <w:rsid w:val="795A422D"/>
    <w:rsid w:val="796E05D7"/>
    <w:rsid w:val="79752E15"/>
    <w:rsid w:val="79780B57"/>
    <w:rsid w:val="797F5A41"/>
    <w:rsid w:val="798017B9"/>
    <w:rsid w:val="7984574E"/>
    <w:rsid w:val="798D4602"/>
    <w:rsid w:val="798E3ED6"/>
    <w:rsid w:val="79911640"/>
    <w:rsid w:val="79A67472"/>
    <w:rsid w:val="79AD0E19"/>
    <w:rsid w:val="79B274E9"/>
    <w:rsid w:val="79B7167F"/>
    <w:rsid w:val="79BC4EE7"/>
    <w:rsid w:val="79BD656A"/>
    <w:rsid w:val="79BF6786"/>
    <w:rsid w:val="79C142AC"/>
    <w:rsid w:val="79CB512B"/>
    <w:rsid w:val="79CE69C9"/>
    <w:rsid w:val="79DC3BE6"/>
    <w:rsid w:val="79E25534"/>
    <w:rsid w:val="79E47F9A"/>
    <w:rsid w:val="79F77CCE"/>
    <w:rsid w:val="79F91C98"/>
    <w:rsid w:val="79FA2DCB"/>
    <w:rsid w:val="79FF3026"/>
    <w:rsid w:val="7A0D129F"/>
    <w:rsid w:val="7A124B07"/>
    <w:rsid w:val="7A3074EF"/>
    <w:rsid w:val="7A3A6239"/>
    <w:rsid w:val="7A3B6881"/>
    <w:rsid w:val="7A432F13"/>
    <w:rsid w:val="7A4E3666"/>
    <w:rsid w:val="7A5073DE"/>
    <w:rsid w:val="7A543372"/>
    <w:rsid w:val="7A667EE0"/>
    <w:rsid w:val="7A707A80"/>
    <w:rsid w:val="7A7B08FF"/>
    <w:rsid w:val="7A7C6425"/>
    <w:rsid w:val="7A7F1A71"/>
    <w:rsid w:val="7A835A05"/>
    <w:rsid w:val="7A85352B"/>
    <w:rsid w:val="7AA80FC8"/>
    <w:rsid w:val="7AAF67FA"/>
    <w:rsid w:val="7ABB0CFB"/>
    <w:rsid w:val="7ADE49EA"/>
    <w:rsid w:val="7AE91D0C"/>
    <w:rsid w:val="7AFE32DE"/>
    <w:rsid w:val="7B034450"/>
    <w:rsid w:val="7B113184"/>
    <w:rsid w:val="7B1228E5"/>
    <w:rsid w:val="7B1B5C3E"/>
    <w:rsid w:val="7B25086A"/>
    <w:rsid w:val="7B2745E3"/>
    <w:rsid w:val="7B2965AD"/>
    <w:rsid w:val="7B2A7C2F"/>
    <w:rsid w:val="7B2D7A9F"/>
    <w:rsid w:val="7B2F7050"/>
    <w:rsid w:val="7B340AAD"/>
    <w:rsid w:val="7B3B62E0"/>
    <w:rsid w:val="7B3E0489"/>
    <w:rsid w:val="7B54753F"/>
    <w:rsid w:val="7B562C09"/>
    <w:rsid w:val="7B780AEF"/>
    <w:rsid w:val="7B833D31"/>
    <w:rsid w:val="7B8B2DC3"/>
    <w:rsid w:val="7B8C2698"/>
    <w:rsid w:val="7B902188"/>
    <w:rsid w:val="7B915F00"/>
    <w:rsid w:val="7B947FAD"/>
    <w:rsid w:val="7BC02341"/>
    <w:rsid w:val="7BD55DED"/>
    <w:rsid w:val="7BDA5873"/>
    <w:rsid w:val="7BEE3352"/>
    <w:rsid w:val="7BF5648F"/>
    <w:rsid w:val="7BF70459"/>
    <w:rsid w:val="7BF828BA"/>
    <w:rsid w:val="7C105077"/>
    <w:rsid w:val="7C246D74"/>
    <w:rsid w:val="7C2823C0"/>
    <w:rsid w:val="7C39281F"/>
    <w:rsid w:val="7C3B7EB4"/>
    <w:rsid w:val="7C3F770A"/>
    <w:rsid w:val="7C5036C5"/>
    <w:rsid w:val="7C572CA5"/>
    <w:rsid w:val="7C6453C2"/>
    <w:rsid w:val="7C727ADF"/>
    <w:rsid w:val="7C943EFA"/>
    <w:rsid w:val="7C9E2682"/>
    <w:rsid w:val="7CA13F21"/>
    <w:rsid w:val="7CA9721E"/>
    <w:rsid w:val="7CB53BC9"/>
    <w:rsid w:val="7CC06A9D"/>
    <w:rsid w:val="7CC3658D"/>
    <w:rsid w:val="7CD10CAA"/>
    <w:rsid w:val="7CE3278B"/>
    <w:rsid w:val="7CF36E72"/>
    <w:rsid w:val="7CF404F4"/>
    <w:rsid w:val="7CF81F85"/>
    <w:rsid w:val="7D010F82"/>
    <w:rsid w:val="7D034BDB"/>
    <w:rsid w:val="7D056BA5"/>
    <w:rsid w:val="7D080444"/>
    <w:rsid w:val="7D0821F2"/>
    <w:rsid w:val="7D103638"/>
    <w:rsid w:val="7D1312C2"/>
    <w:rsid w:val="7D1961AD"/>
    <w:rsid w:val="7D1B1F25"/>
    <w:rsid w:val="7D20578D"/>
    <w:rsid w:val="7D272678"/>
    <w:rsid w:val="7D2F3C22"/>
    <w:rsid w:val="7D341239"/>
    <w:rsid w:val="7D3E3E65"/>
    <w:rsid w:val="7D3E5C13"/>
    <w:rsid w:val="7D3F20B7"/>
    <w:rsid w:val="7D4C0330"/>
    <w:rsid w:val="7D5316BF"/>
    <w:rsid w:val="7D535648"/>
    <w:rsid w:val="7D6E64F9"/>
    <w:rsid w:val="7D755AD9"/>
    <w:rsid w:val="7D807FDA"/>
    <w:rsid w:val="7D8E01BE"/>
    <w:rsid w:val="7D8E26F7"/>
    <w:rsid w:val="7D8F646F"/>
    <w:rsid w:val="7DA55F02"/>
    <w:rsid w:val="7DAE0FEB"/>
    <w:rsid w:val="7DB67EA0"/>
    <w:rsid w:val="7DBC3708"/>
    <w:rsid w:val="7DBD122E"/>
    <w:rsid w:val="7DC66335"/>
    <w:rsid w:val="7DCA74A7"/>
    <w:rsid w:val="7DF06F0E"/>
    <w:rsid w:val="7DFC3B04"/>
    <w:rsid w:val="7DFD787D"/>
    <w:rsid w:val="7E0B576A"/>
    <w:rsid w:val="7E130E4E"/>
    <w:rsid w:val="7E1846B6"/>
    <w:rsid w:val="7E1F3C97"/>
    <w:rsid w:val="7E2272E3"/>
    <w:rsid w:val="7E2B263C"/>
    <w:rsid w:val="7E4F632A"/>
    <w:rsid w:val="7E5C0A47"/>
    <w:rsid w:val="7E5E656D"/>
    <w:rsid w:val="7E652DAD"/>
    <w:rsid w:val="7E6B0C8A"/>
    <w:rsid w:val="7E896090"/>
    <w:rsid w:val="7E8B6C36"/>
    <w:rsid w:val="7E9E06D8"/>
    <w:rsid w:val="7EA536F3"/>
    <w:rsid w:val="7EB268B9"/>
    <w:rsid w:val="7EB75C7D"/>
    <w:rsid w:val="7EC80913"/>
    <w:rsid w:val="7ED56104"/>
    <w:rsid w:val="7EE36A72"/>
    <w:rsid w:val="7EED78F1"/>
    <w:rsid w:val="7EF173E1"/>
    <w:rsid w:val="7EFE38AC"/>
    <w:rsid w:val="7F054C3B"/>
    <w:rsid w:val="7F0B7D77"/>
    <w:rsid w:val="7F0D3AEF"/>
    <w:rsid w:val="7F1E7AAB"/>
    <w:rsid w:val="7F2B084F"/>
    <w:rsid w:val="7F315A30"/>
    <w:rsid w:val="7F34107C"/>
    <w:rsid w:val="7F343772"/>
    <w:rsid w:val="7F385010"/>
    <w:rsid w:val="7F3B68AE"/>
    <w:rsid w:val="7F4219EB"/>
    <w:rsid w:val="7F45772D"/>
    <w:rsid w:val="7F482D79"/>
    <w:rsid w:val="7F4A6AF1"/>
    <w:rsid w:val="7F4D0390"/>
    <w:rsid w:val="7F5E7F52"/>
    <w:rsid w:val="7F606315"/>
    <w:rsid w:val="7F6776A3"/>
    <w:rsid w:val="7F6F6558"/>
    <w:rsid w:val="7F705F5F"/>
    <w:rsid w:val="7F8A15E4"/>
    <w:rsid w:val="7F8C710A"/>
    <w:rsid w:val="7F967F89"/>
    <w:rsid w:val="7F9B10FB"/>
    <w:rsid w:val="7F9D1317"/>
    <w:rsid w:val="7F9F6E3D"/>
    <w:rsid w:val="7FBD5515"/>
    <w:rsid w:val="7FC248DA"/>
    <w:rsid w:val="7FD30895"/>
    <w:rsid w:val="7FD75F58"/>
    <w:rsid w:val="7FE17456"/>
    <w:rsid w:val="7FE72592"/>
    <w:rsid w:val="7FEE3921"/>
    <w:rsid w:val="7FF16F6D"/>
    <w:rsid w:val="7FF802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9"/>
    <w:pPr>
      <w:keepNext/>
      <w:keepLines/>
      <w:spacing w:before="234" w:beforeLines="75" w:after="234" w:afterLines="75" w:line="480" w:lineRule="exact"/>
      <w:outlineLvl w:val="0"/>
    </w:pPr>
    <w:rPr>
      <w:b/>
      <w:bCs/>
      <w:kern w:val="44"/>
      <w:sz w:val="36"/>
      <w:szCs w:val="44"/>
    </w:rPr>
  </w:style>
  <w:style w:type="paragraph" w:styleId="3">
    <w:name w:val="heading 2"/>
    <w:basedOn w:val="1"/>
    <w:next w:val="1"/>
    <w:qFormat/>
    <w:uiPriority w:val="0"/>
    <w:pPr>
      <w:keepNext/>
      <w:keepLines/>
      <w:spacing w:before="50" w:beforeLines="50" w:after="50" w:afterLines="50" w:line="240" w:lineRule="auto"/>
      <w:outlineLvl w:val="1"/>
    </w:pPr>
    <w:rPr>
      <w:b/>
      <w:bCs/>
      <w:sz w:val="32"/>
      <w:szCs w:val="32"/>
    </w:rPr>
  </w:style>
  <w:style w:type="paragraph" w:styleId="4">
    <w:name w:val="heading 3"/>
    <w:basedOn w:val="1"/>
    <w:next w:val="1"/>
    <w:semiHidden/>
    <w:unhideWhenUsed/>
    <w:qFormat/>
    <w:uiPriority w:val="0"/>
    <w:pPr>
      <w:keepNext/>
      <w:keepLines/>
      <w:numPr>
        <w:ilvl w:val="2"/>
        <w:numId w:val="1"/>
      </w:numPr>
      <w:spacing w:before="260" w:beforeLines="0" w:beforeAutospacing="0" w:after="260" w:afterLines="0" w:afterAutospacing="0" w:line="413" w:lineRule="auto"/>
      <w:ind w:left="720" w:hanging="720"/>
      <w:outlineLvl w:val="2"/>
    </w:pPr>
    <w:rPr>
      <w:b/>
      <w:sz w:val="32"/>
    </w:rPr>
  </w:style>
  <w:style w:type="paragraph" w:styleId="5">
    <w:name w:val="heading 4"/>
    <w:basedOn w:val="1"/>
    <w:next w:val="1"/>
    <w:semiHidden/>
    <w:unhideWhenUsed/>
    <w:qFormat/>
    <w:uiPriority w:val="0"/>
    <w:pPr>
      <w:keepNext/>
      <w:keepLines/>
      <w:numPr>
        <w:ilvl w:val="3"/>
        <w:numId w:val="2"/>
      </w:numPr>
      <w:spacing w:before="280" w:beforeLines="0" w:beforeAutospacing="0" w:after="290" w:afterLines="0" w:afterAutospacing="0" w:line="372" w:lineRule="auto"/>
      <w:ind w:left="864" w:hanging="864"/>
      <w:outlineLvl w:val="3"/>
    </w:pPr>
    <w:rPr>
      <w:rFonts w:ascii="Arial" w:hAnsi="Arial" w:eastAsia="黑体"/>
      <w:b/>
      <w:sz w:val="28"/>
    </w:rPr>
  </w:style>
  <w:style w:type="paragraph" w:styleId="6">
    <w:name w:val="heading 5"/>
    <w:basedOn w:val="1"/>
    <w:next w:val="1"/>
    <w:semiHidden/>
    <w:unhideWhenUsed/>
    <w:qFormat/>
    <w:uiPriority w:val="0"/>
    <w:pPr>
      <w:keepNext/>
      <w:keepLines/>
      <w:numPr>
        <w:ilvl w:val="4"/>
        <w:numId w:val="2"/>
      </w:numPr>
      <w:spacing w:before="280" w:beforeLines="0" w:beforeAutospacing="0" w:after="290" w:afterLines="0" w:afterAutospacing="0" w:line="372" w:lineRule="auto"/>
      <w:ind w:left="1008" w:hanging="1008"/>
      <w:outlineLvl w:val="4"/>
    </w:pPr>
    <w:rPr>
      <w:b/>
      <w:sz w:val="28"/>
    </w:rPr>
  </w:style>
  <w:style w:type="paragraph" w:styleId="7">
    <w:name w:val="heading 6"/>
    <w:basedOn w:val="1"/>
    <w:next w:val="1"/>
    <w:semiHidden/>
    <w:unhideWhenUsed/>
    <w:qFormat/>
    <w:uiPriority w:val="0"/>
    <w:pPr>
      <w:keepNext/>
      <w:keepLines/>
      <w:numPr>
        <w:ilvl w:val="5"/>
        <w:numId w:val="2"/>
      </w:numPr>
      <w:spacing w:before="240" w:beforeLines="0" w:beforeAutospacing="0" w:after="64" w:afterLines="0" w:afterAutospacing="0" w:line="317" w:lineRule="auto"/>
      <w:ind w:left="1151" w:hanging="1151"/>
      <w:outlineLvl w:val="5"/>
    </w:pPr>
    <w:rPr>
      <w:rFonts w:ascii="Arial" w:hAnsi="Arial" w:eastAsia="黑体"/>
      <w:b/>
      <w:sz w:val="24"/>
    </w:rPr>
  </w:style>
  <w:style w:type="paragraph" w:styleId="8">
    <w:name w:val="heading 7"/>
    <w:basedOn w:val="1"/>
    <w:next w:val="1"/>
    <w:semiHidden/>
    <w:unhideWhenUsed/>
    <w:qFormat/>
    <w:uiPriority w:val="0"/>
    <w:pPr>
      <w:keepNext/>
      <w:keepLines/>
      <w:numPr>
        <w:ilvl w:val="6"/>
        <w:numId w:val="2"/>
      </w:numPr>
      <w:spacing w:before="240" w:beforeLines="0" w:beforeAutospacing="0" w:after="64" w:afterLines="0" w:afterAutospacing="0" w:line="317" w:lineRule="auto"/>
      <w:ind w:left="1296" w:hanging="1296"/>
      <w:outlineLvl w:val="6"/>
    </w:pPr>
    <w:rPr>
      <w:b/>
      <w:sz w:val="24"/>
    </w:rPr>
  </w:style>
  <w:style w:type="paragraph" w:styleId="9">
    <w:name w:val="heading 8"/>
    <w:basedOn w:val="1"/>
    <w:next w:val="1"/>
    <w:semiHidden/>
    <w:unhideWhenUsed/>
    <w:qFormat/>
    <w:uiPriority w:val="0"/>
    <w:pPr>
      <w:keepNext/>
      <w:keepLines/>
      <w:numPr>
        <w:ilvl w:val="7"/>
        <w:numId w:val="2"/>
      </w:numPr>
      <w:spacing w:before="240" w:beforeLines="0" w:beforeAutospacing="0" w:after="64" w:afterLines="0" w:afterAutospacing="0" w:line="317" w:lineRule="auto"/>
      <w:ind w:left="1440" w:hanging="1440"/>
      <w:outlineLvl w:val="7"/>
    </w:pPr>
    <w:rPr>
      <w:rFonts w:ascii="Arial" w:hAnsi="Arial" w:eastAsia="黑体"/>
      <w:sz w:val="24"/>
    </w:rPr>
  </w:style>
  <w:style w:type="paragraph" w:styleId="10">
    <w:name w:val="heading 9"/>
    <w:basedOn w:val="1"/>
    <w:next w:val="1"/>
    <w:semiHidden/>
    <w:unhideWhenUsed/>
    <w:qFormat/>
    <w:uiPriority w:val="0"/>
    <w:pPr>
      <w:keepNext/>
      <w:keepLines/>
      <w:numPr>
        <w:ilvl w:val="8"/>
        <w:numId w:val="2"/>
      </w:numPr>
      <w:spacing w:before="240" w:beforeLines="0" w:beforeAutospacing="0" w:after="64" w:afterLines="0" w:afterAutospacing="0" w:line="317" w:lineRule="auto"/>
      <w:ind w:left="1583" w:hanging="1583"/>
      <w:outlineLvl w:val="8"/>
    </w:pPr>
    <w:rPr>
      <w:rFonts w:ascii="Arial" w:hAnsi="Arial" w:eastAsia="黑体"/>
      <w:sz w:val="21"/>
    </w:rPr>
  </w:style>
  <w:style w:type="character" w:default="1" w:styleId="26">
    <w:name w:val="Default Paragraph Font"/>
    <w:semiHidden/>
    <w:qFormat/>
    <w:uiPriority w:val="0"/>
  </w:style>
  <w:style w:type="table" w:default="1" w:styleId="24">
    <w:name w:val="Normal Table"/>
    <w:semiHidden/>
    <w:qFormat/>
    <w:uiPriority w:val="0"/>
    <w:tblPr>
      <w:tblCellMar>
        <w:top w:w="0" w:type="dxa"/>
        <w:left w:w="108" w:type="dxa"/>
        <w:bottom w:w="0" w:type="dxa"/>
        <w:right w:w="108" w:type="dxa"/>
      </w:tblCellMar>
    </w:tblPr>
  </w:style>
  <w:style w:type="paragraph" w:styleId="11">
    <w:name w:val="Normal Indent"/>
    <w:basedOn w:val="1"/>
    <w:qFormat/>
    <w:uiPriority w:val="0"/>
    <w:pPr>
      <w:ind w:firstLine="420"/>
    </w:pPr>
    <w:rPr>
      <w:rFonts w:eastAsia="楷体_GB2312"/>
      <w:sz w:val="21"/>
    </w:rPr>
  </w:style>
  <w:style w:type="paragraph" w:styleId="12">
    <w:name w:val="caption"/>
    <w:basedOn w:val="1"/>
    <w:next w:val="1"/>
    <w:link w:val="40"/>
    <w:unhideWhenUsed/>
    <w:qFormat/>
    <w:uiPriority w:val="0"/>
    <w:pPr>
      <w:spacing w:line="240" w:lineRule="auto"/>
      <w:ind w:firstLine="0" w:firstLineChars="0"/>
      <w:jc w:val="right"/>
    </w:pPr>
    <w:rPr>
      <w:rFonts w:ascii="Times New Roman" w:hAnsi="Times New Roman" w:eastAsia="宋体"/>
    </w:rPr>
  </w:style>
  <w:style w:type="paragraph" w:styleId="13">
    <w:name w:val="annotation text"/>
    <w:basedOn w:val="1"/>
    <w:qFormat/>
    <w:uiPriority w:val="0"/>
    <w:pPr>
      <w:jc w:val="left"/>
    </w:pPr>
  </w:style>
  <w:style w:type="paragraph" w:styleId="14">
    <w:name w:val="Body Text"/>
    <w:basedOn w:val="1"/>
    <w:next w:val="15"/>
    <w:qFormat/>
    <w:uiPriority w:val="99"/>
    <w:pPr>
      <w:spacing w:line="600" w:lineRule="atLeast"/>
    </w:pPr>
    <w:rPr>
      <w:sz w:val="28"/>
    </w:rPr>
  </w:style>
  <w:style w:type="paragraph" w:styleId="15">
    <w:name w:val="toc 3"/>
    <w:basedOn w:val="1"/>
    <w:next w:val="1"/>
    <w:qFormat/>
    <w:uiPriority w:val="39"/>
    <w:pPr>
      <w:tabs>
        <w:tab w:val="left" w:pos="1134"/>
        <w:tab w:val="right" w:leader="hyphen" w:pos="8494"/>
      </w:tabs>
      <w:adjustRightInd w:val="0"/>
      <w:snapToGrid w:val="0"/>
      <w:spacing w:line="336" w:lineRule="auto"/>
    </w:pPr>
    <w:rPr>
      <w:rFonts w:ascii="Calibri" w:hAnsi="Calibri" w:cs="Calibri"/>
      <w:i/>
      <w:iCs/>
      <w:sz w:val="20"/>
      <w:szCs w:val="20"/>
    </w:rPr>
  </w:style>
  <w:style w:type="paragraph" w:styleId="16">
    <w:name w:val="Body Text Indent 2"/>
    <w:basedOn w:val="1"/>
    <w:qFormat/>
    <w:uiPriority w:val="99"/>
    <w:pPr>
      <w:spacing w:after="120" w:line="480" w:lineRule="auto"/>
      <w:ind w:left="420" w:leftChars="200"/>
    </w:pPr>
  </w:style>
  <w:style w:type="paragraph" w:styleId="17">
    <w:name w:val="footer"/>
    <w:basedOn w:val="1"/>
    <w:qFormat/>
    <w:uiPriority w:val="0"/>
    <w:pPr>
      <w:tabs>
        <w:tab w:val="center" w:pos="4153"/>
        <w:tab w:val="right" w:pos="8306"/>
      </w:tabs>
      <w:snapToGrid w:val="0"/>
      <w:jc w:val="left"/>
    </w:pPr>
    <w:rPr>
      <w:sz w:val="18"/>
    </w:rPr>
  </w:style>
  <w:style w:type="paragraph" w:styleId="18">
    <w:name w:val="header"/>
    <w:basedOn w:val="1"/>
    <w:next w:val="1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19">
    <w:name w:val="样式5"/>
    <w:basedOn w:val="11"/>
    <w:autoRedefine/>
    <w:qFormat/>
    <w:uiPriority w:val="0"/>
    <w:pPr>
      <w:adjustRightInd w:val="0"/>
      <w:snapToGrid w:val="0"/>
      <w:spacing w:line="360" w:lineRule="auto"/>
      <w:jc w:val="left"/>
      <w:textAlignment w:val="baseline"/>
    </w:pPr>
    <w:rPr>
      <w:kern w:val="0"/>
      <w:sz w:val="24"/>
    </w:rPr>
  </w:style>
  <w:style w:type="paragraph" w:styleId="20">
    <w:name w:val="toc 1"/>
    <w:next w:val="21"/>
    <w:qFormat/>
    <w:uiPriority w:val="0"/>
    <w:pPr>
      <w:adjustRightInd w:val="0"/>
      <w:snapToGrid w:val="0"/>
      <w:spacing w:before="50" w:beforeLines="50" w:after="50" w:afterLines="50" w:line="240" w:lineRule="auto"/>
    </w:pPr>
    <w:rPr>
      <w:rFonts w:ascii="Times New Roman" w:hAnsi="Times New Roman" w:eastAsia="宋体" w:cstheme="minorBidi"/>
      <w:b/>
      <w:sz w:val="28"/>
    </w:rPr>
  </w:style>
  <w:style w:type="paragraph" w:customStyle="1" w:styleId="21">
    <w:name w:val="文本"/>
    <w:link w:val="35"/>
    <w:qFormat/>
    <w:uiPriority w:val="0"/>
    <w:pPr>
      <w:adjustRightInd w:val="0"/>
      <w:snapToGrid w:val="0"/>
      <w:spacing w:line="360" w:lineRule="auto"/>
      <w:ind w:firstLine="560" w:firstLineChars="200"/>
      <w:jc w:val="both"/>
    </w:pPr>
    <w:rPr>
      <w:rFonts w:ascii="Times New Roman" w:hAnsi="Times New Roman" w:eastAsia="宋体" w:cstheme="minorBidi"/>
      <w:sz w:val="28"/>
      <w:szCs w:val="28"/>
    </w:rPr>
  </w:style>
  <w:style w:type="paragraph" w:styleId="22">
    <w:name w:val="toc 2"/>
    <w:basedOn w:val="1"/>
    <w:next w:val="1"/>
    <w:qFormat/>
    <w:uiPriority w:val="0"/>
    <w:pPr>
      <w:adjustRightInd w:val="0"/>
      <w:snapToGrid w:val="0"/>
      <w:spacing w:line="440" w:lineRule="exact"/>
      <w:ind w:left="420" w:leftChars="200"/>
    </w:pPr>
    <w:rPr>
      <w:rFonts w:ascii="Times New Roman" w:hAnsi="Times New Roman" w:eastAsia="宋体" w:cstheme="minorBidi"/>
      <w:sz w:val="28"/>
    </w:rPr>
  </w:style>
  <w:style w:type="paragraph" w:styleId="23">
    <w:name w:val="Body Text First Indent 2"/>
    <w:basedOn w:val="1"/>
    <w:next w:val="1"/>
    <w:qFormat/>
    <w:uiPriority w:val="0"/>
    <w:pPr>
      <w:spacing w:after="120"/>
      <w:ind w:left="420" w:leftChars="200" w:firstLine="420"/>
    </w:pPr>
    <w:rPr>
      <w:rFonts w:ascii="Times New Roman" w:eastAsia="宋体"/>
      <w:sz w:val="21"/>
      <w:szCs w:val="24"/>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27">
    <w:name w:val="一级标题"/>
    <w:next w:val="28"/>
    <w:link w:val="36"/>
    <w:qFormat/>
    <w:uiPriority w:val="0"/>
    <w:pPr>
      <w:pageBreakBefore/>
      <w:numPr>
        <w:ilvl w:val="0"/>
        <w:numId w:val="2"/>
      </w:numPr>
      <w:adjustRightInd w:val="0"/>
      <w:snapToGrid w:val="0"/>
      <w:spacing w:before="100" w:beforeLines="100" w:after="100" w:afterLines="100" w:line="240" w:lineRule="auto"/>
      <w:jc w:val="center"/>
      <w:outlineLvl w:val="0"/>
    </w:pPr>
    <w:rPr>
      <w:rFonts w:hint="eastAsia" w:ascii="Times New Roman" w:hAnsi="Times New Roman" w:eastAsia="黑体" w:cs="黑体"/>
      <w:b/>
      <w:bCs/>
      <w:sz w:val="32"/>
      <w:szCs w:val="32"/>
    </w:rPr>
  </w:style>
  <w:style w:type="paragraph" w:customStyle="1" w:styleId="28">
    <w:name w:val="二级标题"/>
    <w:next w:val="29"/>
    <w:qFormat/>
    <w:uiPriority w:val="0"/>
    <w:pPr>
      <w:numPr>
        <w:ilvl w:val="1"/>
        <w:numId w:val="2"/>
      </w:numPr>
      <w:tabs>
        <w:tab w:val="left" w:pos="0"/>
        <w:tab w:val="clear" w:pos="420"/>
      </w:tabs>
      <w:adjustRightInd w:val="0"/>
      <w:snapToGrid w:val="0"/>
      <w:spacing w:before="50" w:beforeLines="50" w:after="50" w:afterLines="50"/>
      <w:jc w:val="center"/>
      <w:outlineLvl w:val="1"/>
    </w:pPr>
    <w:rPr>
      <w:rFonts w:hint="eastAsia" w:ascii="黑体" w:hAnsi="黑体" w:eastAsia="黑体" w:cs="黑体"/>
      <w:b/>
      <w:bCs/>
      <w:sz w:val="30"/>
      <w:szCs w:val="30"/>
    </w:rPr>
  </w:style>
  <w:style w:type="paragraph" w:customStyle="1" w:styleId="29">
    <w:name w:val="三级标题"/>
    <w:next w:val="21"/>
    <w:link w:val="34"/>
    <w:qFormat/>
    <w:uiPriority w:val="0"/>
    <w:pPr>
      <w:numPr>
        <w:ilvl w:val="2"/>
        <w:numId w:val="2"/>
      </w:numPr>
      <w:tabs>
        <w:tab w:val="left" w:pos="420"/>
        <w:tab w:val="clear" w:pos="0"/>
      </w:tabs>
      <w:adjustRightInd w:val="0"/>
      <w:snapToGrid w:val="0"/>
      <w:spacing w:line="360" w:lineRule="auto"/>
      <w:ind w:left="720" w:hanging="720" w:firstLineChars="0"/>
    </w:pPr>
    <w:rPr>
      <w:rFonts w:ascii="Times New Roman" w:hAnsi="Times New Roman" w:eastAsia="宋体" w:cstheme="minorBidi"/>
      <w:b/>
      <w:bCs/>
      <w:sz w:val="28"/>
      <w:szCs w:val="28"/>
    </w:rPr>
  </w:style>
  <w:style w:type="paragraph" w:customStyle="1" w:styleId="30">
    <w:name w:val="图表名称"/>
    <w:next w:val="21"/>
    <w:link w:val="43"/>
    <w:qFormat/>
    <w:uiPriority w:val="0"/>
    <w:pPr>
      <w:adjustRightInd w:val="0"/>
      <w:snapToGrid w:val="0"/>
      <w:jc w:val="center"/>
    </w:pPr>
    <w:rPr>
      <w:rFonts w:ascii="Times New Roman" w:hAnsi="Times New Roman" w:eastAsia="宋体" w:cs="Times New Roman"/>
      <w:bCs/>
      <w:sz w:val="24"/>
    </w:rPr>
  </w:style>
  <w:style w:type="paragraph" w:customStyle="1" w:styleId="31">
    <w:name w:val="表格格式"/>
    <w:qFormat/>
    <w:uiPriority w:val="0"/>
    <w:pPr>
      <w:adjustRightInd w:val="0"/>
      <w:snapToGrid w:val="0"/>
      <w:jc w:val="center"/>
    </w:pPr>
    <w:rPr>
      <w:rFonts w:hint="eastAsia" w:ascii="Times New Roman" w:hAnsi="Times New Roman" w:eastAsia="宋体" w:cs="宋体"/>
      <w:color w:val="000000"/>
      <w:sz w:val="24"/>
    </w:rPr>
  </w:style>
  <w:style w:type="paragraph" w:customStyle="1" w:styleId="32">
    <w:name w:val="WPSOffice手动目录 1"/>
    <w:qFormat/>
    <w:uiPriority w:val="0"/>
    <w:pPr>
      <w:ind w:leftChars="0"/>
    </w:pPr>
    <w:rPr>
      <w:rFonts w:asciiTheme="minorHAnsi" w:hAnsiTheme="minorHAnsi" w:eastAsiaTheme="minorEastAsia" w:cstheme="minorBidi"/>
      <w:sz w:val="20"/>
      <w:szCs w:val="20"/>
    </w:rPr>
  </w:style>
  <w:style w:type="paragraph" w:customStyle="1" w:styleId="33">
    <w:name w:val="WPSOffice手动目录 2"/>
    <w:qFormat/>
    <w:uiPriority w:val="0"/>
    <w:pPr>
      <w:ind w:leftChars="200"/>
    </w:pPr>
    <w:rPr>
      <w:rFonts w:asciiTheme="minorHAnsi" w:hAnsiTheme="minorHAnsi" w:eastAsiaTheme="minorEastAsia" w:cstheme="minorBidi"/>
      <w:sz w:val="20"/>
      <w:szCs w:val="20"/>
    </w:rPr>
  </w:style>
  <w:style w:type="character" w:customStyle="1" w:styleId="34">
    <w:name w:val="三级标题 Char"/>
    <w:link w:val="29"/>
    <w:qFormat/>
    <w:uiPriority w:val="0"/>
    <w:rPr>
      <w:rFonts w:ascii="Times New Roman" w:hAnsi="Times New Roman" w:eastAsia="宋体" w:cstheme="minorBidi"/>
      <w:b/>
      <w:bCs/>
      <w:sz w:val="28"/>
      <w:szCs w:val="28"/>
    </w:rPr>
  </w:style>
  <w:style w:type="character" w:customStyle="1" w:styleId="35">
    <w:name w:val="文本 Char"/>
    <w:link w:val="21"/>
    <w:qFormat/>
    <w:uiPriority w:val="0"/>
    <w:rPr>
      <w:rFonts w:ascii="Times New Roman" w:hAnsi="Times New Roman" w:eastAsia="宋体" w:cstheme="minorBidi"/>
      <w:sz w:val="28"/>
      <w:szCs w:val="28"/>
    </w:rPr>
  </w:style>
  <w:style w:type="character" w:customStyle="1" w:styleId="36">
    <w:name w:val="一级标题 Char"/>
    <w:link w:val="27"/>
    <w:qFormat/>
    <w:uiPriority w:val="0"/>
    <w:rPr>
      <w:rFonts w:hint="eastAsia" w:ascii="Times New Roman" w:hAnsi="Times New Roman" w:eastAsia="黑体" w:cs="黑体"/>
      <w:b/>
      <w:bCs/>
      <w:sz w:val="32"/>
      <w:szCs w:val="32"/>
    </w:rPr>
  </w:style>
  <w:style w:type="paragraph" w:customStyle="1" w:styleId="37">
    <w:name w:val="三级条标题"/>
    <w:basedOn w:val="1"/>
    <w:next w:val="4"/>
    <w:qFormat/>
    <w:uiPriority w:val="99"/>
    <w:pPr>
      <w:widowControl/>
      <w:tabs>
        <w:tab w:val="left" w:pos="360"/>
      </w:tabs>
      <w:ind w:left="945"/>
      <w:outlineLvl w:val="4"/>
    </w:pPr>
    <w:rPr>
      <w:rFonts w:ascii="Plotter" w:eastAsia="Plotter"/>
      <w:kern w:val="0"/>
      <w:szCs w:val="20"/>
    </w:rPr>
  </w:style>
  <w:style w:type="paragraph" w:styleId="38">
    <w:name w:val="List Paragraph"/>
    <w:basedOn w:val="1"/>
    <w:qFormat/>
    <w:uiPriority w:val="99"/>
    <w:pPr>
      <w:ind w:firstLine="420" w:firstLineChars="200"/>
    </w:pPr>
  </w:style>
  <w:style w:type="paragraph" w:customStyle="1" w:styleId="39">
    <w:name w:val="表格"/>
    <w:next w:val="1"/>
    <w:autoRedefine/>
    <w:qFormat/>
    <w:uiPriority w:val="0"/>
    <w:pPr>
      <w:snapToGrid w:val="0"/>
      <w:jc w:val="center"/>
    </w:pPr>
    <w:rPr>
      <w:rFonts w:ascii="仿宋" w:hAnsi="仿宋" w:eastAsia="仿宋" w:cstheme="minorBidi"/>
      <w:sz w:val="24"/>
      <w:szCs w:val="21"/>
    </w:rPr>
  </w:style>
  <w:style w:type="character" w:customStyle="1" w:styleId="40">
    <w:name w:val="题注 Char"/>
    <w:link w:val="12"/>
    <w:qFormat/>
    <w:uiPriority w:val="0"/>
    <w:rPr>
      <w:rFonts w:ascii="Times New Roman" w:hAnsi="Times New Roman" w:eastAsia="宋体"/>
    </w:rPr>
  </w:style>
  <w:style w:type="paragraph" w:customStyle="1" w:styleId="41">
    <w:name w:val="方案正文"/>
    <w:basedOn w:val="1"/>
    <w:qFormat/>
    <w:uiPriority w:val="0"/>
    <w:rPr>
      <w:sz w:val="28"/>
    </w:rPr>
  </w:style>
  <w:style w:type="table" w:customStyle="1" w:styleId="42">
    <w:name w:val="Table Normal"/>
    <w:autoRedefine/>
    <w:semiHidden/>
    <w:unhideWhenUsed/>
    <w:qFormat/>
    <w:uiPriority w:val="0"/>
    <w:tblPr>
      <w:tblCellMar>
        <w:top w:w="0" w:type="dxa"/>
        <w:left w:w="0" w:type="dxa"/>
        <w:bottom w:w="0" w:type="dxa"/>
        <w:right w:w="0" w:type="dxa"/>
      </w:tblCellMar>
    </w:tblPr>
  </w:style>
  <w:style w:type="character" w:customStyle="1" w:styleId="43">
    <w:name w:val="图表名称 Char"/>
    <w:link w:val="30"/>
    <w:qFormat/>
    <w:uiPriority w:val="0"/>
    <w:rPr>
      <w:rFonts w:ascii="Times New Roman" w:hAnsi="Times New Roman" w:eastAsia="宋体" w:cs="Times New Roman"/>
      <w:bCs/>
      <w:sz w:val="24"/>
    </w:rPr>
  </w:style>
</w:styles>
</file>

<file path=word/_rels/document.xml.rels><?xml version="1.0" encoding="UTF-8" standalone="yes"?>
<Relationships xmlns="http://schemas.openxmlformats.org/package/2006/relationships"><Relationship Id="rId9" Type="http://schemas.openxmlformats.org/officeDocument/2006/relationships/image" Target="media/image5.jpe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microsoft.com/office/2006/relationships/keyMapCustomizations" Target="customizations.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6.wmf"/><Relationship Id="rId10" Type="http://schemas.openxmlformats.org/officeDocument/2006/relationships/oleObject" Target="embeddings/oleObject1.bin"/><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33</Pages>
  <Words>16193</Words>
  <Characters>20553</Characters>
  <Lines>0</Lines>
  <Paragraphs>0</Paragraphs>
  <TotalTime>3</TotalTime>
  <ScaleCrop>false</ScaleCrop>
  <LinksUpToDate>false</LinksUpToDate>
  <CharactersWithSpaces>20765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2025-03-13T01:57:00Z</dcterms:created>
  <dc:creator>Administrator</dc:creator>
  <cp:lastModifiedBy>真高兴。</cp:lastModifiedBy>
  <dcterms:modified xsi:type="dcterms:W3CDTF">2026-04-23T06:32:57Z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eyJoZGlkIjoiNDRhZjNlYzBlNWZkMzE2NWRhNDRhMzNhZGE3NzUwOTYiLCJ1c2VySWQiOiIxNDE0MzI5NTM0In0=</vt:lpwstr>
  </property>
  <property fmtid="{D5CDD505-2E9C-101B-9397-08002B2CF9AE}" pid="4" name="ICV">
    <vt:lpwstr>A0794F666C87455980D277FA590A83F6_12</vt:lpwstr>
  </property>
</Properties>
</file>