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ustomizations.xml" ContentType="application/vnd.ms-word.keyMapCustomization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3F412D">
      <w:pPr>
        <w:pStyle w:val="24"/>
        <w:keepNext w:val="0"/>
        <w:keepLines w:val="0"/>
        <w:pageBreakBefore/>
        <w:widowControl/>
        <w:kinsoku/>
        <w:wordWrap/>
        <w:overflowPunct/>
        <w:topLinePunct w:val="0"/>
        <w:autoSpaceDE/>
        <w:autoSpaceDN/>
        <w:bidi w:val="0"/>
        <w:adjustRightInd w:val="0"/>
        <w:snapToGrid w:val="0"/>
        <w:spacing w:before="313" w:beforeLines="100" w:after="313" w:afterLines="100" w:line="240" w:lineRule="auto"/>
        <w:jc w:val="center"/>
        <w:textAlignment w:val="auto"/>
        <w:outlineLvl w:val="9"/>
        <w:rPr>
          <w:rFonts w:hint="eastAsia" w:ascii="黑体" w:hAnsi="黑体" w:eastAsia="黑体" w:cs="黑体"/>
          <w:color w:val="auto"/>
          <w:sz w:val="32"/>
          <w:szCs w:val="32"/>
          <w:highlight w:val="none"/>
          <w:lang w:val="en-US" w:eastAsia="zh-CN"/>
        </w:rPr>
      </w:pPr>
      <w:bookmarkStart w:id="58" w:name="_GoBack"/>
      <w:bookmarkEnd w:id="58"/>
      <w:r>
        <w:rPr>
          <w:rFonts w:hint="eastAsia" w:ascii="黑体" w:hAnsi="黑体" w:eastAsia="黑体" w:cs="黑体"/>
          <w:color w:val="auto"/>
          <w:sz w:val="32"/>
          <w:szCs w:val="32"/>
          <w:highlight w:val="none"/>
          <w:lang w:val="en-US" w:eastAsia="zh-CN"/>
        </w:rPr>
        <w:t>前  言</w:t>
      </w:r>
    </w:p>
    <w:p w14:paraId="3B26363C">
      <w:pPr>
        <w:pStyle w:val="24"/>
        <w:bidi w:val="0"/>
        <w:rPr>
          <w:rFonts w:hint="eastAsia"/>
          <w:color w:val="auto"/>
          <w:highlight w:val="none"/>
        </w:rPr>
      </w:pPr>
      <w:r>
        <w:rPr>
          <w:rFonts w:hint="eastAsia"/>
          <w:color w:val="auto"/>
          <w:highlight w:val="none"/>
          <w:lang w:val="en-US" w:eastAsia="zh-CN"/>
        </w:rPr>
        <w:t>岫岩满族自治县皇室啡矿业有限公司</w:t>
      </w:r>
      <w:r>
        <w:rPr>
          <w:rFonts w:hint="eastAsia"/>
          <w:color w:val="auto"/>
          <w:highlight w:val="none"/>
        </w:rPr>
        <w:t>（以下简称“</w:t>
      </w:r>
      <w:r>
        <w:rPr>
          <w:rFonts w:hint="eastAsia"/>
          <w:color w:val="auto"/>
          <w:highlight w:val="none"/>
          <w:lang w:val="en-US" w:eastAsia="zh-CN"/>
        </w:rPr>
        <w:t>皇室啡矿业有限公司</w:t>
      </w:r>
      <w:r>
        <w:rPr>
          <w:rFonts w:hint="eastAsia"/>
          <w:color w:val="auto"/>
          <w:highlight w:val="none"/>
        </w:rPr>
        <w:t>”）采矿权人为</w:t>
      </w:r>
      <w:r>
        <w:rPr>
          <w:rFonts w:hAnsi="宋体"/>
          <w:color w:val="auto"/>
          <w:sz w:val="28"/>
          <w:szCs w:val="28"/>
          <w:highlight w:val="none"/>
        </w:rPr>
        <w:t>岫岩满族自治县皇室啡矿业有限公司</w:t>
      </w:r>
      <w:r>
        <w:rPr>
          <w:rFonts w:hint="eastAsia"/>
          <w:color w:val="auto"/>
          <w:highlight w:val="none"/>
        </w:rPr>
        <w:t>，企业类型为有限责任公司，法定代表人</w:t>
      </w:r>
      <w:r>
        <w:rPr>
          <w:rFonts w:hint="eastAsia"/>
          <w:color w:val="auto"/>
          <w:highlight w:val="none"/>
          <w:lang w:val="en-US" w:eastAsia="zh-CN"/>
        </w:rPr>
        <w:t>姜波</w:t>
      </w:r>
      <w:r>
        <w:rPr>
          <w:rFonts w:hint="eastAsia"/>
          <w:color w:val="auto"/>
          <w:highlight w:val="none"/>
        </w:rPr>
        <w:t>。</w:t>
      </w:r>
    </w:p>
    <w:p w14:paraId="33F8C81F">
      <w:pPr>
        <w:pStyle w:val="24"/>
        <w:bidi w:val="0"/>
        <w:rPr>
          <w:rFonts w:hint="eastAsia"/>
          <w:color w:val="auto"/>
          <w:highlight w:val="none"/>
        </w:rPr>
      </w:pPr>
      <w:r>
        <w:rPr>
          <w:rFonts w:hint="eastAsia"/>
          <w:color w:val="auto"/>
          <w:highlight w:val="none"/>
          <w:lang w:val="en-US" w:eastAsia="zh-CN"/>
        </w:rPr>
        <w:t>皇室啡矿业有限公司</w:t>
      </w:r>
      <w:r>
        <w:rPr>
          <w:rFonts w:hint="eastAsia"/>
          <w:color w:val="auto"/>
          <w:highlight w:val="none"/>
        </w:rPr>
        <w:t>目前持有</w:t>
      </w:r>
      <w:r>
        <w:rPr>
          <w:rFonts w:hint="eastAsia"/>
          <w:color w:val="auto"/>
          <w:highlight w:val="none"/>
          <w:lang w:eastAsia="zh-CN"/>
        </w:rPr>
        <w:t>《</w:t>
      </w:r>
      <w:r>
        <w:rPr>
          <w:color w:val="auto"/>
          <w:highlight w:val="none"/>
        </w:rPr>
        <w:t>关于</w:t>
      </w:r>
      <w:r>
        <w:rPr>
          <w:rFonts w:hint="eastAsia"/>
          <w:color w:val="auto"/>
          <w:highlight w:val="none"/>
          <w:lang w:val="en-US" w:eastAsia="zh-CN"/>
        </w:rPr>
        <w:t>&lt;</w:t>
      </w:r>
      <w:r>
        <w:rPr>
          <w:color w:val="auto"/>
          <w:highlight w:val="none"/>
        </w:rPr>
        <w:t>年产2万立方米建筑用花岗岩建设项目</w:t>
      </w:r>
      <w:r>
        <w:rPr>
          <w:rFonts w:hint="eastAsia"/>
          <w:color w:val="auto"/>
          <w:highlight w:val="none"/>
          <w:lang w:val="en-US" w:eastAsia="zh-CN"/>
        </w:rPr>
        <w:t>&gt;</w:t>
      </w:r>
      <w:r>
        <w:rPr>
          <w:color w:val="auto"/>
          <w:highlight w:val="none"/>
        </w:rPr>
        <w:t>项目备案证明</w:t>
      </w:r>
      <w:r>
        <w:rPr>
          <w:rFonts w:hint="eastAsia"/>
          <w:color w:val="auto"/>
          <w:highlight w:val="none"/>
          <w:lang w:eastAsia="zh-CN"/>
        </w:rPr>
        <w:t>》。</w:t>
      </w:r>
      <w:r>
        <w:rPr>
          <w:rFonts w:hint="eastAsia"/>
          <w:color w:val="auto"/>
          <w:highlight w:val="none"/>
          <w:lang w:val="en-US" w:eastAsia="zh-CN"/>
        </w:rPr>
        <w:t>岫岩满族自治县</w:t>
      </w:r>
      <w:r>
        <w:rPr>
          <w:rFonts w:hint="eastAsia"/>
          <w:color w:val="auto"/>
          <w:highlight w:val="none"/>
        </w:rPr>
        <w:t>市场监督管理局202</w:t>
      </w:r>
      <w:r>
        <w:rPr>
          <w:rFonts w:hint="eastAsia"/>
          <w:color w:val="auto"/>
          <w:highlight w:val="none"/>
          <w:lang w:val="en-US" w:eastAsia="zh-CN"/>
        </w:rPr>
        <w:t>2</w:t>
      </w:r>
      <w:r>
        <w:rPr>
          <w:rFonts w:hint="eastAsia"/>
          <w:color w:val="auto"/>
          <w:highlight w:val="none"/>
        </w:rPr>
        <w:t>年</w:t>
      </w:r>
      <w:r>
        <w:rPr>
          <w:rFonts w:hint="eastAsia"/>
          <w:color w:val="auto"/>
          <w:highlight w:val="none"/>
          <w:lang w:val="en-US" w:eastAsia="zh-CN"/>
        </w:rPr>
        <w:t>9</w:t>
      </w:r>
      <w:r>
        <w:rPr>
          <w:rFonts w:hint="eastAsia"/>
          <w:color w:val="auto"/>
          <w:highlight w:val="none"/>
        </w:rPr>
        <w:t>月</w:t>
      </w:r>
      <w:r>
        <w:rPr>
          <w:rFonts w:hint="eastAsia"/>
          <w:color w:val="auto"/>
          <w:highlight w:val="none"/>
          <w:lang w:val="en-US" w:eastAsia="zh-CN"/>
        </w:rPr>
        <w:t>20</w:t>
      </w:r>
      <w:r>
        <w:rPr>
          <w:rFonts w:hint="eastAsia"/>
          <w:color w:val="auto"/>
          <w:highlight w:val="none"/>
        </w:rPr>
        <w:t>日签发的《营业执照》</w:t>
      </w:r>
      <w:r>
        <w:rPr>
          <w:rFonts w:hint="eastAsia"/>
          <w:color w:val="auto"/>
          <w:highlight w:val="none"/>
          <w:lang w:eastAsia="zh-CN"/>
        </w:rPr>
        <w:t>。</w:t>
      </w:r>
      <w:r>
        <w:rPr>
          <w:rFonts w:hint="eastAsia"/>
          <w:color w:val="auto"/>
          <w:highlight w:val="none"/>
          <w:lang w:val="en-US" w:eastAsia="zh-CN"/>
        </w:rPr>
        <w:t>岫岩满族自治县国土资源局2016</w:t>
      </w:r>
      <w:r>
        <w:rPr>
          <w:rFonts w:hint="eastAsia"/>
          <w:color w:val="auto"/>
          <w:highlight w:val="none"/>
        </w:rPr>
        <w:t>年</w:t>
      </w:r>
      <w:r>
        <w:rPr>
          <w:rFonts w:hint="eastAsia"/>
          <w:color w:val="auto"/>
          <w:highlight w:val="none"/>
          <w:lang w:val="en-US" w:eastAsia="zh-CN"/>
        </w:rPr>
        <w:t>3</w:t>
      </w:r>
      <w:r>
        <w:rPr>
          <w:rFonts w:hint="eastAsia"/>
          <w:color w:val="auto"/>
          <w:highlight w:val="none"/>
        </w:rPr>
        <w:t>月</w:t>
      </w:r>
      <w:r>
        <w:rPr>
          <w:rFonts w:hint="eastAsia"/>
          <w:color w:val="auto"/>
          <w:highlight w:val="none"/>
          <w:lang w:val="en-US" w:eastAsia="zh-CN"/>
        </w:rPr>
        <w:t>13</w:t>
      </w:r>
      <w:r>
        <w:rPr>
          <w:rFonts w:hint="eastAsia"/>
          <w:color w:val="auto"/>
          <w:highlight w:val="none"/>
        </w:rPr>
        <w:t>日签发的《采矿许可证》</w:t>
      </w:r>
      <w:r>
        <w:rPr>
          <w:rFonts w:hint="eastAsia"/>
          <w:color w:val="auto"/>
          <w:highlight w:val="none"/>
          <w:lang w:eastAsia="zh-CN"/>
        </w:rPr>
        <w:t>，</w:t>
      </w:r>
      <w:r>
        <w:rPr>
          <w:rFonts w:hint="eastAsia"/>
          <w:color w:val="auto"/>
          <w:highlight w:val="none"/>
          <w:lang w:val="en-US" w:eastAsia="zh-CN"/>
        </w:rPr>
        <w:t>采矿证已过有效期</w:t>
      </w:r>
      <w:r>
        <w:rPr>
          <w:rFonts w:hint="eastAsia"/>
          <w:color w:val="auto"/>
          <w:highlight w:val="none"/>
          <w:lang w:eastAsia="zh-CN"/>
        </w:rPr>
        <w:t>。</w:t>
      </w:r>
      <w:r>
        <w:rPr>
          <w:rFonts w:hint="eastAsia"/>
          <w:color w:val="auto"/>
          <w:highlight w:val="none"/>
        </w:rPr>
        <w:t>202</w:t>
      </w:r>
      <w:r>
        <w:rPr>
          <w:rFonts w:hint="eastAsia"/>
          <w:color w:val="auto"/>
          <w:highlight w:val="none"/>
          <w:lang w:val="en-US" w:eastAsia="zh-CN"/>
        </w:rPr>
        <w:t>5</w:t>
      </w:r>
      <w:r>
        <w:rPr>
          <w:rFonts w:hint="eastAsia"/>
          <w:color w:val="auto"/>
          <w:highlight w:val="none"/>
        </w:rPr>
        <w:t>年</w:t>
      </w:r>
      <w:r>
        <w:rPr>
          <w:rFonts w:hint="eastAsia"/>
          <w:color w:val="auto"/>
          <w:highlight w:val="none"/>
          <w:lang w:val="en-US" w:eastAsia="zh-CN"/>
        </w:rPr>
        <w:t>6</w:t>
      </w:r>
      <w:r>
        <w:rPr>
          <w:rFonts w:hint="eastAsia"/>
          <w:color w:val="auto"/>
          <w:highlight w:val="none"/>
        </w:rPr>
        <w:t>月由辽宁百源工程技术有限公司出具的《岫岩满族自治县皇室啡矿业有限公司露天开采（2万m3/a）建设项目可行性研究报告》（以下简称《可研报告》）为进行安全预评价提供了依据。</w:t>
      </w:r>
    </w:p>
    <w:p w14:paraId="48A1DA0C">
      <w:pPr>
        <w:pStyle w:val="24"/>
        <w:bidi w:val="0"/>
        <w:rPr>
          <w:color w:val="auto"/>
          <w:highlight w:val="none"/>
        </w:rPr>
      </w:pPr>
      <w:r>
        <w:rPr>
          <w:color w:val="auto"/>
          <w:highlight w:val="none"/>
        </w:rPr>
        <w:t>目前在矿区平面范围内西南角有一处早先遗留的民采采场，该采场长约120m，宽约80m，深11m，采场最高标高为121m，最低标高为110m，边坡角约为45°，为山坡式露天采坑，大气降水可自流排出。该采坑距离设计采场最近距离为230m。</w:t>
      </w:r>
      <w:r>
        <w:rPr>
          <w:rFonts w:hint="eastAsia"/>
          <w:color w:val="auto"/>
          <w:highlight w:val="none"/>
          <w:lang w:val="en-US" w:eastAsia="zh-CN"/>
        </w:rPr>
        <w:t>皇室啡矿业</w:t>
      </w:r>
      <w:r>
        <w:rPr>
          <w:color w:val="auto"/>
          <w:highlight w:val="none"/>
        </w:rPr>
        <w:t>自2016年3月13日取得采矿许可证</w:t>
      </w:r>
      <w:r>
        <w:rPr>
          <w:rFonts w:hint="eastAsia"/>
          <w:color w:val="auto"/>
          <w:highlight w:val="none"/>
        </w:rPr>
        <w:t>至今</w:t>
      </w:r>
      <w:r>
        <w:rPr>
          <w:color w:val="auto"/>
          <w:highlight w:val="none"/>
        </w:rPr>
        <w:t>，矿山没有进行过建设和开采。</w:t>
      </w:r>
    </w:p>
    <w:p w14:paraId="30F5F83A">
      <w:pPr>
        <w:pStyle w:val="24"/>
        <w:bidi w:val="0"/>
        <w:rPr>
          <w:rFonts w:hint="eastAsia"/>
          <w:color w:val="auto"/>
          <w:highlight w:val="none"/>
        </w:rPr>
      </w:pPr>
      <w:r>
        <w:rPr>
          <w:rFonts w:hint="eastAsia"/>
          <w:color w:val="auto"/>
          <w:highlight w:val="none"/>
          <w:lang w:val="en-US" w:eastAsia="zh-CN"/>
        </w:rPr>
        <w:t>皇室啡矿业有限公司目前正在</w:t>
      </w:r>
      <w:r>
        <w:rPr>
          <w:rFonts w:hint="eastAsia"/>
          <w:color w:val="auto"/>
          <w:highlight w:val="none"/>
        </w:rPr>
        <w:t>根据《国家矿山安全监察局关于进一步加强非煤矿山安全生产行政许可工作的通知》（矿安〔2024〕70号）文件要求，现重新履行安全设施“三同时”。</w:t>
      </w:r>
    </w:p>
    <w:p w14:paraId="65331C6B">
      <w:pPr>
        <w:pStyle w:val="24"/>
        <w:keepNext w:val="0"/>
        <w:keepLines w:val="0"/>
        <w:pageBreakBefore w:val="0"/>
        <w:widowControl w:val="0"/>
        <w:kinsoku/>
        <w:wordWrap/>
        <w:overflowPunct/>
        <w:topLinePunct w:val="0"/>
        <w:autoSpaceDE/>
        <w:autoSpaceDN/>
        <w:bidi w:val="0"/>
        <w:adjustRightInd w:val="0"/>
        <w:snapToGrid w:val="0"/>
        <w:textAlignment w:val="auto"/>
        <w:rPr>
          <w:rFonts w:hint="eastAsia"/>
          <w:color w:val="auto"/>
          <w:highlight w:val="none"/>
        </w:rPr>
      </w:pPr>
      <w:r>
        <w:rPr>
          <w:rFonts w:hint="eastAsia"/>
          <w:color w:val="auto"/>
          <w:highlight w:val="none"/>
          <w:lang w:val="en-US" w:eastAsia="zh-CN"/>
        </w:rPr>
        <w:t>皇室啡矿业有限公司</w:t>
      </w:r>
      <w:r>
        <w:rPr>
          <w:rFonts w:hint="eastAsia"/>
          <w:color w:val="auto"/>
          <w:highlight w:val="none"/>
        </w:rPr>
        <w:t>为了贯彻“安全第一，预防为主，综合治理”的方针，确保建设工程项目符合国家相关规定，保障劳动者在生产过程中的安全，根据《中华人民共和国安全生产法》、《建设项目安全设施“三同时”监督管理暂行办法》以及《辽宁省安全生产监督管理局关于进一步规范非煤矿矿山安全生产行政许可管理工作的通知》等文件精神的要求，委托我辽宁诺诚安全科技有限公司，针对</w:t>
      </w:r>
      <w:r>
        <w:rPr>
          <w:rFonts w:hint="eastAsia"/>
          <w:color w:val="auto"/>
          <w:highlight w:val="none"/>
          <w:lang w:val="en-US" w:eastAsia="zh-CN"/>
        </w:rPr>
        <w:t>岫岩满族自治县皇室啡矿业有限公司露天矿山</w:t>
      </w:r>
      <w:r>
        <w:rPr>
          <w:rFonts w:hint="eastAsia"/>
          <w:color w:val="auto"/>
          <w:highlight w:val="none"/>
        </w:rPr>
        <w:t>进行安全预评价。</w:t>
      </w:r>
    </w:p>
    <w:p w14:paraId="0B972341">
      <w:pPr>
        <w:pStyle w:val="24"/>
        <w:bidi w:val="0"/>
        <w:rPr>
          <w:color w:val="auto"/>
          <w:highlight w:val="none"/>
        </w:rPr>
      </w:pPr>
      <w:r>
        <w:rPr>
          <w:color w:val="auto"/>
          <w:highlight w:val="none"/>
        </w:rPr>
        <w:t>为有利于加强建设工程项目安全设施</w:t>
      </w:r>
      <w:r>
        <w:rPr>
          <w:rFonts w:hint="eastAsia"/>
          <w:color w:val="auto"/>
          <w:highlight w:val="none"/>
        </w:rPr>
        <w:t>“</w:t>
      </w:r>
      <w:r>
        <w:rPr>
          <w:color w:val="auto"/>
          <w:highlight w:val="none"/>
        </w:rPr>
        <w:t>三同时</w:t>
      </w:r>
      <w:r>
        <w:rPr>
          <w:rFonts w:hint="eastAsia"/>
          <w:color w:val="auto"/>
          <w:highlight w:val="none"/>
        </w:rPr>
        <w:t>”</w:t>
      </w:r>
      <w:r>
        <w:rPr>
          <w:color w:val="auto"/>
          <w:highlight w:val="none"/>
        </w:rPr>
        <w:t>工作，切实达到安全预评价的目的，为建设项目初步设计</w:t>
      </w:r>
      <w:r>
        <w:rPr>
          <w:rFonts w:hint="eastAsia"/>
          <w:color w:val="auto"/>
          <w:highlight w:val="none"/>
        </w:rPr>
        <w:t>和安全设施设计</w:t>
      </w:r>
      <w:r>
        <w:rPr>
          <w:color w:val="auto"/>
          <w:highlight w:val="none"/>
        </w:rPr>
        <w:t>的编制提供科学依据，提高建设项目的本质安全程度，兹提出《</w:t>
      </w:r>
      <w:r>
        <w:rPr>
          <w:rFonts w:hint="eastAsia"/>
          <w:color w:val="auto"/>
          <w:highlight w:val="none"/>
          <w:lang w:val="en-US" w:eastAsia="zh-CN"/>
        </w:rPr>
        <w:t>岫岩满族自治县皇室啡矿业有限公司露天矿山安全预评价报告</w:t>
      </w:r>
      <w:r>
        <w:rPr>
          <w:color w:val="auto"/>
          <w:highlight w:val="none"/>
        </w:rPr>
        <w:t>》。</w:t>
      </w:r>
    </w:p>
    <w:p w14:paraId="3D7496D3">
      <w:pPr>
        <w:pStyle w:val="24"/>
        <w:bidi w:val="0"/>
        <w:rPr>
          <w:rFonts w:hint="eastAsia" w:eastAsia="宋体"/>
          <w:color w:val="auto"/>
          <w:highlight w:val="none"/>
          <w:lang w:eastAsia="zh-CN"/>
        </w:rPr>
      </w:pPr>
      <w:r>
        <w:rPr>
          <w:rFonts w:hint="eastAsia"/>
          <w:color w:val="auto"/>
          <w:highlight w:val="none"/>
        </w:rPr>
        <w:t>本次《安全预评价报告》的格式和内容，是按照《安全评价通则》（AQ8001-2007）和《安全预评价导则》（AQ8002-2007）、《建设项目安全设施“三同时”监督管理暂行办法》（国家安全生产监督管理总局令第36号）以及《国家安全监管总局关于印发金属非金属矿山建设项目安全评价报告编写提纲的通知》（安监总管一〔2016〕49号）等要求确定的</w:t>
      </w:r>
      <w:r>
        <w:rPr>
          <w:rFonts w:hint="eastAsia"/>
          <w:color w:val="auto"/>
          <w:highlight w:val="none"/>
          <w:lang w:eastAsia="zh-CN"/>
        </w:rPr>
        <w:t>。</w:t>
      </w:r>
    </w:p>
    <w:p w14:paraId="49A4F669">
      <w:pPr>
        <w:pStyle w:val="24"/>
        <w:bidi w:val="0"/>
        <w:rPr>
          <w:rFonts w:hint="eastAsia"/>
          <w:color w:val="auto"/>
          <w:highlight w:val="none"/>
        </w:rPr>
      </w:pPr>
      <w:r>
        <w:rPr>
          <w:rFonts w:hint="eastAsia"/>
          <w:color w:val="auto"/>
          <w:highlight w:val="none"/>
        </w:rPr>
        <w:br w:type="page"/>
      </w:r>
    </w:p>
    <w:sdt>
      <w:sdtPr>
        <w:rPr>
          <w:rFonts w:ascii="宋体" w:hAnsi="宋体" w:eastAsia="宋体" w:cstheme="minorBidi"/>
          <w:color w:val="auto"/>
          <w:kern w:val="2"/>
          <w:sz w:val="21"/>
          <w:szCs w:val="24"/>
          <w:highlight w:val="none"/>
          <w:lang w:val="en-US" w:eastAsia="zh-CN" w:bidi="ar-SA"/>
        </w:rPr>
        <w:id w:val="147452412"/>
        <w15:color w:val="DBDBDB"/>
        <w:docPartObj>
          <w:docPartGallery w:val="Table of Contents"/>
          <w:docPartUnique/>
        </w:docPartObj>
      </w:sdtPr>
      <w:sdtEndPr>
        <w:rPr>
          <w:rFonts w:hint="default" w:ascii="Times New Roman" w:hAnsi="Times New Roman" w:eastAsiaTheme="minorEastAsia" w:cstheme="minorBidi"/>
          <w:b/>
          <w:color w:val="auto"/>
          <w:kern w:val="2"/>
          <w:sz w:val="21"/>
          <w:szCs w:val="28"/>
          <w:highlight w:val="none"/>
          <w:lang w:val="en-US" w:eastAsia="zh-CN" w:bidi="ar-SA"/>
        </w:rPr>
      </w:sdtEndPr>
      <w:sdtContent>
        <w:p w14:paraId="6D9FD6F8">
          <w:pPr>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firstLineChars="0"/>
            <w:jc w:val="center"/>
            <w:textAlignment w:val="auto"/>
            <w:rPr>
              <w:color w:val="auto"/>
              <w:highlight w:val="none"/>
            </w:rPr>
          </w:pPr>
          <w:r>
            <w:rPr>
              <w:rFonts w:hint="eastAsia" w:ascii="黑体" w:hAnsi="黑体" w:eastAsia="黑体" w:cs="黑体"/>
              <w:color w:val="auto"/>
              <w:sz w:val="32"/>
              <w:szCs w:val="32"/>
              <w:highlight w:val="none"/>
            </w:rPr>
            <w:t>目</w:t>
          </w:r>
          <w:r>
            <w:rPr>
              <w:rFonts w:hint="eastAsia" w:ascii="黑体" w:hAnsi="黑体" w:eastAsia="黑体" w:cs="黑体"/>
              <w:color w:val="auto"/>
              <w:sz w:val="32"/>
              <w:szCs w:val="32"/>
              <w:highlight w:val="none"/>
              <w:lang w:val="en-US" w:eastAsia="zh-CN"/>
            </w:rPr>
            <w:t xml:space="preserve">  </w:t>
          </w:r>
          <w:r>
            <w:rPr>
              <w:rFonts w:hint="eastAsia" w:ascii="黑体" w:hAnsi="黑体" w:eastAsia="黑体" w:cs="黑体"/>
              <w:color w:val="auto"/>
              <w:sz w:val="32"/>
              <w:szCs w:val="32"/>
              <w:highlight w:val="none"/>
            </w:rPr>
            <w:t>录</w:t>
          </w:r>
        </w:p>
        <w:p w14:paraId="02D06FBC">
          <w:pPr>
            <w:pStyle w:val="23"/>
            <w:tabs>
              <w:tab w:val="right" w:leader="dot" w:pos="9185"/>
            </w:tabs>
          </w:pPr>
          <w:r>
            <w:rPr>
              <w:rFonts w:hint="default" w:ascii="Times New Roman" w:hAnsi="Times New Roman" w:eastAsiaTheme="minorEastAsia"/>
              <w:color w:val="auto"/>
              <w:sz w:val="28"/>
              <w:szCs w:val="28"/>
              <w:highlight w:val="none"/>
              <w:lang w:val="en-US" w:eastAsia="zh-CN"/>
            </w:rPr>
            <w:fldChar w:fldCharType="begin"/>
          </w:r>
          <w:r>
            <w:rPr>
              <w:rFonts w:hint="default" w:ascii="Times New Roman" w:hAnsi="Times New Roman" w:eastAsiaTheme="minorEastAsia"/>
              <w:color w:val="auto"/>
              <w:sz w:val="28"/>
              <w:szCs w:val="28"/>
              <w:highlight w:val="none"/>
              <w:lang w:val="en-US" w:eastAsia="zh-CN"/>
            </w:rPr>
            <w:instrText xml:space="preserve">TOC \o "1-2" \h \u </w:instrText>
          </w:r>
          <w:r>
            <w:rPr>
              <w:rFonts w:hint="default" w:ascii="Times New Roman" w:hAnsi="Times New Roman" w:eastAsiaTheme="minorEastAsia"/>
              <w:color w:val="auto"/>
              <w:sz w:val="28"/>
              <w:szCs w:val="28"/>
              <w:highlight w:val="none"/>
              <w:lang w:val="en-US" w:eastAsia="zh-CN"/>
            </w:rPr>
            <w:fldChar w:fldCharType="separate"/>
          </w:r>
          <w:r>
            <w:rPr>
              <w:rFonts w:hint="default" w:ascii="Times New Roman" w:hAnsi="Times New Roman" w:eastAsiaTheme="minorEastAsia"/>
              <w:color w:val="auto"/>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_Toc9547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1 </w:t>
          </w:r>
          <w:r>
            <w:rPr>
              <w:rFonts w:hint="eastAsia"/>
              <w:highlight w:val="none"/>
              <w:lang w:val="en-US" w:eastAsia="zh-CN"/>
            </w:rPr>
            <w:t>评价目的与依据</w:t>
          </w:r>
          <w:r>
            <w:tab/>
          </w:r>
          <w:r>
            <w:fldChar w:fldCharType="begin"/>
          </w:r>
          <w:r>
            <w:instrText xml:space="preserve"> PAGEREF _Toc9547 \h </w:instrText>
          </w:r>
          <w:r>
            <w:fldChar w:fldCharType="separate"/>
          </w:r>
          <w:r>
            <w:t>1</w:t>
          </w:r>
          <w:r>
            <w:fldChar w:fldCharType="end"/>
          </w:r>
          <w:r>
            <w:rPr>
              <w:rFonts w:hint="default" w:ascii="Times New Roman" w:hAnsi="Times New Roman" w:eastAsiaTheme="minorEastAsia"/>
              <w:color w:val="auto"/>
              <w:szCs w:val="28"/>
              <w:highlight w:val="none"/>
              <w:lang w:val="en-US" w:eastAsia="zh-CN"/>
            </w:rPr>
            <w:fldChar w:fldCharType="end"/>
          </w:r>
        </w:p>
        <w:p w14:paraId="02138DE9">
          <w:pPr>
            <w:pStyle w:val="25"/>
            <w:tabs>
              <w:tab w:val="right" w:leader="dot" w:pos="9185"/>
            </w:tabs>
          </w:pPr>
          <w:r>
            <w:rPr>
              <w:rFonts w:hint="default" w:ascii="Times New Roman" w:hAnsi="Times New Roman" w:eastAsiaTheme="minorEastAsia"/>
              <w:color w:val="auto"/>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_Toc5265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1.1 </w:t>
          </w:r>
          <w:r>
            <w:rPr>
              <w:rFonts w:hint="eastAsia"/>
              <w:highlight w:val="none"/>
              <w:lang w:val="en-US" w:eastAsia="zh-CN"/>
            </w:rPr>
            <w:t>评价对象和范围</w:t>
          </w:r>
          <w:r>
            <w:tab/>
          </w:r>
          <w:r>
            <w:fldChar w:fldCharType="begin"/>
          </w:r>
          <w:r>
            <w:instrText xml:space="preserve"> PAGEREF _Toc5265 \h </w:instrText>
          </w:r>
          <w:r>
            <w:fldChar w:fldCharType="separate"/>
          </w:r>
          <w:r>
            <w:t>1</w:t>
          </w:r>
          <w:r>
            <w:fldChar w:fldCharType="end"/>
          </w:r>
          <w:r>
            <w:rPr>
              <w:rFonts w:hint="default" w:ascii="Times New Roman" w:hAnsi="Times New Roman" w:eastAsiaTheme="minorEastAsia"/>
              <w:color w:val="auto"/>
              <w:szCs w:val="28"/>
              <w:highlight w:val="none"/>
              <w:lang w:val="en-US" w:eastAsia="zh-CN"/>
            </w:rPr>
            <w:fldChar w:fldCharType="end"/>
          </w:r>
        </w:p>
        <w:p w14:paraId="6468AB84">
          <w:pPr>
            <w:pStyle w:val="25"/>
            <w:tabs>
              <w:tab w:val="right" w:leader="dot" w:pos="9185"/>
            </w:tabs>
          </w:pPr>
          <w:r>
            <w:rPr>
              <w:rFonts w:hint="default" w:ascii="Times New Roman" w:hAnsi="Times New Roman" w:eastAsiaTheme="minorEastAsia"/>
              <w:color w:val="auto"/>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_Toc31794 </w:instrText>
          </w:r>
          <w:r>
            <w:rPr>
              <w:rFonts w:hint="default" w:ascii="Times New Roman" w:hAnsi="Times New Roman" w:eastAsiaTheme="minorEastAsia"/>
              <w:szCs w:val="28"/>
              <w:highlight w:val="none"/>
              <w:lang w:val="en-US" w:eastAsia="zh-CN"/>
            </w:rPr>
            <w:fldChar w:fldCharType="separate"/>
          </w:r>
          <w:r>
            <w:rPr>
              <w:rFonts w:hint="default"/>
            </w:rPr>
            <w:t xml:space="preserve">1.2 </w:t>
          </w:r>
          <w:r>
            <w:rPr>
              <w:rFonts w:hint="eastAsia"/>
              <w:highlight w:val="none"/>
            </w:rPr>
            <w:t>评价依据</w:t>
          </w:r>
          <w:r>
            <w:tab/>
          </w:r>
          <w:r>
            <w:fldChar w:fldCharType="begin"/>
          </w:r>
          <w:r>
            <w:instrText xml:space="preserve"> PAGEREF _Toc31794 \h </w:instrText>
          </w:r>
          <w:r>
            <w:fldChar w:fldCharType="separate"/>
          </w:r>
          <w:r>
            <w:t>2</w:t>
          </w:r>
          <w:r>
            <w:fldChar w:fldCharType="end"/>
          </w:r>
          <w:r>
            <w:rPr>
              <w:rFonts w:hint="default" w:ascii="Times New Roman" w:hAnsi="Times New Roman" w:eastAsiaTheme="minorEastAsia"/>
              <w:color w:val="auto"/>
              <w:szCs w:val="28"/>
              <w:highlight w:val="none"/>
              <w:lang w:val="en-US" w:eastAsia="zh-CN"/>
            </w:rPr>
            <w:fldChar w:fldCharType="end"/>
          </w:r>
        </w:p>
        <w:p w14:paraId="7AACE471">
          <w:pPr>
            <w:pStyle w:val="23"/>
            <w:tabs>
              <w:tab w:val="right" w:leader="dot" w:pos="9185"/>
            </w:tabs>
          </w:pPr>
          <w:r>
            <w:rPr>
              <w:rFonts w:hint="default" w:ascii="Times New Roman" w:hAnsi="Times New Roman" w:eastAsiaTheme="minorEastAsia"/>
              <w:color w:val="auto"/>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_Toc11876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2 </w:t>
          </w:r>
          <w:r>
            <w:rPr>
              <w:rFonts w:hint="eastAsia"/>
              <w:highlight w:val="none"/>
              <w:lang w:val="en-US" w:eastAsia="zh-CN"/>
            </w:rPr>
            <w:t>建设项目概述</w:t>
          </w:r>
          <w:r>
            <w:tab/>
          </w:r>
          <w:r>
            <w:fldChar w:fldCharType="begin"/>
          </w:r>
          <w:r>
            <w:instrText xml:space="preserve"> PAGEREF _Toc11876 \h </w:instrText>
          </w:r>
          <w:r>
            <w:fldChar w:fldCharType="separate"/>
          </w:r>
          <w:r>
            <w:t>9</w:t>
          </w:r>
          <w:r>
            <w:fldChar w:fldCharType="end"/>
          </w:r>
          <w:r>
            <w:rPr>
              <w:rFonts w:hint="default" w:ascii="Times New Roman" w:hAnsi="Times New Roman" w:eastAsiaTheme="minorEastAsia"/>
              <w:color w:val="auto"/>
              <w:szCs w:val="28"/>
              <w:highlight w:val="none"/>
              <w:lang w:val="en-US" w:eastAsia="zh-CN"/>
            </w:rPr>
            <w:fldChar w:fldCharType="end"/>
          </w:r>
        </w:p>
        <w:p w14:paraId="69035627">
          <w:pPr>
            <w:pStyle w:val="25"/>
            <w:tabs>
              <w:tab w:val="right" w:leader="dot" w:pos="9185"/>
            </w:tabs>
          </w:pPr>
          <w:r>
            <w:rPr>
              <w:rFonts w:hint="default" w:ascii="Times New Roman" w:hAnsi="Times New Roman" w:eastAsiaTheme="minorEastAsia"/>
              <w:color w:val="auto"/>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_Toc62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2.1 </w:t>
          </w:r>
          <w:r>
            <w:rPr>
              <w:rFonts w:hint="default"/>
              <w:highlight w:val="none"/>
              <w:lang w:val="en-US" w:eastAsia="zh-CN"/>
            </w:rPr>
            <w:t>设单位概况</w:t>
          </w:r>
          <w:r>
            <w:tab/>
          </w:r>
          <w:r>
            <w:fldChar w:fldCharType="begin"/>
          </w:r>
          <w:r>
            <w:instrText xml:space="preserve"> PAGEREF _Toc62 \h </w:instrText>
          </w:r>
          <w:r>
            <w:fldChar w:fldCharType="separate"/>
          </w:r>
          <w:r>
            <w:t>9</w:t>
          </w:r>
          <w:r>
            <w:fldChar w:fldCharType="end"/>
          </w:r>
          <w:r>
            <w:rPr>
              <w:rFonts w:hint="default" w:ascii="Times New Roman" w:hAnsi="Times New Roman" w:eastAsiaTheme="minorEastAsia"/>
              <w:color w:val="auto"/>
              <w:szCs w:val="28"/>
              <w:highlight w:val="none"/>
              <w:lang w:val="en-US" w:eastAsia="zh-CN"/>
            </w:rPr>
            <w:fldChar w:fldCharType="end"/>
          </w:r>
        </w:p>
        <w:p w14:paraId="7400CC39">
          <w:pPr>
            <w:pStyle w:val="25"/>
            <w:tabs>
              <w:tab w:val="right" w:leader="dot" w:pos="9185"/>
            </w:tabs>
          </w:pPr>
          <w:r>
            <w:rPr>
              <w:rFonts w:hint="default" w:ascii="Times New Roman" w:hAnsi="Times New Roman" w:eastAsiaTheme="minorEastAsia"/>
              <w:color w:val="auto"/>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_Toc9806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2.2 </w:t>
          </w:r>
          <w:r>
            <w:rPr>
              <w:rFonts w:hint="eastAsia"/>
              <w:highlight w:val="none"/>
              <w:lang w:val="en-US" w:eastAsia="zh-CN"/>
            </w:rPr>
            <w:t>自然环境概况</w:t>
          </w:r>
          <w:r>
            <w:tab/>
          </w:r>
          <w:r>
            <w:fldChar w:fldCharType="begin"/>
          </w:r>
          <w:r>
            <w:instrText xml:space="preserve"> PAGEREF _Toc9806 \h </w:instrText>
          </w:r>
          <w:r>
            <w:fldChar w:fldCharType="separate"/>
          </w:r>
          <w:r>
            <w:t>12</w:t>
          </w:r>
          <w:r>
            <w:fldChar w:fldCharType="end"/>
          </w:r>
          <w:r>
            <w:rPr>
              <w:rFonts w:hint="default" w:ascii="Times New Roman" w:hAnsi="Times New Roman" w:eastAsiaTheme="minorEastAsia"/>
              <w:color w:val="auto"/>
              <w:szCs w:val="28"/>
              <w:highlight w:val="none"/>
              <w:lang w:val="en-US" w:eastAsia="zh-CN"/>
            </w:rPr>
            <w:fldChar w:fldCharType="end"/>
          </w:r>
        </w:p>
        <w:p w14:paraId="2BF75682">
          <w:pPr>
            <w:pStyle w:val="25"/>
            <w:tabs>
              <w:tab w:val="right" w:leader="dot" w:pos="9185"/>
            </w:tabs>
          </w:pPr>
          <w:r>
            <w:rPr>
              <w:rFonts w:hint="default" w:ascii="Times New Roman" w:hAnsi="Times New Roman" w:eastAsiaTheme="minorEastAsia"/>
              <w:color w:val="auto"/>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_Toc8820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2.3 </w:t>
          </w:r>
          <w:r>
            <w:rPr>
              <w:rFonts w:hint="eastAsia"/>
              <w:highlight w:val="none"/>
              <w:lang w:val="en-US" w:eastAsia="zh-CN"/>
            </w:rPr>
            <w:t>建设项目地质概况</w:t>
          </w:r>
          <w:r>
            <w:tab/>
          </w:r>
          <w:r>
            <w:fldChar w:fldCharType="begin"/>
          </w:r>
          <w:r>
            <w:instrText xml:space="preserve"> PAGEREF _Toc8820 \h </w:instrText>
          </w:r>
          <w:r>
            <w:fldChar w:fldCharType="separate"/>
          </w:r>
          <w:r>
            <w:t>12</w:t>
          </w:r>
          <w:r>
            <w:fldChar w:fldCharType="end"/>
          </w:r>
          <w:r>
            <w:rPr>
              <w:rFonts w:hint="default" w:ascii="Times New Roman" w:hAnsi="Times New Roman" w:eastAsiaTheme="minorEastAsia"/>
              <w:color w:val="auto"/>
              <w:szCs w:val="28"/>
              <w:highlight w:val="none"/>
              <w:lang w:val="en-US" w:eastAsia="zh-CN"/>
            </w:rPr>
            <w:fldChar w:fldCharType="end"/>
          </w:r>
        </w:p>
        <w:p w14:paraId="0304B388">
          <w:pPr>
            <w:pStyle w:val="25"/>
            <w:tabs>
              <w:tab w:val="right" w:leader="dot" w:pos="9185"/>
            </w:tabs>
          </w:pPr>
          <w:r>
            <w:rPr>
              <w:rFonts w:hint="default" w:ascii="Times New Roman" w:hAnsi="Times New Roman" w:eastAsiaTheme="minorEastAsia"/>
              <w:color w:val="auto"/>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_Toc24437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2.4 </w:t>
          </w:r>
          <w:r>
            <w:rPr>
              <w:rFonts w:hint="eastAsia"/>
              <w:highlight w:val="none"/>
              <w:lang w:val="en-US" w:eastAsia="zh-CN"/>
            </w:rPr>
            <w:t>工程建设方案概况</w:t>
          </w:r>
          <w:r>
            <w:tab/>
          </w:r>
          <w:r>
            <w:fldChar w:fldCharType="begin"/>
          </w:r>
          <w:r>
            <w:instrText xml:space="preserve"> PAGEREF _Toc24437 \h </w:instrText>
          </w:r>
          <w:r>
            <w:fldChar w:fldCharType="separate"/>
          </w:r>
          <w:r>
            <w:t>16</w:t>
          </w:r>
          <w:r>
            <w:fldChar w:fldCharType="end"/>
          </w:r>
          <w:r>
            <w:rPr>
              <w:rFonts w:hint="default" w:ascii="Times New Roman" w:hAnsi="Times New Roman" w:eastAsiaTheme="minorEastAsia"/>
              <w:color w:val="auto"/>
              <w:szCs w:val="28"/>
              <w:highlight w:val="none"/>
              <w:lang w:val="en-US" w:eastAsia="zh-CN"/>
            </w:rPr>
            <w:fldChar w:fldCharType="end"/>
          </w:r>
        </w:p>
        <w:p w14:paraId="06991295">
          <w:pPr>
            <w:pStyle w:val="23"/>
            <w:tabs>
              <w:tab w:val="right" w:leader="dot" w:pos="9185"/>
            </w:tabs>
          </w:pPr>
          <w:r>
            <w:rPr>
              <w:rFonts w:hint="default" w:ascii="Times New Roman" w:hAnsi="Times New Roman" w:eastAsiaTheme="minorEastAsia"/>
              <w:color w:val="auto"/>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_Toc24265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3 </w:t>
          </w:r>
          <w:r>
            <w:rPr>
              <w:rFonts w:hint="default"/>
              <w:highlight w:val="none"/>
              <w:lang w:val="en-US" w:eastAsia="zh-CN"/>
            </w:rPr>
            <w:t>定性、定量评价</w:t>
          </w:r>
          <w:r>
            <w:tab/>
          </w:r>
          <w:r>
            <w:fldChar w:fldCharType="begin"/>
          </w:r>
          <w:r>
            <w:instrText xml:space="preserve"> PAGEREF _Toc24265 \h </w:instrText>
          </w:r>
          <w:r>
            <w:fldChar w:fldCharType="separate"/>
          </w:r>
          <w:r>
            <w:t>25</w:t>
          </w:r>
          <w:r>
            <w:fldChar w:fldCharType="end"/>
          </w:r>
          <w:r>
            <w:rPr>
              <w:rFonts w:hint="default" w:ascii="Times New Roman" w:hAnsi="Times New Roman" w:eastAsiaTheme="minorEastAsia"/>
              <w:color w:val="auto"/>
              <w:szCs w:val="28"/>
              <w:highlight w:val="none"/>
              <w:lang w:val="en-US" w:eastAsia="zh-CN"/>
            </w:rPr>
            <w:fldChar w:fldCharType="end"/>
          </w:r>
        </w:p>
        <w:p w14:paraId="47AA52E9">
          <w:pPr>
            <w:pStyle w:val="25"/>
            <w:tabs>
              <w:tab w:val="right" w:leader="dot" w:pos="9185"/>
            </w:tabs>
          </w:pPr>
          <w:r>
            <w:rPr>
              <w:rFonts w:hint="default" w:ascii="Times New Roman" w:hAnsi="Times New Roman" w:eastAsiaTheme="minorEastAsia"/>
              <w:color w:val="auto"/>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_Toc7605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3.1 </w:t>
          </w:r>
          <w:r>
            <w:rPr>
              <w:rFonts w:hint="default"/>
              <w:highlight w:val="none"/>
              <w:lang w:val="en-US" w:eastAsia="zh-CN"/>
            </w:rPr>
            <w:t>总平面布置单元</w:t>
          </w:r>
          <w:r>
            <w:tab/>
          </w:r>
          <w:r>
            <w:fldChar w:fldCharType="begin"/>
          </w:r>
          <w:r>
            <w:instrText xml:space="preserve"> PAGEREF _Toc7605 \h </w:instrText>
          </w:r>
          <w:r>
            <w:fldChar w:fldCharType="separate"/>
          </w:r>
          <w:r>
            <w:t>25</w:t>
          </w:r>
          <w:r>
            <w:fldChar w:fldCharType="end"/>
          </w:r>
          <w:r>
            <w:rPr>
              <w:rFonts w:hint="default" w:ascii="Times New Roman" w:hAnsi="Times New Roman" w:eastAsiaTheme="minorEastAsia"/>
              <w:color w:val="auto"/>
              <w:szCs w:val="28"/>
              <w:highlight w:val="none"/>
              <w:lang w:val="en-US" w:eastAsia="zh-CN"/>
            </w:rPr>
            <w:fldChar w:fldCharType="end"/>
          </w:r>
        </w:p>
        <w:p w14:paraId="7765581F">
          <w:pPr>
            <w:pStyle w:val="25"/>
            <w:tabs>
              <w:tab w:val="right" w:leader="dot" w:pos="9185"/>
            </w:tabs>
          </w:pPr>
          <w:r>
            <w:rPr>
              <w:rFonts w:hint="default" w:ascii="Times New Roman" w:hAnsi="Times New Roman" w:eastAsiaTheme="minorEastAsia"/>
              <w:color w:val="auto"/>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_Toc19042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3.2 </w:t>
          </w:r>
          <w:r>
            <w:rPr>
              <w:rFonts w:hint="default"/>
              <w:highlight w:val="none"/>
              <w:lang w:val="en-US" w:eastAsia="zh-CN"/>
            </w:rPr>
            <w:t>开拓系统单元评价</w:t>
          </w:r>
          <w:r>
            <w:tab/>
          </w:r>
          <w:r>
            <w:fldChar w:fldCharType="begin"/>
          </w:r>
          <w:r>
            <w:instrText xml:space="preserve"> PAGEREF _Toc19042 \h </w:instrText>
          </w:r>
          <w:r>
            <w:fldChar w:fldCharType="separate"/>
          </w:r>
          <w:r>
            <w:t>27</w:t>
          </w:r>
          <w:r>
            <w:fldChar w:fldCharType="end"/>
          </w:r>
          <w:r>
            <w:rPr>
              <w:rFonts w:hint="default" w:ascii="Times New Roman" w:hAnsi="Times New Roman" w:eastAsiaTheme="minorEastAsia"/>
              <w:color w:val="auto"/>
              <w:szCs w:val="28"/>
              <w:highlight w:val="none"/>
              <w:lang w:val="en-US" w:eastAsia="zh-CN"/>
            </w:rPr>
            <w:fldChar w:fldCharType="end"/>
          </w:r>
        </w:p>
        <w:p w14:paraId="30F47476">
          <w:pPr>
            <w:pStyle w:val="25"/>
            <w:tabs>
              <w:tab w:val="right" w:leader="dot" w:pos="9185"/>
            </w:tabs>
          </w:pPr>
          <w:r>
            <w:rPr>
              <w:rFonts w:hint="default" w:ascii="Times New Roman" w:hAnsi="Times New Roman" w:eastAsiaTheme="minorEastAsia"/>
              <w:color w:val="auto"/>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_Toc26488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3.3 </w:t>
          </w:r>
          <w:r>
            <w:rPr>
              <w:rFonts w:hint="default"/>
              <w:highlight w:val="none"/>
              <w:lang w:val="en-US" w:eastAsia="zh-CN"/>
            </w:rPr>
            <w:t>采剥单元评价</w:t>
          </w:r>
          <w:r>
            <w:tab/>
          </w:r>
          <w:r>
            <w:fldChar w:fldCharType="begin"/>
          </w:r>
          <w:r>
            <w:instrText xml:space="preserve"> PAGEREF _Toc26488 \h </w:instrText>
          </w:r>
          <w:r>
            <w:fldChar w:fldCharType="separate"/>
          </w:r>
          <w:r>
            <w:t>29</w:t>
          </w:r>
          <w:r>
            <w:fldChar w:fldCharType="end"/>
          </w:r>
          <w:r>
            <w:rPr>
              <w:rFonts w:hint="default" w:ascii="Times New Roman" w:hAnsi="Times New Roman" w:eastAsiaTheme="minorEastAsia"/>
              <w:color w:val="auto"/>
              <w:szCs w:val="28"/>
              <w:highlight w:val="none"/>
              <w:lang w:val="en-US" w:eastAsia="zh-CN"/>
            </w:rPr>
            <w:fldChar w:fldCharType="end"/>
          </w:r>
        </w:p>
        <w:p w14:paraId="069C47A0">
          <w:pPr>
            <w:pStyle w:val="25"/>
            <w:tabs>
              <w:tab w:val="right" w:leader="dot" w:pos="9185"/>
            </w:tabs>
          </w:pPr>
          <w:r>
            <w:rPr>
              <w:rFonts w:hint="default" w:ascii="Times New Roman" w:hAnsi="Times New Roman" w:eastAsiaTheme="minorEastAsia"/>
              <w:color w:val="auto"/>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_Toc18576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3.4 </w:t>
          </w:r>
          <w:r>
            <w:rPr>
              <w:rFonts w:hint="eastAsia"/>
              <w:highlight w:val="none"/>
              <w:lang w:val="en-US" w:eastAsia="zh-CN"/>
            </w:rPr>
            <w:t>矿山供配电设施评价</w:t>
          </w:r>
          <w:r>
            <w:tab/>
          </w:r>
          <w:r>
            <w:fldChar w:fldCharType="begin"/>
          </w:r>
          <w:r>
            <w:instrText xml:space="preserve"> PAGEREF _Toc18576 \h </w:instrText>
          </w:r>
          <w:r>
            <w:fldChar w:fldCharType="separate"/>
          </w:r>
          <w:r>
            <w:t>36</w:t>
          </w:r>
          <w:r>
            <w:fldChar w:fldCharType="end"/>
          </w:r>
          <w:r>
            <w:rPr>
              <w:rFonts w:hint="default" w:ascii="Times New Roman" w:hAnsi="Times New Roman" w:eastAsiaTheme="minorEastAsia"/>
              <w:color w:val="auto"/>
              <w:szCs w:val="28"/>
              <w:highlight w:val="none"/>
              <w:lang w:val="en-US" w:eastAsia="zh-CN"/>
            </w:rPr>
            <w:fldChar w:fldCharType="end"/>
          </w:r>
        </w:p>
        <w:p w14:paraId="1B2281F5">
          <w:pPr>
            <w:pStyle w:val="25"/>
            <w:tabs>
              <w:tab w:val="right" w:leader="dot" w:pos="9185"/>
            </w:tabs>
          </w:pPr>
          <w:r>
            <w:rPr>
              <w:rFonts w:hint="default" w:ascii="Times New Roman" w:hAnsi="Times New Roman" w:eastAsiaTheme="minorEastAsia"/>
              <w:color w:val="auto"/>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_Toc22314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3.5 </w:t>
          </w:r>
          <w:r>
            <w:rPr>
              <w:rFonts w:hint="eastAsia"/>
              <w:highlight w:val="none"/>
              <w:lang w:val="en-US" w:eastAsia="zh-CN"/>
            </w:rPr>
            <w:t>防排水与防灭火单元评价</w:t>
          </w:r>
          <w:r>
            <w:tab/>
          </w:r>
          <w:r>
            <w:fldChar w:fldCharType="begin"/>
          </w:r>
          <w:r>
            <w:instrText xml:space="preserve"> PAGEREF _Toc22314 \h </w:instrText>
          </w:r>
          <w:r>
            <w:fldChar w:fldCharType="separate"/>
          </w:r>
          <w:r>
            <w:t>39</w:t>
          </w:r>
          <w:r>
            <w:fldChar w:fldCharType="end"/>
          </w:r>
          <w:r>
            <w:rPr>
              <w:rFonts w:hint="default" w:ascii="Times New Roman" w:hAnsi="Times New Roman" w:eastAsiaTheme="minorEastAsia"/>
              <w:color w:val="auto"/>
              <w:szCs w:val="28"/>
              <w:highlight w:val="none"/>
              <w:lang w:val="en-US" w:eastAsia="zh-CN"/>
            </w:rPr>
            <w:fldChar w:fldCharType="end"/>
          </w:r>
        </w:p>
        <w:p w14:paraId="4ACE9909">
          <w:pPr>
            <w:pStyle w:val="25"/>
            <w:tabs>
              <w:tab w:val="right" w:leader="dot" w:pos="9185"/>
            </w:tabs>
          </w:pPr>
          <w:r>
            <w:rPr>
              <w:rFonts w:hint="default" w:ascii="Times New Roman" w:hAnsi="Times New Roman" w:eastAsiaTheme="minorEastAsia"/>
              <w:color w:val="auto"/>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_Toc17639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3.6 </w:t>
          </w:r>
          <w:r>
            <w:rPr>
              <w:rFonts w:hint="eastAsia"/>
              <w:highlight w:val="none"/>
              <w:lang w:val="en-US" w:eastAsia="zh-CN"/>
            </w:rPr>
            <w:t>安全管理单元</w:t>
          </w:r>
          <w:r>
            <w:tab/>
          </w:r>
          <w:r>
            <w:fldChar w:fldCharType="begin"/>
          </w:r>
          <w:r>
            <w:instrText xml:space="preserve"> PAGEREF _Toc17639 \h </w:instrText>
          </w:r>
          <w:r>
            <w:fldChar w:fldCharType="separate"/>
          </w:r>
          <w:r>
            <w:t>41</w:t>
          </w:r>
          <w:r>
            <w:fldChar w:fldCharType="end"/>
          </w:r>
          <w:r>
            <w:rPr>
              <w:rFonts w:hint="default" w:ascii="Times New Roman" w:hAnsi="Times New Roman" w:eastAsiaTheme="minorEastAsia"/>
              <w:color w:val="auto"/>
              <w:szCs w:val="28"/>
              <w:highlight w:val="none"/>
              <w:lang w:val="en-US" w:eastAsia="zh-CN"/>
            </w:rPr>
            <w:fldChar w:fldCharType="end"/>
          </w:r>
        </w:p>
        <w:p w14:paraId="4546A2DE">
          <w:pPr>
            <w:pStyle w:val="25"/>
            <w:tabs>
              <w:tab w:val="right" w:leader="dot" w:pos="9185"/>
            </w:tabs>
          </w:pPr>
          <w:r>
            <w:rPr>
              <w:rFonts w:hint="default" w:ascii="Times New Roman" w:hAnsi="Times New Roman" w:eastAsiaTheme="minorEastAsia"/>
              <w:color w:val="auto"/>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_Toc24963 </w:instrText>
          </w:r>
          <w:r>
            <w:rPr>
              <w:rFonts w:hint="default" w:ascii="Times New Roman" w:hAnsi="Times New Roman" w:eastAsiaTheme="minorEastAsia"/>
              <w:szCs w:val="28"/>
              <w:highlight w:val="none"/>
              <w:lang w:val="en-US" w:eastAsia="zh-CN"/>
            </w:rPr>
            <w:fldChar w:fldCharType="separate"/>
          </w:r>
          <w:r>
            <w:rPr>
              <w:rFonts w:hint="default"/>
            </w:rPr>
            <w:t xml:space="preserve">3.7 </w:t>
          </w:r>
          <w:r>
            <w:rPr>
              <w:rFonts w:hint="eastAsia"/>
              <w:highlight w:val="none"/>
            </w:rPr>
            <w:t>重大危险源辨识单元</w:t>
          </w:r>
          <w:r>
            <w:tab/>
          </w:r>
          <w:r>
            <w:fldChar w:fldCharType="begin"/>
          </w:r>
          <w:r>
            <w:instrText xml:space="preserve"> PAGEREF _Toc24963 \h </w:instrText>
          </w:r>
          <w:r>
            <w:fldChar w:fldCharType="separate"/>
          </w:r>
          <w:r>
            <w:t>41</w:t>
          </w:r>
          <w:r>
            <w:fldChar w:fldCharType="end"/>
          </w:r>
          <w:r>
            <w:rPr>
              <w:rFonts w:hint="default" w:ascii="Times New Roman" w:hAnsi="Times New Roman" w:eastAsiaTheme="minorEastAsia"/>
              <w:color w:val="auto"/>
              <w:szCs w:val="28"/>
              <w:highlight w:val="none"/>
              <w:lang w:val="en-US" w:eastAsia="zh-CN"/>
            </w:rPr>
            <w:fldChar w:fldCharType="end"/>
          </w:r>
        </w:p>
        <w:p w14:paraId="472A80D4">
          <w:pPr>
            <w:pStyle w:val="23"/>
            <w:tabs>
              <w:tab w:val="right" w:leader="dot" w:pos="9185"/>
            </w:tabs>
          </w:pPr>
          <w:r>
            <w:rPr>
              <w:rFonts w:hint="default" w:ascii="Times New Roman" w:hAnsi="Times New Roman" w:eastAsiaTheme="minorEastAsia"/>
              <w:color w:val="auto"/>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_Toc742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4 </w:t>
          </w:r>
          <w:r>
            <w:rPr>
              <w:rFonts w:hint="default"/>
              <w:highlight w:val="none"/>
              <w:lang w:val="en-US" w:eastAsia="zh-CN"/>
            </w:rPr>
            <w:t>安全对策措施建议</w:t>
          </w:r>
          <w:r>
            <w:tab/>
          </w:r>
          <w:r>
            <w:fldChar w:fldCharType="begin"/>
          </w:r>
          <w:r>
            <w:instrText xml:space="preserve"> PAGEREF _Toc742 \h </w:instrText>
          </w:r>
          <w:r>
            <w:fldChar w:fldCharType="separate"/>
          </w:r>
          <w:r>
            <w:t>43</w:t>
          </w:r>
          <w:r>
            <w:fldChar w:fldCharType="end"/>
          </w:r>
          <w:r>
            <w:rPr>
              <w:rFonts w:hint="default" w:ascii="Times New Roman" w:hAnsi="Times New Roman" w:eastAsiaTheme="minorEastAsia"/>
              <w:color w:val="auto"/>
              <w:szCs w:val="28"/>
              <w:highlight w:val="none"/>
              <w:lang w:val="en-US" w:eastAsia="zh-CN"/>
            </w:rPr>
            <w:fldChar w:fldCharType="end"/>
          </w:r>
        </w:p>
        <w:p w14:paraId="4C645F5A">
          <w:pPr>
            <w:pStyle w:val="25"/>
            <w:tabs>
              <w:tab w:val="right" w:leader="dot" w:pos="9185"/>
            </w:tabs>
          </w:pPr>
          <w:r>
            <w:rPr>
              <w:rFonts w:hint="default" w:ascii="Times New Roman" w:hAnsi="Times New Roman" w:eastAsiaTheme="minorEastAsia"/>
              <w:color w:val="auto"/>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_Toc32515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4.1 </w:t>
          </w:r>
          <w:r>
            <w:rPr>
              <w:rFonts w:hint="default"/>
              <w:highlight w:val="none"/>
              <w:lang w:val="en-US" w:eastAsia="zh-CN"/>
            </w:rPr>
            <w:t>本预评价补充的安全对策措施</w:t>
          </w:r>
          <w:r>
            <w:tab/>
          </w:r>
          <w:r>
            <w:fldChar w:fldCharType="begin"/>
          </w:r>
          <w:r>
            <w:instrText xml:space="preserve"> PAGEREF _Toc32515 \h </w:instrText>
          </w:r>
          <w:r>
            <w:fldChar w:fldCharType="separate"/>
          </w:r>
          <w:r>
            <w:t>43</w:t>
          </w:r>
          <w:r>
            <w:fldChar w:fldCharType="end"/>
          </w:r>
          <w:r>
            <w:rPr>
              <w:rFonts w:hint="default" w:ascii="Times New Roman" w:hAnsi="Times New Roman" w:eastAsiaTheme="minorEastAsia"/>
              <w:color w:val="auto"/>
              <w:szCs w:val="28"/>
              <w:highlight w:val="none"/>
              <w:lang w:val="en-US" w:eastAsia="zh-CN"/>
            </w:rPr>
            <w:fldChar w:fldCharType="end"/>
          </w:r>
        </w:p>
        <w:p w14:paraId="3F8584A2">
          <w:pPr>
            <w:pStyle w:val="25"/>
            <w:tabs>
              <w:tab w:val="right" w:leader="dot" w:pos="9185"/>
            </w:tabs>
          </w:pPr>
          <w:r>
            <w:rPr>
              <w:rFonts w:hint="default" w:ascii="Times New Roman" w:hAnsi="Times New Roman" w:eastAsiaTheme="minorEastAsia"/>
              <w:color w:val="auto"/>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_Toc22538 </w:instrText>
          </w:r>
          <w:r>
            <w:rPr>
              <w:rFonts w:hint="default" w:ascii="Times New Roman" w:hAnsi="Times New Roman" w:eastAsiaTheme="minorEastAsia"/>
              <w:szCs w:val="28"/>
              <w:highlight w:val="none"/>
              <w:lang w:val="en-US" w:eastAsia="zh-CN"/>
            </w:rPr>
            <w:fldChar w:fldCharType="separate"/>
          </w:r>
          <w:r>
            <w:rPr>
              <w:rFonts w:hint="default" w:ascii="Times New Roman" w:hAnsi="Times New Roman" w:eastAsia="黑体"/>
              <w:caps w:val="0"/>
              <w:smallCaps w:val="0"/>
            </w:rPr>
            <w:t xml:space="preserve">4.2 </w:t>
          </w:r>
          <w:r>
            <w:rPr>
              <w:rFonts w:hint="eastAsia" w:ascii="Times New Roman" w:hAnsi="Times New Roman" w:eastAsia="黑体"/>
              <w:caps w:val="0"/>
              <w:smallCaps w:val="0"/>
              <w:highlight w:val="none"/>
            </w:rPr>
            <w:t>安全设施设计原则</w:t>
          </w:r>
          <w:r>
            <w:tab/>
          </w:r>
          <w:r>
            <w:fldChar w:fldCharType="begin"/>
          </w:r>
          <w:r>
            <w:instrText xml:space="preserve"> PAGEREF _Toc22538 \h </w:instrText>
          </w:r>
          <w:r>
            <w:fldChar w:fldCharType="separate"/>
          </w:r>
          <w:r>
            <w:t>47</w:t>
          </w:r>
          <w:r>
            <w:fldChar w:fldCharType="end"/>
          </w:r>
          <w:r>
            <w:rPr>
              <w:rFonts w:hint="default" w:ascii="Times New Roman" w:hAnsi="Times New Roman" w:eastAsiaTheme="minorEastAsia"/>
              <w:color w:val="auto"/>
              <w:szCs w:val="28"/>
              <w:highlight w:val="none"/>
              <w:lang w:val="en-US" w:eastAsia="zh-CN"/>
            </w:rPr>
            <w:fldChar w:fldCharType="end"/>
          </w:r>
        </w:p>
        <w:p w14:paraId="689B4472">
          <w:pPr>
            <w:pStyle w:val="23"/>
            <w:tabs>
              <w:tab w:val="right" w:leader="dot" w:pos="9185"/>
            </w:tabs>
          </w:pPr>
          <w:r>
            <w:rPr>
              <w:rFonts w:hint="default" w:ascii="Times New Roman" w:hAnsi="Times New Roman" w:eastAsiaTheme="minorEastAsia"/>
              <w:color w:val="auto"/>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_Toc23113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5 </w:t>
          </w:r>
          <w:r>
            <w:rPr>
              <w:rFonts w:hint="default"/>
              <w:highlight w:val="none"/>
              <w:lang w:val="en-US" w:eastAsia="zh-CN"/>
            </w:rPr>
            <w:t>评价结论</w:t>
          </w:r>
          <w:r>
            <w:tab/>
          </w:r>
          <w:r>
            <w:fldChar w:fldCharType="begin"/>
          </w:r>
          <w:r>
            <w:instrText xml:space="preserve"> PAGEREF _Toc23113 \h </w:instrText>
          </w:r>
          <w:r>
            <w:fldChar w:fldCharType="separate"/>
          </w:r>
          <w:r>
            <w:t>49</w:t>
          </w:r>
          <w:r>
            <w:fldChar w:fldCharType="end"/>
          </w:r>
          <w:r>
            <w:rPr>
              <w:rFonts w:hint="default" w:ascii="Times New Roman" w:hAnsi="Times New Roman" w:eastAsiaTheme="minorEastAsia"/>
              <w:color w:val="auto"/>
              <w:szCs w:val="28"/>
              <w:highlight w:val="none"/>
              <w:lang w:val="en-US" w:eastAsia="zh-CN"/>
            </w:rPr>
            <w:fldChar w:fldCharType="end"/>
          </w:r>
        </w:p>
        <w:p w14:paraId="016D1A04">
          <w:pPr>
            <w:pStyle w:val="23"/>
            <w:tabs>
              <w:tab w:val="right" w:leader="dot" w:pos="9185"/>
            </w:tabs>
          </w:pPr>
          <w:r>
            <w:rPr>
              <w:rFonts w:hint="default" w:ascii="Times New Roman" w:hAnsi="Times New Roman" w:eastAsiaTheme="minorEastAsia"/>
              <w:color w:val="auto"/>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_Toc2880 </w:instrText>
          </w:r>
          <w:r>
            <w:rPr>
              <w:rFonts w:hint="default" w:ascii="Times New Roman" w:hAnsi="Times New Roman" w:eastAsiaTheme="minorEastAsia"/>
              <w:szCs w:val="28"/>
              <w:highlight w:val="none"/>
              <w:lang w:val="en-US" w:eastAsia="zh-CN"/>
            </w:rPr>
            <w:fldChar w:fldCharType="separate"/>
          </w:r>
          <w:r>
            <w:rPr>
              <w:rFonts w:hint="default"/>
            </w:rPr>
            <w:t xml:space="preserve">6 </w:t>
          </w:r>
          <w:r>
            <w:rPr>
              <w:rFonts w:hint="eastAsia"/>
              <w:highlight w:val="none"/>
            </w:rPr>
            <w:t>附件</w:t>
          </w:r>
          <w:r>
            <w:tab/>
          </w:r>
          <w:r>
            <w:fldChar w:fldCharType="begin"/>
          </w:r>
          <w:r>
            <w:instrText xml:space="preserve"> PAGEREF _Toc2880 \h </w:instrText>
          </w:r>
          <w:r>
            <w:fldChar w:fldCharType="separate"/>
          </w:r>
          <w:r>
            <w:t>50</w:t>
          </w:r>
          <w:r>
            <w:fldChar w:fldCharType="end"/>
          </w:r>
          <w:r>
            <w:rPr>
              <w:rFonts w:hint="default" w:ascii="Times New Roman" w:hAnsi="Times New Roman" w:eastAsiaTheme="minorEastAsia"/>
              <w:color w:val="auto"/>
              <w:szCs w:val="28"/>
              <w:highlight w:val="none"/>
              <w:lang w:val="en-US" w:eastAsia="zh-CN"/>
            </w:rPr>
            <w:fldChar w:fldCharType="end"/>
          </w:r>
        </w:p>
        <w:p w14:paraId="76FF8514">
          <w:pPr>
            <w:pStyle w:val="23"/>
            <w:tabs>
              <w:tab w:val="right" w:leader="dot" w:pos="9185"/>
            </w:tabs>
          </w:pPr>
          <w:r>
            <w:rPr>
              <w:rFonts w:hint="default" w:ascii="Times New Roman" w:hAnsi="Times New Roman" w:eastAsiaTheme="minorEastAsia"/>
              <w:color w:val="auto"/>
              <w:szCs w:val="28"/>
              <w:highlight w:val="none"/>
              <w:lang w:val="en-US" w:eastAsia="zh-CN"/>
            </w:rPr>
            <w:fldChar w:fldCharType="begin"/>
          </w:r>
          <w:r>
            <w:rPr>
              <w:rFonts w:hint="default" w:ascii="Times New Roman" w:hAnsi="Times New Roman" w:eastAsiaTheme="minorEastAsia"/>
              <w:szCs w:val="28"/>
              <w:highlight w:val="none"/>
              <w:lang w:val="en-US" w:eastAsia="zh-CN"/>
            </w:rPr>
            <w:instrText xml:space="preserve"> HYPERLINK \l _Toc29234 </w:instrText>
          </w:r>
          <w:r>
            <w:rPr>
              <w:rFonts w:hint="default" w:ascii="Times New Roman" w:hAnsi="Times New Roman" w:eastAsiaTheme="minorEastAsia"/>
              <w:szCs w:val="28"/>
              <w:highlight w:val="none"/>
              <w:lang w:val="en-US" w:eastAsia="zh-CN"/>
            </w:rPr>
            <w:fldChar w:fldCharType="separate"/>
          </w:r>
          <w:r>
            <w:rPr>
              <w:rFonts w:hint="default"/>
              <w:lang w:val="en-US" w:eastAsia="zh-CN"/>
            </w:rPr>
            <w:t xml:space="preserve">7 </w:t>
          </w:r>
          <w:r>
            <w:rPr>
              <w:rFonts w:hint="eastAsia"/>
              <w:highlight w:val="none"/>
              <w:lang w:val="en-US" w:eastAsia="zh-CN"/>
            </w:rPr>
            <w:t>附图</w:t>
          </w:r>
          <w:r>
            <w:tab/>
          </w:r>
          <w:r>
            <w:fldChar w:fldCharType="begin"/>
          </w:r>
          <w:r>
            <w:instrText xml:space="preserve"> PAGEREF _Toc29234 \h </w:instrText>
          </w:r>
          <w:r>
            <w:fldChar w:fldCharType="separate"/>
          </w:r>
          <w:r>
            <w:t>51</w:t>
          </w:r>
          <w:r>
            <w:fldChar w:fldCharType="end"/>
          </w:r>
          <w:r>
            <w:rPr>
              <w:rFonts w:hint="default" w:ascii="Times New Roman" w:hAnsi="Times New Roman" w:eastAsiaTheme="minorEastAsia"/>
              <w:color w:val="auto"/>
              <w:szCs w:val="28"/>
              <w:highlight w:val="none"/>
              <w:lang w:val="en-US" w:eastAsia="zh-CN"/>
            </w:rPr>
            <w:fldChar w:fldCharType="end"/>
          </w:r>
        </w:p>
        <w:p w14:paraId="770DFA49">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default" w:ascii="Times New Roman" w:hAnsi="Times New Roman" w:eastAsiaTheme="minorEastAsia" w:cstheme="minorBidi"/>
              <w:b/>
              <w:color w:val="auto"/>
              <w:kern w:val="2"/>
              <w:sz w:val="21"/>
              <w:szCs w:val="28"/>
              <w:highlight w:val="none"/>
              <w:lang w:val="en-US" w:eastAsia="zh-CN" w:bidi="ar-SA"/>
            </w:rPr>
          </w:pPr>
          <w:r>
            <w:rPr>
              <w:rFonts w:hint="default" w:ascii="Times New Roman" w:hAnsi="Times New Roman" w:eastAsiaTheme="minorEastAsia"/>
              <w:color w:val="auto"/>
              <w:szCs w:val="28"/>
              <w:highlight w:val="none"/>
              <w:lang w:val="en-US" w:eastAsia="zh-CN"/>
            </w:rPr>
            <w:fldChar w:fldCharType="end"/>
          </w:r>
        </w:p>
      </w:sdtContent>
    </w:sdt>
    <w:p w14:paraId="4D132695">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default" w:ascii="Times New Roman" w:hAnsi="Times New Roman" w:eastAsiaTheme="minorEastAsia" w:cstheme="minorBidi"/>
          <w:b/>
          <w:color w:val="auto"/>
          <w:kern w:val="2"/>
          <w:sz w:val="21"/>
          <w:szCs w:val="28"/>
          <w:highlight w:val="none"/>
          <w:lang w:val="en-US" w:eastAsia="zh-CN" w:bidi="ar-SA"/>
        </w:rPr>
      </w:pPr>
    </w:p>
    <w:p w14:paraId="4B9606D5">
      <w:pPr>
        <w:pStyle w:val="24"/>
        <w:bidi w:val="0"/>
        <w:rPr>
          <w:rFonts w:hint="eastAsia"/>
          <w:color w:val="auto"/>
          <w:highlight w:val="none"/>
        </w:rPr>
        <w:sectPr>
          <w:pgSz w:w="11906" w:h="16838"/>
          <w:pgMar w:top="1417" w:right="1134" w:bottom="1134" w:left="1587" w:header="851" w:footer="992" w:gutter="0"/>
          <w:pgBorders>
            <w:top w:val="none" w:sz="0" w:space="0"/>
            <w:left w:val="none" w:sz="0" w:space="0"/>
            <w:bottom w:val="none" w:sz="0" w:space="0"/>
            <w:right w:val="none" w:sz="0" w:space="0"/>
          </w:pgBorders>
          <w:cols w:space="0" w:num="1"/>
          <w:rtlGutter w:val="0"/>
          <w:docGrid w:type="lines" w:linePitch="312" w:charSpace="0"/>
        </w:sectPr>
      </w:pPr>
    </w:p>
    <w:p w14:paraId="514C0AF5">
      <w:pPr>
        <w:pStyle w:val="29"/>
        <w:bidi w:val="0"/>
        <w:rPr>
          <w:rFonts w:hint="eastAsia"/>
          <w:color w:val="auto"/>
          <w:highlight w:val="none"/>
          <w:lang w:val="en-US" w:eastAsia="zh-CN"/>
        </w:rPr>
      </w:pPr>
      <w:bookmarkStart w:id="0" w:name="_Toc9547"/>
      <w:r>
        <w:rPr>
          <w:rFonts w:hint="eastAsia"/>
          <w:color w:val="auto"/>
          <w:highlight w:val="none"/>
          <w:lang w:val="en-US" w:eastAsia="zh-CN"/>
        </w:rPr>
        <w:t>评价目的与依据</w:t>
      </w:r>
      <w:bookmarkEnd w:id="0"/>
    </w:p>
    <w:p w14:paraId="11944F54">
      <w:pPr>
        <w:pStyle w:val="30"/>
        <w:bidi w:val="0"/>
        <w:rPr>
          <w:rFonts w:hint="default"/>
          <w:color w:val="auto"/>
          <w:highlight w:val="none"/>
          <w:lang w:val="en-US" w:eastAsia="zh-CN"/>
        </w:rPr>
      </w:pPr>
      <w:bookmarkStart w:id="1" w:name="_Toc5265"/>
      <w:r>
        <w:rPr>
          <w:rFonts w:hint="eastAsia"/>
          <w:color w:val="auto"/>
          <w:highlight w:val="none"/>
          <w:lang w:val="en-US" w:eastAsia="zh-CN"/>
        </w:rPr>
        <w:t>评价对象和范围</w:t>
      </w:r>
      <w:bookmarkEnd w:id="1"/>
    </w:p>
    <w:p w14:paraId="3914F3BD">
      <w:pPr>
        <w:pStyle w:val="24"/>
        <w:rPr>
          <w:rFonts w:hint="eastAsia"/>
          <w:color w:val="auto"/>
          <w:highlight w:val="none"/>
          <w:lang w:val="en-US" w:eastAsia="zh-CN"/>
        </w:rPr>
      </w:pPr>
      <w:r>
        <w:rPr>
          <w:rFonts w:hint="eastAsia"/>
          <w:color w:val="auto"/>
          <w:highlight w:val="none"/>
          <w:lang w:val="en-US" w:eastAsia="zh-CN"/>
        </w:rPr>
        <w:t>安全预评价项目名称：岫岩满族自治县皇室啡矿业有限公司露天矿山安全预评价报告。</w:t>
      </w:r>
    </w:p>
    <w:p w14:paraId="572A3DA6">
      <w:pPr>
        <w:pStyle w:val="24"/>
        <w:bidi w:val="0"/>
        <w:rPr>
          <w:rFonts w:hint="eastAsia"/>
          <w:color w:val="auto"/>
          <w:highlight w:val="none"/>
          <w:lang w:val="en-US" w:eastAsia="zh-CN"/>
        </w:rPr>
      </w:pPr>
      <w:r>
        <w:rPr>
          <w:rFonts w:hint="eastAsia"/>
          <w:color w:val="auto"/>
          <w:highlight w:val="none"/>
          <w:lang w:val="en-US" w:eastAsia="zh-CN"/>
        </w:rPr>
        <w:t>本次安全预评价的对象：皇室啡矿业《采矿许可证》划定矿区范围之内（见表1.1-1），《可研报告》确定的150m～184m标高之间的露天开采工程。</w:t>
      </w:r>
    </w:p>
    <w:p w14:paraId="0B0E781A">
      <w:pPr>
        <w:pStyle w:val="24"/>
        <w:bidi w:val="0"/>
        <w:rPr>
          <w:rFonts w:hint="eastAsia"/>
          <w:color w:val="auto"/>
          <w:highlight w:val="none"/>
          <w:lang w:val="en-US" w:eastAsia="zh-CN"/>
        </w:rPr>
      </w:pPr>
      <w:r>
        <w:rPr>
          <w:rFonts w:hint="eastAsia"/>
          <w:color w:val="auto"/>
          <w:highlight w:val="none"/>
          <w:lang w:val="en-US" w:eastAsia="zh-CN"/>
        </w:rPr>
        <w:t>本次安全预评价具体内容包括：总平面布置、开拓运输、采剥、供配电设施、防排水、安全管理的安全可靠性。</w:t>
      </w:r>
    </w:p>
    <w:p w14:paraId="6B99D534">
      <w:pPr>
        <w:pStyle w:val="24"/>
        <w:bidi w:val="0"/>
        <w:rPr>
          <w:rFonts w:hint="eastAsia"/>
          <w:color w:val="auto"/>
          <w:highlight w:val="none"/>
          <w:lang w:val="en-US" w:eastAsia="zh-CN"/>
        </w:rPr>
      </w:pPr>
      <w:r>
        <w:rPr>
          <w:rFonts w:hint="eastAsia"/>
          <w:color w:val="auto"/>
          <w:highlight w:val="none"/>
          <w:lang w:val="en-US" w:eastAsia="zh-CN"/>
        </w:rPr>
        <w:t>有关评价范围的说明：</w:t>
      </w:r>
    </w:p>
    <w:p w14:paraId="3E27EEC1">
      <w:pPr>
        <w:pStyle w:val="24"/>
        <w:bidi w:val="0"/>
        <w:rPr>
          <w:rFonts w:hint="default"/>
          <w:color w:val="auto"/>
          <w:highlight w:val="none"/>
        </w:rPr>
      </w:pPr>
      <w:r>
        <w:rPr>
          <w:rFonts w:hint="eastAsia"/>
          <w:color w:val="auto"/>
          <w:highlight w:val="none"/>
          <w:lang w:eastAsia="zh-CN"/>
        </w:rPr>
        <w:t>（</w:t>
      </w:r>
      <w:r>
        <w:rPr>
          <w:rFonts w:hint="eastAsia"/>
          <w:color w:val="auto"/>
          <w:highlight w:val="none"/>
          <w:lang w:val="en-US" w:eastAsia="zh-CN"/>
        </w:rPr>
        <w:t>1</w:t>
      </w:r>
      <w:r>
        <w:rPr>
          <w:rFonts w:hint="eastAsia"/>
          <w:color w:val="auto"/>
          <w:highlight w:val="none"/>
          <w:lang w:eastAsia="zh-CN"/>
        </w:rPr>
        <w:t>）</w:t>
      </w:r>
      <w:r>
        <w:rPr>
          <w:rFonts w:hint="default"/>
          <w:color w:val="auto"/>
          <w:highlight w:val="none"/>
        </w:rPr>
        <w:t>本次安全预评价范围不包括本项目柴油、汽油等成品油使用和储存</w:t>
      </w:r>
      <w:r>
        <w:rPr>
          <w:rFonts w:hint="default"/>
          <w:color w:val="auto"/>
          <w:highlight w:val="none"/>
          <w:lang w:eastAsia="zh-CN"/>
        </w:rPr>
        <w:t>。</w:t>
      </w:r>
    </w:p>
    <w:p w14:paraId="4B7595F2">
      <w:pPr>
        <w:pStyle w:val="24"/>
        <w:bidi w:val="0"/>
        <w:rPr>
          <w:rFonts w:hint="default"/>
          <w:color w:val="auto"/>
          <w:highlight w:val="none"/>
        </w:rPr>
      </w:pPr>
      <w:r>
        <w:rPr>
          <w:rFonts w:hint="eastAsia"/>
          <w:color w:val="auto"/>
          <w:highlight w:val="none"/>
          <w:lang w:eastAsia="zh-CN"/>
        </w:rPr>
        <w:t>（</w:t>
      </w:r>
      <w:r>
        <w:rPr>
          <w:rFonts w:hint="eastAsia"/>
          <w:color w:val="auto"/>
          <w:highlight w:val="none"/>
          <w:lang w:val="en-US" w:eastAsia="zh-CN"/>
        </w:rPr>
        <w:t>2</w:t>
      </w:r>
      <w:r>
        <w:rPr>
          <w:rFonts w:hint="eastAsia"/>
          <w:color w:val="auto"/>
          <w:highlight w:val="none"/>
          <w:lang w:eastAsia="zh-CN"/>
        </w:rPr>
        <w:t>）</w:t>
      </w:r>
      <w:r>
        <w:rPr>
          <w:rFonts w:hint="default"/>
          <w:color w:val="auto"/>
          <w:highlight w:val="none"/>
        </w:rPr>
        <w:t>本项目涉及的环境保护、职业卫生防护等问题，应执行国家、地方有关规定及相关标准，不包括在本次评价范围内。</w:t>
      </w:r>
    </w:p>
    <w:p w14:paraId="427677DD">
      <w:pPr>
        <w:pStyle w:val="32"/>
        <w:bidi w:val="0"/>
        <w:rPr>
          <w:rFonts w:hint="eastAsia"/>
          <w:color w:val="auto"/>
          <w:highlight w:val="none"/>
        </w:rPr>
      </w:pPr>
      <w:r>
        <w:rPr>
          <w:rFonts w:hint="eastAsia"/>
          <w:color w:val="auto"/>
          <w:highlight w:val="none"/>
        </w:rPr>
        <w:t>表1.1-1  《采矿许可证》矿区范围拐点坐标表（2000国家大地坐标系）</w:t>
      </w:r>
    </w:p>
    <w:p w14:paraId="796C6BDF">
      <w:pPr>
        <w:pStyle w:val="32"/>
        <w:bidi w:val="0"/>
        <w:jc w:val="both"/>
        <w:rPr>
          <w:rFonts w:hint="eastAsia"/>
          <w:color w:val="auto"/>
          <w:highlight w:val="none"/>
        </w:rPr>
      </w:pPr>
    </w:p>
    <w:p w14:paraId="4F9096B7">
      <w:pPr>
        <w:pStyle w:val="32"/>
        <w:bidi w:val="0"/>
        <w:rPr>
          <w:rFonts w:hint="eastAsia"/>
          <w:color w:val="auto"/>
          <w:highlight w:val="none"/>
        </w:rPr>
      </w:pPr>
      <w:r>
        <w:rPr>
          <w:rFonts w:hint="eastAsia"/>
          <w:color w:val="auto"/>
          <w:highlight w:val="none"/>
        </w:rPr>
        <w:t>表1.1-2  《可研报告》设计范围拐点坐标表（2000国家大地坐标系）</w:t>
      </w:r>
    </w:p>
    <w:p w14:paraId="76D9F951">
      <w:pPr>
        <w:pStyle w:val="24"/>
        <w:rPr>
          <w:rFonts w:hint="default"/>
          <w:color w:val="auto"/>
          <w:highlight w:val="none"/>
          <w:lang w:val="en-US" w:eastAsia="zh-CN"/>
        </w:rPr>
      </w:pPr>
    </w:p>
    <w:p w14:paraId="3A3F363D">
      <w:pPr>
        <w:pStyle w:val="32"/>
        <w:bidi w:val="0"/>
        <w:rPr>
          <w:rFonts w:hint="eastAsia"/>
          <w:color w:val="auto"/>
          <w:highlight w:val="none"/>
        </w:rPr>
      </w:pPr>
      <w:r>
        <w:rPr>
          <w:rFonts w:hint="eastAsia"/>
          <w:color w:val="auto"/>
          <w:highlight w:val="none"/>
        </w:rPr>
        <w:t>表1.1-3  本次评价范围拐点坐标表（2000国家大地坐标系）</w:t>
      </w:r>
    </w:p>
    <w:p w14:paraId="4C190264">
      <w:pPr>
        <w:pStyle w:val="24"/>
        <w:rPr>
          <w:rFonts w:hint="eastAsia"/>
          <w:color w:val="auto"/>
          <w:highlight w:val="none"/>
        </w:rPr>
      </w:pPr>
    </w:p>
    <w:p w14:paraId="791A1BEE">
      <w:pPr>
        <w:pStyle w:val="30"/>
        <w:bidi w:val="0"/>
        <w:rPr>
          <w:color w:val="auto"/>
          <w:highlight w:val="none"/>
        </w:rPr>
      </w:pPr>
      <w:bookmarkStart w:id="2" w:name="_Toc23023"/>
      <w:bookmarkStart w:id="3" w:name="_Toc31794"/>
      <w:r>
        <w:rPr>
          <w:rFonts w:hint="eastAsia"/>
          <w:color w:val="auto"/>
          <w:highlight w:val="none"/>
        </w:rPr>
        <w:t>评价依据</w:t>
      </w:r>
      <w:bookmarkEnd w:id="2"/>
      <w:bookmarkEnd w:id="3"/>
    </w:p>
    <w:p w14:paraId="6275A839">
      <w:pPr>
        <w:pStyle w:val="31"/>
        <w:bidi w:val="0"/>
        <w:rPr>
          <w:color w:val="auto"/>
          <w:highlight w:val="none"/>
        </w:rPr>
      </w:pPr>
      <w:r>
        <w:rPr>
          <w:rFonts w:hint="eastAsia"/>
          <w:color w:val="auto"/>
          <w:highlight w:val="none"/>
          <w:lang w:val="en-US" w:eastAsia="zh-CN"/>
        </w:rPr>
        <w:t>法律</w:t>
      </w:r>
    </w:p>
    <w:p w14:paraId="3D730739">
      <w:pPr>
        <w:pStyle w:val="24"/>
        <w:numPr>
          <w:ilvl w:val="0"/>
          <w:numId w:val="3"/>
        </w:numPr>
        <w:bidi w:val="0"/>
        <w:rPr>
          <w:rFonts w:hint="default" w:ascii="Times New Roman" w:hAnsi="Times New Roman" w:eastAsia="宋体"/>
          <w:color w:val="auto"/>
          <w:highlight w:val="none"/>
          <w:lang w:val="en-US" w:eastAsia="zh-CN"/>
        </w:rPr>
      </w:pPr>
      <w:bookmarkStart w:id="4" w:name="_Toc279954742"/>
      <w:bookmarkStart w:id="5" w:name="_Toc270502404"/>
      <w:bookmarkStart w:id="6" w:name="_Toc271465713"/>
      <w:bookmarkStart w:id="7" w:name="_Toc276303234"/>
      <w:bookmarkStart w:id="8" w:name="_Toc271458974"/>
      <w:bookmarkStart w:id="9" w:name="_Toc281196204"/>
      <w:bookmarkStart w:id="10" w:name="_Toc280772592"/>
      <w:r>
        <w:rPr>
          <w:rFonts w:hint="default" w:ascii="Times New Roman" w:hAnsi="Times New Roman" w:eastAsia="宋体"/>
          <w:color w:val="auto"/>
          <w:highlight w:val="none"/>
          <w:lang w:val="en-US" w:eastAsia="zh-CN"/>
        </w:rPr>
        <w:t>《中华人民共和国矿山安全法》（中华人民共和国主席令〔1992〕第65号，根据2009年8月27日第十一届全国人民代表大会常务委员会第十次会议《关于</w:t>
      </w:r>
      <w:r>
        <w:rPr>
          <w:rFonts w:hint="default" w:ascii="Times New Roman" w:hAnsi="Times New Roman" w:eastAsia="宋体"/>
          <w:color w:val="auto"/>
          <w:highlight w:val="none"/>
          <w:lang w:val="en-US" w:eastAsia="zh-CN"/>
        </w:rPr>
        <w:fldChar w:fldCharType="begin"/>
      </w:r>
      <w:r>
        <w:rPr>
          <w:rFonts w:hint="default" w:ascii="Times New Roman" w:hAnsi="Times New Roman" w:eastAsia="宋体"/>
          <w:color w:val="auto"/>
          <w:highlight w:val="none"/>
          <w:lang w:val="en-US" w:eastAsia="zh-CN"/>
        </w:rPr>
        <w:instrText xml:space="preserve"> HYPERLINK "https://www.pkulaw.com/chl/d55cb08673bf0232bdfb.html?way=textSlc" \l "tiao_0" \t "https://www.pkulaw.com/chl/_blank" </w:instrText>
      </w:r>
      <w:r>
        <w:rPr>
          <w:rFonts w:hint="default" w:ascii="Times New Roman" w:hAnsi="Times New Roman" w:eastAsia="宋体"/>
          <w:color w:val="auto"/>
          <w:highlight w:val="none"/>
          <w:lang w:val="en-US" w:eastAsia="zh-CN"/>
        </w:rPr>
        <w:fldChar w:fldCharType="separate"/>
      </w:r>
      <w:r>
        <w:rPr>
          <w:rFonts w:hint="default" w:ascii="Times New Roman" w:hAnsi="Times New Roman" w:eastAsia="宋体"/>
          <w:color w:val="auto"/>
          <w:highlight w:val="none"/>
          <w:lang w:val="en-US" w:eastAsia="zh-CN"/>
        </w:rPr>
        <w:t>修改部分法律的决定</w:t>
      </w:r>
      <w:r>
        <w:rPr>
          <w:rFonts w:hint="default" w:ascii="Times New Roman" w:hAnsi="Times New Roman" w:eastAsia="宋体"/>
          <w:color w:val="auto"/>
          <w:highlight w:val="none"/>
          <w:lang w:val="en-US" w:eastAsia="zh-CN"/>
        </w:rPr>
        <w:fldChar w:fldCharType="end"/>
      </w:r>
      <w:r>
        <w:rPr>
          <w:rFonts w:hint="default" w:ascii="Times New Roman" w:hAnsi="Times New Roman" w:eastAsia="宋体"/>
          <w:color w:val="auto"/>
          <w:highlight w:val="none"/>
          <w:lang w:val="en-US" w:eastAsia="zh-CN"/>
        </w:rPr>
        <w:t>》修正，2009年8月27日施行）；</w:t>
      </w:r>
    </w:p>
    <w:p w14:paraId="6A88E4C6">
      <w:pPr>
        <w:pStyle w:val="24"/>
        <w:numPr>
          <w:ilvl w:val="0"/>
          <w:numId w:val="3"/>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《中华人民共和国矿产资源法》（中华人民共和国主席令〔19</w:t>
      </w:r>
      <w:r>
        <w:rPr>
          <w:rFonts w:hint="default" w:ascii="Times New Roman" w:hAnsi="Times New Roman" w:eastAsia="宋体"/>
          <w:color w:val="auto"/>
          <w:highlight w:val="none"/>
          <w:lang w:val="en-US" w:eastAsia="zh-CN"/>
        </w:rPr>
        <w:t>86</w:t>
      </w:r>
      <w:r>
        <w:rPr>
          <w:rFonts w:hint="default" w:ascii="Times New Roman" w:hAnsi="Times New Roman" w:eastAsia="宋体"/>
          <w:color w:val="auto"/>
          <w:highlight w:val="none"/>
          <w:lang w:val="sq-AL"/>
        </w:rPr>
        <w:t>〕第36号，根据2009年8月27日第十一届全国人民代表大会常务委员会第十次会议《关于修改部分法律的决定》第二次修正，2009年8月27日施行）；</w:t>
      </w:r>
    </w:p>
    <w:p w14:paraId="228108AD">
      <w:pPr>
        <w:pStyle w:val="24"/>
        <w:numPr>
          <w:ilvl w:val="0"/>
          <w:numId w:val="3"/>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《中华人民共和国特种设备安全法》（中华人民共和国主席令〔</w:t>
      </w:r>
      <w:r>
        <w:rPr>
          <w:rFonts w:hint="default" w:ascii="Times New Roman" w:hAnsi="Times New Roman" w:eastAsia="宋体"/>
          <w:color w:val="auto"/>
          <w:highlight w:val="none"/>
          <w:lang w:val="en-US" w:eastAsia="zh-CN"/>
        </w:rPr>
        <w:t>2013</w:t>
      </w:r>
      <w:r>
        <w:rPr>
          <w:rFonts w:hint="default" w:ascii="Times New Roman" w:hAnsi="Times New Roman" w:eastAsia="宋体"/>
          <w:color w:val="auto"/>
          <w:highlight w:val="none"/>
          <w:lang w:val="sq-AL"/>
        </w:rPr>
        <w:t>〕第4号，2014年1月1日施行）；</w:t>
      </w:r>
    </w:p>
    <w:p w14:paraId="58083D42">
      <w:pPr>
        <w:pStyle w:val="24"/>
        <w:numPr>
          <w:ilvl w:val="0"/>
          <w:numId w:val="3"/>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《中华人民共和国消防法》（中华人民共和国主席令〔20</w:t>
      </w:r>
      <w:r>
        <w:rPr>
          <w:rFonts w:hint="default" w:ascii="Times New Roman" w:hAnsi="Times New Roman" w:eastAsia="宋体"/>
          <w:color w:val="auto"/>
          <w:highlight w:val="none"/>
          <w:lang w:val="en-US" w:eastAsia="zh-CN"/>
        </w:rPr>
        <w:t>08</w:t>
      </w:r>
      <w:r>
        <w:rPr>
          <w:rFonts w:hint="default" w:ascii="Times New Roman" w:hAnsi="Times New Roman" w:eastAsia="宋体"/>
          <w:color w:val="auto"/>
          <w:highlight w:val="none"/>
          <w:lang w:val="sq-AL"/>
        </w:rPr>
        <w:t>〕第</w:t>
      </w:r>
      <w:r>
        <w:rPr>
          <w:rFonts w:hint="default" w:ascii="Times New Roman" w:hAnsi="Times New Roman" w:eastAsia="宋体"/>
          <w:color w:val="auto"/>
          <w:highlight w:val="none"/>
          <w:lang w:val="en-US" w:eastAsia="zh-CN"/>
        </w:rPr>
        <w:t>6</w:t>
      </w:r>
      <w:r>
        <w:rPr>
          <w:rFonts w:hint="default" w:ascii="Times New Roman" w:hAnsi="Times New Roman" w:eastAsia="宋体"/>
          <w:color w:val="auto"/>
          <w:highlight w:val="none"/>
          <w:lang w:val="sq-AL"/>
        </w:rPr>
        <w:t>号，根据2021年4月29日第十三届全国人民代表大会常务委员会第二十八次会议《关于修改〈中华人民共和国道路交通安全法〉等八部法律的决定》第</w:t>
      </w:r>
      <w:r>
        <w:rPr>
          <w:rFonts w:hint="default" w:ascii="Times New Roman" w:hAnsi="Times New Roman" w:eastAsia="宋体"/>
          <w:color w:val="auto"/>
          <w:highlight w:val="none"/>
          <w:lang w:val="en-US" w:eastAsia="zh-CN"/>
        </w:rPr>
        <w:t>二</w:t>
      </w:r>
      <w:r>
        <w:rPr>
          <w:rFonts w:hint="default" w:ascii="Times New Roman" w:hAnsi="Times New Roman" w:eastAsia="宋体"/>
          <w:color w:val="auto"/>
          <w:highlight w:val="none"/>
          <w:lang w:val="sq-AL"/>
        </w:rPr>
        <w:t>次修正，2021年4月29日施行）；</w:t>
      </w:r>
    </w:p>
    <w:p w14:paraId="2CFDD084">
      <w:pPr>
        <w:pStyle w:val="24"/>
        <w:numPr>
          <w:ilvl w:val="0"/>
          <w:numId w:val="3"/>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《中华人民共和国安全生产法》（中华人民共和国主席令〔20</w:t>
      </w:r>
      <w:r>
        <w:rPr>
          <w:rFonts w:hint="default" w:ascii="Times New Roman" w:hAnsi="Times New Roman" w:eastAsia="宋体"/>
          <w:color w:val="auto"/>
          <w:highlight w:val="none"/>
          <w:lang w:val="en-US" w:eastAsia="zh-CN"/>
        </w:rPr>
        <w:t>02</w:t>
      </w:r>
      <w:r>
        <w:rPr>
          <w:rFonts w:hint="default" w:ascii="Times New Roman" w:hAnsi="Times New Roman" w:eastAsia="宋体"/>
          <w:color w:val="auto"/>
          <w:highlight w:val="none"/>
          <w:lang w:val="sq-AL"/>
        </w:rPr>
        <w:t>〕第</w:t>
      </w:r>
      <w:r>
        <w:rPr>
          <w:rFonts w:hint="default" w:ascii="Times New Roman" w:hAnsi="Times New Roman" w:eastAsia="宋体"/>
          <w:color w:val="auto"/>
          <w:highlight w:val="none"/>
          <w:lang w:val="en-US" w:eastAsia="zh-CN"/>
        </w:rPr>
        <w:t>70</w:t>
      </w:r>
      <w:r>
        <w:rPr>
          <w:rFonts w:hint="default" w:ascii="Times New Roman" w:hAnsi="Times New Roman" w:eastAsia="宋体"/>
          <w:color w:val="auto"/>
          <w:highlight w:val="none"/>
          <w:lang w:val="sq-AL"/>
        </w:rPr>
        <w:t>号，根据2021年6月10日第十三届全国人民代表大会常务委员会第二十九次会议《关于修改〈中华人民共和国安全生产法〉的决定》第三次修正，2021年9月1日施行）</w:t>
      </w:r>
      <w:r>
        <w:rPr>
          <w:rFonts w:hint="default" w:ascii="Times New Roman" w:hAnsi="Times New Roman" w:eastAsia="宋体"/>
          <w:color w:val="auto"/>
          <w:highlight w:val="none"/>
          <w:lang w:val="sq-AL" w:eastAsia="zh-CN"/>
        </w:rPr>
        <w:t>。</w:t>
      </w:r>
    </w:p>
    <w:p w14:paraId="57B78CD4">
      <w:pPr>
        <w:pStyle w:val="31"/>
        <w:bidi w:val="0"/>
        <w:rPr>
          <w:rFonts w:hint="default"/>
          <w:color w:val="auto"/>
          <w:highlight w:val="none"/>
          <w:lang w:val="en-US" w:eastAsia="zh-CN"/>
        </w:rPr>
      </w:pPr>
      <w:r>
        <w:rPr>
          <w:rFonts w:hint="default"/>
          <w:color w:val="auto"/>
          <w:highlight w:val="none"/>
          <w:lang w:val="en-US" w:eastAsia="zh-CN"/>
        </w:rPr>
        <w:t>行政法规</w:t>
      </w:r>
    </w:p>
    <w:p w14:paraId="10D1F16A">
      <w:pPr>
        <w:pStyle w:val="24"/>
        <w:numPr>
          <w:ilvl w:val="0"/>
          <w:numId w:val="4"/>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《建设工程安全生产管理条例》（国务院令〔2003〕第393号，2004年2月1日施行）；</w:t>
      </w:r>
    </w:p>
    <w:p w14:paraId="6ACC1B05">
      <w:pPr>
        <w:pStyle w:val="24"/>
        <w:numPr>
          <w:ilvl w:val="0"/>
          <w:numId w:val="4"/>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《民用爆炸物品安全管理条例》（国务院令〔2006〕第466号，根据2014年7月29日国务院令第653号《国务院关于修改部分行政法规的决定》修订，2014年7月29日施行）；</w:t>
      </w:r>
    </w:p>
    <w:p w14:paraId="7507B3F2">
      <w:pPr>
        <w:pStyle w:val="24"/>
        <w:numPr>
          <w:ilvl w:val="0"/>
          <w:numId w:val="4"/>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《生产安全事故应急条例》（国务院令〔2019〕第708号，2019年4月1日施行）。</w:t>
      </w:r>
    </w:p>
    <w:p w14:paraId="09AA600D">
      <w:pPr>
        <w:pStyle w:val="31"/>
        <w:bidi w:val="0"/>
        <w:rPr>
          <w:rFonts w:hint="default"/>
          <w:color w:val="auto"/>
          <w:highlight w:val="none"/>
          <w:lang w:val="en-US" w:eastAsia="zh-CN"/>
        </w:rPr>
      </w:pPr>
      <w:r>
        <w:rPr>
          <w:rFonts w:hint="default"/>
          <w:color w:val="auto"/>
          <w:highlight w:val="none"/>
          <w:lang w:val="en-US" w:eastAsia="zh-CN"/>
        </w:rPr>
        <w:t>部门规章</w:t>
      </w:r>
    </w:p>
    <w:p w14:paraId="22254BE0">
      <w:pPr>
        <w:pStyle w:val="24"/>
        <w:numPr>
          <w:ilvl w:val="0"/>
          <w:numId w:val="5"/>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《关于发布金属非金属矿山禁止使用的设备及工艺目录（第二批）的通知》（安监总管一〔2015〕13号，2015年2月13日施行）；</w:t>
      </w:r>
    </w:p>
    <w:p w14:paraId="51907CDA">
      <w:pPr>
        <w:pStyle w:val="24"/>
        <w:numPr>
          <w:ilvl w:val="0"/>
          <w:numId w:val="5"/>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《金属非金属矿山建设项目安全设施目录（试行）》（国家安全生产监督管理总局令〔2015〕第75号，2015年7月1日施行）；</w:t>
      </w:r>
    </w:p>
    <w:p w14:paraId="15CF5C6F">
      <w:pPr>
        <w:pStyle w:val="24"/>
        <w:numPr>
          <w:ilvl w:val="0"/>
          <w:numId w:val="5"/>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《生产经营单位安全培训规定》</w:t>
      </w:r>
      <w:r>
        <w:rPr>
          <w:rFonts w:hint="default" w:ascii="Times New Roman" w:hAnsi="Times New Roman" w:eastAsia="宋体"/>
          <w:color w:val="auto"/>
          <w:highlight w:val="none"/>
          <w:lang w:val="en-US" w:eastAsia="zh-CN"/>
        </w:rPr>
        <w:t xml:space="preserve"> </w:t>
      </w:r>
      <w:r>
        <w:rPr>
          <w:rFonts w:hint="default" w:ascii="Times New Roman" w:hAnsi="Times New Roman" w:eastAsia="宋体"/>
          <w:color w:val="auto"/>
          <w:highlight w:val="none"/>
          <w:lang w:val="sq-AL"/>
        </w:rPr>
        <w:t>（国家安全生产监督管理总局令〔20</w:t>
      </w:r>
      <w:r>
        <w:rPr>
          <w:rFonts w:hint="default" w:ascii="Times New Roman" w:hAnsi="Times New Roman" w:eastAsia="宋体"/>
          <w:color w:val="auto"/>
          <w:highlight w:val="none"/>
          <w:lang w:val="en-US" w:eastAsia="zh-CN"/>
        </w:rPr>
        <w:t>06</w:t>
      </w:r>
      <w:r>
        <w:rPr>
          <w:rFonts w:hint="default" w:ascii="Times New Roman" w:hAnsi="Times New Roman" w:eastAsia="宋体"/>
          <w:color w:val="auto"/>
          <w:highlight w:val="none"/>
          <w:lang w:val="sq-AL"/>
        </w:rPr>
        <w:t>〕第3号，根据2015年</w:t>
      </w:r>
      <w:r>
        <w:rPr>
          <w:rFonts w:hint="default" w:ascii="Times New Roman" w:hAnsi="Times New Roman" w:eastAsia="宋体"/>
          <w:color w:val="auto"/>
          <w:highlight w:val="none"/>
          <w:lang w:val="en-US" w:eastAsia="zh-CN"/>
        </w:rPr>
        <w:t>5</w:t>
      </w:r>
      <w:r>
        <w:rPr>
          <w:rFonts w:hint="default" w:ascii="Times New Roman" w:hAnsi="Times New Roman" w:eastAsia="宋体"/>
          <w:color w:val="auto"/>
          <w:highlight w:val="none"/>
          <w:lang w:val="sq-AL"/>
        </w:rPr>
        <w:t>月</w:t>
      </w:r>
      <w:r>
        <w:rPr>
          <w:rFonts w:hint="default" w:ascii="Times New Roman" w:hAnsi="Times New Roman" w:eastAsia="宋体"/>
          <w:color w:val="auto"/>
          <w:highlight w:val="none"/>
          <w:lang w:val="en-US" w:eastAsia="zh-CN"/>
        </w:rPr>
        <w:t>29</w:t>
      </w:r>
      <w:r>
        <w:rPr>
          <w:rFonts w:hint="default" w:ascii="Times New Roman" w:hAnsi="Times New Roman" w:eastAsia="宋体"/>
          <w:color w:val="auto"/>
          <w:highlight w:val="none"/>
          <w:lang w:val="sq-AL"/>
        </w:rPr>
        <w:t>日国家安全生产监督管理总局令第80号《关于废止和修改劳动防护用品和安全培训等领域十部规章的决定》第二次修订，2015年7月1日施行）；</w:t>
      </w:r>
    </w:p>
    <w:p w14:paraId="7C45006C">
      <w:pPr>
        <w:pStyle w:val="24"/>
        <w:numPr>
          <w:ilvl w:val="0"/>
          <w:numId w:val="5"/>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《国家安全监管总局关于印发金属非金属矿山建设项目安全评价报告编写提纲的通知》（安监总管一〔2016〕49号，2016年5月30日施行）；</w:t>
      </w:r>
    </w:p>
    <w:p w14:paraId="21E52A43">
      <w:pPr>
        <w:pStyle w:val="24"/>
        <w:numPr>
          <w:ilvl w:val="0"/>
          <w:numId w:val="5"/>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w:t>
      </w:r>
      <w:r>
        <w:rPr>
          <w:rFonts w:hint="default" w:ascii="Times New Roman" w:hAnsi="Times New Roman" w:eastAsia="宋体"/>
          <w:color w:val="auto"/>
          <w:highlight w:val="none"/>
          <w:lang w:val="en-US" w:eastAsia="zh-CN"/>
        </w:rPr>
        <w:t>国务院安委会办公室</w:t>
      </w:r>
      <w:r>
        <w:rPr>
          <w:rFonts w:hint="default" w:ascii="Times New Roman" w:hAnsi="Times New Roman" w:eastAsia="宋体"/>
          <w:color w:val="auto"/>
          <w:highlight w:val="none"/>
          <w:lang w:val="sq-AL"/>
        </w:rPr>
        <w:t>关于全面加强企业全员安全生产责任制工作的通知》（安委办〔2017〕29号，2017年10月10日施行）；</w:t>
      </w:r>
    </w:p>
    <w:p w14:paraId="2DFEDAA0">
      <w:pPr>
        <w:pStyle w:val="24"/>
        <w:numPr>
          <w:ilvl w:val="0"/>
          <w:numId w:val="5"/>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《建设项目安全设施“三同时”监督管理办法》（国家安全生产监督管理总局令〔2010〕第36号，根据2015年</w:t>
      </w:r>
      <w:r>
        <w:rPr>
          <w:rFonts w:hint="default" w:ascii="Times New Roman" w:hAnsi="Times New Roman" w:eastAsia="宋体"/>
          <w:color w:val="auto"/>
          <w:highlight w:val="none"/>
          <w:lang w:val="en-US" w:eastAsia="zh-CN"/>
        </w:rPr>
        <w:t>4</w:t>
      </w:r>
      <w:r>
        <w:rPr>
          <w:rFonts w:hint="default" w:ascii="Times New Roman" w:hAnsi="Times New Roman" w:eastAsia="宋体"/>
          <w:color w:val="auto"/>
          <w:highlight w:val="none"/>
          <w:lang w:val="sq-AL"/>
        </w:rPr>
        <w:t>月</w:t>
      </w:r>
      <w:r>
        <w:rPr>
          <w:rFonts w:hint="default" w:ascii="Times New Roman" w:hAnsi="Times New Roman" w:eastAsia="宋体"/>
          <w:color w:val="auto"/>
          <w:highlight w:val="none"/>
          <w:lang w:val="en-US" w:eastAsia="zh-CN"/>
        </w:rPr>
        <w:t>2</w:t>
      </w:r>
      <w:r>
        <w:rPr>
          <w:rFonts w:hint="default" w:ascii="Times New Roman" w:hAnsi="Times New Roman" w:eastAsia="宋体"/>
          <w:color w:val="auto"/>
          <w:highlight w:val="none"/>
          <w:lang w:val="sq-AL"/>
        </w:rPr>
        <w:t>日国家安全生产监督管理总局令第77号《关于修改&lt;生产安全事故报告和调查处理条例&gt;罚款处罚暂行规定等四部规章的决定》修</w:t>
      </w:r>
      <w:r>
        <w:rPr>
          <w:rFonts w:hint="default" w:ascii="Times New Roman" w:hAnsi="Times New Roman" w:eastAsia="宋体"/>
          <w:color w:val="auto"/>
          <w:highlight w:val="none"/>
          <w:lang w:val="en-US" w:eastAsia="zh-CN"/>
        </w:rPr>
        <w:t>正，</w:t>
      </w:r>
      <w:r>
        <w:rPr>
          <w:rFonts w:hint="default" w:ascii="Times New Roman" w:hAnsi="Times New Roman" w:eastAsia="宋体"/>
          <w:color w:val="auto"/>
          <w:highlight w:val="none"/>
          <w:lang w:val="sq-AL"/>
        </w:rPr>
        <w:t>根据应急部公告〔2018〕12号</w:t>
      </w:r>
      <w:r>
        <w:rPr>
          <w:rFonts w:hint="default" w:ascii="Times New Roman" w:hAnsi="Times New Roman" w:eastAsia="宋体"/>
          <w:color w:val="auto"/>
          <w:highlight w:val="none"/>
          <w:lang w:val="en-US" w:eastAsia="zh-CN"/>
        </w:rPr>
        <w:t>第二次</w:t>
      </w:r>
      <w:r>
        <w:rPr>
          <w:rFonts w:hint="default" w:ascii="Times New Roman" w:hAnsi="Times New Roman" w:eastAsia="宋体"/>
          <w:color w:val="auto"/>
          <w:highlight w:val="none"/>
          <w:lang w:val="sq-AL"/>
        </w:rPr>
        <w:t>修正，2018年12月4日施行）；</w:t>
      </w:r>
    </w:p>
    <w:p w14:paraId="40D35266">
      <w:pPr>
        <w:pStyle w:val="24"/>
        <w:numPr>
          <w:ilvl w:val="0"/>
          <w:numId w:val="5"/>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生产安全事故应急预案管理办法》（国家安全生产监督管理总局令〔2016〕第88号，根据2019年7月11日应急管理部令第2号《应急管理部关于修改〈生产安全事故应急预案管理办法〉的决定》修正，2019年9月1日施行）；</w:t>
      </w:r>
    </w:p>
    <w:p w14:paraId="7AE7F5EE">
      <w:pPr>
        <w:pStyle w:val="24"/>
        <w:numPr>
          <w:ilvl w:val="0"/>
          <w:numId w:val="5"/>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《国家矿山安全监察局关于印发&lt;关于加强非煤矿山安全生产工作的指导意见&gt;的通知》（矿安〔2022〕4号，2022年</w:t>
      </w:r>
      <w:r>
        <w:rPr>
          <w:rFonts w:hint="default" w:ascii="Times New Roman" w:hAnsi="Times New Roman" w:eastAsia="宋体"/>
          <w:color w:val="auto"/>
          <w:highlight w:val="none"/>
          <w:lang w:val="en-US" w:eastAsia="zh-CN"/>
        </w:rPr>
        <w:t>2</w:t>
      </w:r>
      <w:r>
        <w:rPr>
          <w:rFonts w:hint="default" w:ascii="Times New Roman" w:hAnsi="Times New Roman" w:eastAsia="宋体"/>
          <w:color w:val="auto"/>
          <w:highlight w:val="none"/>
          <w:lang w:val="sq-AL"/>
        </w:rPr>
        <w:t>月</w:t>
      </w:r>
      <w:r>
        <w:rPr>
          <w:rFonts w:hint="default" w:ascii="Times New Roman" w:hAnsi="Times New Roman" w:eastAsia="宋体"/>
          <w:color w:val="auto"/>
          <w:highlight w:val="none"/>
          <w:lang w:val="en-US" w:eastAsia="zh-CN"/>
        </w:rPr>
        <w:t>8</w:t>
      </w:r>
      <w:r>
        <w:rPr>
          <w:rFonts w:hint="default" w:ascii="Times New Roman" w:hAnsi="Times New Roman" w:eastAsia="宋体"/>
          <w:color w:val="auto"/>
          <w:highlight w:val="none"/>
          <w:lang w:val="sq-AL"/>
        </w:rPr>
        <w:t>日施行）；</w:t>
      </w:r>
    </w:p>
    <w:p w14:paraId="03F58CFE">
      <w:pPr>
        <w:pStyle w:val="24"/>
        <w:numPr>
          <w:ilvl w:val="0"/>
          <w:numId w:val="5"/>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《国家矿山安全监察局关于印发&lt;金属非金属矿山重大事故隐患判定标准&gt;的通知》（矿安〔2022〕88号，2022年9月1日施行）；</w:t>
      </w:r>
    </w:p>
    <w:p w14:paraId="55E824B6">
      <w:pPr>
        <w:pStyle w:val="24"/>
        <w:numPr>
          <w:ilvl w:val="0"/>
          <w:numId w:val="5"/>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eastAsia="zh-CN"/>
        </w:rPr>
        <w:t>《</w:t>
      </w:r>
      <w:r>
        <w:rPr>
          <w:rFonts w:hint="default" w:ascii="Times New Roman" w:hAnsi="Times New Roman" w:eastAsia="宋体"/>
          <w:color w:val="auto"/>
          <w:highlight w:val="none"/>
          <w:lang w:val="sq-AL"/>
        </w:rPr>
        <w:t>国家矿山安全监察局关于印发&lt;金属非金属矿山重大事故隐患判定标准</w:t>
      </w:r>
      <w:r>
        <w:rPr>
          <w:rFonts w:hint="default" w:ascii="Times New Roman" w:hAnsi="Times New Roman" w:eastAsia="宋体"/>
          <w:color w:val="auto"/>
          <w:highlight w:val="none"/>
          <w:lang w:val="en-US" w:eastAsia="zh-CN"/>
        </w:rPr>
        <w:t>补充情形</w:t>
      </w:r>
      <w:r>
        <w:rPr>
          <w:rFonts w:hint="default" w:ascii="Times New Roman" w:hAnsi="Times New Roman" w:eastAsia="宋体"/>
          <w:color w:val="auto"/>
          <w:highlight w:val="none"/>
          <w:lang w:val="sq-AL"/>
        </w:rPr>
        <w:t>&gt;的通知</w:t>
      </w:r>
      <w:r>
        <w:rPr>
          <w:rFonts w:hint="default" w:ascii="Times New Roman" w:hAnsi="Times New Roman" w:eastAsia="宋体"/>
          <w:color w:val="auto"/>
          <w:highlight w:val="none"/>
          <w:lang w:val="sq-AL" w:eastAsia="zh-CN"/>
        </w:rPr>
        <w:t>》</w:t>
      </w:r>
      <w:r>
        <w:rPr>
          <w:rFonts w:hint="default" w:ascii="Times New Roman" w:hAnsi="Times New Roman" w:eastAsia="宋体"/>
          <w:color w:val="auto"/>
          <w:highlight w:val="none"/>
          <w:lang w:val="sq-AL"/>
        </w:rPr>
        <w:t>（矿安〔202</w:t>
      </w:r>
      <w:r>
        <w:rPr>
          <w:rFonts w:hint="default" w:ascii="Times New Roman" w:hAnsi="Times New Roman" w:eastAsia="宋体"/>
          <w:color w:val="auto"/>
          <w:highlight w:val="none"/>
          <w:lang w:val="en-US" w:eastAsia="zh-CN"/>
        </w:rPr>
        <w:t>4</w:t>
      </w:r>
      <w:r>
        <w:rPr>
          <w:rFonts w:hint="default" w:ascii="Times New Roman" w:hAnsi="Times New Roman" w:eastAsia="宋体"/>
          <w:color w:val="auto"/>
          <w:highlight w:val="none"/>
          <w:lang w:val="sq-AL"/>
        </w:rPr>
        <w:t>〕</w:t>
      </w:r>
      <w:r>
        <w:rPr>
          <w:rFonts w:hint="default" w:ascii="Times New Roman" w:hAnsi="Times New Roman" w:eastAsia="宋体"/>
          <w:color w:val="auto"/>
          <w:highlight w:val="none"/>
          <w:lang w:val="en-US" w:eastAsia="zh-CN"/>
        </w:rPr>
        <w:t>41</w:t>
      </w:r>
      <w:r>
        <w:rPr>
          <w:rFonts w:hint="default" w:ascii="Times New Roman" w:hAnsi="Times New Roman" w:eastAsia="宋体"/>
          <w:color w:val="auto"/>
          <w:highlight w:val="none"/>
          <w:lang w:val="sq-AL"/>
        </w:rPr>
        <w:t>号，202</w:t>
      </w:r>
      <w:r>
        <w:rPr>
          <w:rFonts w:hint="default" w:ascii="Times New Roman" w:hAnsi="Times New Roman" w:eastAsia="宋体"/>
          <w:color w:val="auto"/>
          <w:highlight w:val="none"/>
          <w:lang w:val="en-US" w:eastAsia="zh-CN"/>
        </w:rPr>
        <w:t>4</w:t>
      </w:r>
      <w:r>
        <w:rPr>
          <w:rFonts w:hint="default" w:ascii="Times New Roman" w:hAnsi="Times New Roman" w:eastAsia="宋体"/>
          <w:color w:val="auto"/>
          <w:highlight w:val="none"/>
          <w:lang w:val="sq-AL"/>
        </w:rPr>
        <w:t>年</w:t>
      </w:r>
      <w:r>
        <w:rPr>
          <w:rFonts w:hint="default" w:ascii="Times New Roman" w:hAnsi="Times New Roman" w:eastAsia="宋体"/>
          <w:color w:val="auto"/>
          <w:highlight w:val="none"/>
          <w:lang w:val="en-US" w:eastAsia="zh-CN"/>
        </w:rPr>
        <w:t>4</w:t>
      </w:r>
      <w:r>
        <w:rPr>
          <w:rFonts w:hint="default" w:ascii="Times New Roman" w:hAnsi="Times New Roman" w:eastAsia="宋体"/>
          <w:color w:val="auto"/>
          <w:highlight w:val="none"/>
          <w:lang w:val="sq-AL"/>
        </w:rPr>
        <w:t>月</w:t>
      </w:r>
      <w:r>
        <w:rPr>
          <w:rFonts w:hint="default" w:ascii="Times New Roman" w:hAnsi="Times New Roman" w:eastAsia="宋体"/>
          <w:color w:val="auto"/>
          <w:highlight w:val="none"/>
          <w:lang w:val="en-US" w:eastAsia="zh-CN"/>
        </w:rPr>
        <w:t>23</w:t>
      </w:r>
      <w:r>
        <w:rPr>
          <w:rFonts w:hint="default" w:ascii="Times New Roman" w:hAnsi="Times New Roman" w:eastAsia="宋体"/>
          <w:color w:val="auto"/>
          <w:highlight w:val="none"/>
          <w:lang w:val="sq-AL"/>
        </w:rPr>
        <w:t>日施行）；</w:t>
      </w:r>
    </w:p>
    <w:p w14:paraId="37DD2B36">
      <w:pPr>
        <w:pStyle w:val="24"/>
        <w:numPr>
          <w:ilvl w:val="0"/>
          <w:numId w:val="5"/>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en-US" w:eastAsia="zh-CN"/>
        </w:rPr>
        <w:t>《财政部、应急部关于印发&lt;</w:t>
      </w:r>
      <w:r>
        <w:rPr>
          <w:rFonts w:hint="default" w:ascii="Times New Roman" w:hAnsi="Times New Roman" w:eastAsia="宋体"/>
          <w:color w:val="auto"/>
          <w:highlight w:val="none"/>
          <w:lang w:val="sq-AL"/>
        </w:rPr>
        <w:t>企业安全生产费用提取和使用管理办法</w:t>
      </w:r>
      <w:r>
        <w:rPr>
          <w:rFonts w:hint="default" w:ascii="Times New Roman" w:hAnsi="Times New Roman" w:eastAsia="宋体"/>
          <w:color w:val="auto"/>
          <w:highlight w:val="none"/>
          <w:lang w:val="en-US" w:eastAsia="zh-CN"/>
        </w:rPr>
        <w:t>&gt;的通知》</w:t>
      </w:r>
      <w:r>
        <w:rPr>
          <w:rFonts w:hint="default" w:ascii="Times New Roman" w:hAnsi="Times New Roman" w:eastAsia="宋体"/>
          <w:color w:val="auto"/>
          <w:highlight w:val="none"/>
          <w:lang w:val="sq-AL"/>
        </w:rPr>
        <w:t>（财</w:t>
      </w:r>
      <w:r>
        <w:rPr>
          <w:rFonts w:hint="default" w:ascii="Times New Roman" w:hAnsi="Times New Roman" w:eastAsia="宋体"/>
          <w:color w:val="auto"/>
          <w:highlight w:val="none"/>
          <w:lang w:val="en-US" w:eastAsia="zh-CN"/>
        </w:rPr>
        <w:t>资</w:t>
      </w:r>
      <w:r>
        <w:rPr>
          <w:rFonts w:hint="default" w:ascii="Times New Roman" w:hAnsi="Times New Roman" w:eastAsia="宋体"/>
          <w:color w:val="auto"/>
          <w:highlight w:val="none"/>
          <w:lang w:val="sq-AL"/>
        </w:rPr>
        <w:t>〔2022〕136号，2022年11月21日施行）</w:t>
      </w:r>
      <w:r>
        <w:rPr>
          <w:rFonts w:hint="default" w:ascii="Times New Roman" w:hAnsi="Times New Roman" w:eastAsia="宋体"/>
          <w:color w:val="auto"/>
          <w:highlight w:val="none"/>
          <w:lang w:val="sq-AL" w:eastAsia="zh-CN"/>
        </w:rPr>
        <w:t>；</w:t>
      </w:r>
    </w:p>
    <w:p w14:paraId="23AC4E1B">
      <w:pPr>
        <w:pStyle w:val="24"/>
        <w:numPr>
          <w:ilvl w:val="0"/>
          <w:numId w:val="5"/>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eastAsia="zh-CN"/>
        </w:rPr>
        <w:t>《</w:t>
      </w:r>
      <w:r>
        <w:rPr>
          <w:rFonts w:hint="default" w:ascii="Times New Roman" w:hAnsi="Times New Roman" w:eastAsia="宋体"/>
          <w:color w:val="auto"/>
          <w:highlight w:val="none"/>
          <w:lang w:val="sq-AL"/>
        </w:rPr>
        <w:t>国家矿山安全监察局关于开展露天矿山边坡监测系统建设及联网工作的通知</w:t>
      </w:r>
      <w:r>
        <w:rPr>
          <w:rFonts w:hint="default" w:ascii="Times New Roman" w:hAnsi="Times New Roman" w:eastAsia="宋体"/>
          <w:color w:val="auto"/>
          <w:highlight w:val="none"/>
          <w:lang w:val="sq-AL" w:eastAsia="zh-CN"/>
        </w:rPr>
        <w:t>》（</w:t>
      </w:r>
      <w:r>
        <w:rPr>
          <w:rFonts w:hint="default" w:ascii="Times New Roman" w:hAnsi="Times New Roman" w:eastAsia="宋体"/>
          <w:color w:val="auto"/>
          <w:highlight w:val="none"/>
          <w:lang w:val="sq-AL"/>
        </w:rPr>
        <w:t>矿安〔2023〕119号</w:t>
      </w:r>
      <w:r>
        <w:rPr>
          <w:rFonts w:hint="default" w:ascii="Times New Roman" w:hAnsi="Times New Roman" w:eastAsia="宋体"/>
          <w:color w:val="auto"/>
          <w:highlight w:val="none"/>
          <w:lang w:val="en-US" w:eastAsia="zh-CN"/>
        </w:rPr>
        <w:t>，</w:t>
      </w:r>
      <w:r>
        <w:rPr>
          <w:rFonts w:hint="default" w:ascii="Times New Roman" w:hAnsi="Times New Roman" w:eastAsia="宋体"/>
          <w:color w:val="auto"/>
          <w:highlight w:val="none"/>
          <w:lang w:val="sq-AL"/>
        </w:rPr>
        <w:t>2023年8月30日</w:t>
      </w:r>
      <w:r>
        <w:rPr>
          <w:rFonts w:hint="default" w:ascii="Times New Roman" w:hAnsi="Times New Roman" w:eastAsia="宋体"/>
          <w:color w:val="auto"/>
          <w:highlight w:val="none"/>
          <w:lang w:val="sq-AL" w:eastAsia="zh-CN"/>
        </w:rPr>
        <w:t>）；</w:t>
      </w:r>
    </w:p>
    <w:p w14:paraId="3328F066">
      <w:pPr>
        <w:pStyle w:val="24"/>
        <w:numPr>
          <w:ilvl w:val="0"/>
          <w:numId w:val="5"/>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eastAsia="zh-CN"/>
        </w:rPr>
        <w:t>《</w:t>
      </w:r>
      <w:r>
        <w:rPr>
          <w:rFonts w:hint="default" w:ascii="Times New Roman" w:hAnsi="Times New Roman" w:eastAsia="宋体"/>
          <w:color w:val="auto"/>
          <w:highlight w:val="none"/>
          <w:lang w:val="sq-AL"/>
        </w:rPr>
        <w:t>中共中央办公厅、国务院办公厅</w:t>
      </w:r>
      <w:r>
        <w:rPr>
          <w:rFonts w:hint="default" w:ascii="Times New Roman" w:hAnsi="Times New Roman" w:eastAsia="宋体"/>
          <w:color w:val="auto"/>
          <w:highlight w:val="none"/>
          <w:lang w:val="en-US" w:eastAsia="zh-CN"/>
        </w:rPr>
        <w:t>&lt;</w:t>
      </w:r>
      <w:r>
        <w:rPr>
          <w:rFonts w:hint="default" w:ascii="Times New Roman" w:hAnsi="Times New Roman" w:eastAsia="宋体"/>
          <w:color w:val="auto"/>
          <w:highlight w:val="none"/>
          <w:lang w:val="sq-AL"/>
        </w:rPr>
        <w:t>关于进一步加强矿山安全生产工作的意见</w:t>
      </w:r>
      <w:r>
        <w:rPr>
          <w:rFonts w:hint="default" w:ascii="Times New Roman" w:hAnsi="Times New Roman" w:eastAsia="宋体"/>
          <w:color w:val="auto"/>
          <w:highlight w:val="none"/>
          <w:lang w:val="en-US" w:eastAsia="zh-CN"/>
        </w:rPr>
        <w:t>&gt;</w:t>
      </w:r>
      <w:r>
        <w:rPr>
          <w:rFonts w:hint="default" w:ascii="Times New Roman" w:hAnsi="Times New Roman" w:eastAsia="宋体"/>
          <w:color w:val="auto"/>
          <w:highlight w:val="none"/>
          <w:lang w:val="sq-AL"/>
        </w:rPr>
        <w:t>》（厅字[2023]21号</w:t>
      </w:r>
      <w:r>
        <w:rPr>
          <w:rFonts w:hint="default" w:ascii="Times New Roman" w:hAnsi="Times New Roman" w:eastAsia="宋体"/>
          <w:color w:val="auto"/>
          <w:highlight w:val="none"/>
          <w:lang w:val="sq-AL" w:eastAsia="zh-CN"/>
        </w:rPr>
        <w:t>，</w:t>
      </w:r>
      <w:r>
        <w:rPr>
          <w:rFonts w:hint="default" w:ascii="Times New Roman" w:hAnsi="Times New Roman" w:eastAsia="宋体"/>
          <w:color w:val="auto"/>
          <w:highlight w:val="none"/>
          <w:lang w:val="sq-AL"/>
        </w:rPr>
        <w:t>2023年</w:t>
      </w:r>
      <w:r>
        <w:rPr>
          <w:rFonts w:hint="default" w:ascii="Times New Roman" w:hAnsi="Times New Roman" w:eastAsia="宋体"/>
          <w:color w:val="auto"/>
          <w:highlight w:val="none"/>
          <w:lang w:val="en-US" w:eastAsia="zh-CN"/>
        </w:rPr>
        <w:t>8</w:t>
      </w:r>
      <w:r>
        <w:rPr>
          <w:rFonts w:hint="default" w:ascii="Times New Roman" w:hAnsi="Times New Roman" w:eastAsia="宋体"/>
          <w:color w:val="auto"/>
          <w:highlight w:val="none"/>
          <w:lang w:val="sq-AL"/>
        </w:rPr>
        <w:t>月</w:t>
      </w:r>
      <w:r>
        <w:rPr>
          <w:rFonts w:hint="default" w:ascii="Times New Roman" w:hAnsi="Times New Roman" w:eastAsia="宋体"/>
          <w:color w:val="auto"/>
          <w:highlight w:val="none"/>
          <w:lang w:val="en-US" w:eastAsia="zh-CN"/>
        </w:rPr>
        <w:t>25</w:t>
      </w:r>
      <w:r>
        <w:rPr>
          <w:rFonts w:hint="default" w:ascii="Times New Roman" w:hAnsi="Times New Roman" w:eastAsia="宋体"/>
          <w:color w:val="auto"/>
          <w:highlight w:val="none"/>
          <w:lang w:val="sq-AL"/>
        </w:rPr>
        <w:t>日</w:t>
      </w:r>
      <w:r>
        <w:rPr>
          <w:rFonts w:hint="default" w:ascii="Times New Roman" w:hAnsi="Times New Roman" w:eastAsia="宋体"/>
          <w:color w:val="auto"/>
          <w:highlight w:val="none"/>
          <w:lang w:val="en-US" w:eastAsia="zh-CN"/>
        </w:rPr>
        <w:t>施行</w:t>
      </w:r>
      <w:r>
        <w:rPr>
          <w:rFonts w:hint="default" w:ascii="Times New Roman" w:hAnsi="Times New Roman" w:eastAsia="宋体"/>
          <w:color w:val="auto"/>
          <w:highlight w:val="none"/>
          <w:lang w:val="sq-AL"/>
        </w:rPr>
        <w:t>）</w:t>
      </w:r>
      <w:r>
        <w:rPr>
          <w:rFonts w:hint="default" w:ascii="Times New Roman" w:hAnsi="Times New Roman" w:eastAsia="宋体"/>
          <w:color w:val="auto"/>
          <w:highlight w:val="none"/>
          <w:lang w:val="sq-AL" w:eastAsia="zh-CN"/>
        </w:rPr>
        <w:t>；</w:t>
      </w:r>
    </w:p>
    <w:p w14:paraId="498C5DCA">
      <w:pPr>
        <w:pStyle w:val="24"/>
        <w:numPr>
          <w:ilvl w:val="0"/>
          <w:numId w:val="5"/>
        </w:numPr>
        <w:bidi w:val="0"/>
        <w:rPr>
          <w:rFonts w:hint="default" w:ascii="Times New Roman" w:hAnsi="Times New Roman" w:eastAsia="宋体"/>
          <w:color w:val="auto"/>
          <w:highlight w:val="none"/>
          <w:lang w:val="en-US" w:eastAsia="zh-CN"/>
        </w:rPr>
      </w:pPr>
      <w:r>
        <w:rPr>
          <w:rFonts w:hint="default" w:ascii="Times New Roman" w:hAnsi="Times New Roman" w:eastAsia="宋体"/>
          <w:color w:val="auto"/>
          <w:highlight w:val="none"/>
          <w:lang w:val="en-US" w:eastAsia="zh-CN"/>
        </w:rPr>
        <w:t>《国家矿山安全监察局关于印发&lt;防范非煤矿山典型多发事故六十条措施&gt;的通知》（矿安〔2023〕124号，2023年9月12日）；</w:t>
      </w:r>
    </w:p>
    <w:p w14:paraId="207B6984">
      <w:pPr>
        <w:pStyle w:val="24"/>
        <w:numPr>
          <w:ilvl w:val="0"/>
          <w:numId w:val="5"/>
        </w:numPr>
        <w:bidi w:val="0"/>
        <w:rPr>
          <w:rFonts w:hint="default" w:ascii="Times New Roman" w:hAnsi="Times New Roman" w:eastAsia="宋体"/>
          <w:color w:val="auto"/>
          <w:highlight w:val="none"/>
          <w:lang w:val="en-US" w:eastAsia="zh-CN"/>
        </w:rPr>
      </w:pPr>
      <w:r>
        <w:rPr>
          <w:rFonts w:hint="default" w:ascii="Times New Roman" w:hAnsi="Times New Roman" w:eastAsia="宋体"/>
          <w:color w:val="auto"/>
          <w:highlight w:val="none"/>
          <w:lang w:val="en-US" w:eastAsia="zh-CN"/>
        </w:rPr>
        <w:t>国务院印发《关于防范遏制矿山领域重特大生产安全事故的硬措施》（国务院安全生产委员会，2024年1月16日）；</w:t>
      </w:r>
    </w:p>
    <w:p w14:paraId="372DCCEC">
      <w:pPr>
        <w:pStyle w:val="24"/>
        <w:numPr>
          <w:ilvl w:val="0"/>
          <w:numId w:val="5"/>
        </w:numPr>
        <w:bidi w:val="0"/>
        <w:rPr>
          <w:rFonts w:hint="default" w:ascii="Times New Roman" w:hAnsi="Times New Roman" w:eastAsia="宋体"/>
          <w:color w:val="auto"/>
          <w:highlight w:val="none"/>
          <w:lang w:val="en-US" w:eastAsia="zh-CN"/>
        </w:rPr>
      </w:pPr>
      <w:r>
        <w:rPr>
          <w:rFonts w:hint="default" w:ascii="Times New Roman" w:hAnsi="Times New Roman" w:eastAsia="宋体"/>
          <w:color w:val="auto"/>
          <w:highlight w:val="none"/>
          <w:lang w:val="en-US" w:eastAsia="zh-CN"/>
        </w:rPr>
        <w:t>《国务院安全生产委员会关于&lt;安全生产治本攻坚三年行动方案（2024--2026）&gt;的通知》（国务院安全生产委员会，2024年1月21日）；</w:t>
      </w:r>
    </w:p>
    <w:p w14:paraId="5483C0C8">
      <w:pPr>
        <w:pStyle w:val="24"/>
        <w:numPr>
          <w:ilvl w:val="0"/>
          <w:numId w:val="5"/>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en-US" w:eastAsia="zh-CN"/>
        </w:rPr>
        <w:t>《国家矿山安全监察局关于加强矿山应急救援工作的通知》（矿安〔2024〕8号，2024年3月1日）。</w:t>
      </w:r>
    </w:p>
    <w:p w14:paraId="6FDAB647">
      <w:pPr>
        <w:pStyle w:val="24"/>
        <w:numPr>
          <w:ilvl w:val="0"/>
          <w:numId w:val="5"/>
        </w:numPr>
        <w:bidi w:val="0"/>
        <w:rPr>
          <w:rFonts w:hint="default" w:ascii="Times New Roman" w:hAnsi="Times New Roman" w:eastAsia="宋体"/>
          <w:color w:val="auto"/>
          <w:highlight w:val="none"/>
          <w:lang w:val="sq-AL" w:eastAsia="zh-CN"/>
        </w:rPr>
      </w:pPr>
      <w:r>
        <w:rPr>
          <w:rFonts w:hint="default" w:ascii="Times New Roman" w:hAnsi="Times New Roman" w:eastAsia="宋体"/>
          <w:color w:val="auto"/>
          <w:highlight w:val="none"/>
          <w:lang w:val="en-US" w:eastAsia="zh-CN"/>
        </w:rPr>
        <w:t>国</w:t>
      </w:r>
      <w:r>
        <w:rPr>
          <w:rFonts w:hint="default" w:ascii="Times New Roman" w:hAnsi="Times New Roman" w:eastAsia="宋体"/>
          <w:color w:val="auto"/>
          <w:highlight w:val="none"/>
          <w:lang w:val="sq-AL"/>
        </w:rPr>
        <w:t>家矿山安全监察局《关于开展露天矿山安全生产专项整治的通知》（矿安〔2023〕16号，2023</w:t>
      </w:r>
      <w:r>
        <w:rPr>
          <w:rFonts w:hint="default" w:ascii="Times New Roman" w:hAnsi="Times New Roman" w:eastAsia="宋体"/>
          <w:color w:val="auto"/>
          <w:highlight w:val="none"/>
          <w:lang w:val="en-US" w:eastAsia="zh-CN"/>
        </w:rPr>
        <w:t>年</w:t>
      </w:r>
      <w:r>
        <w:rPr>
          <w:rFonts w:hint="default" w:ascii="Times New Roman" w:hAnsi="Times New Roman" w:eastAsia="宋体"/>
          <w:color w:val="auto"/>
          <w:highlight w:val="none"/>
          <w:lang w:val="sq-AL"/>
        </w:rPr>
        <w:t>2</w:t>
      </w:r>
      <w:r>
        <w:rPr>
          <w:rFonts w:hint="default" w:ascii="Times New Roman" w:hAnsi="Times New Roman" w:eastAsia="宋体"/>
          <w:color w:val="auto"/>
          <w:highlight w:val="none"/>
          <w:lang w:val="en-US" w:eastAsia="zh-CN"/>
        </w:rPr>
        <w:t>月</w:t>
      </w:r>
      <w:r>
        <w:rPr>
          <w:rFonts w:hint="default" w:ascii="Times New Roman" w:hAnsi="Times New Roman" w:eastAsia="宋体"/>
          <w:color w:val="auto"/>
          <w:highlight w:val="none"/>
          <w:lang w:val="sq-AL"/>
        </w:rPr>
        <w:t>27</w:t>
      </w:r>
      <w:r>
        <w:rPr>
          <w:rFonts w:hint="default" w:ascii="Times New Roman" w:hAnsi="Times New Roman" w:eastAsia="宋体"/>
          <w:color w:val="auto"/>
          <w:highlight w:val="none"/>
          <w:lang w:val="en-US" w:eastAsia="zh-CN"/>
        </w:rPr>
        <w:t>日</w:t>
      </w:r>
      <w:r>
        <w:rPr>
          <w:rFonts w:hint="default" w:ascii="Times New Roman" w:hAnsi="Times New Roman" w:eastAsia="宋体"/>
          <w:color w:val="auto"/>
          <w:highlight w:val="none"/>
          <w:lang w:val="sq-AL"/>
        </w:rPr>
        <w:t>实施）</w:t>
      </w:r>
      <w:r>
        <w:rPr>
          <w:rFonts w:hint="default" w:ascii="Times New Roman" w:hAnsi="Times New Roman" w:eastAsia="宋体"/>
          <w:color w:val="auto"/>
          <w:highlight w:val="none"/>
          <w:lang w:val="sq-AL" w:eastAsia="zh-CN"/>
        </w:rPr>
        <w:t>；</w:t>
      </w:r>
    </w:p>
    <w:p w14:paraId="07435A33">
      <w:pPr>
        <w:pStyle w:val="24"/>
        <w:numPr>
          <w:ilvl w:val="0"/>
          <w:numId w:val="5"/>
        </w:numPr>
        <w:bidi w:val="0"/>
        <w:rPr>
          <w:rFonts w:hint="default" w:ascii="Times New Roman" w:hAnsi="Times New Roman" w:eastAsia="宋体"/>
          <w:color w:val="auto"/>
          <w:highlight w:val="none"/>
          <w:lang w:val="sq-AL" w:eastAsia="zh-CN"/>
        </w:rPr>
      </w:pPr>
      <w:r>
        <w:rPr>
          <w:rFonts w:hint="default" w:ascii="Times New Roman" w:hAnsi="Times New Roman" w:eastAsia="宋体"/>
          <w:color w:val="auto"/>
          <w:highlight w:val="none"/>
          <w:lang w:val="en-US" w:eastAsia="zh-CN"/>
        </w:rPr>
        <w:t>《国家矿山安全监察局关于进一步加强非煤矿山安全生产行政许可工作的通知》（矿安〔2024〕70号，2024年6月28日实施）。</w:t>
      </w:r>
    </w:p>
    <w:p w14:paraId="65341DA5">
      <w:pPr>
        <w:pStyle w:val="24"/>
        <w:numPr>
          <w:ilvl w:val="0"/>
          <w:numId w:val="5"/>
        </w:numPr>
        <w:bidi w:val="0"/>
        <w:rPr>
          <w:rFonts w:hint="default" w:ascii="Times New Roman" w:hAnsi="Times New Roman" w:eastAsia="宋体"/>
          <w:color w:val="auto"/>
          <w:highlight w:val="none"/>
          <w:lang w:val="sq-AL" w:eastAsia="zh-CN"/>
        </w:rPr>
      </w:pPr>
      <w:r>
        <w:rPr>
          <w:rFonts w:hint="eastAsia" w:ascii="Times New Roman" w:hAnsi="Times New Roman" w:eastAsia="宋体"/>
          <w:color w:val="auto"/>
          <w:highlight w:val="none"/>
          <w:lang w:val="en-US" w:eastAsia="zh-CN"/>
        </w:rPr>
        <w:t>《国家矿山安全监察局综合司关于进一步加强矿山隐蔽致灾因素普查工作的通知》（矿安综函〔2024〕259号，</w:t>
      </w:r>
      <w:r>
        <w:rPr>
          <w:rFonts w:hint="eastAsia" w:ascii="Times New Roman" w:hAnsi="Times New Roman" w:eastAsia="宋体"/>
          <w:color w:val="auto"/>
          <w:highlight w:val="none"/>
          <w:lang w:val="sq-AL"/>
        </w:rPr>
        <w:t>2024年</w:t>
      </w:r>
      <w:r>
        <w:rPr>
          <w:rFonts w:hint="eastAsia" w:ascii="Times New Roman" w:hAnsi="Times New Roman" w:eastAsia="宋体"/>
          <w:color w:val="auto"/>
          <w:highlight w:val="none"/>
          <w:lang w:val="en-US" w:eastAsia="zh-CN"/>
        </w:rPr>
        <w:t>10</w:t>
      </w:r>
      <w:r>
        <w:rPr>
          <w:rFonts w:hint="eastAsia" w:ascii="Times New Roman" w:hAnsi="Times New Roman" w:eastAsia="宋体"/>
          <w:color w:val="auto"/>
          <w:highlight w:val="none"/>
          <w:lang w:val="sq-AL"/>
        </w:rPr>
        <w:t>月2</w:t>
      </w:r>
      <w:r>
        <w:rPr>
          <w:rFonts w:hint="eastAsia" w:ascii="Times New Roman" w:hAnsi="Times New Roman" w:eastAsia="宋体"/>
          <w:color w:val="auto"/>
          <w:highlight w:val="none"/>
          <w:lang w:val="en-US" w:eastAsia="zh-CN"/>
        </w:rPr>
        <w:t>3</w:t>
      </w:r>
      <w:r>
        <w:rPr>
          <w:rFonts w:hint="eastAsia" w:ascii="Times New Roman" w:hAnsi="Times New Roman" w:eastAsia="宋体"/>
          <w:color w:val="auto"/>
          <w:highlight w:val="none"/>
          <w:lang w:val="sq-AL"/>
        </w:rPr>
        <w:t>日施行</w:t>
      </w:r>
      <w:r>
        <w:rPr>
          <w:rFonts w:hint="eastAsia" w:ascii="Times New Roman" w:hAnsi="Times New Roman" w:eastAsia="宋体"/>
          <w:color w:val="auto"/>
          <w:highlight w:val="none"/>
          <w:lang w:val="en-US" w:eastAsia="zh-CN"/>
        </w:rPr>
        <w:t>）。</w:t>
      </w:r>
    </w:p>
    <w:p w14:paraId="5AF98EF3">
      <w:pPr>
        <w:pStyle w:val="31"/>
        <w:bidi w:val="0"/>
        <w:rPr>
          <w:rFonts w:hint="default"/>
          <w:color w:val="auto"/>
          <w:highlight w:val="none"/>
          <w:lang w:val="en-US" w:eastAsia="zh-CN"/>
        </w:rPr>
      </w:pPr>
      <w:r>
        <w:rPr>
          <w:rFonts w:hint="default"/>
          <w:color w:val="auto"/>
          <w:highlight w:val="none"/>
          <w:lang w:val="en-US" w:eastAsia="zh-CN"/>
        </w:rPr>
        <w:t>地方性法规、规章、文件</w:t>
      </w:r>
    </w:p>
    <w:p w14:paraId="77540A7E">
      <w:pPr>
        <w:pStyle w:val="24"/>
        <w:numPr>
          <w:ilvl w:val="0"/>
          <w:numId w:val="6"/>
        </w:numPr>
        <w:bidi w:val="0"/>
        <w:rPr>
          <w:rFonts w:hint="default" w:ascii="Times New Roman" w:hAnsi="Times New Roman" w:eastAsia="宋体"/>
          <w:color w:val="auto"/>
          <w:highlight w:val="none"/>
          <w:lang w:val="en-US" w:eastAsia="zh-CN"/>
        </w:rPr>
      </w:pPr>
      <w:r>
        <w:rPr>
          <w:rFonts w:hint="default" w:ascii="Times New Roman" w:hAnsi="Times New Roman" w:eastAsia="宋体"/>
          <w:color w:val="auto"/>
          <w:highlight w:val="none"/>
          <w:lang w:val="en-US" w:eastAsia="zh-CN"/>
        </w:rPr>
        <w:t>《辽宁省安全生产监督管理局关于进一步加强非煤矿山企业特种作业人员管理的通知》（辽安监管一〔2016〕29号，2016年8月16日施行）；</w:t>
      </w:r>
    </w:p>
    <w:p w14:paraId="786FCF1B">
      <w:pPr>
        <w:pStyle w:val="24"/>
        <w:numPr>
          <w:ilvl w:val="0"/>
          <w:numId w:val="6"/>
        </w:numPr>
        <w:bidi w:val="0"/>
        <w:rPr>
          <w:rFonts w:hint="default" w:ascii="Times New Roman" w:hAnsi="Times New Roman" w:eastAsia="宋体"/>
          <w:color w:val="auto"/>
          <w:highlight w:val="none"/>
          <w:lang w:val="en-US" w:eastAsia="zh-CN"/>
        </w:rPr>
      </w:pPr>
      <w:r>
        <w:rPr>
          <w:rFonts w:hint="default" w:ascii="Times New Roman" w:hAnsi="Times New Roman" w:eastAsia="宋体"/>
          <w:color w:val="auto"/>
          <w:highlight w:val="none"/>
          <w:lang w:val="en-US" w:eastAsia="zh-CN"/>
        </w:rPr>
        <w:t>《辽宁省建设项目安全设施监督管理办法》（2009年3月19日辽宁省人民政府令第229号公布，根据2021年5月18日辽宁省人民政府令第341号《辽宁省人民政府关于废止和修改部分省政府规章的决定》第二次修正，2021年5月18日施行）；</w:t>
      </w:r>
    </w:p>
    <w:p w14:paraId="1CADB0F3">
      <w:pPr>
        <w:pStyle w:val="24"/>
        <w:numPr>
          <w:ilvl w:val="0"/>
          <w:numId w:val="6"/>
        </w:numPr>
        <w:bidi w:val="0"/>
        <w:rPr>
          <w:rFonts w:hint="default" w:ascii="Times New Roman" w:hAnsi="Times New Roman" w:eastAsia="宋体"/>
          <w:color w:val="auto"/>
          <w:highlight w:val="none"/>
          <w:lang w:val="sq-AL" w:eastAsia="zh-CN"/>
        </w:rPr>
      </w:pPr>
      <w:r>
        <w:rPr>
          <w:rFonts w:hint="default" w:ascii="Times New Roman" w:hAnsi="Times New Roman" w:eastAsia="宋体"/>
          <w:color w:val="auto"/>
          <w:highlight w:val="none"/>
          <w:lang w:val="en-US" w:eastAsia="zh-CN"/>
        </w:rPr>
        <w:t>《辽宁省安全生产条例》（2017年1月10日辽宁省第十二届人民代表大会常务委员会第三十一次会议通过，根据2022年4月21日辽宁省第十三届人民代表大会常务委员会第三十二次会议《关于修改〈辽宁省食品安全条例〉等10件地方性法规的决定》第二次修正，2022年4月21日施行）。</w:t>
      </w:r>
    </w:p>
    <w:p w14:paraId="63DCBE9B">
      <w:pPr>
        <w:pStyle w:val="31"/>
        <w:bidi w:val="0"/>
        <w:rPr>
          <w:rFonts w:hint="default"/>
          <w:color w:val="auto"/>
          <w:highlight w:val="none"/>
        </w:rPr>
      </w:pPr>
      <w:r>
        <w:rPr>
          <w:rFonts w:hint="default"/>
          <w:color w:val="auto"/>
          <w:highlight w:val="none"/>
        </w:rPr>
        <w:t>标准规范</w:t>
      </w:r>
      <w:bookmarkEnd w:id="4"/>
      <w:bookmarkEnd w:id="5"/>
      <w:bookmarkEnd w:id="6"/>
      <w:bookmarkEnd w:id="7"/>
      <w:bookmarkEnd w:id="8"/>
      <w:bookmarkEnd w:id="9"/>
      <w:bookmarkEnd w:id="10"/>
    </w:p>
    <w:p w14:paraId="77D325C1">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《企业职工伤亡事故分类》（GB</w:t>
      </w:r>
      <w:r>
        <w:rPr>
          <w:rFonts w:hint="default" w:ascii="Times New Roman" w:hAnsi="Times New Roman" w:eastAsia="宋体"/>
          <w:color w:val="auto"/>
          <w:highlight w:val="none"/>
          <w:lang w:val="en-US" w:eastAsia="zh-CN"/>
        </w:rPr>
        <w:t>/T</w:t>
      </w:r>
      <w:r>
        <w:rPr>
          <w:rFonts w:hint="default" w:ascii="Times New Roman" w:hAnsi="Times New Roman" w:eastAsia="宋体"/>
          <w:color w:val="auto"/>
          <w:highlight w:val="none"/>
          <w:lang w:val="sq-AL"/>
        </w:rPr>
        <w:t>6441-1986）；</w:t>
      </w:r>
    </w:p>
    <w:p w14:paraId="62A13BB8">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《厂矿道路设计规范》（GBJ22-1987）；</w:t>
      </w:r>
    </w:p>
    <w:p w14:paraId="0862C5E7">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《中华人民共和国劳动部噪声作业分级》（LD80-1995）；</w:t>
      </w:r>
    </w:p>
    <w:p w14:paraId="695C6E22">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《安全评价通则》（AQ8001-2007）；</w:t>
      </w:r>
    </w:p>
    <w:p w14:paraId="01A973D8">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《安全预评价导则》（AQ8002-2007）</w:t>
      </w:r>
      <w:r>
        <w:rPr>
          <w:rFonts w:hint="default" w:ascii="Times New Roman" w:hAnsi="Times New Roman" w:eastAsia="宋体"/>
          <w:color w:val="auto"/>
          <w:highlight w:val="none"/>
          <w:lang w:val="sq-AL" w:eastAsia="zh-CN"/>
        </w:rPr>
        <w:t>；</w:t>
      </w:r>
    </w:p>
    <w:p w14:paraId="5F28F60E">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《矿用产品安全标志标识》（AQ1043-2007）；</w:t>
      </w:r>
    </w:p>
    <w:p w14:paraId="5CCE651F">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《生产过程安全卫生要求总则》（GB/T12801-2008）；</w:t>
      </w:r>
    </w:p>
    <w:p w14:paraId="43840B26">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《矿山安全标志》（GB/T14161-2008）；</w:t>
      </w:r>
    </w:p>
    <w:p w14:paraId="72B67A99">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《安全色》（GB2893-2008）；</w:t>
      </w:r>
    </w:p>
    <w:p w14:paraId="4FE65111">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《工业企业厂界环境噪声排放标准》（GB12348-2008）；</w:t>
      </w:r>
    </w:p>
    <w:p w14:paraId="5C672414">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《矿山安全术语》（GB/T15259-2008）；</w:t>
      </w:r>
    </w:p>
    <w:p w14:paraId="5279A846">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《高处作业分级》（GB/T 3608-2008）；</w:t>
      </w:r>
    </w:p>
    <w:p w14:paraId="06CC25F9">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《安全标志及其使用导则》（GB2894-2008）；</w:t>
      </w:r>
    </w:p>
    <w:p w14:paraId="77E300A9">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《建筑物防雷设计规范》（GB50057-2010）；</w:t>
      </w:r>
    </w:p>
    <w:p w14:paraId="5E5E80E1">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《建筑抗震设计</w:t>
      </w:r>
      <w:r>
        <w:rPr>
          <w:rFonts w:hint="default" w:ascii="Times New Roman" w:hAnsi="Times New Roman" w:eastAsia="宋体"/>
          <w:color w:val="auto"/>
          <w:highlight w:val="none"/>
          <w:lang w:val="en-US" w:eastAsia="zh-CN"/>
        </w:rPr>
        <w:t>标准</w:t>
      </w:r>
      <w:r>
        <w:rPr>
          <w:rFonts w:hint="default" w:ascii="Times New Roman" w:hAnsi="Times New Roman" w:eastAsia="宋体"/>
          <w:color w:val="auto"/>
          <w:highlight w:val="none"/>
          <w:lang w:val="sq-AL"/>
        </w:rPr>
        <w:t>（</w:t>
      </w:r>
      <w:r>
        <w:rPr>
          <w:rFonts w:hint="default" w:ascii="Times New Roman" w:hAnsi="Times New Roman" w:eastAsia="宋体"/>
          <w:color w:val="auto"/>
          <w:highlight w:val="none"/>
          <w:lang w:val="en-US" w:eastAsia="zh-CN"/>
        </w:rPr>
        <w:t>2024年版</w:t>
      </w:r>
      <w:r>
        <w:rPr>
          <w:rFonts w:hint="default" w:ascii="Times New Roman" w:hAnsi="Times New Roman" w:eastAsia="宋体"/>
          <w:color w:val="auto"/>
          <w:highlight w:val="none"/>
          <w:lang w:val="sq-AL"/>
        </w:rPr>
        <w:t>）》</w:t>
      </w:r>
      <w:r>
        <w:rPr>
          <w:rFonts w:hint="default" w:ascii="Times New Roman" w:hAnsi="Times New Roman" w:eastAsia="宋体"/>
          <w:color w:val="auto"/>
          <w:highlight w:val="none"/>
          <w:lang w:val="sq-AL" w:eastAsia="zh-CN"/>
        </w:rPr>
        <w:t>（</w:t>
      </w:r>
      <w:r>
        <w:rPr>
          <w:rFonts w:hint="default" w:ascii="Times New Roman" w:hAnsi="Times New Roman" w:eastAsia="宋体"/>
          <w:color w:val="auto"/>
          <w:highlight w:val="none"/>
          <w:lang w:val="sq-AL"/>
        </w:rPr>
        <w:t>GB</w:t>
      </w:r>
      <w:r>
        <w:rPr>
          <w:rFonts w:hint="default" w:ascii="Times New Roman" w:hAnsi="Times New Roman" w:eastAsia="宋体"/>
          <w:color w:val="auto"/>
          <w:highlight w:val="none"/>
          <w:lang w:val="en-US" w:eastAsia="zh-CN"/>
        </w:rPr>
        <w:t>/T</w:t>
      </w:r>
      <w:r>
        <w:rPr>
          <w:rFonts w:hint="default" w:ascii="Times New Roman" w:hAnsi="Times New Roman" w:eastAsia="宋体"/>
          <w:color w:val="auto"/>
          <w:highlight w:val="none"/>
          <w:lang w:val="sq-AL"/>
        </w:rPr>
        <w:t>50011-2010</w:t>
      </w:r>
      <w:r>
        <w:rPr>
          <w:rFonts w:hint="default" w:ascii="Times New Roman" w:hAnsi="Times New Roman" w:eastAsia="宋体"/>
          <w:color w:val="auto"/>
          <w:highlight w:val="none"/>
          <w:lang w:val="sq-AL" w:eastAsia="zh-CN"/>
        </w:rPr>
        <w:t>）</w:t>
      </w:r>
      <w:r>
        <w:rPr>
          <w:rFonts w:hint="default" w:ascii="Times New Roman" w:hAnsi="Times New Roman" w:eastAsia="宋体"/>
          <w:color w:val="auto"/>
          <w:highlight w:val="none"/>
          <w:lang w:val="sq-AL"/>
        </w:rPr>
        <w:t>；</w:t>
      </w:r>
    </w:p>
    <w:p w14:paraId="691D7C43">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《工业企业总平面设计规范》（GB50187-2012）；</w:t>
      </w:r>
    </w:p>
    <w:p w14:paraId="29ACAD51">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《建筑设计防火规范（2018年版）》（GB50016-2014）；</w:t>
      </w:r>
    </w:p>
    <w:p w14:paraId="245B76D7">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《装饰石材矿山露天开采工程设计规范》（GB50970-201</w:t>
      </w:r>
      <w:r>
        <w:rPr>
          <w:rFonts w:hint="eastAsia" w:ascii="Times New Roman" w:hAnsi="Times New Roman" w:eastAsia="宋体"/>
          <w:color w:val="auto"/>
          <w:highlight w:val="none"/>
          <w:lang w:val="sq-AL"/>
        </w:rPr>
        <w:t>4）</w:t>
      </w:r>
      <w:r>
        <w:rPr>
          <w:rFonts w:hint="eastAsia" w:ascii="Times New Roman" w:hAnsi="Times New Roman" w:eastAsia="宋体"/>
          <w:color w:val="auto"/>
          <w:highlight w:val="none"/>
          <w:lang w:val="sq-AL" w:eastAsia="zh-CN"/>
        </w:rPr>
        <w:t>；</w:t>
      </w:r>
    </w:p>
    <w:p w14:paraId="69B275F3">
      <w:pPr>
        <w:pStyle w:val="24"/>
        <w:numPr>
          <w:ilvl w:val="0"/>
          <w:numId w:val="7"/>
        </w:numPr>
        <w:bidi w:val="0"/>
        <w:rPr>
          <w:rFonts w:hint="default" w:ascii="Times New Roman" w:hAnsi="Times New Roman" w:eastAsia="宋体"/>
          <w:color w:val="auto"/>
          <w:highlight w:val="none"/>
          <w:lang w:val="sq-AL" w:eastAsia="zh-CN"/>
        </w:rPr>
      </w:pPr>
      <w:r>
        <w:rPr>
          <w:rFonts w:hint="default" w:ascii="Times New Roman" w:hAnsi="Times New Roman" w:eastAsia="宋体"/>
          <w:color w:val="auto"/>
          <w:highlight w:val="none"/>
          <w:lang w:val="sq-AL"/>
        </w:rPr>
        <w:t>《建筑防火通用规范》</w:t>
      </w:r>
      <w:r>
        <w:rPr>
          <w:rFonts w:hint="default" w:ascii="Times New Roman" w:hAnsi="Times New Roman" w:eastAsia="宋体"/>
          <w:color w:val="auto"/>
          <w:highlight w:val="none"/>
          <w:lang w:val="sq-AL" w:eastAsia="zh-CN"/>
        </w:rPr>
        <w:t>（</w:t>
      </w:r>
      <w:r>
        <w:rPr>
          <w:rFonts w:hint="default" w:ascii="Times New Roman" w:hAnsi="Times New Roman" w:eastAsia="宋体"/>
          <w:color w:val="auto"/>
          <w:highlight w:val="none"/>
          <w:lang w:val="sq-AL"/>
        </w:rPr>
        <w:t>GB55037-2022</w:t>
      </w:r>
      <w:r>
        <w:rPr>
          <w:rFonts w:hint="default" w:ascii="Times New Roman" w:hAnsi="Times New Roman" w:eastAsia="宋体"/>
          <w:color w:val="auto"/>
          <w:highlight w:val="none"/>
          <w:lang w:val="sq-AL" w:eastAsia="zh-CN"/>
        </w:rPr>
        <w:t>）；</w:t>
      </w:r>
    </w:p>
    <w:p w14:paraId="6C58681C">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《非煤露天矿边坡工程技术规范》（GB 51016-2014）；</w:t>
      </w:r>
    </w:p>
    <w:p w14:paraId="6827C9DE">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《防洪标准》（GB50201-2014）；</w:t>
      </w:r>
    </w:p>
    <w:p w14:paraId="14DC02F1">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《&lt;爆破安全规程&gt;国家标准第1号修改单》（</w:t>
      </w:r>
      <w:r>
        <w:rPr>
          <w:rFonts w:hint="default" w:ascii="Times New Roman" w:hAnsi="Times New Roman" w:eastAsia="宋体"/>
          <w:color w:val="auto"/>
          <w:highlight w:val="none"/>
          <w:lang w:val="sq-AL"/>
        </w:rPr>
        <w:fldChar w:fldCharType="begin"/>
      </w:r>
      <w:r>
        <w:rPr>
          <w:rFonts w:hint="default" w:ascii="Times New Roman" w:hAnsi="Times New Roman" w:eastAsia="宋体"/>
          <w:color w:val="auto"/>
          <w:highlight w:val="none"/>
          <w:lang w:val="sq-AL"/>
        </w:rPr>
        <w:instrText xml:space="preserve"> HYPERLINK "http://www.csres.com/detail/296023.html" \t "_blank" </w:instrText>
      </w:r>
      <w:r>
        <w:rPr>
          <w:rFonts w:hint="default" w:ascii="Times New Roman" w:hAnsi="Times New Roman" w:eastAsia="宋体"/>
          <w:color w:val="auto"/>
          <w:highlight w:val="none"/>
          <w:lang w:val="sq-AL"/>
        </w:rPr>
        <w:fldChar w:fldCharType="separate"/>
      </w:r>
      <w:r>
        <w:rPr>
          <w:rFonts w:hint="default" w:ascii="Times New Roman" w:hAnsi="Times New Roman" w:eastAsia="宋体"/>
          <w:color w:val="auto"/>
          <w:highlight w:val="none"/>
          <w:lang w:val="sq-AL"/>
        </w:rPr>
        <w:t>GB 6722-2014/XG1-2016</w:t>
      </w:r>
      <w:r>
        <w:rPr>
          <w:rFonts w:hint="default" w:ascii="Times New Roman" w:hAnsi="Times New Roman" w:eastAsia="宋体"/>
          <w:color w:val="auto"/>
          <w:highlight w:val="none"/>
          <w:lang w:val="sq-AL"/>
        </w:rPr>
        <w:fldChar w:fldCharType="end"/>
      </w:r>
      <w:r>
        <w:rPr>
          <w:rFonts w:hint="default" w:ascii="Times New Roman" w:hAnsi="Times New Roman" w:eastAsia="宋体"/>
          <w:color w:val="auto"/>
          <w:highlight w:val="none"/>
          <w:lang w:val="sq-AL"/>
        </w:rPr>
        <w:t>）；</w:t>
      </w:r>
    </w:p>
    <w:p w14:paraId="65180A04">
      <w:pPr>
        <w:pStyle w:val="24"/>
        <w:numPr>
          <w:ilvl w:val="0"/>
          <w:numId w:val="7"/>
        </w:numPr>
        <w:bidi w:val="0"/>
        <w:rPr>
          <w:rFonts w:hint="default" w:ascii="Times New Roman" w:hAnsi="Times New Roman" w:eastAsia="宋体"/>
          <w:color w:val="auto"/>
          <w:highlight w:val="none"/>
          <w:lang w:val="sq-AL" w:eastAsia="zh-CN"/>
        </w:rPr>
      </w:pPr>
      <w:r>
        <w:rPr>
          <w:rFonts w:hint="default" w:ascii="Times New Roman" w:hAnsi="Times New Roman" w:eastAsia="宋体"/>
          <w:color w:val="auto"/>
          <w:highlight w:val="none"/>
          <w:lang w:val="sq-AL"/>
        </w:rPr>
        <w:t>《危险化学品重大危险源辨识》（GB18218-20</w:t>
      </w:r>
      <w:r>
        <w:rPr>
          <w:rFonts w:hint="default" w:ascii="Times New Roman" w:hAnsi="Times New Roman" w:eastAsia="宋体"/>
          <w:color w:val="auto"/>
          <w:highlight w:val="none"/>
          <w:lang w:val="en-US" w:eastAsia="zh-CN"/>
        </w:rPr>
        <w:t>18</w:t>
      </w:r>
      <w:r>
        <w:rPr>
          <w:rFonts w:hint="default" w:ascii="Times New Roman" w:hAnsi="Times New Roman" w:eastAsia="宋体"/>
          <w:color w:val="auto"/>
          <w:highlight w:val="none"/>
          <w:lang w:val="sq-AL"/>
        </w:rPr>
        <w:t>）</w:t>
      </w:r>
      <w:r>
        <w:rPr>
          <w:rFonts w:hint="default" w:ascii="Times New Roman" w:hAnsi="Times New Roman" w:eastAsia="宋体"/>
          <w:color w:val="auto"/>
          <w:highlight w:val="none"/>
          <w:lang w:val="sq-AL" w:eastAsia="zh-CN"/>
        </w:rPr>
        <w:t>；</w:t>
      </w:r>
    </w:p>
    <w:p w14:paraId="4F009EC9">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《机械安全 防护装置 固定式和活动式防护装置的设计与制造一般要求》（GB/T8196-2018）；</w:t>
      </w:r>
    </w:p>
    <w:p w14:paraId="2E8D0AD9">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《金属非金属露天矿山高陡边坡安全监测技术规范》（</w:t>
      </w:r>
      <w:r>
        <w:rPr>
          <w:rFonts w:hint="default" w:ascii="Times New Roman" w:hAnsi="Times New Roman" w:eastAsia="宋体"/>
          <w:color w:val="auto"/>
          <w:highlight w:val="none"/>
          <w:lang w:val="en-US" w:eastAsia="zh-CN"/>
        </w:rPr>
        <w:t>KA</w:t>
      </w:r>
      <w:r>
        <w:rPr>
          <w:rFonts w:hint="default" w:ascii="Times New Roman" w:hAnsi="Times New Roman" w:eastAsia="宋体"/>
          <w:color w:val="auto"/>
          <w:highlight w:val="none"/>
          <w:lang w:val="sq-AL"/>
        </w:rPr>
        <w:t>/T 2063-2018）；</w:t>
      </w:r>
    </w:p>
    <w:p w14:paraId="59759995">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《头部防护 安全帽》（GB 2811-2019）；</w:t>
      </w:r>
    </w:p>
    <w:p w14:paraId="022F87DD">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《生产经营单位生产安全事故应急预案编制导则》（GB/T29639-2020）；</w:t>
      </w:r>
    </w:p>
    <w:p w14:paraId="42C52631">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《金属非金属矿山安全规程》（GB16423-2020）；</w:t>
      </w:r>
    </w:p>
    <w:p w14:paraId="776D2706">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《足部防护 安全鞋》（GB21148-2020）；</w:t>
      </w:r>
    </w:p>
    <w:p w14:paraId="65EAC6F1">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《个体防护装备配备规范 第1部分：总则》（GB 39800.1-2020）；</w:t>
      </w:r>
    </w:p>
    <w:p w14:paraId="0C2182E2">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《个体防护装备配备规范 第4部分：非煤矿山》（GB 39800.4-2020）；</w:t>
      </w:r>
    </w:p>
    <w:p w14:paraId="3CBEA936">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《机械安全 防止人体部位挤压的最小间距》（GB/T12265-2021）；</w:t>
      </w:r>
    </w:p>
    <w:p w14:paraId="3998158F">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《生产过程危险和有害因素分类与代码》（GB/T13861-2022）</w:t>
      </w:r>
      <w:r>
        <w:rPr>
          <w:rFonts w:hint="eastAsia" w:ascii="Times New Roman" w:hAnsi="Times New Roman" w:eastAsia="宋体"/>
          <w:color w:val="auto"/>
          <w:highlight w:val="none"/>
          <w:lang w:val="sq-AL" w:eastAsia="zh-CN"/>
        </w:rPr>
        <w:t>；</w:t>
      </w:r>
    </w:p>
    <w:p w14:paraId="09996AB1">
      <w:pPr>
        <w:pStyle w:val="24"/>
        <w:numPr>
          <w:ilvl w:val="0"/>
          <w:numId w:val="7"/>
        </w:numPr>
        <w:bidi w:val="0"/>
        <w:rPr>
          <w:rFonts w:hint="default" w:ascii="Times New Roman" w:hAnsi="Times New Roman" w:eastAsia="宋体"/>
          <w:color w:val="auto"/>
          <w:highlight w:val="none"/>
          <w:lang w:val="sq-AL"/>
        </w:rPr>
      </w:pPr>
      <w:r>
        <w:rPr>
          <w:rFonts w:hint="default" w:ascii="Times New Roman" w:hAnsi="Times New Roman" w:eastAsia="宋体"/>
          <w:color w:val="auto"/>
          <w:highlight w:val="none"/>
          <w:lang w:val="sq-AL"/>
        </w:rPr>
        <w:t>《建筑照明设计标准》（GB</w:t>
      </w:r>
      <w:r>
        <w:rPr>
          <w:rFonts w:hint="default" w:ascii="Times New Roman" w:hAnsi="Times New Roman" w:eastAsia="宋体"/>
          <w:color w:val="auto"/>
          <w:highlight w:val="none"/>
          <w:lang w:val="en-US" w:eastAsia="zh-CN"/>
        </w:rPr>
        <w:t>/T</w:t>
      </w:r>
      <w:r>
        <w:rPr>
          <w:rFonts w:hint="default" w:ascii="Times New Roman" w:hAnsi="Times New Roman" w:eastAsia="宋体"/>
          <w:color w:val="auto"/>
          <w:highlight w:val="none"/>
          <w:lang w:val="sq-AL"/>
        </w:rPr>
        <w:t>50034-20</w:t>
      </w:r>
      <w:r>
        <w:rPr>
          <w:rFonts w:hint="default" w:ascii="Times New Roman" w:hAnsi="Times New Roman" w:eastAsia="宋体"/>
          <w:color w:val="auto"/>
          <w:highlight w:val="none"/>
          <w:lang w:val="en-US" w:eastAsia="zh-CN"/>
        </w:rPr>
        <w:t>24</w:t>
      </w:r>
      <w:r>
        <w:rPr>
          <w:rFonts w:hint="default" w:ascii="Times New Roman" w:hAnsi="Times New Roman" w:eastAsia="宋体"/>
          <w:color w:val="auto"/>
          <w:highlight w:val="none"/>
          <w:lang w:val="sq-AL"/>
        </w:rPr>
        <w:t>）</w:t>
      </w:r>
      <w:r>
        <w:rPr>
          <w:rFonts w:hint="eastAsia" w:ascii="Times New Roman" w:hAnsi="Times New Roman" w:eastAsia="宋体"/>
          <w:color w:val="auto"/>
          <w:highlight w:val="none"/>
          <w:lang w:val="sq-AL" w:eastAsia="zh-CN"/>
        </w:rPr>
        <w:t>。</w:t>
      </w:r>
    </w:p>
    <w:p w14:paraId="04BBAA88">
      <w:pPr>
        <w:pStyle w:val="31"/>
        <w:bidi w:val="0"/>
        <w:rPr>
          <w:rFonts w:hint="default"/>
          <w:color w:val="auto"/>
          <w:highlight w:val="none"/>
          <w:lang w:val="en-US" w:eastAsia="zh-CN"/>
        </w:rPr>
      </w:pPr>
      <w:r>
        <w:rPr>
          <w:rFonts w:hint="eastAsia"/>
          <w:color w:val="auto"/>
          <w:highlight w:val="none"/>
          <w:lang w:val="en-US" w:eastAsia="zh-CN"/>
        </w:rPr>
        <w:t>建设项目技术资料</w:t>
      </w:r>
    </w:p>
    <w:p w14:paraId="59ED7E79">
      <w:pPr>
        <w:pStyle w:val="24"/>
        <w:numPr>
          <w:ilvl w:val="0"/>
          <w:numId w:val="8"/>
        </w:numPr>
        <w:bidi w:val="0"/>
        <w:rPr>
          <w:rFonts w:hint="eastAsia" w:ascii="Times New Roman" w:hAnsi="Times New Roman" w:eastAsia="宋体"/>
          <w:color w:val="auto"/>
          <w:highlight w:val="none"/>
          <w:lang w:val="sq-AL" w:eastAsia="zh-CN"/>
        </w:rPr>
      </w:pPr>
      <w:r>
        <w:rPr>
          <w:rFonts w:hint="eastAsia" w:ascii="Times New Roman" w:hAnsi="Times New Roman" w:eastAsia="宋体"/>
          <w:color w:val="auto"/>
          <w:highlight w:val="none"/>
          <w:lang w:val="sq-AL" w:eastAsia="zh-CN"/>
        </w:rPr>
        <w:t>《</w:t>
      </w:r>
      <w:r>
        <w:rPr>
          <w:rFonts w:hint="default" w:ascii="Times New Roman" w:hAnsi="Times New Roman" w:eastAsia="宋体"/>
          <w:color w:val="auto"/>
          <w:highlight w:val="none"/>
          <w:lang w:val="sq-AL"/>
        </w:rPr>
        <w:t>岫岩满族自治县皇室啡矿业有限公司露天开采（2万m3/a）建设项目可行性研究报告</w:t>
      </w:r>
      <w:r>
        <w:rPr>
          <w:rFonts w:hint="eastAsia" w:ascii="Times New Roman" w:hAnsi="Times New Roman" w:eastAsia="宋体"/>
          <w:color w:val="auto"/>
          <w:highlight w:val="none"/>
          <w:lang w:val="sq-AL" w:eastAsia="zh-CN"/>
        </w:rPr>
        <w:t>》，</w:t>
      </w:r>
      <w:r>
        <w:rPr>
          <w:rFonts w:hint="default" w:ascii="Times New Roman" w:hAnsi="Times New Roman" w:eastAsia="宋体"/>
          <w:color w:val="auto"/>
          <w:highlight w:val="none"/>
          <w:lang w:val="sq-AL"/>
        </w:rPr>
        <w:t>辽宁百源工程技术有限公司</w:t>
      </w:r>
      <w:r>
        <w:rPr>
          <w:rFonts w:hint="eastAsia" w:ascii="Times New Roman" w:hAnsi="Times New Roman" w:eastAsia="宋体"/>
          <w:color w:val="auto"/>
          <w:highlight w:val="none"/>
          <w:lang w:val="sq-AL" w:eastAsia="zh-CN"/>
        </w:rPr>
        <w:t>，</w:t>
      </w:r>
      <w:r>
        <w:rPr>
          <w:rFonts w:hint="default" w:ascii="Times New Roman" w:hAnsi="Times New Roman" w:eastAsia="宋体"/>
          <w:color w:val="auto"/>
          <w:highlight w:val="none"/>
          <w:lang w:val="sq-AL"/>
        </w:rPr>
        <w:t>2025年06月</w:t>
      </w:r>
      <w:r>
        <w:rPr>
          <w:rFonts w:hint="eastAsia" w:ascii="Times New Roman" w:hAnsi="Times New Roman" w:eastAsia="宋体"/>
          <w:color w:val="auto"/>
          <w:highlight w:val="none"/>
          <w:lang w:val="sq-AL" w:eastAsia="zh-CN"/>
        </w:rPr>
        <w:t>；</w:t>
      </w:r>
    </w:p>
    <w:p w14:paraId="11B5492A">
      <w:pPr>
        <w:pStyle w:val="24"/>
        <w:numPr>
          <w:ilvl w:val="0"/>
          <w:numId w:val="8"/>
        </w:numPr>
        <w:bidi w:val="0"/>
        <w:rPr>
          <w:rFonts w:hint="eastAsia" w:ascii="Times New Roman" w:hAnsi="Times New Roman" w:eastAsia="宋体"/>
          <w:color w:val="auto"/>
          <w:highlight w:val="none"/>
          <w:lang w:val="sq-AL" w:eastAsia="zh-CN"/>
        </w:rPr>
      </w:pPr>
      <w:r>
        <w:rPr>
          <w:rFonts w:hint="default" w:ascii="Times New Roman" w:hAnsi="Times New Roman" w:eastAsia="宋体"/>
          <w:color w:val="auto"/>
          <w:highlight w:val="none"/>
          <w:lang w:val="sq-AL"/>
        </w:rPr>
        <w:t>《〈辽宁省岫岩满族自治县</w:t>
      </w:r>
      <w:r>
        <w:rPr>
          <w:rFonts w:hint="eastAsia" w:ascii="Times New Roman" w:hAnsi="Times New Roman" w:eastAsia="宋体"/>
          <w:color w:val="auto"/>
          <w:highlight w:val="none"/>
          <w:lang w:val="sq-AL" w:eastAsia="zh-CN"/>
        </w:rPr>
        <w:t>朝阳乡沟门村</w:t>
      </w:r>
      <w:r>
        <w:rPr>
          <w:rFonts w:hint="default" w:ascii="Times New Roman" w:hAnsi="Times New Roman" w:eastAsia="宋体"/>
          <w:color w:val="auto"/>
          <w:highlight w:val="none"/>
          <w:lang w:val="sq-AL"/>
        </w:rPr>
        <w:t>马家滴子</w:t>
      </w:r>
      <w:r>
        <w:rPr>
          <w:rFonts w:hint="eastAsia" w:ascii="Times New Roman" w:hAnsi="Times New Roman" w:eastAsia="宋体"/>
          <w:color w:val="auto"/>
          <w:highlight w:val="none"/>
          <w:lang w:val="sq-AL" w:eastAsia="zh-CN"/>
        </w:rPr>
        <w:t>沟</w:t>
      </w:r>
      <w:r>
        <w:rPr>
          <w:rFonts w:hint="default" w:ascii="Times New Roman" w:hAnsi="Times New Roman" w:eastAsia="宋体"/>
          <w:color w:val="auto"/>
          <w:highlight w:val="none"/>
          <w:lang w:val="sq-AL"/>
        </w:rPr>
        <w:t>建筑用花岗岩</w:t>
      </w:r>
      <w:r>
        <w:rPr>
          <w:rFonts w:hint="eastAsia" w:ascii="Times New Roman" w:hAnsi="Times New Roman" w:eastAsia="宋体"/>
          <w:color w:val="auto"/>
          <w:highlight w:val="none"/>
          <w:lang w:val="sq-AL" w:eastAsia="zh-CN"/>
        </w:rPr>
        <w:t>矿</w:t>
      </w:r>
      <w:r>
        <w:rPr>
          <w:rFonts w:hint="default" w:ascii="Times New Roman" w:hAnsi="Times New Roman" w:eastAsia="宋体"/>
          <w:color w:val="auto"/>
          <w:highlight w:val="none"/>
          <w:lang w:val="sq-AL"/>
        </w:rPr>
        <w:t>资源储量核实报告〉评审</w:t>
      </w:r>
      <w:r>
        <w:rPr>
          <w:rFonts w:hint="eastAsia" w:ascii="Times New Roman" w:hAnsi="Times New Roman" w:eastAsia="宋体"/>
          <w:color w:val="auto"/>
          <w:highlight w:val="none"/>
          <w:lang w:val="sq-AL" w:eastAsia="zh-CN"/>
        </w:rPr>
        <w:t>备案证明</w:t>
      </w:r>
      <w:r>
        <w:rPr>
          <w:rFonts w:hint="default" w:ascii="Times New Roman" w:hAnsi="Times New Roman" w:eastAsia="宋体"/>
          <w:color w:val="auto"/>
          <w:highlight w:val="none"/>
          <w:lang w:val="sq-AL"/>
        </w:rPr>
        <w:t>》，</w:t>
      </w:r>
      <w:r>
        <w:rPr>
          <w:rFonts w:hint="eastAsia" w:ascii="Times New Roman" w:hAnsi="Times New Roman" w:eastAsia="宋体"/>
          <w:color w:val="auto"/>
          <w:highlight w:val="none"/>
          <w:lang w:val="sq-AL" w:eastAsia="zh-CN"/>
        </w:rPr>
        <w:t>鞍国土资储备字</w:t>
      </w:r>
      <w:r>
        <w:rPr>
          <w:rFonts w:hint="default" w:ascii="Times New Roman" w:hAnsi="Times New Roman" w:eastAsia="宋体"/>
          <w:color w:val="auto"/>
          <w:highlight w:val="none"/>
          <w:lang w:val="sq-AL"/>
        </w:rPr>
        <w:t>[20</w:t>
      </w:r>
      <w:r>
        <w:rPr>
          <w:rFonts w:hint="eastAsia" w:ascii="Times New Roman" w:hAnsi="Times New Roman" w:eastAsia="宋体"/>
          <w:color w:val="auto"/>
          <w:highlight w:val="none"/>
          <w:lang w:val="sq-AL" w:eastAsia="zh-CN"/>
        </w:rPr>
        <w:t>15</w:t>
      </w:r>
      <w:r>
        <w:rPr>
          <w:rFonts w:hint="default" w:ascii="Times New Roman" w:hAnsi="Times New Roman" w:eastAsia="宋体"/>
          <w:color w:val="auto"/>
          <w:highlight w:val="none"/>
          <w:lang w:val="sq-AL"/>
        </w:rPr>
        <w:t>]</w:t>
      </w:r>
      <w:r>
        <w:rPr>
          <w:rFonts w:hint="eastAsia" w:ascii="Times New Roman" w:hAnsi="Times New Roman" w:eastAsia="宋体"/>
          <w:color w:val="auto"/>
          <w:highlight w:val="none"/>
          <w:lang w:val="sq-AL" w:eastAsia="zh-CN"/>
        </w:rPr>
        <w:t>012</w:t>
      </w:r>
      <w:r>
        <w:rPr>
          <w:rFonts w:hint="default" w:ascii="Times New Roman" w:hAnsi="Times New Roman" w:eastAsia="宋体"/>
          <w:color w:val="auto"/>
          <w:highlight w:val="none"/>
          <w:lang w:val="sq-AL"/>
        </w:rPr>
        <w:t>号，</w:t>
      </w:r>
      <w:r>
        <w:rPr>
          <w:rFonts w:hint="eastAsia" w:ascii="Times New Roman" w:hAnsi="Times New Roman" w:eastAsia="宋体"/>
          <w:color w:val="auto"/>
          <w:highlight w:val="none"/>
          <w:lang w:val="sq-AL" w:eastAsia="zh-CN"/>
        </w:rPr>
        <w:t>鞍山市国土资源局</w:t>
      </w:r>
      <w:r>
        <w:rPr>
          <w:rFonts w:hint="default" w:ascii="Times New Roman" w:hAnsi="Times New Roman" w:eastAsia="宋体"/>
          <w:color w:val="auto"/>
          <w:highlight w:val="none"/>
          <w:lang w:val="sq-AL"/>
        </w:rPr>
        <w:t>，20</w:t>
      </w:r>
      <w:r>
        <w:rPr>
          <w:rFonts w:hint="eastAsia" w:ascii="Times New Roman" w:hAnsi="Times New Roman" w:eastAsia="宋体"/>
          <w:color w:val="auto"/>
          <w:highlight w:val="none"/>
          <w:lang w:val="sq-AL" w:eastAsia="zh-CN"/>
        </w:rPr>
        <w:t>16</w:t>
      </w:r>
      <w:r>
        <w:rPr>
          <w:rFonts w:hint="default" w:ascii="Times New Roman" w:hAnsi="Times New Roman" w:eastAsia="宋体"/>
          <w:color w:val="auto"/>
          <w:highlight w:val="none"/>
          <w:lang w:val="sq-AL"/>
        </w:rPr>
        <w:t>年</w:t>
      </w:r>
      <w:r>
        <w:rPr>
          <w:rFonts w:hint="eastAsia" w:ascii="Times New Roman" w:hAnsi="Times New Roman" w:eastAsia="宋体"/>
          <w:color w:val="auto"/>
          <w:highlight w:val="none"/>
          <w:lang w:val="sq-AL" w:eastAsia="zh-CN"/>
        </w:rPr>
        <w:t>1</w:t>
      </w:r>
      <w:r>
        <w:rPr>
          <w:rFonts w:hint="default" w:ascii="Times New Roman" w:hAnsi="Times New Roman" w:eastAsia="宋体"/>
          <w:color w:val="auto"/>
          <w:highlight w:val="none"/>
          <w:lang w:val="sq-AL"/>
        </w:rPr>
        <w:t>月</w:t>
      </w:r>
      <w:r>
        <w:rPr>
          <w:rFonts w:hint="eastAsia" w:ascii="Times New Roman" w:hAnsi="Times New Roman" w:eastAsia="宋体"/>
          <w:color w:val="auto"/>
          <w:highlight w:val="none"/>
          <w:lang w:val="sq-AL" w:eastAsia="zh-CN"/>
        </w:rPr>
        <w:t>11</w:t>
      </w:r>
      <w:r>
        <w:rPr>
          <w:rFonts w:hint="default" w:ascii="Times New Roman" w:hAnsi="Times New Roman" w:eastAsia="宋体"/>
          <w:color w:val="auto"/>
          <w:highlight w:val="none"/>
          <w:lang w:val="sq-AL"/>
        </w:rPr>
        <w:t>日；</w:t>
      </w:r>
    </w:p>
    <w:p w14:paraId="1BA20F95">
      <w:pPr>
        <w:pStyle w:val="24"/>
        <w:numPr>
          <w:ilvl w:val="0"/>
          <w:numId w:val="8"/>
        </w:numPr>
        <w:bidi w:val="0"/>
        <w:rPr>
          <w:rFonts w:hint="eastAsia" w:ascii="Times New Roman" w:hAnsi="Times New Roman" w:eastAsia="宋体"/>
          <w:color w:val="auto"/>
          <w:highlight w:val="none"/>
          <w:lang w:val="sq-AL" w:eastAsia="zh-CN"/>
        </w:rPr>
      </w:pPr>
      <w:r>
        <w:rPr>
          <w:rFonts w:hint="default" w:ascii="Times New Roman" w:hAnsi="Times New Roman" w:eastAsia="宋体"/>
          <w:color w:val="auto"/>
          <w:highlight w:val="none"/>
          <w:lang w:val="sq-AL"/>
        </w:rPr>
        <w:t>《〈辽宁省岫岩满族自治县</w:t>
      </w:r>
      <w:r>
        <w:rPr>
          <w:rFonts w:hint="eastAsia" w:ascii="Times New Roman" w:hAnsi="Times New Roman" w:eastAsia="宋体"/>
          <w:color w:val="auto"/>
          <w:highlight w:val="none"/>
          <w:lang w:val="sq-AL" w:eastAsia="zh-CN"/>
        </w:rPr>
        <w:t>朝阳乡沟门村</w:t>
      </w:r>
      <w:r>
        <w:rPr>
          <w:rFonts w:hint="default" w:ascii="Times New Roman" w:hAnsi="Times New Roman" w:eastAsia="宋体"/>
          <w:color w:val="auto"/>
          <w:highlight w:val="none"/>
          <w:lang w:val="sq-AL"/>
        </w:rPr>
        <w:t>马家滴子</w:t>
      </w:r>
      <w:r>
        <w:rPr>
          <w:rFonts w:hint="eastAsia" w:ascii="Times New Roman" w:hAnsi="Times New Roman" w:eastAsia="宋体"/>
          <w:color w:val="auto"/>
          <w:highlight w:val="none"/>
          <w:lang w:val="sq-AL" w:eastAsia="zh-CN"/>
        </w:rPr>
        <w:t>沟</w:t>
      </w:r>
      <w:r>
        <w:rPr>
          <w:rFonts w:hint="default" w:ascii="Times New Roman" w:hAnsi="Times New Roman" w:eastAsia="宋体"/>
          <w:color w:val="auto"/>
          <w:highlight w:val="none"/>
          <w:lang w:val="sq-AL"/>
        </w:rPr>
        <w:t>建筑用花岗岩</w:t>
      </w:r>
      <w:r>
        <w:rPr>
          <w:rFonts w:hint="eastAsia" w:ascii="Times New Roman" w:hAnsi="Times New Roman" w:eastAsia="宋体"/>
          <w:color w:val="auto"/>
          <w:highlight w:val="none"/>
          <w:lang w:val="sq-AL" w:eastAsia="zh-CN"/>
        </w:rPr>
        <w:t>矿</w:t>
      </w:r>
      <w:r>
        <w:rPr>
          <w:rFonts w:hint="default" w:ascii="Times New Roman" w:hAnsi="Times New Roman" w:eastAsia="宋体"/>
          <w:color w:val="auto"/>
          <w:highlight w:val="none"/>
          <w:lang w:val="sq-AL"/>
        </w:rPr>
        <w:t>资源储量核实报告〉评审</w:t>
      </w:r>
      <w:r>
        <w:rPr>
          <w:rFonts w:hint="eastAsia" w:ascii="Times New Roman" w:hAnsi="Times New Roman" w:eastAsia="宋体"/>
          <w:color w:val="auto"/>
          <w:highlight w:val="none"/>
          <w:lang w:val="sq-AL" w:eastAsia="zh-CN"/>
        </w:rPr>
        <w:t>意见书</w:t>
      </w:r>
      <w:r>
        <w:rPr>
          <w:rFonts w:hint="default" w:ascii="Times New Roman" w:hAnsi="Times New Roman" w:eastAsia="宋体"/>
          <w:color w:val="auto"/>
          <w:highlight w:val="none"/>
          <w:lang w:val="sq-AL"/>
        </w:rPr>
        <w:t>》，</w:t>
      </w:r>
      <w:r>
        <w:rPr>
          <w:rFonts w:hint="eastAsia" w:ascii="Times New Roman" w:hAnsi="Times New Roman" w:eastAsia="宋体"/>
          <w:color w:val="auto"/>
          <w:highlight w:val="none"/>
          <w:lang w:val="sq-AL" w:eastAsia="zh-CN"/>
        </w:rPr>
        <w:t>辽溪评（储）字鞍</w:t>
      </w:r>
      <w:r>
        <w:rPr>
          <w:rFonts w:hint="default" w:ascii="Times New Roman" w:hAnsi="Times New Roman" w:eastAsia="宋体"/>
          <w:color w:val="auto"/>
          <w:highlight w:val="none"/>
          <w:lang w:val="sq-AL"/>
        </w:rPr>
        <w:t>[20</w:t>
      </w:r>
      <w:r>
        <w:rPr>
          <w:rFonts w:hint="eastAsia" w:ascii="Times New Roman" w:hAnsi="Times New Roman" w:eastAsia="宋体"/>
          <w:color w:val="auto"/>
          <w:highlight w:val="none"/>
          <w:lang w:val="sq-AL" w:eastAsia="zh-CN"/>
        </w:rPr>
        <w:t>15</w:t>
      </w:r>
      <w:r>
        <w:rPr>
          <w:rFonts w:hint="default" w:ascii="Times New Roman" w:hAnsi="Times New Roman" w:eastAsia="宋体"/>
          <w:color w:val="auto"/>
          <w:highlight w:val="none"/>
          <w:lang w:val="sq-AL"/>
        </w:rPr>
        <w:t>]</w:t>
      </w:r>
      <w:r>
        <w:rPr>
          <w:rFonts w:hint="eastAsia" w:ascii="Times New Roman" w:hAnsi="Times New Roman" w:eastAsia="宋体"/>
          <w:color w:val="auto"/>
          <w:highlight w:val="none"/>
          <w:lang w:val="sq-AL" w:eastAsia="zh-CN"/>
        </w:rPr>
        <w:t>014</w:t>
      </w:r>
      <w:r>
        <w:rPr>
          <w:rFonts w:hint="default" w:ascii="Times New Roman" w:hAnsi="Times New Roman" w:eastAsia="宋体"/>
          <w:color w:val="auto"/>
          <w:highlight w:val="none"/>
          <w:lang w:val="sq-AL"/>
        </w:rPr>
        <w:t>号，</w:t>
      </w:r>
      <w:r>
        <w:rPr>
          <w:rFonts w:hint="eastAsia" w:ascii="Times New Roman" w:hAnsi="Times New Roman" w:eastAsia="宋体"/>
          <w:color w:val="auto"/>
          <w:highlight w:val="none"/>
          <w:lang w:val="sq-AL" w:eastAsia="zh-CN"/>
        </w:rPr>
        <w:t>辽宁溪源土地矿产资源评估有限公司</w:t>
      </w:r>
      <w:r>
        <w:rPr>
          <w:rFonts w:hint="default" w:ascii="Times New Roman" w:hAnsi="Times New Roman" w:eastAsia="宋体"/>
          <w:color w:val="auto"/>
          <w:highlight w:val="none"/>
          <w:lang w:val="sq-AL"/>
        </w:rPr>
        <w:t>， 20</w:t>
      </w:r>
      <w:r>
        <w:rPr>
          <w:rFonts w:hint="eastAsia" w:ascii="Times New Roman" w:hAnsi="Times New Roman" w:eastAsia="宋体"/>
          <w:color w:val="auto"/>
          <w:highlight w:val="none"/>
          <w:lang w:val="sq-AL" w:eastAsia="zh-CN"/>
        </w:rPr>
        <w:t>15</w:t>
      </w:r>
      <w:r>
        <w:rPr>
          <w:rFonts w:hint="default" w:ascii="Times New Roman" w:hAnsi="Times New Roman" w:eastAsia="宋体"/>
          <w:color w:val="auto"/>
          <w:highlight w:val="none"/>
          <w:lang w:val="sq-AL"/>
        </w:rPr>
        <w:t>年</w:t>
      </w:r>
      <w:r>
        <w:rPr>
          <w:rFonts w:hint="eastAsia" w:ascii="Times New Roman" w:hAnsi="Times New Roman" w:eastAsia="宋体"/>
          <w:color w:val="auto"/>
          <w:highlight w:val="none"/>
          <w:lang w:val="sq-AL" w:eastAsia="zh-CN"/>
        </w:rPr>
        <w:t>11</w:t>
      </w:r>
      <w:r>
        <w:rPr>
          <w:rFonts w:hint="default" w:ascii="Times New Roman" w:hAnsi="Times New Roman" w:eastAsia="宋体"/>
          <w:color w:val="auto"/>
          <w:highlight w:val="none"/>
          <w:lang w:val="sq-AL"/>
        </w:rPr>
        <w:t>月</w:t>
      </w:r>
      <w:r>
        <w:rPr>
          <w:rFonts w:hint="eastAsia" w:ascii="Times New Roman" w:hAnsi="Times New Roman" w:eastAsia="宋体"/>
          <w:color w:val="auto"/>
          <w:highlight w:val="none"/>
          <w:lang w:val="sq-AL" w:eastAsia="zh-CN"/>
        </w:rPr>
        <w:t>25</w:t>
      </w:r>
      <w:r>
        <w:rPr>
          <w:rFonts w:hint="default" w:ascii="Times New Roman" w:hAnsi="Times New Roman" w:eastAsia="宋体"/>
          <w:color w:val="auto"/>
          <w:highlight w:val="none"/>
          <w:lang w:val="sq-AL"/>
        </w:rPr>
        <w:t>日；</w:t>
      </w:r>
    </w:p>
    <w:p w14:paraId="24B163EC">
      <w:pPr>
        <w:pStyle w:val="24"/>
        <w:numPr>
          <w:ilvl w:val="0"/>
          <w:numId w:val="8"/>
        </w:numPr>
        <w:bidi w:val="0"/>
        <w:rPr>
          <w:rFonts w:hint="eastAsia" w:ascii="Times New Roman" w:hAnsi="Times New Roman" w:eastAsia="宋体"/>
          <w:color w:val="auto"/>
          <w:highlight w:val="none"/>
          <w:lang w:val="sq-AL" w:eastAsia="zh-CN"/>
        </w:rPr>
      </w:pPr>
      <w:r>
        <w:rPr>
          <w:rFonts w:hint="default" w:ascii="Times New Roman" w:hAnsi="Times New Roman" w:eastAsia="宋体"/>
          <w:color w:val="auto"/>
          <w:highlight w:val="none"/>
          <w:lang w:val="sq-AL"/>
        </w:rPr>
        <w:t>《〈</w:t>
      </w:r>
      <w:r>
        <w:rPr>
          <w:rFonts w:hint="eastAsia" w:ascii="Times New Roman" w:hAnsi="Times New Roman" w:eastAsia="宋体"/>
          <w:color w:val="auto"/>
          <w:highlight w:val="none"/>
          <w:lang w:val="sq-AL" w:eastAsia="zh-CN"/>
        </w:rPr>
        <w:t>鞍山金和矿业有限公司北山桥铁矿等173份矿山储量年度报告（2018年度）</w:t>
      </w:r>
      <w:r>
        <w:rPr>
          <w:rFonts w:hint="default" w:ascii="Times New Roman" w:hAnsi="Times New Roman" w:eastAsia="宋体"/>
          <w:color w:val="auto"/>
          <w:highlight w:val="none"/>
          <w:lang w:val="sq-AL"/>
        </w:rPr>
        <w:t>〉</w:t>
      </w:r>
      <w:r>
        <w:rPr>
          <w:rFonts w:hint="eastAsia" w:ascii="Times New Roman" w:hAnsi="Times New Roman" w:eastAsia="宋体"/>
          <w:color w:val="auto"/>
          <w:highlight w:val="none"/>
          <w:lang w:val="sq-AL" w:eastAsia="zh-CN"/>
        </w:rPr>
        <w:t>审查验收备案证明</w:t>
      </w:r>
      <w:r>
        <w:rPr>
          <w:rFonts w:hint="default" w:ascii="Times New Roman" w:hAnsi="Times New Roman" w:eastAsia="宋体"/>
          <w:color w:val="auto"/>
          <w:highlight w:val="none"/>
          <w:lang w:val="sq-AL"/>
        </w:rPr>
        <w:t>》，</w:t>
      </w:r>
      <w:r>
        <w:rPr>
          <w:rFonts w:hint="eastAsia" w:ascii="Times New Roman" w:hAnsi="Times New Roman" w:eastAsia="宋体"/>
          <w:color w:val="auto"/>
          <w:highlight w:val="none"/>
          <w:lang w:val="sq-AL" w:eastAsia="zh-CN"/>
        </w:rPr>
        <w:t>鞍国土资年储备字</w:t>
      </w:r>
      <w:r>
        <w:rPr>
          <w:rFonts w:hint="default" w:ascii="Times New Roman" w:hAnsi="Times New Roman" w:eastAsia="宋体"/>
          <w:color w:val="auto"/>
          <w:highlight w:val="none"/>
          <w:lang w:val="sq-AL"/>
        </w:rPr>
        <w:t>[20</w:t>
      </w:r>
      <w:r>
        <w:rPr>
          <w:rFonts w:hint="eastAsia" w:ascii="Times New Roman" w:hAnsi="Times New Roman" w:eastAsia="宋体"/>
          <w:color w:val="auto"/>
          <w:highlight w:val="none"/>
          <w:lang w:val="sq-AL" w:eastAsia="zh-CN"/>
        </w:rPr>
        <w:t>19</w:t>
      </w:r>
      <w:r>
        <w:rPr>
          <w:rFonts w:hint="default" w:ascii="Times New Roman" w:hAnsi="Times New Roman" w:eastAsia="宋体"/>
          <w:color w:val="auto"/>
          <w:highlight w:val="none"/>
          <w:lang w:val="sq-AL"/>
        </w:rPr>
        <w:t>]</w:t>
      </w:r>
      <w:r>
        <w:rPr>
          <w:rFonts w:hint="eastAsia" w:ascii="Times New Roman" w:hAnsi="Times New Roman" w:eastAsia="宋体"/>
          <w:color w:val="auto"/>
          <w:highlight w:val="none"/>
          <w:lang w:val="sq-AL" w:eastAsia="zh-CN"/>
        </w:rPr>
        <w:t>031</w:t>
      </w:r>
      <w:r>
        <w:rPr>
          <w:rFonts w:hint="default" w:ascii="Times New Roman" w:hAnsi="Times New Roman" w:eastAsia="宋体"/>
          <w:color w:val="auto"/>
          <w:highlight w:val="none"/>
          <w:lang w:val="sq-AL"/>
        </w:rPr>
        <w:t>号，20</w:t>
      </w:r>
      <w:r>
        <w:rPr>
          <w:rFonts w:hint="eastAsia" w:ascii="Times New Roman" w:hAnsi="Times New Roman" w:eastAsia="宋体"/>
          <w:color w:val="auto"/>
          <w:highlight w:val="none"/>
          <w:lang w:val="sq-AL" w:eastAsia="zh-CN"/>
        </w:rPr>
        <w:t>19</w:t>
      </w:r>
      <w:r>
        <w:rPr>
          <w:rFonts w:hint="default" w:ascii="Times New Roman" w:hAnsi="Times New Roman" w:eastAsia="宋体"/>
          <w:color w:val="auto"/>
          <w:highlight w:val="none"/>
          <w:lang w:val="sq-AL"/>
        </w:rPr>
        <w:t>年</w:t>
      </w:r>
      <w:r>
        <w:rPr>
          <w:rFonts w:hint="eastAsia" w:ascii="Times New Roman" w:hAnsi="Times New Roman" w:eastAsia="宋体"/>
          <w:color w:val="auto"/>
          <w:highlight w:val="none"/>
          <w:lang w:val="sq-AL" w:eastAsia="zh-CN"/>
        </w:rPr>
        <w:t>3</w:t>
      </w:r>
      <w:r>
        <w:rPr>
          <w:rFonts w:hint="default" w:ascii="Times New Roman" w:hAnsi="Times New Roman" w:eastAsia="宋体"/>
          <w:color w:val="auto"/>
          <w:highlight w:val="none"/>
          <w:lang w:val="sq-AL"/>
        </w:rPr>
        <w:t>月</w:t>
      </w:r>
      <w:r>
        <w:rPr>
          <w:rFonts w:hint="eastAsia" w:ascii="Times New Roman" w:hAnsi="Times New Roman" w:eastAsia="宋体"/>
          <w:color w:val="auto"/>
          <w:highlight w:val="none"/>
          <w:lang w:val="sq-AL" w:eastAsia="zh-CN"/>
        </w:rPr>
        <w:t>15</w:t>
      </w:r>
      <w:r>
        <w:rPr>
          <w:rFonts w:hint="default" w:ascii="Times New Roman" w:hAnsi="Times New Roman" w:eastAsia="宋体"/>
          <w:color w:val="auto"/>
          <w:highlight w:val="none"/>
          <w:lang w:val="sq-AL"/>
        </w:rPr>
        <w:t>日</w:t>
      </w:r>
      <w:r>
        <w:rPr>
          <w:rFonts w:hint="eastAsia" w:ascii="Times New Roman" w:hAnsi="Times New Roman" w:eastAsia="宋体"/>
          <w:color w:val="auto"/>
          <w:highlight w:val="none"/>
          <w:lang w:val="sq-AL" w:eastAsia="zh-CN"/>
        </w:rPr>
        <w:t>；</w:t>
      </w:r>
    </w:p>
    <w:p w14:paraId="555FCD80">
      <w:pPr>
        <w:pStyle w:val="24"/>
        <w:numPr>
          <w:ilvl w:val="0"/>
          <w:numId w:val="8"/>
        </w:numPr>
        <w:bidi w:val="0"/>
        <w:rPr>
          <w:rFonts w:hint="eastAsia" w:ascii="Times New Roman" w:hAnsi="Times New Roman" w:eastAsia="宋体"/>
          <w:color w:val="auto"/>
          <w:highlight w:val="none"/>
          <w:lang w:val="sq-AL" w:eastAsia="zh-CN"/>
        </w:rPr>
      </w:pPr>
      <w:r>
        <w:rPr>
          <w:rFonts w:hint="default" w:ascii="Times New Roman" w:hAnsi="Times New Roman" w:eastAsia="宋体"/>
          <w:color w:val="auto"/>
          <w:highlight w:val="none"/>
          <w:lang w:val="sq-AL"/>
        </w:rPr>
        <w:t>《〈岫岩满族自治县皇室啡矿业有限公司（建筑用花岗岩）矿产资源开发利用方案〉审查意见书》，</w:t>
      </w:r>
      <w:r>
        <w:rPr>
          <w:rFonts w:hint="eastAsia" w:ascii="Times New Roman" w:hAnsi="Times New Roman" w:eastAsia="宋体"/>
          <w:color w:val="auto"/>
          <w:highlight w:val="none"/>
          <w:lang w:val="sq-AL" w:eastAsia="zh-CN"/>
        </w:rPr>
        <w:t>辽地会审字</w:t>
      </w:r>
      <w:r>
        <w:rPr>
          <w:rFonts w:hint="default" w:ascii="Times New Roman" w:hAnsi="Times New Roman" w:eastAsia="宋体"/>
          <w:color w:val="auto"/>
          <w:highlight w:val="none"/>
          <w:lang w:val="sq-AL"/>
        </w:rPr>
        <w:t>[2020]</w:t>
      </w:r>
      <w:r>
        <w:rPr>
          <w:rFonts w:hint="eastAsia" w:ascii="Times New Roman" w:hAnsi="Times New Roman" w:eastAsia="宋体"/>
          <w:color w:val="auto"/>
          <w:highlight w:val="none"/>
          <w:lang w:val="sq-AL" w:eastAsia="zh-CN"/>
        </w:rPr>
        <w:t>C199</w:t>
      </w:r>
      <w:r>
        <w:rPr>
          <w:rFonts w:hint="default" w:ascii="Times New Roman" w:hAnsi="Times New Roman" w:eastAsia="宋体"/>
          <w:color w:val="auto"/>
          <w:highlight w:val="none"/>
          <w:lang w:val="sq-AL"/>
        </w:rPr>
        <w:t>号，</w:t>
      </w:r>
      <w:r>
        <w:rPr>
          <w:rFonts w:hint="eastAsia" w:ascii="Times New Roman" w:hAnsi="Times New Roman" w:eastAsia="宋体"/>
          <w:color w:val="auto"/>
          <w:highlight w:val="none"/>
          <w:lang w:val="sq-AL" w:eastAsia="zh-CN"/>
        </w:rPr>
        <w:t>辽宁省地质学会</w:t>
      </w:r>
      <w:r>
        <w:rPr>
          <w:rFonts w:hint="default" w:ascii="Times New Roman" w:hAnsi="Times New Roman" w:eastAsia="宋体"/>
          <w:color w:val="auto"/>
          <w:highlight w:val="none"/>
          <w:lang w:val="sq-AL"/>
        </w:rPr>
        <w:t>，202</w:t>
      </w:r>
      <w:r>
        <w:rPr>
          <w:rFonts w:hint="eastAsia" w:ascii="Times New Roman" w:hAnsi="Times New Roman" w:eastAsia="宋体"/>
          <w:color w:val="auto"/>
          <w:highlight w:val="none"/>
          <w:lang w:val="sq-AL" w:eastAsia="zh-CN"/>
        </w:rPr>
        <w:t>0</w:t>
      </w:r>
      <w:r>
        <w:rPr>
          <w:rFonts w:hint="default" w:ascii="Times New Roman" w:hAnsi="Times New Roman" w:eastAsia="宋体"/>
          <w:color w:val="auto"/>
          <w:highlight w:val="none"/>
          <w:lang w:val="sq-AL"/>
        </w:rPr>
        <w:t>年</w:t>
      </w:r>
      <w:r>
        <w:rPr>
          <w:rFonts w:hint="eastAsia" w:ascii="Times New Roman" w:hAnsi="Times New Roman" w:eastAsia="宋体"/>
          <w:color w:val="auto"/>
          <w:highlight w:val="none"/>
          <w:lang w:val="sq-AL" w:eastAsia="zh-CN"/>
        </w:rPr>
        <w:t>11</w:t>
      </w:r>
      <w:r>
        <w:rPr>
          <w:rFonts w:hint="default" w:ascii="Times New Roman" w:hAnsi="Times New Roman" w:eastAsia="宋体"/>
          <w:color w:val="auto"/>
          <w:highlight w:val="none"/>
          <w:lang w:val="sq-AL"/>
        </w:rPr>
        <w:t>月</w:t>
      </w:r>
      <w:r>
        <w:rPr>
          <w:rFonts w:hint="eastAsia" w:ascii="Times New Roman" w:hAnsi="Times New Roman" w:eastAsia="宋体"/>
          <w:color w:val="auto"/>
          <w:highlight w:val="none"/>
          <w:lang w:val="sq-AL" w:eastAsia="zh-CN"/>
        </w:rPr>
        <w:t>5</w:t>
      </w:r>
      <w:r>
        <w:rPr>
          <w:rFonts w:hint="default" w:ascii="Times New Roman" w:hAnsi="Times New Roman" w:eastAsia="宋体"/>
          <w:color w:val="auto"/>
          <w:highlight w:val="none"/>
          <w:lang w:val="sq-AL"/>
        </w:rPr>
        <w:t>日</w:t>
      </w:r>
      <w:r>
        <w:rPr>
          <w:rFonts w:hint="eastAsia" w:ascii="Times New Roman" w:hAnsi="Times New Roman" w:eastAsia="宋体"/>
          <w:color w:val="auto"/>
          <w:highlight w:val="none"/>
          <w:lang w:val="sq-AL" w:eastAsia="zh-CN"/>
        </w:rPr>
        <w:t>；</w:t>
      </w:r>
    </w:p>
    <w:p w14:paraId="27E62C17">
      <w:pPr>
        <w:pStyle w:val="24"/>
        <w:numPr>
          <w:ilvl w:val="0"/>
          <w:numId w:val="8"/>
        </w:numPr>
        <w:bidi w:val="0"/>
        <w:rPr>
          <w:rFonts w:hint="default" w:ascii="Times New Roman" w:hAnsi="Times New Roman" w:eastAsia="宋体"/>
          <w:color w:val="auto"/>
          <w:highlight w:val="none"/>
          <w:lang w:val="en-US" w:eastAsia="zh-CN"/>
        </w:rPr>
      </w:pPr>
      <w:r>
        <w:rPr>
          <w:rFonts w:hint="default" w:ascii="Times New Roman" w:hAnsi="Times New Roman" w:eastAsia="宋体"/>
          <w:color w:val="auto"/>
          <w:highlight w:val="none"/>
          <w:lang w:val="sq-AL"/>
        </w:rPr>
        <w:t>关于《年产2万立方米建筑用花岗岩建设项目》项目备案证明，岫岩满族自治县发展和改革局，2025年6月19日</w:t>
      </w:r>
      <w:r>
        <w:rPr>
          <w:rFonts w:hint="eastAsia" w:ascii="Times New Roman" w:hAnsi="Times New Roman" w:eastAsia="宋体"/>
          <w:color w:val="auto"/>
          <w:highlight w:val="none"/>
          <w:lang w:val="sq-AL" w:eastAsia="zh-CN"/>
        </w:rPr>
        <w:t>。</w:t>
      </w:r>
    </w:p>
    <w:p w14:paraId="5C030A05">
      <w:pPr>
        <w:pStyle w:val="31"/>
        <w:bidi w:val="0"/>
        <w:rPr>
          <w:rFonts w:hint="default"/>
          <w:color w:val="auto"/>
          <w:highlight w:val="none"/>
          <w:lang w:val="en-US" w:eastAsia="zh-CN"/>
        </w:rPr>
      </w:pPr>
      <w:r>
        <w:rPr>
          <w:rFonts w:hint="eastAsia"/>
          <w:color w:val="auto"/>
          <w:highlight w:val="none"/>
          <w:lang w:val="en-US" w:eastAsia="zh-CN"/>
        </w:rPr>
        <w:t>其他评价依据</w:t>
      </w:r>
    </w:p>
    <w:p w14:paraId="31A8428B">
      <w:pPr>
        <w:pStyle w:val="24"/>
        <w:numPr>
          <w:ilvl w:val="0"/>
          <w:numId w:val="9"/>
        </w:numPr>
        <w:bidi w:val="0"/>
        <w:rPr>
          <w:rFonts w:hint="eastAsia" w:ascii="Times New Roman" w:hAnsi="Times New Roman" w:eastAsia="宋体"/>
          <w:color w:val="auto"/>
          <w:highlight w:val="none"/>
          <w:lang w:val="sq-AL" w:eastAsia="zh-CN"/>
        </w:rPr>
      </w:pPr>
      <w:r>
        <w:rPr>
          <w:rFonts w:hint="eastAsia" w:ascii="Times New Roman" w:hAnsi="Times New Roman" w:eastAsia="宋体"/>
          <w:color w:val="auto"/>
          <w:highlight w:val="none"/>
          <w:lang w:val="sq-AL" w:eastAsia="zh-CN"/>
        </w:rPr>
        <w:t>营业执照（统一社会编码：</w:t>
      </w:r>
      <w:r>
        <w:rPr>
          <w:rFonts w:hint="eastAsia"/>
          <w:color w:val="auto"/>
          <w:highlight w:val="none"/>
          <w:lang w:val="sq-AL" w:eastAsia="zh-CN"/>
        </w:rPr>
        <w:t>XXXXXXXXXXXXXXXXX</w:t>
      </w:r>
      <w:r>
        <w:rPr>
          <w:rFonts w:hint="eastAsia" w:ascii="Times New Roman" w:hAnsi="Times New Roman" w:eastAsia="宋体"/>
          <w:color w:val="auto"/>
          <w:highlight w:val="none"/>
          <w:lang w:val="sq-AL" w:eastAsia="zh-CN"/>
        </w:rPr>
        <w:t>）；</w:t>
      </w:r>
    </w:p>
    <w:p w14:paraId="0412F5A1">
      <w:pPr>
        <w:pStyle w:val="24"/>
        <w:numPr>
          <w:ilvl w:val="0"/>
          <w:numId w:val="9"/>
        </w:numPr>
        <w:bidi w:val="0"/>
        <w:rPr>
          <w:rFonts w:hint="eastAsia" w:ascii="Times New Roman" w:hAnsi="Times New Roman" w:eastAsia="宋体"/>
          <w:color w:val="auto"/>
          <w:highlight w:val="none"/>
          <w:lang w:val="sq-AL" w:eastAsia="zh-CN"/>
        </w:rPr>
      </w:pPr>
      <w:bookmarkStart w:id="11" w:name="OLE_LINK12"/>
      <w:r>
        <w:rPr>
          <w:rFonts w:hint="eastAsia" w:ascii="Times New Roman" w:hAnsi="Times New Roman" w:eastAsia="宋体"/>
          <w:color w:val="auto"/>
          <w:highlight w:val="none"/>
          <w:lang w:val="sq-AL" w:eastAsia="zh-CN"/>
        </w:rPr>
        <w:t>采矿许可证（证号</w:t>
      </w:r>
      <w:r>
        <w:rPr>
          <w:rFonts w:hint="eastAsia"/>
          <w:color w:val="auto"/>
          <w:highlight w:val="none"/>
          <w:lang w:val="sq-AL" w:eastAsia="zh-CN"/>
        </w:rPr>
        <w:t>XXXXXXXXXXXXXXXXX</w:t>
      </w:r>
      <w:r>
        <w:rPr>
          <w:rFonts w:hint="eastAsia" w:ascii="Times New Roman" w:hAnsi="Times New Roman" w:eastAsia="宋体"/>
          <w:color w:val="auto"/>
          <w:highlight w:val="none"/>
          <w:lang w:val="sq-AL" w:eastAsia="zh-CN"/>
        </w:rPr>
        <w:t>）</w:t>
      </w:r>
      <w:bookmarkEnd w:id="11"/>
      <w:r>
        <w:rPr>
          <w:rFonts w:hint="eastAsia" w:ascii="Times New Roman" w:hAnsi="Times New Roman" w:eastAsia="宋体"/>
          <w:color w:val="auto"/>
          <w:highlight w:val="none"/>
          <w:lang w:val="sq-AL" w:eastAsia="zh-CN"/>
        </w:rPr>
        <w:t>。</w:t>
      </w:r>
    </w:p>
    <w:p w14:paraId="27552C72">
      <w:pPr>
        <w:pStyle w:val="24"/>
        <w:numPr>
          <w:ilvl w:val="0"/>
          <w:numId w:val="0"/>
        </w:numPr>
        <w:bidi w:val="0"/>
        <w:ind w:leftChars="200"/>
        <w:rPr>
          <w:rFonts w:hint="default" w:ascii="Times New Roman" w:hAnsi="Times New Roman" w:eastAsia="宋体"/>
          <w:color w:val="auto"/>
          <w:highlight w:val="none"/>
          <w:lang w:val="en-US" w:eastAsia="zh-CN"/>
        </w:rPr>
      </w:pPr>
    </w:p>
    <w:p w14:paraId="6368369F">
      <w:pPr>
        <w:pStyle w:val="29"/>
        <w:bidi w:val="0"/>
        <w:ind w:left="0" w:leftChars="0" w:firstLine="0" w:firstLineChars="0"/>
        <w:rPr>
          <w:rFonts w:hint="default"/>
          <w:color w:val="auto"/>
          <w:highlight w:val="none"/>
          <w:lang w:val="en-US" w:eastAsia="zh-CN"/>
        </w:rPr>
      </w:pPr>
      <w:bookmarkStart w:id="12" w:name="_Toc11876"/>
      <w:r>
        <w:rPr>
          <w:rFonts w:hint="eastAsia"/>
          <w:color w:val="auto"/>
          <w:highlight w:val="none"/>
          <w:lang w:val="en-US" w:eastAsia="zh-CN"/>
        </w:rPr>
        <w:t>建设项目概述</w:t>
      </w:r>
      <w:bookmarkEnd w:id="12"/>
    </w:p>
    <w:p w14:paraId="2E3627E8">
      <w:pPr>
        <w:pStyle w:val="30"/>
        <w:rPr>
          <w:rFonts w:hint="default"/>
          <w:color w:val="auto"/>
          <w:highlight w:val="none"/>
          <w:lang w:val="en-US" w:eastAsia="zh-CN"/>
        </w:rPr>
      </w:pPr>
      <w:bookmarkStart w:id="13" w:name="_Toc62"/>
      <w:r>
        <w:rPr>
          <w:rFonts w:hint="default"/>
          <w:color w:val="auto"/>
          <w:highlight w:val="none"/>
          <w:lang w:val="en-US" w:eastAsia="zh-CN"/>
        </w:rPr>
        <w:t>设单位概况</w:t>
      </w:r>
      <w:bookmarkEnd w:id="13"/>
    </w:p>
    <w:p w14:paraId="3C3514DD">
      <w:pPr>
        <w:pStyle w:val="31"/>
        <w:rPr>
          <w:rFonts w:hint="default"/>
          <w:color w:val="auto"/>
          <w:highlight w:val="none"/>
          <w:lang w:val="en-US" w:eastAsia="zh-CN"/>
        </w:rPr>
      </w:pPr>
      <w:r>
        <w:rPr>
          <w:rFonts w:hint="default"/>
          <w:color w:val="auto"/>
          <w:highlight w:val="none"/>
          <w:lang w:val="en-US" w:eastAsia="zh-CN"/>
        </w:rPr>
        <w:t>建设单位简介</w:t>
      </w:r>
    </w:p>
    <w:p w14:paraId="1613F2AD">
      <w:pPr>
        <w:pStyle w:val="24"/>
        <w:bidi w:val="0"/>
        <w:rPr>
          <w:rFonts w:hint="eastAsia"/>
          <w:color w:val="auto"/>
          <w:highlight w:val="none"/>
        </w:rPr>
      </w:pPr>
      <w:r>
        <w:rPr>
          <w:rFonts w:hint="eastAsia"/>
          <w:color w:val="auto"/>
          <w:highlight w:val="none"/>
        </w:rPr>
        <w:t>矿山名称：</w:t>
      </w:r>
      <w:r>
        <w:rPr>
          <w:rFonts w:hint="default" w:ascii="Times New Roman" w:hAnsi="Times New Roman" w:eastAsia="宋体" w:cs="Times New Roman"/>
          <w:color w:val="auto"/>
          <w:highlight w:val="none"/>
          <w:lang w:val="en-US" w:eastAsia="zh-CN"/>
        </w:rPr>
        <w:t>岫岩满族自治县皇室啡矿业有限公司</w:t>
      </w:r>
      <w:r>
        <w:rPr>
          <w:rFonts w:hint="eastAsia"/>
          <w:color w:val="auto"/>
          <w:highlight w:val="none"/>
        </w:rPr>
        <w:t>；</w:t>
      </w:r>
    </w:p>
    <w:p w14:paraId="4091F766">
      <w:pPr>
        <w:pStyle w:val="24"/>
        <w:bidi w:val="0"/>
        <w:rPr>
          <w:rFonts w:hint="eastAsia"/>
          <w:color w:val="auto"/>
          <w:highlight w:val="none"/>
        </w:rPr>
      </w:pPr>
      <w:r>
        <w:rPr>
          <w:rFonts w:hint="eastAsia"/>
          <w:color w:val="auto"/>
          <w:highlight w:val="none"/>
        </w:rPr>
        <w:t>采矿权人：</w:t>
      </w:r>
      <w:r>
        <w:rPr>
          <w:rFonts w:hint="default" w:ascii="Times New Roman" w:hAnsi="Times New Roman" w:eastAsia="宋体" w:cs="Times New Roman"/>
          <w:color w:val="auto"/>
          <w:highlight w:val="none"/>
          <w:lang w:val="en-US" w:eastAsia="zh-CN"/>
        </w:rPr>
        <w:t>岫岩满族自治县皇室啡矿业有限公司</w:t>
      </w:r>
      <w:r>
        <w:rPr>
          <w:rFonts w:hint="eastAsia"/>
          <w:color w:val="auto"/>
          <w:highlight w:val="none"/>
        </w:rPr>
        <w:t>；</w:t>
      </w:r>
    </w:p>
    <w:p w14:paraId="2AFCCAA7">
      <w:pPr>
        <w:pStyle w:val="24"/>
        <w:bidi w:val="0"/>
        <w:rPr>
          <w:rFonts w:hint="eastAsia"/>
          <w:color w:val="auto"/>
          <w:highlight w:val="none"/>
        </w:rPr>
      </w:pPr>
      <w:r>
        <w:rPr>
          <w:rFonts w:hint="eastAsia"/>
          <w:color w:val="auto"/>
          <w:highlight w:val="none"/>
        </w:rPr>
        <w:t>企业类型：有限责任公司；</w:t>
      </w:r>
    </w:p>
    <w:p w14:paraId="3340138D">
      <w:pPr>
        <w:pStyle w:val="24"/>
        <w:bidi w:val="0"/>
        <w:rPr>
          <w:rFonts w:hint="eastAsia"/>
          <w:color w:val="auto"/>
          <w:highlight w:val="none"/>
        </w:rPr>
      </w:pPr>
      <w:r>
        <w:rPr>
          <w:rFonts w:hint="eastAsia"/>
          <w:color w:val="auto"/>
          <w:highlight w:val="none"/>
        </w:rPr>
        <w:t>住    所：</w:t>
      </w:r>
      <w:r>
        <w:rPr>
          <w:rFonts w:hint="eastAsia"/>
          <w:color w:val="auto"/>
          <w:highlight w:val="none"/>
          <w:lang w:val="en-US" w:eastAsia="zh-CN"/>
        </w:rPr>
        <w:t>辽宁省鞍山市岫岩满族自治县朝阳乡沟门村马家滴子沟</w:t>
      </w:r>
      <w:r>
        <w:rPr>
          <w:rFonts w:hint="eastAsia"/>
          <w:color w:val="auto"/>
          <w:highlight w:val="none"/>
        </w:rPr>
        <w:t>；</w:t>
      </w:r>
    </w:p>
    <w:p w14:paraId="56B1F46B">
      <w:pPr>
        <w:pStyle w:val="24"/>
        <w:bidi w:val="0"/>
        <w:rPr>
          <w:rFonts w:hint="eastAsia"/>
          <w:color w:val="auto"/>
          <w:highlight w:val="none"/>
        </w:rPr>
      </w:pPr>
      <w:r>
        <w:rPr>
          <w:rFonts w:hint="eastAsia"/>
          <w:color w:val="auto"/>
          <w:highlight w:val="none"/>
        </w:rPr>
        <w:t>法定代表人：</w:t>
      </w:r>
      <w:r>
        <w:rPr>
          <w:rFonts w:hint="eastAsia"/>
          <w:color w:val="auto"/>
          <w:highlight w:val="none"/>
          <w:lang w:val="en-US" w:eastAsia="zh-CN"/>
        </w:rPr>
        <w:t>姜波</w:t>
      </w:r>
      <w:r>
        <w:rPr>
          <w:rFonts w:hint="eastAsia"/>
          <w:color w:val="auto"/>
          <w:highlight w:val="none"/>
        </w:rPr>
        <w:t>；</w:t>
      </w:r>
    </w:p>
    <w:p w14:paraId="4DD3C1FF">
      <w:pPr>
        <w:pStyle w:val="24"/>
        <w:bidi w:val="0"/>
        <w:rPr>
          <w:rFonts w:hint="eastAsia"/>
          <w:color w:val="auto"/>
          <w:highlight w:val="none"/>
        </w:rPr>
      </w:pPr>
      <w:r>
        <w:rPr>
          <w:rFonts w:hint="eastAsia"/>
          <w:color w:val="auto"/>
          <w:highlight w:val="none"/>
        </w:rPr>
        <w:t>注册资本：人民币</w:t>
      </w:r>
      <w:r>
        <w:rPr>
          <w:rFonts w:hint="eastAsia"/>
          <w:color w:val="auto"/>
          <w:highlight w:val="none"/>
          <w:lang w:val="en-US" w:eastAsia="zh-CN"/>
        </w:rPr>
        <w:t>伍拾万</w:t>
      </w:r>
      <w:r>
        <w:rPr>
          <w:rFonts w:hint="eastAsia"/>
          <w:color w:val="auto"/>
          <w:highlight w:val="none"/>
        </w:rPr>
        <w:t>元整；</w:t>
      </w:r>
    </w:p>
    <w:p w14:paraId="3DB2531E">
      <w:pPr>
        <w:pStyle w:val="24"/>
        <w:bidi w:val="0"/>
        <w:rPr>
          <w:rFonts w:hint="eastAsia"/>
          <w:color w:val="auto"/>
          <w:highlight w:val="none"/>
        </w:rPr>
      </w:pPr>
      <w:r>
        <w:rPr>
          <w:rFonts w:hint="eastAsia"/>
          <w:color w:val="auto"/>
          <w:highlight w:val="none"/>
        </w:rPr>
        <w:t>登记机关：</w:t>
      </w:r>
      <w:r>
        <w:rPr>
          <w:rFonts w:hint="eastAsia"/>
          <w:color w:val="auto"/>
          <w:highlight w:val="none"/>
          <w:lang w:val="en-US" w:eastAsia="zh-CN"/>
        </w:rPr>
        <w:t>岫岩满族自治县</w:t>
      </w:r>
      <w:r>
        <w:rPr>
          <w:rFonts w:hint="eastAsia"/>
          <w:color w:val="auto"/>
          <w:highlight w:val="none"/>
        </w:rPr>
        <w:t>市场监督管理局；</w:t>
      </w:r>
    </w:p>
    <w:p w14:paraId="31BBBBD2">
      <w:pPr>
        <w:pStyle w:val="24"/>
        <w:bidi w:val="0"/>
        <w:rPr>
          <w:rFonts w:hint="eastAsia"/>
          <w:color w:val="auto"/>
          <w:highlight w:val="none"/>
        </w:rPr>
      </w:pPr>
      <w:r>
        <w:rPr>
          <w:rFonts w:hint="eastAsia"/>
          <w:color w:val="auto"/>
          <w:highlight w:val="none"/>
        </w:rPr>
        <w:t>营业期限：自</w:t>
      </w:r>
      <w:r>
        <w:rPr>
          <w:rFonts w:hint="eastAsia"/>
          <w:color w:val="auto"/>
          <w:highlight w:val="none"/>
          <w:lang w:val="en-US" w:eastAsia="zh-CN"/>
        </w:rPr>
        <w:t>2012</w:t>
      </w:r>
      <w:r>
        <w:rPr>
          <w:rFonts w:hint="eastAsia"/>
          <w:color w:val="auto"/>
          <w:highlight w:val="none"/>
        </w:rPr>
        <w:t>年</w:t>
      </w:r>
      <w:r>
        <w:rPr>
          <w:rFonts w:hint="eastAsia"/>
          <w:color w:val="auto"/>
          <w:highlight w:val="none"/>
          <w:lang w:val="en-US" w:eastAsia="zh-CN"/>
        </w:rPr>
        <w:t>09</w:t>
      </w:r>
      <w:r>
        <w:rPr>
          <w:rFonts w:hint="eastAsia"/>
          <w:color w:val="auto"/>
          <w:highlight w:val="none"/>
        </w:rPr>
        <w:t>月</w:t>
      </w:r>
      <w:r>
        <w:rPr>
          <w:rFonts w:hint="eastAsia"/>
          <w:color w:val="auto"/>
          <w:highlight w:val="none"/>
          <w:lang w:val="en-US" w:eastAsia="zh-CN"/>
        </w:rPr>
        <w:t>17</w:t>
      </w:r>
      <w:r>
        <w:rPr>
          <w:rFonts w:hint="eastAsia"/>
          <w:color w:val="auto"/>
          <w:highlight w:val="none"/>
        </w:rPr>
        <w:t>日至长期；</w:t>
      </w:r>
    </w:p>
    <w:p w14:paraId="4DA952F8">
      <w:pPr>
        <w:pStyle w:val="24"/>
        <w:bidi w:val="0"/>
        <w:rPr>
          <w:rFonts w:hint="eastAsia"/>
          <w:color w:val="auto"/>
          <w:highlight w:val="none"/>
        </w:rPr>
      </w:pPr>
      <w:r>
        <w:rPr>
          <w:rFonts w:hint="eastAsia"/>
          <w:color w:val="auto"/>
          <w:highlight w:val="none"/>
        </w:rPr>
        <w:t>统一社会信用代码：</w:t>
      </w:r>
      <w:r>
        <w:rPr>
          <w:rFonts w:hint="eastAsia"/>
          <w:color w:val="auto"/>
          <w:highlight w:val="none"/>
          <w:lang w:val="en-US" w:eastAsia="zh-CN"/>
        </w:rPr>
        <w:t>XXXXXXXXXXXXXXXXX</w:t>
      </w:r>
      <w:r>
        <w:rPr>
          <w:rFonts w:hint="eastAsia"/>
          <w:color w:val="auto"/>
          <w:highlight w:val="none"/>
        </w:rPr>
        <w:t>。</w:t>
      </w:r>
    </w:p>
    <w:p w14:paraId="017DF1B2">
      <w:pPr>
        <w:pStyle w:val="24"/>
        <w:bidi w:val="0"/>
        <w:rPr>
          <w:color w:val="auto"/>
          <w:highlight w:val="none"/>
        </w:rPr>
      </w:pPr>
      <w:r>
        <w:rPr>
          <w:color w:val="auto"/>
          <w:highlight w:val="none"/>
        </w:rPr>
        <w:t>目前在矿区平面范围内西南角有一处早先遗留的民采采场，该采场长约120m，宽约80m，深11m，采场最高标高为121m，最低标高为110m，边坡角约为45°，为山坡式露天采坑，大气降水可自流排出。该采坑距离设计采场最近距离为230m。</w:t>
      </w:r>
      <w:r>
        <w:rPr>
          <w:rFonts w:hint="eastAsia"/>
          <w:color w:val="auto"/>
          <w:highlight w:val="none"/>
          <w:lang w:val="en-US" w:eastAsia="zh-CN"/>
        </w:rPr>
        <w:t>皇室啡矿业</w:t>
      </w:r>
      <w:r>
        <w:rPr>
          <w:color w:val="auto"/>
          <w:highlight w:val="none"/>
        </w:rPr>
        <w:t>自2016年3月13日取得采矿许可证</w:t>
      </w:r>
      <w:r>
        <w:rPr>
          <w:rFonts w:hint="eastAsia"/>
          <w:color w:val="auto"/>
          <w:highlight w:val="none"/>
        </w:rPr>
        <w:t>至今</w:t>
      </w:r>
      <w:r>
        <w:rPr>
          <w:color w:val="auto"/>
          <w:highlight w:val="none"/>
        </w:rPr>
        <w:t>，矿山没有进行过建设和开采。</w:t>
      </w:r>
    </w:p>
    <w:p w14:paraId="226E4A76">
      <w:pPr>
        <w:pStyle w:val="24"/>
        <w:bidi w:val="0"/>
        <w:rPr>
          <w:rFonts w:hint="default"/>
          <w:color w:val="auto"/>
          <w:highlight w:val="none"/>
          <w:lang w:val="en-US" w:eastAsia="zh-CN"/>
        </w:rPr>
      </w:pPr>
      <w:r>
        <w:rPr>
          <w:rFonts w:hint="eastAsia"/>
          <w:color w:val="auto"/>
          <w:highlight w:val="none"/>
          <w:lang w:val="en-US" w:eastAsia="zh-CN"/>
        </w:rPr>
        <w:t>皇室啡矿业有限公司目前正在</w:t>
      </w:r>
      <w:r>
        <w:rPr>
          <w:rFonts w:hint="eastAsia"/>
          <w:color w:val="auto"/>
          <w:highlight w:val="none"/>
        </w:rPr>
        <w:t>根据《国家矿山安全监察局关于进一步加强非煤矿山安全生产行政许可工作的通知》（矿安〔2024〕70号）文件要求，现重新履行安全设施“三同时”。</w:t>
      </w:r>
    </w:p>
    <w:p w14:paraId="695413F6">
      <w:pPr>
        <w:pStyle w:val="31"/>
        <w:bidi w:val="0"/>
        <w:rPr>
          <w:rFonts w:hint="default"/>
          <w:color w:val="auto"/>
          <w:highlight w:val="none"/>
          <w:lang w:val="en-US" w:eastAsia="zh-CN"/>
        </w:rPr>
      </w:pPr>
      <w:r>
        <w:rPr>
          <w:rFonts w:hint="eastAsia"/>
          <w:color w:val="auto"/>
          <w:highlight w:val="none"/>
          <w:lang w:val="en-US" w:eastAsia="zh-CN"/>
        </w:rPr>
        <w:t>地理位置及交通</w:t>
      </w:r>
    </w:p>
    <w:p w14:paraId="6949CDEF">
      <w:pPr>
        <w:pStyle w:val="24"/>
        <w:bidi w:val="0"/>
        <w:rPr>
          <w:rFonts w:hint="default"/>
          <w:color w:val="auto"/>
          <w:highlight w:val="none"/>
          <w:lang w:val="en-US" w:eastAsia="zh-CN"/>
        </w:rPr>
      </w:pPr>
      <w:r>
        <w:rPr>
          <w:rFonts w:hint="eastAsia"/>
          <w:color w:val="auto"/>
          <w:highlight w:val="none"/>
          <w:lang w:val="en-US" w:eastAsia="zh-CN"/>
        </w:rPr>
        <w:t>皇室啡矿业有限公司</w:t>
      </w:r>
      <w:r>
        <w:rPr>
          <w:color w:val="auto"/>
          <w:highlight w:val="none"/>
        </w:rPr>
        <w:t>位于岫岩县城东北，距岫岩县城约32km。行政区划隶属岫岩满族自治县朝阳镇沟门村管辖。矿区至朝阳镇、岫岩、海城和鞍山均有公路相通，交通较便利</w:t>
      </w:r>
      <w:r>
        <w:rPr>
          <w:rFonts w:hint="default"/>
          <w:color w:val="auto"/>
          <w:highlight w:val="none"/>
          <w:lang w:val="en-US" w:eastAsia="zh-CN"/>
        </w:rPr>
        <w:t>（详见交通位置图）。</w:t>
      </w:r>
    </w:p>
    <w:p w14:paraId="17066A2E">
      <w:pPr>
        <w:pStyle w:val="24"/>
        <w:bidi w:val="0"/>
        <w:rPr>
          <w:rFonts w:hint="default"/>
          <w:color w:val="auto"/>
          <w:highlight w:val="none"/>
          <w:lang w:val="en-US" w:eastAsia="zh-CN"/>
        </w:rPr>
      </w:pPr>
      <w:r>
        <w:rPr>
          <w:rFonts w:hint="default"/>
          <w:color w:val="auto"/>
          <w:highlight w:val="none"/>
          <w:lang w:val="en-US" w:eastAsia="zh-CN"/>
        </w:rPr>
        <w:t xml:space="preserve">矿区中心地理坐标：东经 </w:t>
      </w:r>
      <w:r>
        <w:rPr>
          <w:rFonts w:hint="eastAsia"/>
          <w:color w:val="auto"/>
          <w:highlight w:val="none"/>
          <w:lang w:val="en-US" w:eastAsia="zh-CN"/>
        </w:rPr>
        <w:t>XXXXXXXX</w:t>
      </w:r>
      <w:r>
        <w:rPr>
          <w:rFonts w:hint="default"/>
          <w:color w:val="auto"/>
          <w:highlight w:val="none"/>
          <w:lang w:val="en-US" w:eastAsia="zh-CN"/>
        </w:rPr>
        <w:t>；</w:t>
      </w:r>
    </w:p>
    <w:p w14:paraId="537014A7">
      <w:pPr>
        <w:pStyle w:val="24"/>
        <w:bidi w:val="0"/>
        <w:rPr>
          <w:rFonts w:hint="default"/>
          <w:color w:val="auto"/>
          <w:highlight w:val="none"/>
          <w:lang w:val="en-US" w:eastAsia="zh-CN"/>
        </w:rPr>
      </w:pPr>
      <w:r>
        <w:rPr>
          <w:rFonts w:hint="eastAsia"/>
          <w:color w:val="auto"/>
          <w:highlight w:val="none"/>
          <w:lang w:val="en-US" w:eastAsia="zh-CN"/>
        </w:rPr>
        <w:t xml:space="preserve">                  </w:t>
      </w:r>
      <w:r>
        <w:rPr>
          <w:rFonts w:hint="default"/>
          <w:color w:val="auto"/>
          <w:highlight w:val="none"/>
          <w:lang w:val="en-US" w:eastAsia="zh-CN"/>
        </w:rPr>
        <w:t>北纬</w:t>
      </w:r>
      <w:r>
        <w:rPr>
          <w:rFonts w:hint="eastAsia"/>
          <w:color w:val="auto"/>
          <w:highlight w:val="none"/>
          <w:lang w:val="en-US" w:eastAsia="zh-CN"/>
        </w:rPr>
        <w:t>XXXXXXXXX</w:t>
      </w:r>
      <w:r>
        <w:rPr>
          <w:rFonts w:hint="default"/>
          <w:color w:val="auto"/>
          <w:highlight w:val="none"/>
          <w:lang w:val="en-US" w:eastAsia="zh-CN"/>
        </w:rPr>
        <w:t>；</w:t>
      </w:r>
    </w:p>
    <w:p w14:paraId="2C946D4C">
      <w:pPr>
        <w:pStyle w:val="32"/>
        <w:bidi w:val="0"/>
        <w:rPr>
          <w:rFonts w:hint="default"/>
          <w:color w:val="auto"/>
          <w:highlight w:val="none"/>
        </w:rPr>
      </w:pPr>
      <w:r>
        <w:rPr>
          <w:color w:val="auto"/>
          <w:highlight w:val="none"/>
          <w:lang w:eastAsia="zh-CN"/>
        </w:rPr>
        <w:drawing>
          <wp:inline distT="0" distB="0" distL="114300" distR="114300">
            <wp:extent cx="6038215" cy="8047990"/>
            <wp:effectExtent l="0" t="0" r="635" b="10160"/>
            <wp:docPr id="16" name="图片 10" descr="图片1_副本_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0" descr="图片1_副本_副本"/>
                    <pic:cNvPicPr>
                      <a:picLocks noChangeAspect="1"/>
                    </pic:cNvPicPr>
                  </pic:nvPicPr>
                  <pic:blipFill>
                    <a:blip r:embed="rId6"/>
                    <a:stretch>
                      <a:fillRect/>
                    </a:stretch>
                  </pic:blipFill>
                  <pic:spPr>
                    <a:xfrm>
                      <a:off x="0" y="0"/>
                      <a:ext cx="6038215" cy="8047990"/>
                    </a:xfrm>
                    <a:prstGeom prst="rect">
                      <a:avLst/>
                    </a:prstGeom>
                    <a:noFill/>
                    <a:ln>
                      <a:noFill/>
                    </a:ln>
                  </pic:spPr>
                </pic:pic>
              </a:graphicData>
            </a:graphic>
          </wp:inline>
        </w:drawing>
      </w:r>
    </w:p>
    <w:p w14:paraId="005B23AA">
      <w:pPr>
        <w:pStyle w:val="32"/>
        <w:bidi w:val="0"/>
        <w:ind w:left="0" w:leftChars="0" w:right="0" w:rightChars="0" w:firstLine="0" w:firstLineChars="0"/>
        <w:jc w:val="center"/>
        <w:rPr>
          <w:rFonts w:hint="default"/>
          <w:color w:val="auto"/>
          <w:highlight w:val="none"/>
          <w:lang w:val="en-US" w:eastAsia="zh-CN"/>
        </w:rPr>
      </w:pPr>
      <w:r>
        <w:rPr>
          <w:rFonts w:hint="default"/>
          <w:color w:val="auto"/>
          <w:highlight w:val="none"/>
          <w:lang w:eastAsia="zh-CN"/>
        </w:rPr>
        <w:t>图</w:t>
      </w:r>
      <w:r>
        <w:rPr>
          <w:rFonts w:hint="eastAsia"/>
          <w:color w:val="auto"/>
          <w:highlight w:val="none"/>
          <w:lang w:val="en-US" w:eastAsia="zh-CN"/>
        </w:rPr>
        <w:t>2.1</w:t>
      </w:r>
      <w:r>
        <w:rPr>
          <w:rFonts w:hint="default"/>
          <w:color w:val="auto"/>
          <w:highlight w:val="none"/>
          <w:lang w:val="en-US" w:eastAsia="zh-CN"/>
        </w:rPr>
        <w:t>-1  交通位置图</w:t>
      </w:r>
    </w:p>
    <w:p w14:paraId="6F1C86A1">
      <w:pPr>
        <w:pStyle w:val="31"/>
        <w:bidi w:val="0"/>
        <w:rPr>
          <w:rFonts w:hint="default"/>
          <w:color w:val="auto"/>
          <w:highlight w:val="none"/>
          <w:lang w:val="en-US" w:eastAsia="zh-CN"/>
        </w:rPr>
      </w:pPr>
      <w:r>
        <w:rPr>
          <w:rFonts w:hint="eastAsia"/>
          <w:color w:val="auto"/>
          <w:highlight w:val="none"/>
          <w:lang w:val="en-US" w:eastAsia="zh-CN"/>
        </w:rPr>
        <w:t>矿区周边环境</w:t>
      </w:r>
    </w:p>
    <w:p w14:paraId="2418C91C">
      <w:pPr>
        <w:pStyle w:val="24"/>
        <w:numPr>
          <w:ilvl w:val="0"/>
          <w:numId w:val="10"/>
        </w:numPr>
        <w:bidi w:val="0"/>
        <w:rPr>
          <w:rFonts w:hint="eastAsia"/>
          <w:color w:val="auto"/>
          <w:highlight w:val="none"/>
          <w:lang w:val="en-US" w:eastAsia="zh-CN"/>
        </w:rPr>
      </w:pPr>
      <w:r>
        <w:rPr>
          <w:rFonts w:hint="eastAsia"/>
          <w:color w:val="auto"/>
          <w:highlight w:val="none"/>
          <w:lang w:val="en-US" w:eastAsia="zh-CN"/>
        </w:rPr>
        <w:t>相邻矿山</w:t>
      </w:r>
    </w:p>
    <w:p w14:paraId="467CDB31">
      <w:pPr>
        <w:pStyle w:val="24"/>
        <w:bidi w:val="0"/>
        <w:rPr>
          <w:rFonts w:hint="eastAsia"/>
          <w:color w:val="auto"/>
          <w:highlight w:val="none"/>
          <w:lang w:val="en-US" w:eastAsia="zh-CN"/>
        </w:rPr>
      </w:pPr>
      <w:r>
        <w:rPr>
          <w:rFonts w:hint="eastAsia"/>
          <w:color w:val="auto"/>
          <w:highlight w:val="none"/>
          <w:lang w:val="en-US" w:eastAsia="zh-CN"/>
        </w:rPr>
        <w:t>矿区西侧为辽宁共信矿业有限公司朝阳花岗岩矿，两个矿区范围最近处约为33米，2019年5月该矿山被法院拍卖，由辽宁兴城市开元石材有限公司摘得，2022年6月24日辽宁兴城市开元石材有限公司更名为辽宁共信矿业有限公司，该矿山矿区面积为0.1575平方公里，开采深度由235米至110米标高，开采方式为露天开采，生产规模为8万m</w:t>
      </w:r>
      <w:r>
        <w:rPr>
          <w:rFonts w:hint="eastAsia"/>
          <w:color w:val="auto"/>
          <w:highlight w:val="none"/>
          <w:vertAlign w:val="superscript"/>
          <w:lang w:val="en-US" w:eastAsia="zh-CN"/>
        </w:rPr>
        <w:t>3</w:t>
      </w:r>
      <w:r>
        <w:rPr>
          <w:rFonts w:hint="eastAsia"/>
          <w:color w:val="auto"/>
          <w:highlight w:val="none"/>
          <w:lang w:val="en-US" w:eastAsia="zh-CN"/>
        </w:rPr>
        <w:t>/a，开采工艺采用锯切机进行切割，无爆破作业。本次设计开采范围距离辽宁共信矿业有限公司朝阳花岗岩矿矿区范围最近约173米，开采工艺采用锯切机进行切割，无爆破作业。</w:t>
      </w:r>
    </w:p>
    <w:p w14:paraId="4C9E7CC0">
      <w:pPr>
        <w:pStyle w:val="32"/>
        <w:bidi w:val="0"/>
        <w:rPr>
          <w:color w:val="auto"/>
          <w:highlight w:val="none"/>
        </w:rPr>
      </w:pPr>
      <w:r>
        <w:rPr>
          <w:color w:val="auto"/>
          <w:highlight w:val="none"/>
        </w:rPr>
        <w:drawing>
          <wp:inline distT="0" distB="0" distL="114300" distR="114300">
            <wp:extent cx="5760085" cy="2963545"/>
            <wp:effectExtent l="0" t="0" r="12065" b="8255"/>
            <wp:docPr id="17"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1"/>
                    <pic:cNvPicPr>
                      <a:picLocks noChangeAspect="1"/>
                    </pic:cNvPicPr>
                  </pic:nvPicPr>
                  <pic:blipFill>
                    <a:blip r:embed="rId7"/>
                    <a:stretch>
                      <a:fillRect/>
                    </a:stretch>
                  </pic:blipFill>
                  <pic:spPr>
                    <a:xfrm>
                      <a:off x="0" y="0"/>
                      <a:ext cx="5760085" cy="2963545"/>
                    </a:xfrm>
                    <a:prstGeom prst="rect">
                      <a:avLst/>
                    </a:prstGeom>
                    <a:noFill/>
                    <a:ln>
                      <a:noFill/>
                    </a:ln>
                  </pic:spPr>
                </pic:pic>
              </a:graphicData>
            </a:graphic>
          </wp:inline>
        </w:drawing>
      </w:r>
    </w:p>
    <w:p w14:paraId="12D5793F">
      <w:pPr>
        <w:pStyle w:val="32"/>
        <w:bidi w:val="0"/>
        <w:rPr>
          <w:color w:val="auto"/>
          <w:highlight w:val="none"/>
        </w:rPr>
      </w:pPr>
      <w:r>
        <w:rPr>
          <w:color w:val="auto"/>
          <w:highlight w:val="none"/>
        </w:rPr>
        <w:t>图</w:t>
      </w:r>
      <w:r>
        <w:rPr>
          <w:rFonts w:hint="eastAsia"/>
          <w:color w:val="auto"/>
          <w:highlight w:val="none"/>
          <w:lang w:val="en-US" w:eastAsia="zh-CN"/>
        </w:rPr>
        <w:t>2.1-2</w:t>
      </w:r>
      <w:r>
        <w:rPr>
          <w:color w:val="auto"/>
          <w:highlight w:val="none"/>
        </w:rPr>
        <w:t xml:space="preserve">  相邻矿山位置关系图</w:t>
      </w:r>
    </w:p>
    <w:p w14:paraId="4A2D08AD">
      <w:pPr>
        <w:pStyle w:val="24"/>
        <w:numPr>
          <w:ilvl w:val="0"/>
          <w:numId w:val="10"/>
        </w:numPr>
        <w:bidi w:val="0"/>
        <w:rPr>
          <w:rFonts w:hint="eastAsia"/>
          <w:color w:val="auto"/>
          <w:highlight w:val="none"/>
          <w:lang w:val="en-US" w:eastAsia="zh-CN"/>
        </w:rPr>
      </w:pPr>
      <w:r>
        <w:rPr>
          <w:rFonts w:hint="eastAsia"/>
          <w:color w:val="auto"/>
          <w:highlight w:val="none"/>
          <w:lang w:val="en-US" w:eastAsia="zh-CN"/>
        </w:rPr>
        <w:t>河流</w:t>
      </w:r>
    </w:p>
    <w:p w14:paraId="2481589D">
      <w:pPr>
        <w:pStyle w:val="24"/>
        <w:bidi w:val="0"/>
        <w:rPr>
          <w:rFonts w:hint="eastAsia"/>
          <w:color w:val="auto"/>
          <w:highlight w:val="none"/>
          <w:lang w:val="en-US" w:eastAsia="zh-CN"/>
        </w:rPr>
      </w:pPr>
      <w:r>
        <w:rPr>
          <w:rFonts w:hint="eastAsia"/>
          <w:color w:val="auto"/>
          <w:highlight w:val="none"/>
          <w:lang w:val="en-US" w:eastAsia="zh-CN"/>
        </w:rPr>
        <w:t>哨子河位于矿区西侧，距离矿区最近距离约570m。</w:t>
      </w:r>
    </w:p>
    <w:p w14:paraId="07C21716">
      <w:pPr>
        <w:pStyle w:val="24"/>
        <w:bidi w:val="0"/>
        <w:rPr>
          <w:rFonts w:hint="eastAsia"/>
          <w:color w:val="auto"/>
          <w:highlight w:val="none"/>
          <w:lang w:val="en-US" w:eastAsia="zh-CN"/>
        </w:rPr>
      </w:pPr>
      <w:r>
        <w:rPr>
          <w:rFonts w:hint="eastAsia"/>
          <w:color w:val="auto"/>
          <w:highlight w:val="none"/>
          <w:lang w:val="en-US" w:eastAsia="zh-CN"/>
        </w:rPr>
        <w:t>（3）村庄</w:t>
      </w:r>
    </w:p>
    <w:p w14:paraId="585F8548">
      <w:pPr>
        <w:pStyle w:val="24"/>
        <w:bidi w:val="0"/>
        <w:rPr>
          <w:rFonts w:hint="default"/>
          <w:color w:val="auto"/>
          <w:highlight w:val="none"/>
          <w:lang w:val="en-US" w:eastAsia="zh-CN"/>
        </w:rPr>
      </w:pPr>
      <w:r>
        <w:rPr>
          <w:rFonts w:hint="eastAsia"/>
          <w:color w:val="auto"/>
          <w:highlight w:val="none"/>
          <w:lang w:val="en-US" w:eastAsia="zh-CN"/>
        </w:rPr>
        <w:t>马家滴子沟位于矿区西南侧，距离矿区最近距离约170m。</w:t>
      </w:r>
    </w:p>
    <w:p w14:paraId="1AF98AF6">
      <w:pPr>
        <w:pStyle w:val="24"/>
        <w:numPr>
          <w:ilvl w:val="0"/>
          <w:numId w:val="10"/>
        </w:numPr>
        <w:bidi w:val="0"/>
        <w:rPr>
          <w:rFonts w:hint="eastAsia"/>
          <w:color w:val="auto"/>
          <w:highlight w:val="none"/>
          <w:lang w:val="en-US" w:eastAsia="zh-CN"/>
        </w:rPr>
      </w:pPr>
      <w:r>
        <w:rPr>
          <w:rFonts w:hint="eastAsia"/>
          <w:color w:val="auto"/>
          <w:highlight w:val="none"/>
          <w:lang w:val="en-US" w:eastAsia="zh-CN"/>
        </w:rPr>
        <w:t>其他</w:t>
      </w:r>
    </w:p>
    <w:p w14:paraId="385DD8F2">
      <w:pPr>
        <w:pStyle w:val="24"/>
        <w:bidi w:val="0"/>
        <w:rPr>
          <w:rFonts w:hint="default"/>
          <w:color w:val="auto"/>
          <w:highlight w:val="none"/>
          <w:lang w:val="en-US" w:eastAsia="zh-CN"/>
        </w:rPr>
      </w:pPr>
      <w:r>
        <w:rPr>
          <w:rFonts w:hint="eastAsia"/>
          <w:color w:val="auto"/>
          <w:highlight w:val="none"/>
          <w:lang w:val="en-US" w:eastAsia="zh-CN"/>
        </w:rPr>
        <w:t>此外矿区周边300m内无村庄，矿区周边500m范围内无公路、旅游景点和名胜古迹等需要保护的建（构）筑物，1000m范围内无铁路，输油管路。矿区范围内不存在基本农田和生态红线范围。</w:t>
      </w:r>
    </w:p>
    <w:p w14:paraId="7DB46408">
      <w:pPr>
        <w:pStyle w:val="32"/>
        <w:bidi w:val="0"/>
        <w:rPr>
          <w:rFonts w:hint="default"/>
          <w:color w:val="auto"/>
          <w:highlight w:val="none"/>
          <w:lang w:val="en-US" w:eastAsia="zh-CN"/>
        </w:rPr>
      </w:pPr>
      <w:r>
        <w:rPr>
          <w:rFonts w:ascii="Times New Roman" w:hAnsi="Times New Roman"/>
          <w:caps w:val="0"/>
          <w:smallCaps w:val="0"/>
          <w:color w:val="auto"/>
          <w:sz w:val="28"/>
          <w:highlight w:val="none"/>
        </w:rPr>
        <mc:AlternateContent>
          <mc:Choice Requires="wps">
            <w:drawing>
              <wp:anchor distT="0" distB="0" distL="114300" distR="114300" simplePos="0" relativeHeight="251665408" behindDoc="0" locked="0" layoutInCell="1" allowOverlap="1">
                <wp:simplePos x="0" y="0"/>
                <wp:positionH relativeFrom="column">
                  <wp:posOffset>289560</wp:posOffset>
                </wp:positionH>
                <wp:positionV relativeFrom="paragraph">
                  <wp:posOffset>41910</wp:posOffset>
                </wp:positionV>
                <wp:extent cx="1796415" cy="321945"/>
                <wp:effectExtent l="4445" t="5080" r="142240" b="892175"/>
                <wp:wrapNone/>
                <wp:docPr id="26" name="自选图形 3"/>
                <wp:cNvGraphicFramePr/>
                <a:graphic xmlns:a="http://schemas.openxmlformats.org/drawingml/2006/main">
                  <a:graphicData uri="http://schemas.microsoft.com/office/word/2010/wordprocessingShape">
                    <wps:wsp>
                      <wps:cNvSpPr/>
                      <wps:spPr>
                        <a:xfrm>
                          <a:off x="0" y="0"/>
                          <a:ext cx="1796415" cy="321945"/>
                        </a:xfrm>
                        <a:prstGeom prst="wedgeRectCallout">
                          <a:avLst>
                            <a:gd name="adj1" fmla="val 56574"/>
                            <a:gd name="adj2" fmla="val 319230"/>
                          </a:avLst>
                        </a:prstGeom>
                        <a:solidFill>
                          <a:srgbClr val="FFFFFF"/>
                        </a:solidFill>
                        <a:ln w="9525" cap="flat" cmpd="sng">
                          <a:solidFill>
                            <a:srgbClr val="000000"/>
                          </a:solidFill>
                          <a:prstDash val="solid"/>
                          <a:miter/>
                          <a:headEnd type="none" w="med" len="med"/>
                          <a:tailEnd type="none" w="med" len="med"/>
                        </a:ln>
                      </wps:spPr>
                      <wps:txbx>
                        <w:txbxContent>
                          <w:p w14:paraId="74B2CC29">
                            <w:pPr>
                              <w:rPr>
                                <w:rFonts w:hint="default"/>
                                <w:lang w:val="en-US" w:eastAsia="zh-CN"/>
                              </w:rPr>
                            </w:pPr>
                            <w:r>
                              <w:rPr>
                                <w:rFonts w:hint="eastAsia"/>
                                <w:lang w:val="en-US" w:eastAsia="zh-CN"/>
                              </w:rPr>
                              <w:t>辽宁共信矿业有限公司</w:t>
                            </w:r>
                          </w:p>
                        </w:txbxContent>
                      </wps:txbx>
                      <wps:bodyPr upright="1"/>
                    </wps:wsp>
                  </a:graphicData>
                </a:graphic>
              </wp:anchor>
            </w:drawing>
          </mc:Choice>
          <mc:Fallback>
            <w:pict>
              <v:shape id="自选图形 3" o:spid="_x0000_s1026" o:spt="61" type="#_x0000_t61" style="position:absolute;left:0pt;margin-left:22.8pt;margin-top:3.3pt;height:25.35pt;width:141.45pt;z-index:251665408;mso-width-relative:page;mso-height-relative:page;" fillcolor="#FFFFFF" filled="t" stroked="t" coordsize="21600,21600" o:gfxdata="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BHcFOy1QAAAAcBAAAPAAAAAAAAAAEAIAAAACIAAABkcnMvZG93bnJl&#10;di54bWxQSwECFAAUAAAACACHTuJA1znqczkCAACOBAAADgAAAAAAAAABACAAAAAkAQAAZHJzL2Uy&#10;b0RvYy54bWxQSwUGAAAAAAYABgBZAQAAzwUAAAAA&#10;" adj="23020,79754">
                <v:fill on="t" focussize="0,0"/>
                <v:stroke color="#000000" joinstyle="miter"/>
                <v:imagedata o:title=""/>
                <o:lock v:ext="edit" aspectratio="f"/>
                <v:textbox>
                  <w:txbxContent>
                    <w:p w14:paraId="74B2CC29">
                      <w:pPr>
                        <w:rPr>
                          <w:rFonts w:hint="default"/>
                          <w:lang w:val="en-US" w:eastAsia="zh-CN"/>
                        </w:rPr>
                      </w:pPr>
                      <w:r>
                        <w:rPr>
                          <w:rFonts w:hint="eastAsia"/>
                          <w:lang w:val="en-US" w:eastAsia="zh-CN"/>
                        </w:rPr>
                        <w:t>辽宁共信矿业有限公司</w:t>
                      </w:r>
                    </w:p>
                  </w:txbxContent>
                </v:textbox>
              </v:shape>
            </w:pict>
          </mc:Fallback>
        </mc:AlternateContent>
      </w:r>
      <w:r>
        <w:rPr>
          <w:rFonts w:ascii="Times New Roman" w:hAnsi="Times New Roman"/>
          <w:caps w:val="0"/>
          <w:smallCaps w:val="0"/>
          <w:color w:val="auto"/>
          <w:sz w:val="28"/>
          <w:highlight w:val="none"/>
        </w:rPr>
        <mc:AlternateContent>
          <mc:Choice Requires="wps">
            <w:drawing>
              <wp:anchor distT="0" distB="0" distL="114300" distR="114300" simplePos="0" relativeHeight="251663360" behindDoc="0" locked="0" layoutInCell="1" allowOverlap="1">
                <wp:simplePos x="0" y="0"/>
                <wp:positionH relativeFrom="column">
                  <wp:posOffset>388620</wp:posOffset>
                </wp:positionH>
                <wp:positionV relativeFrom="paragraph">
                  <wp:posOffset>486410</wp:posOffset>
                </wp:positionV>
                <wp:extent cx="835025" cy="321945"/>
                <wp:effectExtent l="61595" t="5080" r="17780" b="282575"/>
                <wp:wrapNone/>
                <wp:docPr id="24" name="自选图形 3"/>
                <wp:cNvGraphicFramePr/>
                <a:graphic xmlns:a="http://schemas.openxmlformats.org/drawingml/2006/main">
                  <a:graphicData uri="http://schemas.microsoft.com/office/word/2010/wordprocessingShape">
                    <wps:wsp>
                      <wps:cNvSpPr/>
                      <wps:spPr>
                        <a:xfrm>
                          <a:off x="0" y="0"/>
                          <a:ext cx="835025" cy="321945"/>
                        </a:xfrm>
                        <a:prstGeom prst="wedgeRectCallout">
                          <a:avLst>
                            <a:gd name="adj1" fmla="val -55171"/>
                            <a:gd name="adj2" fmla="val 128303"/>
                          </a:avLst>
                        </a:prstGeom>
                        <a:solidFill>
                          <a:srgbClr val="FFFFFF"/>
                        </a:solidFill>
                        <a:ln w="9525" cap="flat" cmpd="sng">
                          <a:solidFill>
                            <a:srgbClr val="000000"/>
                          </a:solidFill>
                          <a:prstDash val="solid"/>
                          <a:miter/>
                          <a:headEnd type="none" w="med" len="med"/>
                          <a:tailEnd type="none" w="med" len="med"/>
                        </a:ln>
                      </wps:spPr>
                      <wps:txbx>
                        <w:txbxContent>
                          <w:p w14:paraId="2E0794F2">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哨子河</w:t>
                            </w:r>
                          </w:p>
                        </w:txbxContent>
                      </wps:txbx>
                      <wps:bodyPr upright="1"/>
                    </wps:wsp>
                  </a:graphicData>
                </a:graphic>
              </wp:anchor>
            </w:drawing>
          </mc:Choice>
          <mc:Fallback>
            <w:pict>
              <v:shape id="自选图形 3" o:spid="_x0000_s1026" o:spt="61" type="#_x0000_t61" style="position:absolute;left:0pt;margin-left:30.6pt;margin-top:38.3pt;height:25.35pt;width:65.75pt;z-index:251663360;mso-width-relative:page;mso-height-relative:page;" fillcolor="#FFFFFF" filled="t" stroked="t" coordsize="21600,21600" o:gfxdata="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FD6DlbXAAAACQEAAA8AAAAAAAAAAQAgAAAAIgAAAGRycy9kb3du&#10;cmV2LnhtbFBLAQIUABQAAAAIAIdO4kDeV/cvOQIAAI4EAAAOAAAAAAAAAAEAIAAAACYBAABkcnMv&#10;ZTJvRG9jLnhtbFBLBQYAAAAABgAGAFkBAADRBQAAAAA=&#10;" adj="-1117,38513">
                <v:fill on="t" focussize="0,0"/>
                <v:stroke color="#000000" joinstyle="miter"/>
                <v:imagedata o:title=""/>
                <o:lock v:ext="edit" aspectratio="f"/>
                <v:textbox>
                  <w:txbxContent>
                    <w:p w14:paraId="2E0794F2">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哨子河</w:t>
                      </w:r>
                    </w:p>
                  </w:txbxContent>
                </v:textbox>
              </v:shape>
            </w:pict>
          </mc:Fallback>
        </mc:AlternateContent>
      </w:r>
      <w:r>
        <w:rPr>
          <w:rFonts w:ascii="Times New Roman" w:hAnsi="Times New Roman"/>
          <w:caps w:val="0"/>
          <w:smallCaps w:val="0"/>
          <w:color w:val="auto"/>
          <w:highlight w:val="none"/>
        </w:rPr>
        <w:drawing>
          <wp:anchor distT="0" distB="0" distL="114300" distR="114300" simplePos="0" relativeHeight="251664384" behindDoc="0" locked="0" layoutInCell="1" allowOverlap="1">
            <wp:simplePos x="0" y="0"/>
            <wp:positionH relativeFrom="column">
              <wp:posOffset>5398770</wp:posOffset>
            </wp:positionH>
            <wp:positionV relativeFrom="paragraph">
              <wp:posOffset>117475</wp:posOffset>
            </wp:positionV>
            <wp:extent cx="243205" cy="315595"/>
            <wp:effectExtent l="0" t="0" r="4445" b="8255"/>
            <wp:wrapNone/>
            <wp:docPr id="2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
                    <pic:cNvPicPr>
                      <a:picLocks noChangeAspect="1"/>
                    </pic:cNvPicPr>
                  </pic:nvPicPr>
                  <pic:blipFill>
                    <a:blip r:embed="rId8"/>
                    <a:stretch>
                      <a:fillRect/>
                    </a:stretch>
                  </pic:blipFill>
                  <pic:spPr>
                    <a:xfrm>
                      <a:off x="0" y="0"/>
                      <a:ext cx="243205" cy="315595"/>
                    </a:xfrm>
                    <a:prstGeom prst="rect">
                      <a:avLst/>
                    </a:prstGeom>
                    <a:noFill/>
                    <a:ln>
                      <a:noFill/>
                    </a:ln>
                  </pic:spPr>
                </pic:pic>
              </a:graphicData>
            </a:graphic>
          </wp:anchor>
        </w:drawing>
      </w:r>
      <w:r>
        <w:rPr>
          <w:rFonts w:ascii="Times New Roman" w:hAnsi="Times New Roman"/>
          <w:caps w:val="0"/>
          <w:smallCaps w:val="0"/>
          <w:color w:val="auto"/>
          <w:sz w:val="28"/>
          <w:highlight w:val="none"/>
        </w:rPr>
        <mc:AlternateContent>
          <mc:Choice Requires="wps">
            <w:drawing>
              <wp:anchor distT="0" distB="0" distL="114300" distR="114300" simplePos="0" relativeHeight="251662336" behindDoc="0" locked="0" layoutInCell="1" allowOverlap="1">
                <wp:simplePos x="0" y="0"/>
                <wp:positionH relativeFrom="column">
                  <wp:posOffset>2227580</wp:posOffset>
                </wp:positionH>
                <wp:positionV relativeFrom="paragraph">
                  <wp:posOffset>2870835</wp:posOffset>
                </wp:positionV>
                <wp:extent cx="1016635" cy="321945"/>
                <wp:effectExtent l="636270" t="198120" r="23495" b="13335"/>
                <wp:wrapNone/>
                <wp:docPr id="23" name="自选图形 3"/>
                <wp:cNvGraphicFramePr/>
                <a:graphic xmlns:a="http://schemas.openxmlformats.org/drawingml/2006/main">
                  <a:graphicData uri="http://schemas.microsoft.com/office/word/2010/wordprocessingShape">
                    <wps:wsp>
                      <wps:cNvSpPr/>
                      <wps:spPr>
                        <a:xfrm>
                          <a:off x="0" y="0"/>
                          <a:ext cx="1016635" cy="321945"/>
                        </a:xfrm>
                        <a:prstGeom prst="wedgeRectCallout">
                          <a:avLst>
                            <a:gd name="adj1" fmla="val -109087"/>
                            <a:gd name="adj2" fmla="val -105818"/>
                          </a:avLst>
                        </a:prstGeom>
                        <a:solidFill>
                          <a:srgbClr val="FFFFFF"/>
                        </a:solidFill>
                        <a:ln w="9525" cap="flat" cmpd="sng">
                          <a:solidFill>
                            <a:srgbClr val="000000"/>
                          </a:solidFill>
                          <a:prstDash val="solid"/>
                          <a:miter/>
                          <a:headEnd type="none" w="med" len="med"/>
                          <a:tailEnd type="none" w="med" len="med"/>
                        </a:ln>
                      </wps:spPr>
                      <wps:txbx>
                        <w:txbxContent>
                          <w:p w14:paraId="3332C9EA">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马家滴子村</w:t>
                            </w:r>
                          </w:p>
                        </w:txbxContent>
                      </wps:txbx>
                      <wps:bodyPr upright="1"/>
                    </wps:wsp>
                  </a:graphicData>
                </a:graphic>
              </wp:anchor>
            </w:drawing>
          </mc:Choice>
          <mc:Fallback>
            <w:pict>
              <v:shape id="自选图形 3" o:spid="_x0000_s1026" o:spt="61" type="#_x0000_t61" style="position:absolute;left:0pt;margin-left:175.4pt;margin-top:226.05pt;height:25.35pt;width:80.05pt;z-index:251662336;mso-width-relative:page;mso-height-relative:page;" fillcolor="#FFFFFF" filled="t" stroked="t" coordsize="21600,21600" o:gfxdata="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8mP7pNgAAAALAQAADwAAAAAAAAABACAAAAAiAAAAZHJzL2Rv&#10;d25yZXYueG1sUEsBAhQAFAAAAAgAh07iQF7mbF86AgAAkQQAAA4AAAAAAAAAAQAgAAAAJwEAAGRy&#10;cy9lMm9Eb2MueG1sUEsFBgAAAAAGAAYAWQEAANMFAAAAAA==&#10;" adj="-12763,-12057">
                <v:fill on="t" focussize="0,0"/>
                <v:stroke color="#000000" joinstyle="miter"/>
                <v:imagedata o:title=""/>
                <o:lock v:ext="edit" aspectratio="f"/>
                <v:textbox>
                  <w:txbxContent>
                    <w:p w14:paraId="3332C9EA">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马家滴子村</w:t>
                      </w:r>
                    </w:p>
                  </w:txbxContent>
                </v:textbox>
              </v:shape>
            </w:pict>
          </mc:Fallback>
        </mc:AlternateContent>
      </w:r>
      <w:r>
        <w:rPr>
          <w:rFonts w:ascii="Times New Roman" w:hAnsi="Times New Roman"/>
          <w:caps w:val="0"/>
          <w:smallCaps w:val="0"/>
          <w:color w:val="auto"/>
          <w:sz w:val="28"/>
          <w:highlight w:val="none"/>
        </w:rPr>
        <mc:AlternateContent>
          <mc:Choice Requires="wps">
            <w:drawing>
              <wp:anchor distT="0" distB="0" distL="114300" distR="114300" simplePos="0" relativeHeight="251661312" behindDoc="0" locked="0" layoutInCell="1" allowOverlap="1">
                <wp:simplePos x="0" y="0"/>
                <wp:positionH relativeFrom="column">
                  <wp:posOffset>4185285</wp:posOffset>
                </wp:positionH>
                <wp:positionV relativeFrom="paragraph">
                  <wp:posOffset>602615</wp:posOffset>
                </wp:positionV>
                <wp:extent cx="930275" cy="321945"/>
                <wp:effectExtent l="92710" t="5080" r="5715" b="358775"/>
                <wp:wrapNone/>
                <wp:docPr id="22" name="自选图形 3"/>
                <wp:cNvGraphicFramePr/>
                <a:graphic xmlns:a="http://schemas.openxmlformats.org/drawingml/2006/main">
                  <a:graphicData uri="http://schemas.microsoft.com/office/word/2010/wordprocessingShape">
                    <wps:wsp>
                      <wps:cNvSpPr/>
                      <wps:spPr>
                        <a:xfrm>
                          <a:off x="0" y="0"/>
                          <a:ext cx="930275" cy="321945"/>
                        </a:xfrm>
                        <a:prstGeom prst="wedgeRectCallout">
                          <a:avLst>
                            <a:gd name="adj1" fmla="val -57881"/>
                            <a:gd name="adj2" fmla="val 152169"/>
                          </a:avLst>
                        </a:prstGeom>
                        <a:solidFill>
                          <a:srgbClr val="FFFFFF"/>
                        </a:solidFill>
                        <a:ln w="9525" cap="flat" cmpd="sng">
                          <a:solidFill>
                            <a:srgbClr val="000000"/>
                          </a:solidFill>
                          <a:prstDash val="solid"/>
                          <a:miter/>
                          <a:headEnd type="none" w="med" len="med"/>
                          <a:tailEnd type="none" w="med" len="med"/>
                        </a:ln>
                      </wps:spPr>
                      <wps:txbx>
                        <w:txbxContent>
                          <w:p w14:paraId="1F80500A">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评价范围</w:t>
                            </w:r>
                          </w:p>
                        </w:txbxContent>
                      </wps:txbx>
                      <wps:bodyPr upright="1"/>
                    </wps:wsp>
                  </a:graphicData>
                </a:graphic>
              </wp:anchor>
            </w:drawing>
          </mc:Choice>
          <mc:Fallback>
            <w:pict>
              <v:shape id="自选图形 3" o:spid="_x0000_s1026" o:spt="61" type="#_x0000_t61" style="position:absolute;left:0pt;margin-left:329.55pt;margin-top:47.45pt;height:25.35pt;width:73.25pt;z-index:251661312;mso-width-relative:page;mso-height-relative:page;" fillcolor="#FFFFFF" filled="t" stroked="t" coordsize="21600,21600" o:gfxdata="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D9GUPXZAAAACgEAAA8AAAAAAAAAAQAgAAAAIgAAAGRycy9k&#10;b3ducmV2LnhtbFBLAQIUABQAAAAIAIdO4kAm0eb9OgIAAI4EAAAOAAAAAAAAAAEAIAAAACgBAABk&#10;cnMvZTJvRG9jLnhtbFBLBQYAAAAABgAGAFkBAADUBQAAAAA=&#10;" adj="-1702,43669">
                <v:fill on="t" focussize="0,0"/>
                <v:stroke color="#000000" joinstyle="miter"/>
                <v:imagedata o:title=""/>
                <o:lock v:ext="edit" aspectratio="f"/>
                <v:textbox>
                  <w:txbxContent>
                    <w:p w14:paraId="1F80500A">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评价范围</w:t>
                      </w:r>
                    </w:p>
                  </w:txbxContent>
                </v:textbox>
              </v:shape>
            </w:pict>
          </mc:Fallback>
        </mc:AlternateContent>
      </w:r>
      <w:r>
        <w:rPr>
          <w:rFonts w:ascii="Times New Roman" w:hAnsi="Times New Roman"/>
          <w:caps w:val="0"/>
          <w:smallCaps w:val="0"/>
          <w:color w:val="auto"/>
          <w:sz w:val="28"/>
          <w:highlight w:val="none"/>
        </w:rPr>
        <mc:AlternateContent>
          <mc:Choice Requires="wps">
            <w:drawing>
              <wp:anchor distT="0" distB="0" distL="114300" distR="114300" simplePos="0" relativeHeight="251660288" behindDoc="0" locked="0" layoutInCell="1" allowOverlap="1">
                <wp:simplePos x="0" y="0"/>
                <wp:positionH relativeFrom="column">
                  <wp:posOffset>2110740</wp:posOffset>
                </wp:positionH>
                <wp:positionV relativeFrom="paragraph">
                  <wp:posOffset>346075</wp:posOffset>
                </wp:positionV>
                <wp:extent cx="835025" cy="321945"/>
                <wp:effectExtent l="4445" t="5080" r="303530" b="301625"/>
                <wp:wrapNone/>
                <wp:docPr id="10" name="自选图形 3"/>
                <wp:cNvGraphicFramePr/>
                <a:graphic xmlns:a="http://schemas.openxmlformats.org/drawingml/2006/main">
                  <a:graphicData uri="http://schemas.microsoft.com/office/word/2010/wordprocessingShape">
                    <wps:wsp>
                      <wps:cNvSpPr/>
                      <wps:spPr>
                        <a:xfrm>
                          <a:off x="0" y="0"/>
                          <a:ext cx="835025" cy="321945"/>
                        </a:xfrm>
                        <a:prstGeom prst="wedgeRectCallout">
                          <a:avLst>
                            <a:gd name="adj1" fmla="val 81678"/>
                            <a:gd name="adj2" fmla="val 133431"/>
                          </a:avLst>
                        </a:prstGeom>
                        <a:solidFill>
                          <a:srgbClr val="FFFFFF"/>
                        </a:solidFill>
                        <a:ln w="9525" cap="flat" cmpd="sng">
                          <a:solidFill>
                            <a:srgbClr val="000000"/>
                          </a:solidFill>
                          <a:prstDash val="solid"/>
                          <a:miter/>
                          <a:headEnd type="none" w="med" len="med"/>
                          <a:tailEnd type="none" w="med" len="med"/>
                        </a:ln>
                      </wps:spPr>
                      <wps:txbx>
                        <w:txbxContent>
                          <w:p w14:paraId="0D663526">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矿区范围</w:t>
                            </w:r>
                          </w:p>
                        </w:txbxContent>
                      </wps:txbx>
                      <wps:bodyPr upright="1"/>
                    </wps:wsp>
                  </a:graphicData>
                </a:graphic>
              </wp:anchor>
            </w:drawing>
          </mc:Choice>
          <mc:Fallback>
            <w:pict>
              <v:shape id="自选图形 3" o:spid="_x0000_s1026" o:spt="61" type="#_x0000_t61" style="position:absolute;left:0pt;margin-left:166.2pt;margin-top:27.25pt;height:25.35pt;width:65.75pt;z-index:251660288;mso-width-relative:page;mso-height-relative:page;" fillcolor="#FFFFFF" filled="t" stroked="t" coordsize="21600,21600" o:gfxdata="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Hwir73YAAAACgEAAA8AAAAAAAAAAQAgAAAAIgAAAGRycy9kb3du&#10;cmV2LnhtbFBLAQIUABQAAAAIAIdO4kA3kr+7OAIAAI0EAAAOAAAAAAAAAAEAIAAAACcBAABkcnMv&#10;ZTJvRG9jLnhtbFBLBQYAAAAABgAGAFkBAADRBQAAAAA=&#10;" adj="28442,39621">
                <v:fill on="t" focussize="0,0"/>
                <v:stroke color="#000000" joinstyle="miter"/>
                <v:imagedata o:title=""/>
                <o:lock v:ext="edit" aspectratio="f"/>
                <v:textbox>
                  <w:txbxContent>
                    <w:p w14:paraId="0D663526">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矿区范围</w:t>
                      </w:r>
                    </w:p>
                  </w:txbxContent>
                </v:textbox>
              </v:shape>
            </w:pict>
          </mc:Fallback>
        </mc:AlternateContent>
      </w:r>
      <w:r>
        <w:rPr>
          <w:color w:val="auto"/>
          <w:highlight w:val="none"/>
        </w:rPr>
        <w:drawing>
          <wp:inline distT="0" distB="0" distL="114300" distR="114300">
            <wp:extent cx="5830570" cy="3419475"/>
            <wp:effectExtent l="0" t="0" r="17780" b="9525"/>
            <wp:docPr id="21"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2"/>
                    <pic:cNvPicPr>
                      <a:picLocks noChangeAspect="1"/>
                    </pic:cNvPicPr>
                  </pic:nvPicPr>
                  <pic:blipFill>
                    <a:blip r:embed="rId9"/>
                    <a:stretch>
                      <a:fillRect/>
                    </a:stretch>
                  </pic:blipFill>
                  <pic:spPr>
                    <a:xfrm>
                      <a:off x="0" y="0"/>
                      <a:ext cx="5830570" cy="3419475"/>
                    </a:xfrm>
                    <a:prstGeom prst="rect">
                      <a:avLst/>
                    </a:prstGeom>
                    <a:noFill/>
                    <a:ln>
                      <a:noFill/>
                    </a:ln>
                  </pic:spPr>
                </pic:pic>
              </a:graphicData>
            </a:graphic>
          </wp:inline>
        </w:drawing>
      </w:r>
    </w:p>
    <w:p w14:paraId="1393E62E">
      <w:pPr>
        <w:pStyle w:val="32"/>
        <w:bidi w:val="0"/>
        <w:rPr>
          <w:rFonts w:hint="eastAsia"/>
          <w:color w:val="auto"/>
          <w:highlight w:val="none"/>
        </w:rPr>
      </w:pPr>
      <w:r>
        <w:rPr>
          <w:rFonts w:hint="eastAsia"/>
          <w:color w:val="auto"/>
          <w:highlight w:val="none"/>
        </w:rPr>
        <w:t>图2.1-</w:t>
      </w:r>
      <w:r>
        <w:rPr>
          <w:rFonts w:hint="eastAsia"/>
          <w:color w:val="auto"/>
          <w:highlight w:val="none"/>
          <w:lang w:val="en-US" w:eastAsia="zh-CN"/>
        </w:rPr>
        <w:t>3</w:t>
      </w:r>
      <w:r>
        <w:rPr>
          <w:rFonts w:hint="eastAsia"/>
          <w:color w:val="auto"/>
          <w:highlight w:val="none"/>
        </w:rPr>
        <w:t xml:space="preserve"> 周边环境卫星图</w:t>
      </w:r>
    </w:p>
    <w:p w14:paraId="713AE20B">
      <w:pPr>
        <w:pStyle w:val="30"/>
        <w:bidi w:val="0"/>
        <w:rPr>
          <w:rFonts w:hint="default"/>
          <w:color w:val="auto"/>
          <w:highlight w:val="none"/>
          <w:lang w:val="en-US" w:eastAsia="zh-CN"/>
        </w:rPr>
      </w:pPr>
      <w:bookmarkStart w:id="14" w:name="_Toc9806"/>
      <w:r>
        <w:rPr>
          <w:rFonts w:hint="eastAsia"/>
          <w:color w:val="auto"/>
          <w:highlight w:val="none"/>
          <w:lang w:val="en-US" w:eastAsia="zh-CN"/>
        </w:rPr>
        <w:t>自然环境概况</w:t>
      </w:r>
      <w:bookmarkEnd w:id="14"/>
    </w:p>
    <w:p w14:paraId="09C1CE50">
      <w:pPr>
        <w:pStyle w:val="24"/>
        <w:bidi w:val="0"/>
        <w:rPr>
          <w:color w:val="auto"/>
          <w:highlight w:val="none"/>
        </w:rPr>
      </w:pPr>
      <w:r>
        <w:rPr>
          <w:color w:val="auto"/>
          <w:highlight w:val="none"/>
        </w:rPr>
        <w:t>矿区属构造剥蚀低山地形，矿区范围内最高标高266.9m，最低标高105m，相对高差161.9m。</w:t>
      </w:r>
    </w:p>
    <w:p w14:paraId="2C1353D8">
      <w:pPr>
        <w:pStyle w:val="24"/>
        <w:bidi w:val="0"/>
        <w:rPr>
          <w:color w:val="auto"/>
          <w:highlight w:val="none"/>
        </w:rPr>
      </w:pPr>
      <w:r>
        <w:rPr>
          <w:color w:val="auto"/>
          <w:highlight w:val="none"/>
        </w:rPr>
        <w:t>区内植被较发育，陡坡地段基岩裸露。山林以中型乔木柞树为主，棉槐、榛子等灌木为辅，杂草稀疏。</w:t>
      </w:r>
    </w:p>
    <w:p w14:paraId="4F2B1B69">
      <w:pPr>
        <w:pStyle w:val="24"/>
        <w:bidi w:val="0"/>
        <w:rPr>
          <w:color w:val="auto"/>
          <w:highlight w:val="none"/>
        </w:rPr>
      </w:pPr>
      <w:r>
        <w:rPr>
          <w:color w:val="auto"/>
          <w:highlight w:val="none"/>
        </w:rPr>
        <w:t>矿区属北温带半湿润季风气候，四季分明，温差较大，寒冷期长，年平均气温8.4℃，7月气温最高达37℃，1月最低气温至-36℃。11月至次年4月份为结冰期，6月至9月份为汛期，平均降水量623mm，占年降水量的70%左右。区内水系不发育，只有小型的山间冲沟，地表流水和地下渗水经山间冲沟汇流哨子河。</w:t>
      </w:r>
    </w:p>
    <w:p w14:paraId="1904FB22">
      <w:pPr>
        <w:pStyle w:val="24"/>
        <w:bidi w:val="0"/>
        <w:rPr>
          <w:rFonts w:hint="default"/>
          <w:color w:val="auto"/>
          <w:highlight w:val="none"/>
          <w:lang w:val="en-US" w:eastAsia="zh-CN"/>
        </w:rPr>
      </w:pPr>
      <w:r>
        <w:rPr>
          <w:color w:val="auto"/>
          <w:highlight w:val="none"/>
        </w:rPr>
        <w:t>地区主要农作物为玉米、大豆、高粱，经济作物有柞蚕等。近年来采矿业也发展较快，主要有长石矿、理石矿、铁矿、装饰石材和建筑石材等。本区水电、劳动力资源丰富。</w:t>
      </w:r>
    </w:p>
    <w:p w14:paraId="6891A840">
      <w:pPr>
        <w:pStyle w:val="30"/>
        <w:bidi w:val="0"/>
        <w:rPr>
          <w:rFonts w:hint="default"/>
          <w:color w:val="auto"/>
          <w:highlight w:val="none"/>
          <w:lang w:val="en-US" w:eastAsia="zh-CN"/>
        </w:rPr>
      </w:pPr>
      <w:bookmarkStart w:id="15" w:name="_Toc8820"/>
      <w:r>
        <w:rPr>
          <w:rFonts w:hint="eastAsia"/>
          <w:color w:val="auto"/>
          <w:highlight w:val="none"/>
          <w:lang w:val="en-US" w:eastAsia="zh-CN"/>
        </w:rPr>
        <w:t>建设项目地质概况</w:t>
      </w:r>
      <w:bookmarkEnd w:id="15"/>
    </w:p>
    <w:p w14:paraId="11875F58">
      <w:pPr>
        <w:pStyle w:val="31"/>
        <w:rPr>
          <w:rFonts w:hint="default"/>
          <w:color w:val="auto"/>
          <w:highlight w:val="none"/>
          <w:lang w:val="en-US" w:eastAsia="zh-CN"/>
        </w:rPr>
      </w:pPr>
      <w:r>
        <w:rPr>
          <w:rFonts w:hint="eastAsia"/>
          <w:color w:val="auto"/>
          <w:highlight w:val="none"/>
          <w:lang w:val="en-US" w:eastAsia="zh-CN"/>
        </w:rPr>
        <w:t>矿区地质概况</w:t>
      </w:r>
    </w:p>
    <w:p w14:paraId="0D344E4F">
      <w:pPr>
        <w:pStyle w:val="24"/>
        <w:numPr>
          <w:ilvl w:val="0"/>
          <w:numId w:val="11"/>
        </w:numPr>
        <w:bidi w:val="0"/>
        <w:rPr>
          <w:rFonts w:hint="default"/>
          <w:color w:val="auto"/>
          <w:highlight w:val="none"/>
          <w:lang w:val="en-US" w:eastAsia="zh-CN"/>
        </w:rPr>
      </w:pPr>
      <w:r>
        <w:rPr>
          <w:rFonts w:hint="eastAsia"/>
          <w:color w:val="auto"/>
          <w:highlight w:val="none"/>
          <w:lang w:val="en-US" w:eastAsia="zh-CN"/>
        </w:rPr>
        <w:t>地层</w:t>
      </w:r>
    </w:p>
    <w:p w14:paraId="10D6D54F">
      <w:pPr>
        <w:pStyle w:val="24"/>
        <w:bidi w:val="0"/>
        <w:rPr>
          <w:rFonts w:hint="default"/>
          <w:color w:val="auto"/>
          <w:highlight w:val="none"/>
          <w:lang w:val="en-US" w:eastAsia="zh-CN"/>
        </w:rPr>
      </w:pPr>
      <w:r>
        <w:rPr>
          <w:rFonts w:hint="eastAsia"/>
          <w:color w:val="auto"/>
          <w:highlight w:val="none"/>
          <w:lang w:val="en-US" w:eastAsia="zh-CN"/>
        </w:rPr>
        <w:t>矿</w:t>
      </w:r>
      <w:r>
        <w:rPr>
          <w:rFonts w:hint="default"/>
          <w:color w:val="auto"/>
          <w:highlight w:val="none"/>
          <w:lang w:val="en-US" w:eastAsia="zh-CN"/>
        </w:rPr>
        <w:t>区内出露的地层主要为新生界第四系，主要分布在区内西南侧山间沟谷洼地。</w:t>
      </w:r>
    </w:p>
    <w:p w14:paraId="082FED40">
      <w:pPr>
        <w:pStyle w:val="24"/>
        <w:numPr>
          <w:ilvl w:val="0"/>
          <w:numId w:val="11"/>
        </w:numPr>
        <w:bidi w:val="0"/>
        <w:rPr>
          <w:rFonts w:hint="default"/>
          <w:color w:val="auto"/>
          <w:highlight w:val="none"/>
          <w:lang w:val="en-US" w:eastAsia="zh-CN"/>
        </w:rPr>
      </w:pPr>
      <w:r>
        <w:rPr>
          <w:rFonts w:hint="eastAsia"/>
          <w:color w:val="auto"/>
          <w:highlight w:val="none"/>
          <w:lang w:val="en-US" w:eastAsia="zh-CN"/>
        </w:rPr>
        <w:t>岩浆岩</w:t>
      </w:r>
    </w:p>
    <w:p w14:paraId="4EB8432C">
      <w:pPr>
        <w:pStyle w:val="24"/>
        <w:bidi w:val="0"/>
        <w:rPr>
          <w:rFonts w:hint="default"/>
          <w:color w:val="auto"/>
          <w:highlight w:val="none"/>
          <w:lang w:val="en-US" w:eastAsia="zh-CN"/>
        </w:rPr>
      </w:pPr>
      <w:r>
        <w:rPr>
          <w:rFonts w:hint="eastAsia"/>
          <w:color w:val="auto"/>
          <w:highlight w:val="none"/>
          <w:lang w:val="en-US" w:eastAsia="zh-CN"/>
        </w:rPr>
        <w:t>矿</w:t>
      </w:r>
      <w:r>
        <w:rPr>
          <w:rFonts w:hint="default"/>
          <w:color w:val="auto"/>
          <w:highlight w:val="none"/>
          <w:lang w:val="en-US" w:eastAsia="zh-CN"/>
        </w:rPr>
        <w:t>区内岩浆岩出露广泛，其侵入时代为中生代三叠纪，岩性以粗粒～中细粒花岗闪长岩为主。</w:t>
      </w:r>
    </w:p>
    <w:p w14:paraId="168A394A">
      <w:pPr>
        <w:pStyle w:val="24"/>
        <w:numPr>
          <w:ilvl w:val="0"/>
          <w:numId w:val="11"/>
        </w:numPr>
        <w:bidi w:val="0"/>
        <w:rPr>
          <w:rFonts w:hint="default"/>
          <w:color w:val="auto"/>
          <w:highlight w:val="none"/>
          <w:lang w:val="en-US" w:eastAsia="zh-CN"/>
        </w:rPr>
      </w:pPr>
      <w:r>
        <w:rPr>
          <w:rFonts w:hint="eastAsia"/>
          <w:color w:val="auto"/>
          <w:highlight w:val="none"/>
          <w:lang w:val="en-US" w:eastAsia="zh-CN"/>
        </w:rPr>
        <w:t>矿区构造</w:t>
      </w:r>
    </w:p>
    <w:p w14:paraId="06BCF7E7">
      <w:pPr>
        <w:pStyle w:val="24"/>
        <w:bidi w:val="0"/>
        <w:rPr>
          <w:color w:val="auto"/>
          <w:highlight w:val="none"/>
        </w:rPr>
      </w:pPr>
      <w:r>
        <w:rPr>
          <w:color w:val="auto"/>
          <w:highlight w:val="none"/>
        </w:rPr>
        <w:t>矿区内构造较发育，主要断裂有3条。F1逆断层见于南部，近东西向展布，位于中细粒闪长岩内，倾向173°～193°，倾角60°～80°。F2、F3为性质不明断层，北北东向展布向北延出区外，均切割中细粒花岗闪长岩，倾向106°～113°，倾角55°～60°。</w:t>
      </w:r>
    </w:p>
    <w:p w14:paraId="2397AD8A">
      <w:pPr>
        <w:pStyle w:val="31"/>
        <w:bidi w:val="0"/>
        <w:rPr>
          <w:rFonts w:hint="default"/>
          <w:color w:val="auto"/>
          <w:highlight w:val="none"/>
          <w:lang w:val="en-US" w:eastAsia="zh-CN"/>
        </w:rPr>
      </w:pPr>
      <w:r>
        <w:rPr>
          <w:rFonts w:hint="eastAsia"/>
          <w:color w:val="auto"/>
          <w:highlight w:val="none"/>
          <w:lang w:val="en-US" w:eastAsia="zh-CN"/>
        </w:rPr>
        <w:t>矿体特征</w:t>
      </w:r>
    </w:p>
    <w:p w14:paraId="22E7C951">
      <w:pPr>
        <w:pStyle w:val="24"/>
        <w:rPr>
          <w:rFonts w:hint="default"/>
          <w:color w:val="auto"/>
          <w:highlight w:val="none"/>
          <w:lang w:val="en-US" w:eastAsia="zh-CN"/>
        </w:rPr>
      </w:pPr>
      <w:r>
        <w:rPr>
          <w:rFonts w:hint="default"/>
          <w:color w:val="auto"/>
          <w:highlight w:val="none"/>
          <w:lang w:val="en-US" w:eastAsia="zh-CN"/>
        </w:rPr>
        <w:t>矿区内矿体为中生代三叠纪花岗闪长岩，呈岩基状产出。</w:t>
      </w:r>
    </w:p>
    <w:p w14:paraId="080C1DEA">
      <w:pPr>
        <w:pStyle w:val="24"/>
        <w:numPr>
          <w:ilvl w:val="0"/>
          <w:numId w:val="12"/>
        </w:numPr>
        <w:bidi w:val="0"/>
        <w:rPr>
          <w:rFonts w:hint="default"/>
          <w:color w:val="auto"/>
          <w:highlight w:val="none"/>
          <w:lang w:val="en-US" w:eastAsia="zh-CN"/>
        </w:rPr>
      </w:pPr>
      <w:r>
        <w:rPr>
          <w:rFonts w:hint="eastAsia"/>
          <w:color w:val="auto"/>
          <w:highlight w:val="none"/>
          <w:lang w:val="en-US" w:eastAsia="zh-CN"/>
        </w:rPr>
        <w:t>矿石物质组成</w:t>
      </w:r>
    </w:p>
    <w:p w14:paraId="5EB81F7B">
      <w:pPr>
        <w:pStyle w:val="24"/>
        <w:bidi w:val="0"/>
        <w:rPr>
          <w:color w:val="auto"/>
          <w:highlight w:val="none"/>
        </w:rPr>
      </w:pPr>
      <w:r>
        <w:rPr>
          <w:color w:val="auto"/>
          <w:highlight w:val="none"/>
        </w:rPr>
        <w:t>矿石为中细粒花岗闪长岩，呈灰白色。中-细粒花岗结构，麻点状构造。</w:t>
      </w:r>
    </w:p>
    <w:p w14:paraId="73910611">
      <w:pPr>
        <w:pStyle w:val="24"/>
        <w:bidi w:val="0"/>
        <w:rPr>
          <w:color w:val="auto"/>
          <w:highlight w:val="none"/>
        </w:rPr>
      </w:pPr>
      <w:r>
        <w:rPr>
          <w:color w:val="auto"/>
          <w:highlight w:val="none"/>
        </w:rPr>
        <w:t>组成矿物：中性斜长石55%、石英15%、普通角闪石15%、黑云母10%、普通辉石3%、偶见有钾长石+绿泥石+磁铁矿2%、副矿物有磷灰石、不透明矿物微量。</w:t>
      </w:r>
    </w:p>
    <w:p w14:paraId="166DD351">
      <w:pPr>
        <w:pStyle w:val="24"/>
        <w:bidi w:val="0"/>
        <w:rPr>
          <w:rFonts w:hint="default"/>
          <w:color w:val="auto"/>
          <w:highlight w:val="none"/>
          <w:lang w:val="en-US" w:eastAsia="zh-CN"/>
        </w:rPr>
      </w:pPr>
      <w:r>
        <w:rPr>
          <w:color w:val="auto"/>
          <w:highlight w:val="none"/>
        </w:rPr>
        <w:t>矿石的耐久性和加工性较好，具有高强度、抗风化、耐酸碱、质地优等特点。</w:t>
      </w:r>
    </w:p>
    <w:p w14:paraId="0C98FA6C">
      <w:pPr>
        <w:pStyle w:val="24"/>
        <w:numPr>
          <w:ilvl w:val="0"/>
          <w:numId w:val="12"/>
        </w:numPr>
        <w:bidi w:val="0"/>
        <w:rPr>
          <w:rFonts w:hint="default"/>
          <w:color w:val="auto"/>
          <w:highlight w:val="none"/>
          <w:lang w:val="en-US" w:eastAsia="zh-CN"/>
        </w:rPr>
      </w:pPr>
      <w:r>
        <w:rPr>
          <w:rFonts w:hint="eastAsia"/>
          <w:color w:val="auto"/>
          <w:highlight w:val="none"/>
          <w:lang w:val="en-US" w:eastAsia="zh-CN"/>
        </w:rPr>
        <w:t>矿石类型</w:t>
      </w:r>
    </w:p>
    <w:p w14:paraId="2985834C">
      <w:pPr>
        <w:pStyle w:val="24"/>
        <w:bidi w:val="0"/>
        <w:rPr>
          <w:color w:val="auto"/>
          <w:highlight w:val="none"/>
        </w:rPr>
      </w:pPr>
      <w:r>
        <w:rPr>
          <w:color w:val="auto"/>
          <w:highlight w:val="none"/>
        </w:rPr>
        <w:t>矿石工业类型为建筑石材花岗闪长岩矿。</w:t>
      </w:r>
    </w:p>
    <w:p w14:paraId="1D94880E">
      <w:pPr>
        <w:pStyle w:val="24"/>
        <w:bidi w:val="0"/>
        <w:rPr>
          <w:color w:val="auto"/>
          <w:highlight w:val="none"/>
        </w:rPr>
      </w:pPr>
      <w:r>
        <w:rPr>
          <w:color w:val="auto"/>
          <w:highlight w:val="none"/>
        </w:rPr>
        <w:t>矿石自然类型为花岗闪长岩型。</w:t>
      </w:r>
    </w:p>
    <w:p w14:paraId="4FC3BC20">
      <w:pPr>
        <w:pStyle w:val="24"/>
        <w:bidi w:val="0"/>
        <w:rPr>
          <w:rFonts w:hint="default"/>
          <w:color w:val="auto"/>
          <w:highlight w:val="none"/>
          <w:lang w:val="en-US" w:eastAsia="zh-CN"/>
        </w:rPr>
      </w:pPr>
      <w:r>
        <w:rPr>
          <w:color w:val="auto"/>
          <w:highlight w:val="none"/>
        </w:rPr>
        <w:t>矿石的耐久性和加工性较好，具有高强度、抗风化、耐酸碱、质地优等特点。</w:t>
      </w:r>
    </w:p>
    <w:p w14:paraId="4E5F437A">
      <w:pPr>
        <w:pStyle w:val="24"/>
        <w:numPr>
          <w:ilvl w:val="0"/>
          <w:numId w:val="12"/>
        </w:numPr>
        <w:bidi w:val="0"/>
        <w:rPr>
          <w:color w:val="auto"/>
          <w:highlight w:val="none"/>
        </w:rPr>
      </w:pPr>
      <w:r>
        <w:rPr>
          <w:color w:val="auto"/>
          <w:highlight w:val="none"/>
        </w:rPr>
        <w:t>矿体围岩和夹石</w:t>
      </w:r>
    </w:p>
    <w:p w14:paraId="66D5D5B0">
      <w:pPr>
        <w:pStyle w:val="24"/>
        <w:bidi w:val="0"/>
        <w:rPr>
          <w:color w:val="auto"/>
          <w:highlight w:val="none"/>
        </w:rPr>
      </w:pPr>
      <w:r>
        <w:rPr>
          <w:color w:val="auto"/>
          <w:highlight w:val="none"/>
        </w:rPr>
        <w:t>矿体为中生代三叠纪花岗闪长岩，矿体呈岩基状产出，地表未见围岩出露。在以往施工的钻孔中也未见有夹石。</w:t>
      </w:r>
    </w:p>
    <w:p w14:paraId="4106F8A7">
      <w:pPr>
        <w:pStyle w:val="24"/>
        <w:numPr>
          <w:ilvl w:val="0"/>
          <w:numId w:val="12"/>
        </w:numPr>
        <w:bidi w:val="0"/>
        <w:rPr>
          <w:rFonts w:hint="default"/>
          <w:color w:val="auto"/>
          <w:highlight w:val="none"/>
          <w:lang w:val="en-US" w:eastAsia="zh-CN"/>
        </w:rPr>
      </w:pPr>
      <w:r>
        <w:rPr>
          <w:rFonts w:hint="eastAsia"/>
          <w:color w:val="auto"/>
          <w:highlight w:val="none"/>
          <w:lang w:val="en-US" w:eastAsia="zh-CN"/>
        </w:rPr>
        <w:t>矿石加工技术性能</w:t>
      </w:r>
    </w:p>
    <w:p w14:paraId="2CECFBD9">
      <w:pPr>
        <w:pStyle w:val="24"/>
        <w:bidi w:val="0"/>
        <w:rPr>
          <w:color w:val="auto"/>
          <w:highlight w:val="none"/>
        </w:rPr>
      </w:pPr>
      <w:r>
        <w:rPr>
          <w:color w:val="auto"/>
          <w:highlight w:val="none"/>
        </w:rPr>
        <w:t>岩石的抗压强度为2855-4226 kg/cm</w:t>
      </w:r>
      <w:r>
        <w:rPr>
          <w:color w:val="auto"/>
          <w:highlight w:val="none"/>
          <w:vertAlign w:val="superscript"/>
        </w:rPr>
        <w:t>2</w:t>
      </w:r>
      <w:r>
        <w:rPr>
          <w:color w:val="auto"/>
          <w:highlight w:val="none"/>
        </w:rPr>
        <w:t>，平均为3565 kg/cm</w:t>
      </w:r>
      <w:r>
        <w:rPr>
          <w:color w:val="auto"/>
          <w:highlight w:val="none"/>
          <w:vertAlign w:val="superscript"/>
        </w:rPr>
        <w:t>2</w:t>
      </w:r>
      <w:r>
        <w:rPr>
          <w:color w:val="auto"/>
          <w:highlight w:val="none"/>
        </w:rPr>
        <w:t>；抗折强度为814-3000 kg/cm</w:t>
      </w:r>
      <w:r>
        <w:rPr>
          <w:color w:val="auto"/>
          <w:highlight w:val="none"/>
          <w:vertAlign w:val="superscript"/>
        </w:rPr>
        <w:t>2</w:t>
      </w:r>
      <w:r>
        <w:rPr>
          <w:color w:val="auto"/>
          <w:highlight w:val="none"/>
        </w:rPr>
        <w:t>，平均为1705 kg/cm</w:t>
      </w:r>
      <w:r>
        <w:rPr>
          <w:color w:val="auto"/>
          <w:highlight w:val="none"/>
          <w:vertAlign w:val="superscript"/>
        </w:rPr>
        <w:t>2</w:t>
      </w:r>
      <w:r>
        <w:rPr>
          <w:color w:val="auto"/>
          <w:highlight w:val="none"/>
        </w:rPr>
        <w:t>；体重为2.78 t/m</w:t>
      </w:r>
      <w:r>
        <w:rPr>
          <w:color w:val="auto"/>
          <w:highlight w:val="none"/>
          <w:vertAlign w:val="superscript"/>
        </w:rPr>
        <w:t>3</w:t>
      </w:r>
      <w:r>
        <w:rPr>
          <w:color w:val="auto"/>
          <w:highlight w:val="none"/>
        </w:rPr>
        <w:t>；摩氏硬度5.5～6级，属极坚固岩石类型，该种岩石节理裂隙不发育，呈球状风化，易于手工开采，石材加工性能良好。</w:t>
      </w:r>
    </w:p>
    <w:p w14:paraId="16ACC0A7">
      <w:pPr>
        <w:pStyle w:val="24"/>
        <w:bidi w:val="0"/>
        <w:rPr>
          <w:color w:val="auto"/>
          <w:highlight w:val="none"/>
        </w:rPr>
      </w:pPr>
      <w:r>
        <w:rPr>
          <w:color w:val="auto"/>
          <w:highlight w:val="none"/>
        </w:rPr>
        <w:t>对花岗闪长岩石材做的抗折、抗压力学实验，分析结果显示：岩石的抗压强度为40.3～82.9MPa，平均为53.4 MPa；抗折强度为13.2～15.1MPa，平均为14.4 MPa。</w:t>
      </w:r>
    </w:p>
    <w:p w14:paraId="06CFC640">
      <w:pPr>
        <w:pStyle w:val="24"/>
        <w:bidi w:val="0"/>
        <w:rPr>
          <w:rFonts w:hint="default"/>
          <w:color w:val="auto"/>
          <w:highlight w:val="none"/>
          <w:lang w:val="en-US" w:eastAsia="zh-CN"/>
        </w:rPr>
      </w:pPr>
      <w:r>
        <w:rPr>
          <w:color w:val="auto"/>
          <w:highlight w:val="none"/>
          <w:lang w:eastAsia="zh-CN"/>
        </w:rPr>
        <w:t>通过野外观察及室内鉴定分析测试结果表明：花岗闪长岩石材是一种高强度、抗风化、耐酸碱、质地极优等特点。</w:t>
      </w:r>
    </w:p>
    <w:p w14:paraId="34CB7FEA">
      <w:pPr>
        <w:pStyle w:val="31"/>
        <w:bidi w:val="0"/>
        <w:rPr>
          <w:rFonts w:hint="default"/>
          <w:color w:val="auto"/>
          <w:highlight w:val="none"/>
          <w:lang w:val="en-US" w:eastAsia="zh-CN"/>
        </w:rPr>
      </w:pPr>
      <w:r>
        <w:rPr>
          <w:rFonts w:hint="eastAsia"/>
          <w:color w:val="auto"/>
          <w:highlight w:val="none"/>
          <w:lang w:val="en-US" w:eastAsia="zh-CN"/>
        </w:rPr>
        <w:t>水文地质概况</w:t>
      </w:r>
    </w:p>
    <w:p w14:paraId="513175C9">
      <w:pPr>
        <w:pStyle w:val="24"/>
        <w:bidi w:val="0"/>
        <w:rPr>
          <w:rFonts w:hint="default"/>
          <w:color w:val="auto"/>
          <w:highlight w:val="none"/>
          <w:lang w:val="en-US" w:eastAsia="zh-CN"/>
        </w:rPr>
      </w:pPr>
      <w:r>
        <w:rPr>
          <w:rFonts w:hint="default"/>
          <w:color w:val="auto"/>
          <w:highlight w:val="none"/>
          <w:lang w:val="en-US" w:eastAsia="zh-CN"/>
        </w:rPr>
        <w:t>矿区属低山构造剥蚀地貌，矿区内最高标高300m，最低标高105m，相对高程差195m，当地最低侵蚀基准面为105m。开采深度：由184m至150m标高，开采矿体处于当地侵蚀基准面之上。</w:t>
      </w:r>
    </w:p>
    <w:p w14:paraId="2AD91D11">
      <w:pPr>
        <w:pStyle w:val="24"/>
        <w:numPr>
          <w:ilvl w:val="0"/>
          <w:numId w:val="13"/>
        </w:numPr>
        <w:bidi w:val="0"/>
        <w:rPr>
          <w:rFonts w:hint="default"/>
          <w:color w:val="auto"/>
          <w:highlight w:val="none"/>
          <w:lang w:val="en-US" w:eastAsia="zh-CN"/>
        </w:rPr>
      </w:pPr>
      <w:r>
        <w:rPr>
          <w:rFonts w:hint="default"/>
          <w:color w:val="auto"/>
          <w:highlight w:val="none"/>
          <w:lang w:val="en-US" w:eastAsia="zh-CN"/>
        </w:rPr>
        <w:t>矿区地下水</w:t>
      </w:r>
      <w:r>
        <w:rPr>
          <w:rFonts w:hint="eastAsia"/>
          <w:color w:val="auto"/>
          <w:highlight w:val="none"/>
          <w:lang w:val="en-US" w:eastAsia="zh-CN"/>
        </w:rPr>
        <w:t>类型及其特征</w:t>
      </w:r>
    </w:p>
    <w:p w14:paraId="19147C96">
      <w:pPr>
        <w:pStyle w:val="24"/>
        <w:bidi w:val="0"/>
        <w:rPr>
          <w:color w:val="auto"/>
          <w:highlight w:val="none"/>
        </w:rPr>
      </w:pPr>
      <w:r>
        <w:rPr>
          <w:rFonts w:hint="eastAsia"/>
          <w:color w:val="auto"/>
          <w:highlight w:val="none"/>
          <w:lang w:val="en-US" w:eastAsia="zh-CN"/>
        </w:rPr>
        <w:t>1、</w:t>
      </w:r>
      <w:r>
        <w:rPr>
          <w:color w:val="auto"/>
          <w:highlight w:val="none"/>
        </w:rPr>
        <w:t>第四系松散岩类孔隙水</w:t>
      </w:r>
    </w:p>
    <w:p w14:paraId="541C125E">
      <w:pPr>
        <w:pStyle w:val="24"/>
        <w:bidi w:val="0"/>
        <w:rPr>
          <w:rFonts w:hint="eastAsia"/>
          <w:color w:val="auto"/>
          <w:highlight w:val="none"/>
        </w:rPr>
      </w:pPr>
      <w:r>
        <w:rPr>
          <w:rFonts w:hint="eastAsia"/>
          <w:color w:val="auto"/>
          <w:highlight w:val="none"/>
        </w:rPr>
        <w:t>区内出露的地层主要为新生界第四系，主要分布在区内西南侧山间沟谷洼地，厚度为3-5m。对矿床开采充水影响不大</w:t>
      </w:r>
      <w:r>
        <w:rPr>
          <w:color w:val="auto"/>
          <w:highlight w:val="none"/>
        </w:rPr>
        <w:t>。</w:t>
      </w:r>
    </w:p>
    <w:p w14:paraId="347DC86D">
      <w:pPr>
        <w:pStyle w:val="24"/>
        <w:bidi w:val="0"/>
        <w:rPr>
          <w:rFonts w:hint="eastAsia"/>
          <w:color w:val="auto"/>
          <w:highlight w:val="none"/>
        </w:rPr>
      </w:pPr>
      <w:r>
        <w:rPr>
          <w:rFonts w:hint="eastAsia"/>
          <w:color w:val="auto"/>
          <w:highlight w:val="none"/>
          <w:lang w:val="en-US" w:eastAsia="zh-CN"/>
        </w:rPr>
        <w:t>2、</w:t>
      </w:r>
      <w:r>
        <w:rPr>
          <w:rFonts w:hint="eastAsia"/>
          <w:color w:val="auto"/>
          <w:highlight w:val="none"/>
        </w:rPr>
        <w:t>基岩裂隙水</w:t>
      </w:r>
    </w:p>
    <w:p w14:paraId="1FE37456">
      <w:pPr>
        <w:pStyle w:val="24"/>
        <w:bidi w:val="0"/>
        <w:rPr>
          <w:rFonts w:hint="eastAsia"/>
          <w:color w:val="auto"/>
          <w:highlight w:val="none"/>
        </w:rPr>
      </w:pPr>
      <w:r>
        <w:rPr>
          <w:color w:val="auto"/>
          <w:highlight w:val="none"/>
        </w:rPr>
        <w:t>该类型地下水主要</w:t>
      </w:r>
      <w:r>
        <w:rPr>
          <w:rFonts w:hint="eastAsia"/>
          <w:color w:val="auto"/>
          <w:highlight w:val="none"/>
        </w:rPr>
        <w:t>赋存于花岗闪长岩</w:t>
      </w:r>
      <w:r>
        <w:rPr>
          <w:color w:val="auto"/>
          <w:highlight w:val="none"/>
        </w:rPr>
        <w:t>裂隙</w:t>
      </w:r>
      <w:r>
        <w:rPr>
          <w:rFonts w:hint="eastAsia"/>
          <w:color w:val="auto"/>
          <w:highlight w:val="none"/>
        </w:rPr>
        <w:t>中</w:t>
      </w:r>
      <w:r>
        <w:rPr>
          <w:color w:val="auto"/>
          <w:highlight w:val="none"/>
        </w:rPr>
        <w:t>，</w:t>
      </w:r>
      <w:r>
        <w:rPr>
          <w:rFonts w:hint="eastAsia"/>
          <w:color w:val="auto"/>
          <w:highlight w:val="none"/>
        </w:rPr>
        <w:t>岩石风化裂隙自地表向下发育程度逐渐减弱。</w:t>
      </w:r>
      <w:r>
        <w:rPr>
          <w:color w:val="auto"/>
          <w:highlight w:val="none"/>
        </w:rPr>
        <w:t>含水介质富水性受岩石</w:t>
      </w:r>
      <w:r>
        <w:rPr>
          <w:rFonts w:hint="eastAsia"/>
          <w:color w:val="auto"/>
          <w:highlight w:val="none"/>
        </w:rPr>
        <w:t>风化裂隙和构造</w:t>
      </w:r>
      <w:r>
        <w:rPr>
          <w:color w:val="auto"/>
          <w:highlight w:val="none"/>
        </w:rPr>
        <w:t>裂隙的发育程度控制，地下水富水性空间分布不均，</w:t>
      </w:r>
      <w:r>
        <w:rPr>
          <w:rFonts w:hint="eastAsia"/>
          <w:color w:val="auto"/>
          <w:highlight w:val="none"/>
        </w:rPr>
        <w:t>采坑内未发现涌漏水现象。矿床开采深度范围内基岩裂隙水富水性较弱。</w:t>
      </w:r>
    </w:p>
    <w:p w14:paraId="23884BDD">
      <w:pPr>
        <w:pStyle w:val="24"/>
        <w:numPr>
          <w:ilvl w:val="0"/>
          <w:numId w:val="13"/>
        </w:numPr>
        <w:bidi w:val="0"/>
        <w:rPr>
          <w:rFonts w:hint="eastAsia"/>
          <w:color w:val="auto"/>
          <w:highlight w:val="none"/>
          <w:lang w:val="en-US" w:eastAsia="zh-CN"/>
        </w:rPr>
      </w:pPr>
      <w:r>
        <w:rPr>
          <w:rFonts w:hint="eastAsia"/>
          <w:color w:val="auto"/>
          <w:highlight w:val="none"/>
          <w:lang w:val="en-US" w:eastAsia="zh-CN"/>
        </w:rPr>
        <w:t>地下水补给、径流、排泄条件</w:t>
      </w:r>
    </w:p>
    <w:p w14:paraId="60B31D5E">
      <w:pPr>
        <w:pStyle w:val="24"/>
        <w:bidi w:val="0"/>
        <w:rPr>
          <w:rFonts w:hint="eastAsia"/>
          <w:color w:val="auto"/>
          <w:highlight w:val="none"/>
        </w:rPr>
      </w:pPr>
      <w:r>
        <w:rPr>
          <w:rFonts w:hint="eastAsia"/>
          <w:color w:val="auto"/>
          <w:highlight w:val="none"/>
        </w:rPr>
        <w:t>矿区内地下水补给来源主要为大气降水，补给方式为垂向补给。矿区所处位置地形起伏较大，地势有利于地下水径流，在接受大气降水以及区域径流补给后，依地势向西南方向发生径流，排泄于第四系含水层。</w:t>
      </w:r>
    </w:p>
    <w:p w14:paraId="6688BC33">
      <w:pPr>
        <w:pStyle w:val="24"/>
        <w:numPr>
          <w:ilvl w:val="0"/>
          <w:numId w:val="13"/>
        </w:numPr>
        <w:bidi w:val="0"/>
        <w:rPr>
          <w:rFonts w:hint="default"/>
          <w:color w:val="auto"/>
          <w:highlight w:val="none"/>
          <w:lang w:val="en-US" w:eastAsia="zh-CN"/>
        </w:rPr>
      </w:pPr>
      <w:r>
        <w:rPr>
          <w:rFonts w:hint="default"/>
          <w:color w:val="auto"/>
          <w:highlight w:val="none"/>
          <w:lang w:val="en-US" w:eastAsia="zh-CN"/>
        </w:rPr>
        <w:t>矿区水文地质条件评价</w:t>
      </w:r>
    </w:p>
    <w:p w14:paraId="2E60DBB4">
      <w:pPr>
        <w:pStyle w:val="24"/>
        <w:bidi w:val="0"/>
        <w:rPr>
          <w:rFonts w:hint="default"/>
          <w:color w:val="auto"/>
          <w:highlight w:val="none"/>
          <w:lang w:val="en-US" w:eastAsia="zh-CN"/>
        </w:rPr>
      </w:pPr>
      <w:r>
        <w:rPr>
          <w:rFonts w:hint="default"/>
          <w:color w:val="auto"/>
          <w:highlight w:val="none"/>
          <w:lang w:val="en-US" w:eastAsia="zh-CN"/>
        </w:rPr>
        <w:t>工作区侵蚀基准面为105m，矿体位于侵蚀基准面以上，含水层富水性较弱，附近无地表水体影响，矿床充水类型主要以大气降水为主。综上所述，水文地质条件为简单类型。</w:t>
      </w:r>
    </w:p>
    <w:p w14:paraId="2088E2D1">
      <w:pPr>
        <w:pStyle w:val="31"/>
        <w:bidi w:val="0"/>
        <w:rPr>
          <w:rFonts w:hint="default"/>
          <w:color w:val="auto"/>
          <w:highlight w:val="none"/>
          <w:lang w:val="en-US" w:eastAsia="zh-CN"/>
        </w:rPr>
      </w:pPr>
      <w:r>
        <w:rPr>
          <w:rFonts w:hint="eastAsia"/>
          <w:color w:val="auto"/>
          <w:highlight w:val="none"/>
          <w:lang w:val="en-US" w:eastAsia="zh-CN"/>
        </w:rPr>
        <w:t>工程地质概况</w:t>
      </w:r>
    </w:p>
    <w:p w14:paraId="5DB967BB">
      <w:pPr>
        <w:pStyle w:val="24"/>
        <w:numPr>
          <w:ilvl w:val="0"/>
          <w:numId w:val="14"/>
        </w:numPr>
        <w:bidi w:val="0"/>
        <w:rPr>
          <w:rFonts w:hint="default"/>
          <w:color w:val="auto"/>
          <w:highlight w:val="none"/>
          <w:lang w:val="en-US" w:eastAsia="zh-CN"/>
        </w:rPr>
      </w:pPr>
      <w:r>
        <w:rPr>
          <w:rFonts w:hint="default"/>
          <w:color w:val="auto"/>
          <w:highlight w:val="none"/>
          <w:lang w:val="en-US" w:eastAsia="zh-CN"/>
        </w:rPr>
        <w:t>工程地质岩组特征</w:t>
      </w:r>
    </w:p>
    <w:p w14:paraId="1C51255F">
      <w:pPr>
        <w:pStyle w:val="24"/>
        <w:bidi w:val="0"/>
        <w:rPr>
          <w:rFonts w:hint="default"/>
          <w:color w:val="auto"/>
          <w:highlight w:val="none"/>
          <w:lang w:val="en-US" w:eastAsia="zh-CN"/>
        </w:rPr>
      </w:pPr>
      <w:r>
        <w:rPr>
          <w:rFonts w:hint="default"/>
          <w:color w:val="auto"/>
          <w:highlight w:val="none"/>
          <w:lang w:val="en-US" w:eastAsia="zh-CN"/>
        </w:rPr>
        <w:t>矿区内的工程地质岩组有四组，分别为第四系松散软弱岩组、层状岩类坚硬岩组、块状岩类坚硬岩组、碳酸盐岩类坚硬岩组。</w:t>
      </w:r>
    </w:p>
    <w:p w14:paraId="40A8FD42">
      <w:pPr>
        <w:pStyle w:val="24"/>
        <w:bidi w:val="0"/>
        <w:rPr>
          <w:rFonts w:hint="eastAsia"/>
          <w:color w:val="auto"/>
          <w:highlight w:val="none"/>
        </w:rPr>
      </w:pPr>
      <w:r>
        <w:rPr>
          <w:rFonts w:hint="eastAsia"/>
          <w:color w:val="auto"/>
          <w:highlight w:val="none"/>
          <w:lang w:val="en-US" w:eastAsia="zh-CN"/>
        </w:rPr>
        <w:t>1、</w:t>
      </w:r>
      <w:r>
        <w:rPr>
          <w:rFonts w:hint="eastAsia"/>
          <w:color w:val="auto"/>
          <w:highlight w:val="none"/>
        </w:rPr>
        <w:t>第四系松散岩组</w:t>
      </w:r>
    </w:p>
    <w:p w14:paraId="3E251C62">
      <w:pPr>
        <w:pStyle w:val="24"/>
        <w:bidi w:val="0"/>
        <w:rPr>
          <w:rFonts w:hint="eastAsia"/>
          <w:color w:val="auto"/>
          <w:highlight w:val="none"/>
        </w:rPr>
      </w:pPr>
      <w:r>
        <w:rPr>
          <w:rFonts w:hint="eastAsia"/>
          <w:color w:val="auto"/>
          <w:highlight w:val="none"/>
        </w:rPr>
        <w:t>主要分布在区内西南侧山间沟谷洼地。主要为新生界第四系，</w:t>
      </w:r>
      <w:r>
        <w:rPr>
          <w:color w:val="auto"/>
          <w:highlight w:val="none"/>
        </w:rPr>
        <w:t>岩性为</w:t>
      </w:r>
      <w:r>
        <w:rPr>
          <w:rFonts w:hint="eastAsia"/>
          <w:color w:val="auto"/>
          <w:highlight w:val="none"/>
        </w:rPr>
        <w:t>碎石与</w:t>
      </w:r>
      <w:r>
        <w:rPr>
          <w:color w:val="auto"/>
          <w:highlight w:val="none"/>
        </w:rPr>
        <w:t>砂砾石，粒径不均匀，分选较差</w:t>
      </w:r>
      <w:r>
        <w:rPr>
          <w:rFonts w:hint="eastAsia"/>
          <w:color w:val="auto"/>
          <w:highlight w:val="none"/>
        </w:rPr>
        <w:t>。</w:t>
      </w:r>
      <w:r>
        <w:rPr>
          <w:color w:val="auto"/>
          <w:highlight w:val="none"/>
        </w:rPr>
        <w:t>该层多呈松散状，工程地质性质差。</w:t>
      </w:r>
    </w:p>
    <w:p w14:paraId="11E0091A">
      <w:pPr>
        <w:pStyle w:val="24"/>
        <w:bidi w:val="0"/>
        <w:rPr>
          <w:rFonts w:hint="eastAsia"/>
          <w:color w:val="auto"/>
          <w:highlight w:val="none"/>
        </w:rPr>
      </w:pPr>
      <w:r>
        <w:rPr>
          <w:rFonts w:hint="eastAsia"/>
          <w:color w:val="auto"/>
          <w:highlight w:val="none"/>
          <w:lang w:val="en-US" w:eastAsia="zh-CN"/>
        </w:rPr>
        <w:t>2、</w:t>
      </w:r>
      <w:r>
        <w:rPr>
          <w:rFonts w:hint="eastAsia"/>
          <w:color w:val="auto"/>
          <w:highlight w:val="none"/>
        </w:rPr>
        <w:t>坚硬较坚硬岩组</w:t>
      </w:r>
    </w:p>
    <w:p w14:paraId="25F3D6A4">
      <w:pPr>
        <w:pStyle w:val="24"/>
        <w:bidi w:val="0"/>
        <w:rPr>
          <w:rFonts w:hint="eastAsia"/>
          <w:color w:val="auto"/>
          <w:highlight w:val="none"/>
        </w:rPr>
      </w:pPr>
      <w:r>
        <w:rPr>
          <w:rFonts w:hint="eastAsia"/>
          <w:color w:val="auto"/>
          <w:highlight w:val="none"/>
        </w:rPr>
        <w:t>区内大面积分布岩浆岩，其侵入时代为三叠纪，岩性以粗粒～中细粒花岗闪长岩为主。矿体为中细粒花岗闪长岩，中-细粒花岗结构，麻点状构造。矿石的耐久性和加工性较好，具有高强度、抗风化、耐酸碱、质地优等特点。矿石的结构较为完整，一般裂隙较少。</w:t>
      </w:r>
    </w:p>
    <w:p w14:paraId="2E9180E4">
      <w:pPr>
        <w:pStyle w:val="24"/>
        <w:bidi w:val="0"/>
        <w:rPr>
          <w:color w:val="auto"/>
          <w:highlight w:val="none"/>
        </w:rPr>
      </w:pPr>
      <w:r>
        <w:rPr>
          <w:rFonts w:hint="eastAsia"/>
          <w:color w:val="auto"/>
          <w:highlight w:val="none"/>
        </w:rPr>
        <w:t>岩石的抗压强度为40.3-82.9MPa，平均为53.4MPa；抗折强度为13.2-15.1MPa，平均为14.4MPa。</w:t>
      </w:r>
      <w:r>
        <w:rPr>
          <w:color w:val="auto"/>
          <w:highlight w:val="none"/>
        </w:rPr>
        <w:t>属坚硬</w:t>
      </w:r>
      <w:r>
        <w:rPr>
          <w:rFonts w:hint="eastAsia"/>
          <w:color w:val="auto"/>
          <w:highlight w:val="none"/>
        </w:rPr>
        <w:t>较坚硬</w:t>
      </w:r>
      <w:r>
        <w:rPr>
          <w:color w:val="auto"/>
          <w:highlight w:val="none"/>
        </w:rPr>
        <w:t>岩石，一般工程地质性质稳定。</w:t>
      </w:r>
    </w:p>
    <w:p w14:paraId="7730C207">
      <w:pPr>
        <w:pStyle w:val="24"/>
        <w:numPr>
          <w:ilvl w:val="0"/>
          <w:numId w:val="14"/>
        </w:numPr>
        <w:bidi w:val="0"/>
        <w:rPr>
          <w:rFonts w:hint="eastAsia"/>
          <w:color w:val="auto"/>
          <w:highlight w:val="none"/>
          <w:lang w:val="en-US" w:eastAsia="zh-CN"/>
        </w:rPr>
      </w:pPr>
      <w:r>
        <w:rPr>
          <w:rFonts w:hint="eastAsia"/>
          <w:color w:val="auto"/>
          <w:highlight w:val="none"/>
          <w:lang w:val="en-US" w:eastAsia="zh-CN"/>
        </w:rPr>
        <w:t>构造发育特征</w:t>
      </w:r>
    </w:p>
    <w:p w14:paraId="2A94C9DB">
      <w:pPr>
        <w:pStyle w:val="24"/>
        <w:bidi w:val="0"/>
        <w:rPr>
          <w:rFonts w:hint="eastAsia"/>
          <w:color w:val="auto"/>
          <w:highlight w:val="none"/>
        </w:rPr>
      </w:pPr>
      <w:r>
        <w:rPr>
          <w:rFonts w:hint="eastAsia"/>
          <w:color w:val="auto"/>
          <w:highlight w:val="none"/>
        </w:rPr>
        <w:t>矿区内构造较发育，主要断裂有3条。F1逆断层见于南部，近东西向展布，位于中细粒闪长岩内，倾向173°～193°，倾角60°～80°。F2、F3为性质不明断层，北北东向展布向北延出区外，均切割中细粒花岗闪长岩，倾向106°～113°，倾角55°～60°。</w:t>
      </w:r>
    </w:p>
    <w:p w14:paraId="0B91A547">
      <w:pPr>
        <w:pStyle w:val="24"/>
        <w:bidi w:val="0"/>
        <w:rPr>
          <w:rFonts w:hint="default"/>
          <w:color w:val="auto"/>
          <w:highlight w:val="none"/>
          <w:lang w:val="en-US" w:eastAsia="zh-CN"/>
        </w:rPr>
      </w:pPr>
      <w:r>
        <w:rPr>
          <w:color w:val="auto"/>
          <w:highlight w:val="none"/>
        </w:rPr>
        <w:t>区内矿体及围岩大部分为坚硬</w:t>
      </w:r>
      <w:r>
        <w:rPr>
          <w:rFonts w:hint="eastAsia"/>
          <w:color w:val="auto"/>
          <w:highlight w:val="none"/>
        </w:rPr>
        <w:t>—</w:t>
      </w:r>
      <w:r>
        <w:rPr>
          <w:color w:val="auto"/>
          <w:highlight w:val="none"/>
        </w:rPr>
        <w:t>较坚硬岩石，抗压强度较高，岩石完整性多数为较好，岩体质量良好，矿体及围岩稳定性较好</w:t>
      </w:r>
      <w:r>
        <w:rPr>
          <w:rFonts w:hint="eastAsia"/>
          <w:color w:val="auto"/>
          <w:highlight w:val="none"/>
        </w:rPr>
        <w:t>。</w:t>
      </w:r>
    </w:p>
    <w:p w14:paraId="3C0F7A07">
      <w:pPr>
        <w:pStyle w:val="24"/>
        <w:numPr>
          <w:ilvl w:val="0"/>
          <w:numId w:val="14"/>
        </w:numPr>
        <w:bidi w:val="0"/>
        <w:rPr>
          <w:rFonts w:hint="default"/>
          <w:color w:val="auto"/>
          <w:highlight w:val="none"/>
          <w:lang w:val="en-US" w:eastAsia="zh-CN"/>
        </w:rPr>
      </w:pPr>
      <w:r>
        <w:rPr>
          <w:rFonts w:hint="default"/>
          <w:color w:val="auto"/>
          <w:highlight w:val="none"/>
          <w:lang w:val="en-US" w:eastAsia="zh-CN"/>
        </w:rPr>
        <w:t>工程地质条件预测评价</w:t>
      </w:r>
    </w:p>
    <w:p w14:paraId="0C99CDA6">
      <w:pPr>
        <w:pStyle w:val="24"/>
        <w:bidi w:val="0"/>
        <w:rPr>
          <w:rFonts w:hint="default"/>
          <w:color w:val="auto"/>
          <w:highlight w:val="none"/>
          <w:lang w:val="en-US" w:eastAsia="zh-CN"/>
        </w:rPr>
      </w:pPr>
      <w:r>
        <w:rPr>
          <w:rFonts w:hint="default"/>
          <w:color w:val="auto"/>
          <w:highlight w:val="none"/>
          <w:lang w:val="en-US" w:eastAsia="zh-CN"/>
        </w:rPr>
        <w:t>矿区内矿体为中细粒花岗闪长岩，表层岩石因风化作用，发育有风化裂隙。风化带以下岩石的物理性能较好，岩体较完整，对于露天开采，基本能够保证边坡的稳定性。在未来开采中，主要可能发生的工程地质问题部位为开采边坡，局部地段由于各组结构面的相互交错，使部分岩体呈碎裂结构，稳定性降低，坡面处岩体破碎，易发生滑坡。</w:t>
      </w:r>
    </w:p>
    <w:p w14:paraId="0C73E000">
      <w:pPr>
        <w:pStyle w:val="24"/>
        <w:bidi w:val="0"/>
        <w:rPr>
          <w:rFonts w:hint="default"/>
          <w:color w:val="auto"/>
          <w:highlight w:val="none"/>
          <w:lang w:val="en-US" w:eastAsia="zh-CN"/>
        </w:rPr>
      </w:pPr>
      <w:r>
        <w:rPr>
          <w:rFonts w:hint="default"/>
          <w:color w:val="auto"/>
          <w:highlight w:val="none"/>
          <w:lang w:val="en-US" w:eastAsia="zh-CN"/>
        </w:rPr>
        <w:t>综上所述，矿床工程地质条件属简单类型。</w:t>
      </w:r>
    </w:p>
    <w:p w14:paraId="607AD2A5">
      <w:pPr>
        <w:pStyle w:val="30"/>
        <w:bidi w:val="0"/>
        <w:rPr>
          <w:rFonts w:hint="default"/>
          <w:color w:val="auto"/>
          <w:highlight w:val="none"/>
          <w:lang w:val="en-US" w:eastAsia="zh-CN"/>
        </w:rPr>
      </w:pPr>
      <w:bookmarkStart w:id="16" w:name="_Toc24437"/>
      <w:r>
        <w:rPr>
          <w:rFonts w:hint="eastAsia"/>
          <w:color w:val="auto"/>
          <w:highlight w:val="none"/>
          <w:lang w:val="en-US" w:eastAsia="zh-CN"/>
        </w:rPr>
        <w:t>工程建设方案概况</w:t>
      </w:r>
      <w:bookmarkEnd w:id="16"/>
    </w:p>
    <w:p w14:paraId="48A6B354">
      <w:pPr>
        <w:pStyle w:val="31"/>
        <w:rPr>
          <w:rFonts w:hint="default"/>
          <w:color w:val="auto"/>
          <w:highlight w:val="none"/>
          <w:lang w:val="en-US" w:eastAsia="zh-CN"/>
        </w:rPr>
      </w:pPr>
      <w:r>
        <w:rPr>
          <w:rFonts w:hint="eastAsia"/>
          <w:color w:val="auto"/>
          <w:highlight w:val="none"/>
          <w:lang w:val="en-US" w:eastAsia="zh-CN"/>
        </w:rPr>
        <w:t>矿山开采现状</w:t>
      </w:r>
    </w:p>
    <w:p w14:paraId="4B06C831">
      <w:pPr>
        <w:pStyle w:val="24"/>
        <w:bidi w:val="0"/>
        <w:rPr>
          <w:rFonts w:hint="default"/>
          <w:color w:val="auto"/>
          <w:highlight w:val="none"/>
          <w:lang w:val="en-US" w:eastAsia="zh-CN"/>
        </w:rPr>
      </w:pPr>
      <w:r>
        <w:rPr>
          <w:rFonts w:hint="default"/>
          <w:color w:val="auto"/>
          <w:highlight w:val="none"/>
          <w:lang w:val="en-US" w:eastAsia="zh-CN"/>
        </w:rPr>
        <w:t>目前在矿区平面范围内西南角有一处早先遗留的民采采场，该采场长约120m，宽约80m，深11m，采场最高标高为121m，最低标高为110m，边坡角约为45°，为山坡式露天采坑，大气降水可自流排出</w:t>
      </w:r>
      <w:r>
        <w:rPr>
          <w:rFonts w:hint="eastAsia"/>
          <w:color w:val="auto"/>
          <w:highlight w:val="none"/>
          <w:lang w:val="en-US" w:eastAsia="zh-CN"/>
        </w:rPr>
        <w:t>，</w:t>
      </w:r>
      <w:r>
        <w:rPr>
          <w:rFonts w:hint="default"/>
          <w:color w:val="auto"/>
          <w:highlight w:val="none"/>
          <w:lang w:val="en-US" w:eastAsia="zh-CN"/>
        </w:rPr>
        <w:t>该采坑距离本次设计采场最近距离为230m。</w:t>
      </w:r>
    </w:p>
    <w:p w14:paraId="7D8E06B5">
      <w:pPr>
        <w:pStyle w:val="24"/>
        <w:bidi w:val="0"/>
        <w:rPr>
          <w:color w:val="auto"/>
          <w:highlight w:val="none"/>
        </w:rPr>
      </w:pPr>
      <w:r>
        <w:rPr>
          <w:color w:val="auto"/>
          <w:highlight w:val="none"/>
        </w:rPr>
        <w:t>自2016年3月13日取得采矿许可证</w:t>
      </w:r>
      <w:r>
        <w:rPr>
          <w:rFonts w:hint="eastAsia"/>
          <w:color w:val="auto"/>
          <w:highlight w:val="none"/>
        </w:rPr>
        <w:t>至今</w:t>
      </w:r>
      <w:r>
        <w:rPr>
          <w:color w:val="auto"/>
          <w:highlight w:val="none"/>
        </w:rPr>
        <w:t>，矿山没有进行过建设和开采。</w:t>
      </w:r>
    </w:p>
    <w:p w14:paraId="5DF944E5">
      <w:pPr>
        <w:pStyle w:val="31"/>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color w:val="auto"/>
          <w:highlight w:val="none"/>
          <w:lang w:val="en-US" w:eastAsia="zh-CN"/>
        </w:rPr>
      </w:pPr>
      <w:r>
        <w:rPr>
          <w:rFonts w:hint="eastAsia"/>
          <w:color w:val="auto"/>
          <w:highlight w:val="none"/>
          <w:lang w:val="en-US" w:eastAsia="zh-CN"/>
        </w:rPr>
        <w:t>建设规模及工作制度</w:t>
      </w:r>
    </w:p>
    <w:p w14:paraId="790704A8">
      <w:pPr>
        <w:pStyle w:val="24"/>
        <w:numPr>
          <w:ilvl w:val="0"/>
          <w:numId w:val="15"/>
        </w:numPr>
        <w:bidi w:val="0"/>
        <w:rPr>
          <w:rFonts w:hint="default"/>
          <w:color w:val="auto"/>
          <w:highlight w:val="none"/>
          <w:lang w:val="en-US" w:eastAsia="zh-CN"/>
        </w:rPr>
      </w:pPr>
      <w:r>
        <w:rPr>
          <w:rFonts w:hint="eastAsia"/>
          <w:color w:val="auto"/>
          <w:highlight w:val="none"/>
          <w:lang w:val="en-US" w:eastAsia="zh-CN"/>
        </w:rPr>
        <w:t>设计利用储量</w:t>
      </w:r>
    </w:p>
    <w:p w14:paraId="72B038B1">
      <w:pPr>
        <w:pStyle w:val="24"/>
        <w:bidi w:val="0"/>
        <w:rPr>
          <w:rFonts w:hint="eastAsia"/>
          <w:color w:val="auto"/>
          <w:highlight w:val="none"/>
        </w:rPr>
      </w:pPr>
      <w:r>
        <w:rPr>
          <w:rFonts w:hint="eastAsia"/>
          <w:color w:val="auto"/>
          <w:highlight w:val="none"/>
          <w:lang w:val="en-US" w:eastAsia="zh-CN"/>
        </w:rPr>
        <w:t>根据鞍山市国土资源局出具的《〈辽宁省岫岩满族自治县朝阳乡沟门村马家滴子沟建筑用花岗岩矿资源储量核实报告〉评审备案证明》（鞍国土资储备字〔2015〕012号）及《〈鞍山金和矿业有限公司北山桥铁矿等173份矿山储量年度报告（2018年度）〉审查验收备案证明》（鞍国土资年储备字〔2019〕031号），截至2018年11月10日矿区范围内保有建筑用花岗岩（122b+333）矿石量3678.72千立方米。其中控制的经济基础储量（122b）1820.48千立方米；推断的内蕴经济资源量（333）1858.24千立方米，荒料量809.32千立方米</w:t>
      </w:r>
      <w:r>
        <w:rPr>
          <w:rFonts w:hint="eastAsia"/>
          <w:color w:val="auto"/>
          <w:highlight w:val="none"/>
        </w:rPr>
        <w:t>。</w:t>
      </w:r>
    </w:p>
    <w:p w14:paraId="2E35A704">
      <w:pPr>
        <w:pStyle w:val="24"/>
        <w:bidi w:val="0"/>
        <w:rPr>
          <w:rFonts w:hint="default"/>
          <w:color w:val="auto"/>
          <w:highlight w:val="none"/>
          <w:lang w:val="en-US" w:eastAsia="zh-CN"/>
        </w:rPr>
      </w:pPr>
      <w:r>
        <w:rPr>
          <w:rFonts w:hint="eastAsia"/>
          <w:color w:val="auto"/>
          <w:highlight w:val="none"/>
          <w:lang w:val="en-US" w:eastAsia="zh-CN"/>
        </w:rPr>
        <w:t>《可研报告》露天境界台阶安全边坡角造成边帮压矿无法开采，经计算边帮压矿量共计130.362万m</w:t>
      </w:r>
      <w:r>
        <w:rPr>
          <w:rFonts w:hint="eastAsia"/>
          <w:color w:val="auto"/>
          <w:highlight w:val="none"/>
          <w:vertAlign w:val="superscript"/>
          <w:lang w:val="en-US" w:eastAsia="zh-CN"/>
        </w:rPr>
        <w:t>3</w:t>
      </w:r>
      <w:r>
        <w:rPr>
          <w:rFonts w:hint="eastAsia"/>
          <w:color w:val="auto"/>
          <w:highlight w:val="none"/>
          <w:lang w:val="en-US" w:eastAsia="zh-CN"/>
        </w:rPr>
        <w:t>。故设计利用资源量（KZ+TD）为237.51万m</w:t>
      </w:r>
      <w:r>
        <w:rPr>
          <w:rFonts w:hint="eastAsia"/>
          <w:color w:val="auto"/>
          <w:highlight w:val="none"/>
          <w:vertAlign w:val="superscript"/>
          <w:lang w:val="en-US" w:eastAsia="zh-CN"/>
        </w:rPr>
        <w:t>3</w:t>
      </w:r>
      <w:r>
        <w:rPr>
          <w:rFonts w:hint="eastAsia"/>
          <w:color w:val="auto"/>
          <w:highlight w:val="none"/>
          <w:lang w:val="en-US" w:eastAsia="zh-CN"/>
        </w:rPr>
        <w:t>，荒料量52.25 万m</w:t>
      </w:r>
      <w:r>
        <w:rPr>
          <w:rFonts w:hint="eastAsia"/>
          <w:color w:val="auto"/>
          <w:highlight w:val="none"/>
          <w:vertAlign w:val="superscript"/>
          <w:lang w:val="en-US" w:eastAsia="zh-CN"/>
        </w:rPr>
        <w:t>3</w:t>
      </w:r>
      <w:r>
        <w:rPr>
          <w:rFonts w:hint="eastAsia"/>
          <w:color w:val="auto"/>
          <w:highlight w:val="none"/>
          <w:lang w:val="en-US" w:eastAsia="zh-CN"/>
        </w:rPr>
        <w:t>，荒料率为22%。</w:t>
      </w:r>
    </w:p>
    <w:p w14:paraId="19B35D28">
      <w:pPr>
        <w:pStyle w:val="24"/>
        <w:numPr>
          <w:ilvl w:val="0"/>
          <w:numId w:val="15"/>
        </w:numPr>
        <w:bidi w:val="0"/>
        <w:rPr>
          <w:rFonts w:hint="default"/>
          <w:color w:val="auto"/>
          <w:highlight w:val="none"/>
          <w:lang w:val="en-US" w:eastAsia="zh-CN"/>
        </w:rPr>
      </w:pPr>
      <w:r>
        <w:rPr>
          <w:rFonts w:hint="default"/>
          <w:color w:val="auto"/>
          <w:highlight w:val="none"/>
          <w:lang w:val="en-US" w:eastAsia="zh-CN"/>
        </w:rPr>
        <w:t>服务年限</w:t>
      </w:r>
    </w:p>
    <w:p w14:paraId="1DDC021B">
      <w:pPr>
        <w:pStyle w:val="24"/>
        <w:bidi w:val="0"/>
        <w:rPr>
          <w:rFonts w:hint="default"/>
          <w:color w:val="auto"/>
          <w:highlight w:val="none"/>
          <w:lang w:val="en-US" w:eastAsia="zh-CN"/>
        </w:rPr>
      </w:pPr>
      <w:r>
        <w:rPr>
          <w:rFonts w:hint="eastAsia"/>
          <w:color w:val="auto"/>
          <w:highlight w:val="none"/>
          <w:lang w:val="en-US" w:eastAsia="zh-CN"/>
        </w:rPr>
        <w:t>《可研报告》明确，</w:t>
      </w:r>
      <w:r>
        <w:rPr>
          <w:rFonts w:hint="eastAsia"/>
          <w:color w:val="auto"/>
          <w:highlight w:val="none"/>
        </w:rPr>
        <w:t>考虑矿山基建期、投产、降产等，矿山总服务年限为118年。</w:t>
      </w:r>
    </w:p>
    <w:p w14:paraId="0D5105F4">
      <w:pPr>
        <w:pStyle w:val="24"/>
        <w:numPr>
          <w:ilvl w:val="0"/>
          <w:numId w:val="15"/>
        </w:numPr>
        <w:bidi w:val="0"/>
        <w:rPr>
          <w:rFonts w:hint="default"/>
          <w:color w:val="auto"/>
          <w:highlight w:val="none"/>
          <w:lang w:val="en-US" w:eastAsia="zh-CN"/>
        </w:rPr>
      </w:pPr>
      <w:r>
        <w:rPr>
          <w:rFonts w:hint="default"/>
          <w:color w:val="auto"/>
          <w:highlight w:val="none"/>
          <w:lang w:val="en-US" w:eastAsia="zh-CN"/>
        </w:rPr>
        <w:t>工作制度</w:t>
      </w:r>
    </w:p>
    <w:p w14:paraId="7FAAB2D3">
      <w:pPr>
        <w:pStyle w:val="24"/>
        <w:bidi w:val="0"/>
        <w:rPr>
          <w:color w:val="auto"/>
          <w:highlight w:val="none"/>
        </w:rPr>
      </w:pPr>
      <w:r>
        <w:rPr>
          <w:rFonts w:hint="eastAsia"/>
          <w:color w:val="auto"/>
          <w:highlight w:val="none"/>
          <w:lang w:val="en-US" w:eastAsia="zh-CN"/>
        </w:rPr>
        <w:t>《可研报告》明确，</w:t>
      </w:r>
      <w:r>
        <w:rPr>
          <w:color w:val="auto"/>
          <w:highlight w:val="none"/>
        </w:rPr>
        <w:t>矿山年工作</w:t>
      </w:r>
      <w:r>
        <w:rPr>
          <w:rFonts w:hint="eastAsia"/>
          <w:color w:val="auto"/>
          <w:highlight w:val="none"/>
          <w:lang w:val="en-US" w:eastAsia="zh-CN"/>
        </w:rPr>
        <w:t>240</w:t>
      </w:r>
      <w:r>
        <w:rPr>
          <w:color w:val="auto"/>
          <w:highlight w:val="none"/>
        </w:rPr>
        <w:t>天，每天1班，每班8小时。</w:t>
      </w:r>
    </w:p>
    <w:p w14:paraId="3B2DFFA7">
      <w:pPr>
        <w:pStyle w:val="31"/>
        <w:bidi w:val="0"/>
        <w:rPr>
          <w:rFonts w:hint="default"/>
          <w:color w:val="auto"/>
          <w:highlight w:val="none"/>
          <w:lang w:val="en-US" w:eastAsia="zh-CN"/>
        </w:rPr>
      </w:pPr>
      <w:r>
        <w:rPr>
          <w:rFonts w:hint="eastAsia"/>
          <w:color w:val="auto"/>
          <w:highlight w:val="none"/>
          <w:lang w:val="en-US" w:eastAsia="zh-CN"/>
        </w:rPr>
        <w:t>总图运输</w:t>
      </w:r>
    </w:p>
    <w:p w14:paraId="10EE9DF9">
      <w:pPr>
        <w:pStyle w:val="24"/>
        <w:numPr>
          <w:ilvl w:val="0"/>
          <w:numId w:val="16"/>
        </w:numPr>
        <w:bidi w:val="0"/>
        <w:rPr>
          <w:rFonts w:hint="eastAsia"/>
          <w:color w:val="auto"/>
          <w:highlight w:val="none"/>
          <w:lang w:val="en-US" w:eastAsia="zh-CN"/>
        </w:rPr>
      </w:pPr>
      <w:r>
        <w:rPr>
          <w:rFonts w:hint="eastAsia"/>
          <w:color w:val="auto"/>
          <w:highlight w:val="none"/>
          <w:lang w:val="en-US" w:eastAsia="zh-CN"/>
        </w:rPr>
        <w:t>工业场地</w:t>
      </w:r>
    </w:p>
    <w:p w14:paraId="70A97576">
      <w:pPr>
        <w:pStyle w:val="24"/>
        <w:bidi w:val="0"/>
        <w:rPr>
          <w:rFonts w:hint="default"/>
          <w:color w:val="auto"/>
          <w:highlight w:val="none"/>
          <w:lang w:val="en-US" w:eastAsia="zh-CN"/>
        </w:rPr>
      </w:pPr>
      <w:r>
        <w:rPr>
          <w:rFonts w:hint="default"/>
          <w:color w:val="auto"/>
          <w:highlight w:val="none"/>
          <w:lang w:val="en-US" w:eastAsia="zh-CN"/>
        </w:rPr>
        <w:t>《可研报告》</w:t>
      </w:r>
      <w:r>
        <w:rPr>
          <w:rFonts w:hint="eastAsia"/>
          <w:color w:val="auto"/>
          <w:highlight w:val="none"/>
          <w:lang w:val="en-US" w:eastAsia="zh-CN"/>
        </w:rPr>
        <w:t>明确矿山利用现有工业场地，位于矿区南侧，工业场地包括办公室、库房等。矿区用油由油罐车运送，剩余油量返回到当地供销商，做到矿区不存放易燃易爆等危险源。</w:t>
      </w:r>
    </w:p>
    <w:p w14:paraId="014208DD">
      <w:pPr>
        <w:pStyle w:val="24"/>
        <w:numPr>
          <w:ilvl w:val="0"/>
          <w:numId w:val="16"/>
        </w:numPr>
        <w:bidi w:val="0"/>
        <w:rPr>
          <w:rFonts w:hint="default"/>
          <w:color w:val="auto"/>
          <w:highlight w:val="none"/>
          <w:lang w:val="en-US" w:eastAsia="zh-CN"/>
        </w:rPr>
      </w:pPr>
      <w:r>
        <w:rPr>
          <w:rFonts w:hint="eastAsia"/>
          <w:color w:val="auto"/>
          <w:highlight w:val="none"/>
          <w:lang w:val="en-US" w:eastAsia="zh-CN"/>
        </w:rPr>
        <w:t>道路运输</w:t>
      </w:r>
    </w:p>
    <w:p w14:paraId="60E6AE1A">
      <w:pPr>
        <w:pStyle w:val="24"/>
        <w:bidi w:val="0"/>
        <w:rPr>
          <w:rFonts w:hint="eastAsia"/>
          <w:color w:val="auto"/>
          <w:highlight w:val="none"/>
          <w:lang w:val="en-US" w:eastAsia="zh-CN"/>
        </w:rPr>
      </w:pPr>
      <w:r>
        <w:rPr>
          <w:rFonts w:hint="default"/>
          <w:color w:val="auto"/>
          <w:highlight w:val="none"/>
          <w:lang w:val="en-US" w:eastAsia="zh-CN"/>
        </w:rPr>
        <w:t>《可研报告》</w:t>
      </w:r>
      <w:r>
        <w:rPr>
          <w:rFonts w:hint="eastAsia"/>
          <w:color w:val="auto"/>
          <w:highlight w:val="none"/>
          <w:lang w:val="en-US" w:eastAsia="zh-CN"/>
        </w:rPr>
        <w:t>明确，矿石外运或向矿内运输设备、材料、人员等，需新建一条道路。该道路自现有路连接各层采矿平台，并设回车场。</w:t>
      </w:r>
    </w:p>
    <w:p w14:paraId="7AD480D9">
      <w:pPr>
        <w:pStyle w:val="24"/>
        <w:bidi w:val="0"/>
        <w:rPr>
          <w:rFonts w:hint="eastAsia"/>
          <w:color w:val="auto"/>
          <w:highlight w:val="none"/>
          <w:lang w:val="en-US" w:eastAsia="zh-CN"/>
        </w:rPr>
      </w:pPr>
      <w:r>
        <w:rPr>
          <w:rFonts w:hint="eastAsia"/>
          <w:color w:val="auto"/>
          <w:highlight w:val="none"/>
          <w:lang w:val="en-US" w:eastAsia="zh-CN"/>
        </w:rPr>
        <w:t>开拓公路布置在采场境界外南侧山坡上，采用直进式布置运输线路，连接阶段平台。</w:t>
      </w:r>
    </w:p>
    <w:p w14:paraId="01DAB575">
      <w:pPr>
        <w:pStyle w:val="31"/>
        <w:bidi w:val="0"/>
        <w:rPr>
          <w:rFonts w:hint="eastAsia"/>
          <w:color w:val="auto"/>
          <w:highlight w:val="none"/>
          <w:lang w:val="en-US" w:eastAsia="zh-CN"/>
        </w:rPr>
      </w:pPr>
      <w:r>
        <w:rPr>
          <w:rFonts w:hint="eastAsia"/>
          <w:color w:val="auto"/>
          <w:highlight w:val="none"/>
          <w:lang w:val="en-US" w:eastAsia="zh-CN"/>
        </w:rPr>
        <w:t>开采范围</w:t>
      </w:r>
    </w:p>
    <w:p w14:paraId="7A3151E5">
      <w:pPr>
        <w:pStyle w:val="24"/>
        <w:bidi w:val="0"/>
        <w:rPr>
          <w:rFonts w:hint="eastAsia"/>
          <w:color w:val="auto"/>
          <w:highlight w:val="none"/>
          <w:lang w:val="en-US" w:eastAsia="zh-CN"/>
        </w:rPr>
      </w:pPr>
      <w:r>
        <w:rPr>
          <w:rFonts w:hint="default"/>
          <w:color w:val="auto"/>
          <w:highlight w:val="none"/>
        </w:rPr>
        <w:t>《可研报</w:t>
      </w:r>
      <w:r>
        <w:rPr>
          <w:rFonts w:hint="default"/>
          <w:color w:val="auto"/>
          <w:highlight w:val="none"/>
          <w:lang w:val="zh-CN"/>
        </w:rPr>
        <w:t>告》</w:t>
      </w:r>
      <w:r>
        <w:rPr>
          <w:rFonts w:hint="eastAsia"/>
          <w:color w:val="auto"/>
          <w:highlight w:val="none"/>
          <w:lang w:val="en-US" w:eastAsia="zh-CN"/>
        </w:rPr>
        <w:t>明确设计</w:t>
      </w:r>
      <w:r>
        <w:rPr>
          <w:color w:val="auto"/>
          <w:highlight w:val="none"/>
        </w:rPr>
        <w:t>开采对象为矿区范围内的建筑用花岗岩</w:t>
      </w:r>
      <w:r>
        <w:rPr>
          <w:rFonts w:hint="eastAsia"/>
          <w:color w:val="auto"/>
          <w:highlight w:val="none"/>
          <w:lang w:eastAsia="zh-CN"/>
        </w:rPr>
        <w:t>，</w:t>
      </w:r>
      <w:r>
        <w:rPr>
          <w:rFonts w:hint="eastAsia"/>
          <w:color w:val="auto"/>
          <w:highlight w:val="none"/>
          <w:lang w:val="en-US" w:eastAsia="zh-CN"/>
        </w:rPr>
        <w:t>设计范围</w:t>
      </w:r>
      <w:r>
        <w:rPr>
          <w:color w:val="auto"/>
          <w:highlight w:val="none"/>
        </w:rPr>
        <w:t>由4个拐点圈定，开采深度由184米至150米标高，开采面积为0.0611平方公里。</w:t>
      </w:r>
    </w:p>
    <w:p w14:paraId="775F8DDD">
      <w:pPr>
        <w:pStyle w:val="31"/>
        <w:bidi w:val="0"/>
        <w:rPr>
          <w:rFonts w:hint="default"/>
          <w:color w:val="auto"/>
          <w:highlight w:val="none"/>
          <w:lang w:val="en-US" w:eastAsia="zh-CN"/>
        </w:rPr>
      </w:pPr>
      <w:r>
        <w:rPr>
          <w:rFonts w:hint="eastAsia"/>
          <w:color w:val="auto"/>
          <w:highlight w:val="none"/>
          <w:lang w:val="en-US" w:eastAsia="zh-CN"/>
        </w:rPr>
        <w:t>开拓运输</w:t>
      </w:r>
    </w:p>
    <w:p w14:paraId="1EC2FC7E">
      <w:pPr>
        <w:pStyle w:val="24"/>
        <w:bidi w:val="0"/>
        <w:rPr>
          <w:color w:val="auto"/>
          <w:highlight w:val="none"/>
        </w:rPr>
      </w:pPr>
      <w:r>
        <w:rPr>
          <w:rFonts w:hint="default"/>
          <w:color w:val="auto"/>
          <w:highlight w:val="none"/>
        </w:rPr>
        <w:t>《可研报</w:t>
      </w:r>
      <w:r>
        <w:rPr>
          <w:rFonts w:hint="default"/>
          <w:color w:val="auto"/>
          <w:highlight w:val="none"/>
          <w:lang w:val="zh-CN"/>
        </w:rPr>
        <w:t>告》</w:t>
      </w:r>
      <w:r>
        <w:rPr>
          <w:rFonts w:hint="eastAsia"/>
          <w:color w:val="auto"/>
          <w:highlight w:val="none"/>
          <w:lang w:val="en-US" w:eastAsia="zh-CN"/>
        </w:rPr>
        <w:t>明确</w:t>
      </w:r>
      <w:r>
        <w:rPr>
          <w:color w:val="auto"/>
          <w:highlight w:val="none"/>
        </w:rPr>
        <w:t>设计采用公路开拓、汽车运输方式。设计为山坡露天开采，在采场境界内由下而上布置直进式上山公路进入采场工作水平。</w:t>
      </w:r>
    </w:p>
    <w:p w14:paraId="32C40AB7">
      <w:pPr>
        <w:pStyle w:val="24"/>
        <w:bidi w:val="0"/>
        <w:rPr>
          <w:color w:val="auto"/>
          <w:highlight w:val="none"/>
        </w:rPr>
      </w:pPr>
      <w:r>
        <w:rPr>
          <w:rFonts w:hint="eastAsia"/>
          <w:color w:val="auto"/>
          <w:highlight w:val="none"/>
        </w:rPr>
        <w:t>采场采出的荒料及碎石</w:t>
      </w:r>
      <w:r>
        <w:rPr>
          <w:color w:val="auto"/>
          <w:highlight w:val="none"/>
        </w:rPr>
        <w:t>运往矿石临时堆场后外售。道路路面宽度4.5m，路肩宽度挖方0.5m，填方1.0m，级配碎石路面。</w:t>
      </w:r>
    </w:p>
    <w:p w14:paraId="4F55465D">
      <w:pPr>
        <w:pStyle w:val="24"/>
        <w:bidi w:val="0"/>
        <w:rPr>
          <w:rFonts w:hint="eastAsia"/>
          <w:color w:val="auto"/>
          <w:highlight w:val="none"/>
          <w:lang w:val="en-US" w:eastAsia="zh-CN"/>
        </w:rPr>
      </w:pPr>
      <w:r>
        <w:rPr>
          <w:rFonts w:hint="eastAsia"/>
          <w:color w:val="auto"/>
          <w:highlight w:val="none"/>
          <w:lang w:val="en-US" w:eastAsia="zh-CN"/>
        </w:rPr>
        <w:t>矿石外运或向矿内运输设备、材料、人员等，需新建一条道路。该道路自现有路连接各层采矿平台，并设回车场。</w:t>
      </w:r>
    </w:p>
    <w:p w14:paraId="7AB727CE">
      <w:pPr>
        <w:pStyle w:val="24"/>
        <w:bidi w:val="0"/>
        <w:rPr>
          <w:color w:val="auto"/>
          <w:sz w:val="28"/>
          <w:szCs w:val="28"/>
          <w:highlight w:val="none"/>
        </w:rPr>
      </w:pPr>
      <w:r>
        <w:rPr>
          <w:rFonts w:hint="eastAsia"/>
          <w:color w:val="auto"/>
          <w:highlight w:val="none"/>
          <w:lang w:val="en-US" w:eastAsia="zh-CN"/>
        </w:rPr>
        <w:t>开拓公路布置在采场境界外南侧山坡上，采用直进式布置运输线路，连接阶段平台。</w:t>
      </w:r>
    </w:p>
    <w:p w14:paraId="696F9B37">
      <w:pPr>
        <w:pStyle w:val="24"/>
        <w:bidi w:val="0"/>
        <w:rPr>
          <w:rFonts w:hint="eastAsia"/>
          <w:color w:val="auto"/>
          <w:highlight w:val="none"/>
          <w:lang w:val="en-US" w:eastAsia="zh-CN"/>
        </w:rPr>
      </w:pPr>
      <w:r>
        <w:rPr>
          <w:rFonts w:hint="eastAsia"/>
          <w:color w:val="auto"/>
          <w:highlight w:val="none"/>
          <w:lang w:val="en-US" w:eastAsia="zh-CN"/>
        </w:rPr>
        <w:t>道路参数如下：</w:t>
      </w:r>
    </w:p>
    <w:p w14:paraId="556D0D60">
      <w:pPr>
        <w:pStyle w:val="24"/>
        <w:bidi w:val="0"/>
        <w:rPr>
          <w:color w:val="auto"/>
          <w:highlight w:val="none"/>
        </w:rPr>
      </w:pPr>
      <w:r>
        <w:rPr>
          <w:color w:val="auto"/>
          <w:highlight w:val="none"/>
        </w:rPr>
        <w:t>道路等级：三级；计算行车速度：15km/h；路面宽度：4.5m；最小圆曲线半径：15m；最小竖曲线半径：200m；最大纵坡：8%；最小停车视距：20m；最小会车视距：40m；缓和坡度长度：50m；平均坡度小于6.5%。</w:t>
      </w:r>
    </w:p>
    <w:p w14:paraId="2801A6B7">
      <w:pPr>
        <w:pStyle w:val="24"/>
        <w:bidi w:val="0"/>
        <w:rPr>
          <w:rFonts w:hint="eastAsia"/>
          <w:color w:val="auto"/>
          <w:highlight w:val="none"/>
          <w:lang w:val="en-US" w:eastAsia="zh-CN"/>
        </w:rPr>
      </w:pPr>
      <w:r>
        <w:rPr>
          <w:rFonts w:hint="eastAsia"/>
          <w:color w:val="auto"/>
          <w:highlight w:val="none"/>
          <w:lang w:val="en-US" w:eastAsia="zh-CN"/>
        </w:rPr>
        <w:t>道面参数如下：</w:t>
      </w:r>
    </w:p>
    <w:p w14:paraId="0719E0B9">
      <w:pPr>
        <w:pStyle w:val="24"/>
        <w:bidi w:val="0"/>
        <w:rPr>
          <w:color w:val="auto"/>
          <w:highlight w:val="none"/>
        </w:rPr>
      </w:pPr>
      <w:r>
        <w:rPr>
          <w:color w:val="auto"/>
          <w:highlight w:val="none"/>
        </w:rPr>
        <w:t>路面等级：中级路面；路面类型选择：级配碎石路面；路拱形式：抛物线形；对路基压实度的要求：填方0～60cm时，路基压实度为0.85～0.95cm；填方60～150cm时，路基压实度为0.80～0.90cm；填方150cm以上时，路基压实度为0.80～0.85cm；低填方及挖方0～30cm时，路基压实度为0.85～0.95cm；路面结构（自上而下）：碎（砾）石混合料磨耗层厚3cm、级配碎石层厚30cm、混铺块石40cm、岩石路基。</w:t>
      </w:r>
    </w:p>
    <w:p w14:paraId="19155D4A">
      <w:pPr>
        <w:pStyle w:val="24"/>
        <w:bidi w:val="0"/>
        <w:rPr>
          <w:color w:val="auto"/>
          <w:highlight w:val="none"/>
        </w:rPr>
      </w:pPr>
      <w:r>
        <w:rPr>
          <w:rFonts w:hint="default"/>
          <w:color w:val="auto"/>
          <w:highlight w:val="none"/>
          <w:lang w:val="zh-CN"/>
        </w:rPr>
        <w:t>《可研报告》确定</w:t>
      </w:r>
      <w:r>
        <w:rPr>
          <w:rFonts w:hint="eastAsia"/>
          <w:color w:val="auto"/>
          <w:highlight w:val="none"/>
        </w:rPr>
        <w:t>矿山矿石运输工作共需平板车汽车3台（其中检修备用车1台），平板车额定载重量10吨。</w:t>
      </w:r>
      <w:r>
        <w:rPr>
          <w:color w:val="auto"/>
          <w:highlight w:val="none"/>
        </w:rPr>
        <w:t>为减少道路粉尘污染空气，配备1台5t洒水车，用于对露天运输道路的定期洒水降尘。</w:t>
      </w:r>
    </w:p>
    <w:p w14:paraId="524292B6">
      <w:pPr>
        <w:pStyle w:val="31"/>
        <w:bidi w:val="0"/>
        <w:rPr>
          <w:color w:val="auto"/>
          <w:highlight w:val="none"/>
        </w:rPr>
      </w:pPr>
      <w:r>
        <w:rPr>
          <w:rFonts w:hint="eastAsia"/>
          <w:color w:val="auto"/>
          <w:highlight w:val="none"/>
          <w:lang w:val="en-US" w:eastAsia="zh-CN"/>
        </w:rPr>
        <w:t>采矿工艺</w:t>
      </w:r>
    </w:p>
    <w:p w14:paraId="07001991">
      <w:pPr>
        <w:pStyle w:val="24"/>
        <w:rPr>
          <w:rFonts w:hint="eastAsia"/>
          <w:color w:val="auto"/>
          <w:highlight w:val="none"/>
          <w:lang w:val="en-US" w:eastAsia="zh-CN"/>
        </w:rPr>
      </w:pPr>
      <w:r>
        <w:rPr>
          <w:rFonts w:hint="eastAsia"/>
          <w:color w:val="auto"/>
          <w:highlight w:val="none"/>
          <w:lang w:val="en-US" w:eastAsia="zh-CN"/>
        </w:rPr>
        <w:t>（1）露天境界圈定</w:t>
      </w:r>
    </w:p>
    <w:p w14:paraId="63322BC4">
      <w:pPr>
        <w:pStyle w:val="24"/>
        <w:rPr>
          <w:rFonts w:hint="eastAsia"/>
          <w:color w:val="auto"/>
          <w:highlight w:val="none"/>
          <w:lang w:val="en-US" w:eastAsia="zh-CN"/>
        </w:rPr>
      </w:pPr>
      <w:r>
        <w:rPr>
          <w:rFonts w:hint="eastAsia"/>
          <w:color w:val="auto"/>
          <w:highlight w:val="none"/>
          <w:lang w:val="en-US" w:eastAsia="zh-CN"/>
        </w:rPr>
        <w:t>《</w:t>
      </w:r>
      <w:r>
        <w:rPr>
          <w:rFonts w:hint="default"/>
          <w:color w:val="auto"/>
          <w:highlight w:val="none"/>
          <w:lang w:val="zh-CN"/>
        </w:rPr>
        <w:t>可研报告</w:t>
      </w:r>
      <w:r>
        <w:rPr>
          <w:rFonts w:hint="eastAsia"/>
          <w:color w:val="auto"/>
          <w:highlight w:val="none"/>
          <w:lang w:val="en-US" w:eastAsia="zh-CN"/>
        </w:rPr>
        <w:t>》根据露天境界圈定原则和露天境界结构参数对露天境界进行圈定。露天境界圈定结果见表2.4-1。</w:t>
      </w:r>
    </w:p>
    <w:p w14:paraId="41B65B5A">
      <w:pPr>
        <w:pStyle w:val="32"/>
        <w:bidi w:val="0"/>
        <w:rPr>
          <w:color w:val="auto"/>
          <w:highlight w:val="none"/>
        </w:rPr>
      </w:pPr>
      <w:r>
        <w:rPr>
          <w:color w:val="auto"/>
          <w:highlight w:val="none"/>
        </w:rPr>
        <w:t>表</w:t>
      </w:r>
      <w:r>
        <w:rPr>
          <w:rFonts w:hint="eastAsia"/>
          <w:color w:val="auto"/>
          <w:highlight w:val="none"/>
          <w:lang w:val="en-US" w:eastAsia="zh-CN"/>
        </w:rPr>
        <w:t>2.4-1</w:t>
      </w:r>
      <w:r>
        <w:rPr>
          <w:color w:val="auto"/>
          <w:highlight w:val="none"/>
        </w:rPr>
        <w:t xml:space="preserve">  露天采场终了境界圈定结果表</w:t>
      </w:r>
    </w:p>
    <w:tbl>
      <w:tblPr>
        <w:tblStyle w:val="26"/>
        <w:tblW w:w="4998" w:type="pct"/>
        <w:jc w:val="center"/>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Layout w:type="autofit"/>
        <w:tblCellMar>
          <w:top w:w="0" w:type="dxa"/>
          <w:left w:w="108" w:type="dxa"/>
          <w:bottom w:w="0" w:type="dxa"/>
          <w:right w:w="108" w:type="dxa"/>
        </w:tblCellMar>
      </w:tblPr>
      <w:tblGrid>
        <w:gridCol w:w="910"/>
        <w:gridCol w:w="2204"/>
        <w:gridCol w:w="2206"/>
        <w:gridCol w:w="1375"/>
        <w:gridCol w:w="1713"/>
        <w:gridCol w:w="989"/>
      </w:tblGrid>
      <w:tr w14:paraId="4F632E68">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108" w:type="dxa"/>
            <w:bottom w:w="0" w:type="dxa"/>
            <w:right w:w="108" w:type="dxa"/>
          </w:tblCellMar>
        </w:tblPrEx>
        <w:trPr>
          <w:jc w:val="center"/>
        </w:trPr>
        <w:tc>
          <w:tcPr>
            <w:tcW w:w="484" w:type="pct"/>
            <w:noWrap w:val="0"/>
            <w:vAlign w:val="center"/>
          </w:tcPr>
          <w:p w14:paraId="7C557F17">
            <w:pPr>
              <w:pStyle w:val="33"/>
              <w:bidi w:val="0"/>
              <w:rPr>
                <w:color w:val="auto"/>
                <w:highlight w:val="none"/>
              </w:rPr>
            </w:pPr>
            <w:r>
              <w:rPr>
                <w:color w:val="auto"/>
                <w:highlight w:val="none"/>
              </w:rPr>
              <w:t>序号</w:t>
            </w:r>
          </w:p>
        </w:tc>
        <w:tc>
          <w:tcPr>
            <w:tcW w:w="2345" w:type="pct"/>
            <w:gridSpan w:val="2"/>
            <w:noWrap w:val="0"/>
            <w:vAlign w:val="center"/>
          </w:tcPr>
          <w:p w14:paraId="5491409F">
            <w:pPr>
              <w:pStyle w:val="33"/>
              <w:bidi w:val="0"/>
              <w:rPr>
                <w:color w:val="auto"/>
                <w:highlight w:val="none"/>
              </w:rPr>
            </w:pPr>
            <w:r>
              <w:rPr>
                <w:color w:val="auto"/>
                <w:highlight w:val="none"/>
              </w:rPr>
              <w:t>项 目</w:t>
            </w:r>
          </w:p>
        </w:tc>
        <w:tc>
          <w:tcPr>
            <w:tcW w:w="731" w:type="pct"/>
            <w:noWrap w:val="0"/>
            <w:vAlign w:val="center"/>
          </w:tcPr>
          <w:p w14:paraId="42751A1C">
            <w:pPr>
              <w:pStyle w:val="33"/>
              <w:bidi w:val="0"/>
              <w:rPr>
                <w:color w:val="auto"/>
                <w:highlight w:val="none"/>
              </w:rPr>
            </w:pPr>
            <w:r>
              <w:rPr>
                <w:color w:val="auto"/>
                <w:highlight w:val="none"/>
              </w:rPr>
              <w:t>单 位</w:t>
            </w:r>
          </w:p>
        </w:tc>
        <w:tc>
          <w:tcPr>
            <w:tcW w:w="911" w:type="pct"/>
            <w:noWrap w:val="0"/>
            <w:vAlign w:val="center"/>
          </w:tcPr>
          <w:p w14:paraId="14F6D974">
            <w:pPr>
              <w:pStyle w:val="33"/>
              <w:bidi w:val="0"/>
              <w:rPr>
                <w:color w:val="auto"/>
                <w:highlight w:val="none"/>
              </w:rPr>
            </w:pPr>
            <w:r>
              <w:rPr>
                <w:color w:val="auto"/>
                <w:highlight w:val="none"/>
              </w:rPr>
              <w:t>指  标</w:t>
            </w:r>
          </w:p>
        </w:tc>
        <w:tc>
          <w:tcPr>
            <w:tcW w:w="526" w:type="pct"/>
            <w:noWrap w:val="0"/>
            <w:vAlign w:val="center"/>
          </w:tcPr>
          <w:p w14:paraId="7EECE1EB">
            <w:pPr>
              <w:pStyle w:val="33"/>
              <w:bidi w:val="0"/>
              <w:rPr>
                <w:color w:val="auto"/>
                <w:highlight w:val="none"/>
              </w:rPr>
            </w:pPr>
            <w:r>
              <w:rPr>
                <w:color w:val="auto"/>
                <w:highlight w:val="none"/>
              </w:rPr>
              <w:t>备注</w:t>
            </w:r>
          </w:p>
        </w:tc>
      </w:tr>
      <w:tr w14:paraId="081782A8">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108" w:type="dxa"/>
            <w:bottom w:w="0" w:type="dxa"/>
            <w:right w:w="108" w:type="dxa"/>
          </w:tblCellMar>
        </w:tblPrEx>
        <w:trPr>
          <w:jc w:val="center"/>
        </w:trPr>
        <w:tc>
          <w:tcPr>
            <w:tcW w:w="484" w:type="pct"/>
            <w:noWrap w:val="0"/>
            <w:vAlign w:val="center"/>
          </w:tcPr>
          <w:p w14:paraId="1E163BCB">
            <w:pPr>
              <w:pStyle w:val="33"/>
              <w:bidi w:val="0"/>
              <w:rPr>
                <w:color w:val="auto"/>
                <w:highlight w:val="none"/>
              </w:rPr>
            </w:pPr>
            <w:r>
              <w:rPr>
                <w:color w:val="auto"/>
                <w:highlight w:val="none"/>
              </w:rPr>
              <w:t>1</w:t>
            </w:r>
          </w:p>
        </w:tc>
        <w:tc>
          <w:tcPr>
            <w:tcW w:w="2345" w:type="pct"/>
            <w:gridSpan w:val="2"/>
            <w:noWrap w:val="0"/>
            <w:vAlign w:val="center"/>
          </w:tcPr>
          <w:p w14:paraId="2C9C25B7">
            <w:pPr>
              <w:pStyle w:val="33"/>
              <w:bidi w:val="0"/>
              <w:rPr>
                <w:color w:val="auto"/>
                <w:highlight w:val="none"/>
              </w:rPr>
            </w:pPr>
            <w:r>
              <w:rPr>
                <w:color w:val="auto"/>
                <w:highlight w:val="none"/>
              </w:rPr>
              <w:t>采场最高标高</w:t>
            </w:r>
          </w:p>
        </w:tc>
        <w:tc>
          <w:tcPr>
            <w:tcW w:w="731" w:type="pct"/>
            <w:noWrap w:val="0"/>
            <w:vAlign w:val="center"/>
          </w:tcPr>
          <w:p w14:paraId="5869FBA3">
            <w:pPr>
              <w:pStyle w:val="33"/>
              <w:bidi w:val="0"/>
              <w:rPr>
                <w:color w:val="auto"/>
                <w:highlight w:val="none"/>
              </w:rPr>
            </w:pPr>
            <w:r>
              <w:rPr>
                <w:color w:val="auto"/>
                <w:highlight w:val="none"/>
              </w:rPr>
              <w:t>m</w:t>
            </w:r>
          </w:p>
        </w:tc>
        <w:tc>
          <w:tcPr>
            <w:tcW w:w="911" w:type="pct"/>
            <w:noWrap w:val="0"/>
            <w:vAlign w:val="center"/>
          </w:tcPr>
          <w:p w14:paraId="68FC8159">
            <w:pPr>
              <w:pStyle w:val="33"/>
              <w:bidi w:val="0"/>
              <w:rPr>
                <w:color w:val="auto"/>
                <w:highlight w:val="none"/>
              </w:rPr>
            </w:pPr>
            <w:r>
              <w:rPr>
                <w:color w:val="auto"/>
                <w:highlight w:val="none"/>
              </w:rPr>
              <w:t>184</w:t>
            </w:r>
          </w:p>
        </w:tc>
        <w:tc>
          <w:tcPr>
            <w:tcW w:w="526" w:type="pct"/>
            <w:noWrap w:val="0"/>
            <w:vAlign w:val="center"/>
          </w:tcPr>
          <w:p w14:paraId="302582DA">
            <w:pPr>
              <w:pStyle w:val="33"/>
              <w:bidi w:val="0"/>
              <w:rPr>
                <w:color w:val="auto"/>
                <w:highlight w:val="none"/>
              </w:rPr>
            </w:pPr>
          </w:p>
        </w:tc>
      </w:tr>
      <w:tr w14:paraId="388279F7">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108" w:type="dxa"/>
            <w:bottom w:w="0" w:type="dxa"/>
            <w:right w:w="108" w:type="dxa"/>
          </w:tblCellMar>
        </w:tblPrEx>
        <w:trPr>
          <w:jc w:val="center"/>
        </w:trPr>
        <w:tc>
          <w:tcPr>
            <w:tcW w:w="484" w:type="pct"/>
            <w:noWrap w:val="0"/>
            <w:vAlign w:val="center"/>
          </w:tcPr>
          <w:p w14:paraId="04D1E182">
            <w:pPr>
              <w:pStyle w:val="33"/>
              <w:bidi w:val="0"/>
              <w:rPr>
                <w:color w:val="auto"/>
                <w:highlight w:val="none"/>
              </w:rPr>
            </w:pPr>
            <w:r>
              <w:rPr>
                <w:color w:val="auto"/>
                <w:highlight w:val="none"/>
              </w:rPr>
              <w:t>2</w:t>
            </w:r>
          </w:p>
        </w:tc>
        <w:tc>
          <w:tcPr>
            <w:tcW w:w="2345" w:type="pct"/>
            <w:gridSpan w:val="2"/>
            <w:noWrap w:val="0"/>
            <w:vAlign w:val="center"/>
          </w:tcPr>
          <w:p w14:paraId="5FACE4BF">
            <w:pPr>
              <w:pStyle w:val="33"/>
              <w:bidi w:val="0"/>
              <w:rPr>
                <w:color w:val="auto"/>
                <w:highlight w:val="none"/>
              </w:rPr>
            </w:pPr>
            <w:r>
              <w:rPr>
                <w:color w:val="auto"/>
                <w:highlight w:val="none"/>
              </w:rPr>
              <w:t>采场最低标高</w:t>
            </w:r>
          </w:p>
        </w:tc>
        <w:tc>
          <w:tcPr>
            <w:tcW w:w="731" w:type="pct"/>
            <w:noWrap w:val="0"/>
            <w:vAlign w:val="center"/>
          </w:tcPr>
          <w:p w14:paraId="321EA0F7">
            <w:pPr>
              <w:pStyle w:val="33"/>
              <w:bidi w:val="0"/>
              <w:rPr>
                <w:color w:val="auto"/>
                <w:highlight w:val="none"/>
              </w:rPr>
            </w:pPr>
            <w:r>
              <w:rPr>
                <w:color w:val="auto"/>
                <w:highlight w:val="none"/>
              </w:rPr>
              <w:t>m</w:t>
            </w:r>
          </w:p>
        </w:tc>
        <w:tc>
          <w:tcPr>
            <w:tcW w:w="911" w:type="pct"/>
            <w:noWrap w:val="0"/>
            <w:vAlign w:val="center"/>
          </w:tcPr>
          <w:p w14:paraId="6F454E6E">
            <w:pPr>
              <w:pStyle w:val="33"/>
              <w:bidi w:val="0"/>
              <w:rPr>
                <w:color w:val="auto"/>
                <w:highlight w:val="none"/>
              </w:rPr>
            </w:pPr>
            <w:r>
              <w:rPr>
                <w:color w:val="auto"/>
                <w:highlight w:val="none"/>
              </w:rPr>
              <w:t>150</w:t>
            </w:r>
          </w:p>
        </w:tc>
        <w:tc>
          <w:tcPr>
            <w:tcW w:w="526" w:type="pct"/>
            <w:noWrap w:val="0"/>
            <w:vAlign w:val="center"/>
          </w:tcPr>
          <w:p w14:paraId="5A0BDFC9">
            <w:pPr>
              <w:pStyle w:val="33"/>
              <w:bidi w:val="0"/>
              <w:rPr>
                <w:color w:val="auto"/>
                <w:highlight w:val="none"/>
              </w:rPr>
            </w:pPr>
          </w:p>
        </w:tc>
      </w:tr>
      <w:tr w14:paraId="33B4831E">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108" w:type="dxa"/>
            <w:bottom w:w="0" w:type="dxa"/>
            <w:right w:w="108" w:type="dxa"/>
          </w:tblCellMar>
        </w:tblPrEx>
        <w:trPr>
          <w:jc w:val="center"/>
        </w:trPr>
        <w:tc>
          <w:tcPr>
            <w:tcW w:w="484" w:type="pct"/>
            <w:noWrap w:val="0"/>
            <w:vAlign w:val="center"/>
          </w:tcPr>
          <w:p w14:paraId="1DB8BE4A">
            <w:pPr>
              <w:pStyle w:val="33"/>
              <w:bidi w:val="0"/>
              <w:rPr>
                <w:color w:val="auto"/>
                <w:highlight w:val="none"/>
              </w:rPr>
            </w:pPr>
            <w:r>
              <w:rPr>
                <w:color w:val="auto"/>
                <w:highlight w:val="none"/>
              </w:rPr>
              <w:t>3</w:t>
            </w:r>
          </w:p>
        </w:tc>
        <w:tc>
          <w:tcPr>
            <w:tcW w:w="2345" w:type="pct"/>
            <w:gridSpan w:val="2"/>
            <w:noWrap w:val="0"/>
            <w:vAlign w:val="center"/>
          </w:tcPr>
          <w:p w14:paraId="55342EB2">
            <w:pPr>
              <w:pStyle w:val="33"/>
              <w:bidi w:val="0"/>
              <w:rPr>
                <w:color w:val="auto"/>
                <w:highlight w:val="none"/>
              </w:rPr>
            </w:pPr>
            <w:r>
              <w:rPr>
                <w:color w:val="auto"/>
                <w:highlight w:val="none"/>
              </w:rPr>
              <w:t>采场深度</w:t>
            </w:r>
          </w:p>
        </w:tc>
        <w:tc>
          <w:tcPr>
            <w:tcW w:w="731" w:type="pct"/>
            <w:noWrap w:val="0"/>
            <w:vAlign w:val="center"/>
          </w:tcPr>
          <w:p w14:paraId="4B0F7C4C">
            <w:pPr>
              <w:pStyle w:val="33"/>
              <w:bidi w:val="0"/>
              <w:rPr>
                <w:color w:val="auto"/>
                <w:highlight w:val="none"/>
              </w:rPr>
            </w:pPr>
            <w:r>
              <w:rPr>
                <w:color w:val="auto"/>
                <w:highlight w:val="none"/>
              </w:rPr>
              <w:t>m</w:t>
            </w:r>
          </w:p>
        </w:tc>
        <w:tc>
          <w:tcPr>
            <w:tcW w:w="911" w:type="pct"/>
            <w:noWrap w:val="0"/>
            <w:vAlign w:val="center"/>
          </w:tcPr>
          <w:p w14:paraId="6CC86B42">
            <w:pPr>
              <w:pStyle w:val="33"/>
              <w:bidi w:val="0"/>
              <w:rPr>
                <w:color w:val="auto"/>
                <w:highlight w:val="none"/>
              </w:rPr>
            </w:pPr>
            <w:r>
              <w:rPr>
                <w:color w:val="auto"/>
                <w:highlight w:val="none"/>
              </w:rPr>
              <w:t>34</w:t>
            </w:r>
          </w:p>
        </w:tc>
        <w:tc>
          <w:tcPr>
            <w:tcW w:w="526" w:type="pct"/>
            <w:noWrap w:val="0"/>
            <w:vAlign w:val="center"/>
          </w:tcPr>
          <w:p w14:paraId="63F7F5DC">
            <w:pPr>
              <w:pStyle w:val="33"/>
              <w:bidi w:val="0"/>
              <w:rPr>
                <w:color w:val="auto"/>
                <w:highlight w:val="none"/>
              </w:rPr>
            </w:pPr>
          </w:p>
        </w:tc>
      </w:tr>
      <w:tr w14:paraId="5CF8B58B">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108" w:type="dxa"/>
            <w:bottom w:w="0" w:type="dxa"/>
            <w:right w:w="108" w:type="dxa"/>
          </w:tblCellMar>
        </w:tblPrEx>
        <w:trPr>
          <w:jc w:val="center"/>
        </w:trPr>
        <w:tc>
          <w:tcPr>
            <w:tcW w:w="484" w:type="pct"/>
            <w:vMerge w:val="restart"/>
            <w:noWrap w:val="0"/>
            <w:vAlign w:val="center"/>
          </w:tcPr>
          <w:p w14:paraId="3352FADC">
            <w:pPr>
              <w:pStyle w:val="33"/>
              <w:bidi w:val="0"/>
              <w:rPr>
                <w:color w:val="auto"/>
                <w:highlight w:val="none"/>
              </w:rPr>
            </w:pPr>
            <w:r>
              <w:rPr>
                <w:color w:val="auto"/>
                <w:highlight w:val="none"/>
              </w:rPr>
              <w:t>4</w:t>
            </w:r>
          </w:p>
        </w:tc>
        <w:tc>
          <w:tcPr>
            <w:tcW w:w="1172" w:type="pct"/>
            <w:vMerge w:val="restart"/>
            <w:noWrap w:val="0"/>
            <w:vAlign w:val="center"/>
          </w:tcPr>
          <w:p w14:paraId="44B74380">
            <w:pPr>
              <w:pStyle w:val="33"/>
              <w:bidi w:val="0"/>
              <w:rPr>
                <w:color w:val="auto"/>
                <w:highlight w:val="none"/>
              </w:rPr>
            </w:pPr>
            <w:r>
              <w:rPr>
                <w:color w:val="auto"/>
                <w:highlight w:val="none"/>
              </w:rPr>
              <w:t>采场轮廓尺寸</w:t>
            </w:r>
          </w:p>
        </w:tc>
        <w:tc>
          <w:tcPr>
            <w:tcW w:w="1173" w:type="pct"/>
            <w:noWrap w:val="0"/>
            <w:vAlign w:val="center"/>
          </w:tcPr>
          <w:p w14:paraId="7E0BDE70">
            <w:pPr>
              <w:pStyle w:val="33"/>
              <w:bidi w:val="0"/>
              <w:rPr>
                <w:color w:val="auto"/>
                <w:highlight w:val="none"/>
              </w:rPr>
            </w:pPr>
            <w:r>
              <w:rPr>
                <w:color w:val="auto"/>
                <w:highlight w:val="none"/>
              </w:rPr>
              <w:t>上部:长×宽</w:t>
            </w:r>
          </w:p>
        </w:tc>
        <w:tc>
          <w:tcPr>
            <w:tcW w:w="731" w:type="pct"/>
            <w:noWrap w:val="0"/>
            <w:vAlign w:val="center"/>
          </w:tcPr>
          <w:p w14:paraId="5FE8FE1E">
            <w:pPr>
              <w:pStyle w:val="33"/>
              <w:bidi w:val="0"/>
              <w:rPr>
                <w:color w:val="auto"/>
                <w:highlight w:val="none"/>
              </w:rPr>
            </w:pPr>
            <w:r>
              <w:rPr>
                <w:color w:val="auto"/>
                <w:highlight w:val="none"/>
              </w:rPr>
              <w:t>m</w:t>
            </w:r>
          </w:p>
        </w:tc>
        <w:tc>
          <w:tcPr>
            <w:tcW w:w="911" w:type="pct"/>
            <w:noWrap w:val="0"/>
            <w:vAlign w:val="center"/>
          </w:tcPr>
          <w:p w14:paraId="292DCC4B">
            <w:pPr>
              <w:pStyle w:val="33"/>
              <w:bidi w:val="0"/>
              <w:rPr>
                <w:color w:val="auto"/>
                <w:highlight w:val="none"/>
              </w:rPr>
            </w:pPr>
            <w:r>
              <w:rPr>
                <w:color w:val="auto"/>
                <w:highlight w:val="none"/>
              </w:rPr>
              <w:t>388×152</w:t>
            </w:r>
          </w:p>
        </w:tc>
        <w:tc>
          <w:tcPr>
            <w:tcW w:w="526" w:type="pct"/>
            <w:noWrap w:val="0"/>
            <w:vAlign w:val="center"/>
          </w:tcPr>
          <w:p w14:paraId="51F8F8F2">
            <w:pPr>
              <w:pStyle w:val="33"/>
              <w:bidi w:val="0"/>
              <w:rPr>
                <w:color w:val="auto"/>
                <w:highlight w:val="none"/>
              </w:rPr>
            </w:pPr>
          </w:p>
        </w:tc>
      </w:tr>
      <w:tr w14:paraId="4E1C9D54">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108" w:type="dxa"/>
            <w:bottom w:w="0" w:type="dxa"/>
            <w:right w:w="108" w:type="dxa"/>
          </w:tblCellMar>
        </w:tblPrEx>
        <w:trPr>
          <w:jc w:val="center"/>
        </w:trPr>
        <w:tc>
          <w:tcPr>
            <w:tcW w:w="484" w:type="pct"/>
            <w:vMerge w:val="continue"/>
            <w:noWrap w:val="0"/>
            <w:vAlign w:val="center"/>
          </w:tcPr>
          <w:p w14:paraId="20B826EA">
            <w:pPr>
              <w:pStyle w:val="33"/>
              <w:bidi w:val="0"/>
              <w:rPr>
                <w:color w:val="auto"/>
                <w:highlight w:val="none"/>
              </w:rPr>
            </w:pPr>
          </w:p>
        </w:tc>
        <w:tc>
          <w:tcPr>
            <w:tcW w:w="1172" w:type="pct"/>
            <w:vMerge w:val="continue"/>
            <w:noWrap w:val="0"/>
            <w:vAlign w:val="center"/>
          </w:tcPr>
          <w:p w14:paraId="1C38EFD5">
            <w:pPr>
              <w:pStyle w:val="33"/>
              <w:bidi w:val="0"/>
              <w:rPr>
                <w:color w:val="auto"/>
                <w:highlight w:val="none"/>
              </w:rPr>
            </w:pPr>
          </w:p>
        </w:tc>
        <w:tc>
          <w:tcPr>
            <w:tcW w:w="1173" w:type="pct"/>
            <w:noWrap w:val="0"/>
            <w:vAlign w:val="center"/>
          </w:tcPr>
          <w:p w14:paraId="75CA8ABC">
            <w:pPr>
              <w:pStyle w:val="33"/>
              <w:bidi w:val="0"/>
              <w:rPr>
                <w:color w:val="auto"/>
                <w:highlight w:val="none"/>
              </w:rPr>
            </w:pPr>
            <w:r>
              <w:rPr>
                <w:color w:val="auto"/>
                <w:highlight w:val="none"/>
              </w:rPr>
              <w:t>下部:长×宽</w:t>
            </w:r>
          </w:p>
        </w:tc>
        <w:tc>
          <w:tcPr>
            <w:tcW w:w="731" w:type="pct"/>
            <w:noWrap w:val="0"/>
            <w:vAlign w:val="center"/>
          </w:tcPr>
          <w:p w14:paraId="31A0D53A">
            <w:pPr>
              <w:pStyle w:val="33"/>
              <w:bidi w:val="0"/>
              <w:rPr>
                <w:color w:val="auto"/>
                <w:highlight w:val="none"/>
              </w:rPr>
            </w:pPr>
            <w:r>
              <w:rPr>
                <w:color w:val="auto"/>
                <w:highlight w:val="none"/>
              </w:rPr>
              <w:t>m</w:t>
            </w:r>
          </w:p>
        </w:tc>
        <w:tc>
          <w:tcPr>
            <w:tcW w:w="911" w:type="pct"/>
            <w:noWrap w:val="0"/>
            <w:vAlign w:val="center"/>
          </w:tcPr>
          <w:p w14:paraId="3918BB36">
            <w:pPr>
              <w:pStyle w:val="33"/>
              <w:bidi w:val="0"/>
              <w:rPr>
                <w:color w:val="auto"/>
                <w:highlight w:val="none"/>
              </w:rPr>
            </w:pPr>
            <w:r>
              <w:rPr>
                <w:color w:val="auto"/>
                <w:highlight w:val="none"/>
              </w:rPr>
              <w:t>263×72</w:t>
            </w:r>
          </w:p>
        </w:tc>
        <w:tc>
          <w:tcPr>
            <w:tcW w:w="526" w:type="pct"/>
            <w:noWrap w:val="0"/>
            <w:vAlign w:val="center"/>
          </w:tcPr>
          <w:p w14:paraId="491B7015">
            <w:pPr>
              <w:pStyle w:val="33"/>
              <w:bidi w:val="0"/>
              <w:rPr>
                <w:color w:val="auto"/>
                <w:highlight w:val="none"/>
              </w:rPr>
            </w:pPr>
          </w:p>
        </w:tc>
      </w:tr>
      <w:tr w14:paraId="21781B85">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108" w:type="dxa"/>
            <w:bottom w:w="0" w:type="dxa"/>
            <w:right w:w="108" w:type="dxa"/>
          </w:tblCellMar>
        </w:tblPrEx>
        <w:trPr>
          <w:jc w:val="center"/>
        </w:trPr>
        <w:tc>
          <w:tcPr>
            <w:tcW w:w="484" w:type="pct"/>
            <w:noWrap w:val="0"/>
            <w:vAlign w:val="center"/>
          </w:tcPr>
          <w:p w14:paraId="4A8DBE51">
            <w:pPr>
              <w:pStyle w:val="33"/>
              <w:bidi w:val="0"/>
              <w:rPr>
                <w:color w:val="auto"/>
                <w:highlight w:val="none"/>
              </w:rPr>
            </w:pPr>
            <w:r>
              <w:rPr>
                <w:color w:val="auto"/>
                <w:highlight w:val="none"/>
              </w:rPr>
              <w:t>5</w:t>
            </w:r>
          </w:p>
        </w:tc>
        <w:tc>
          <w:tcPr>
            <w:tcW w:w="2345" w:type="pct"/>
            <w:gridSpan w:val="2"/>
            <w:noWrap w:val="0"/>
            <w:vAlign w:val="center"/>
          </w:tcPr>
          <w:p w14:paraId="4E276B32">
            <w:pPr>
              <w:pStyle w:val="33"/>
              <w:bidi w:val="0"/>
              <w:rPr>
                <w:color w:val="auto"/>
                <w:highlight w:val="none"/>
              </w:rPr>
            </w:pPr>
            <w:r>
              <w:rPr>
                <w:color w:val="auto"/>
                <w:highlight w:val="none"/>
              </w:rPr>
              <w:t>境界内矿石量</w:t>
            </w:r>
          </w:p>
        </w:tc>
        <w:tc>
          <w:tcPr>
            <w:tcW w:w="731" w:type="pct"/>
            <w:noWrap w:val="0"/>
            <w:vAlign w:val="center"/>
          </w:tcPr>
          <w:p w14:paraId="240DC7AF">
            <w:pPr>
              <w:pStyle w:val="33"/>
              <w:bidi w:val="0"/>
              <w:rPr>
                <w:color w:val="auto"/>
                <w:highlight w:val="none"/>
              </w:rPr>
            </w:pPr>
            <w:r>
              <w:rPr>
                <w:color w:val="auto"/>
                <w:highlight w:val="none"/>
              </w:rPr>
              <w:t>万m</w:t>
            </w:r>
            <w:r>
              <w:rPr>
                <w:color w:val="auto"/>
                <w:highlight w:val="none"/>
                <w:vertAlign w:val="superscript"/>
              </w:rPr>
              <w:t>3</w:t>
            </w:r>
          </w:p>
        </w:tc>
        <w:tc>
          <w:tcPr>
            <w:tcW w:w="911" w:type="pct"/>
            <w:noWrap w:val="0"/>
            <w:vAlign w:val="center"/>
          </w:tcPr>
          <w:p w14:paraId="2C17037C">
            <w:pPr>
              <w:pStyle w:val="33"/>
              <w:bidi w:val="0"/>
              <w:rPr>
                <w:color w:val="auto"/>
                <w:highlight w:val="none"/>
              </w:rPr>
            </w:pPr>
            <w:r>
              <w:rPr>
                <w:color w:val="auto"/>
                <w:highlight w:val="none"/>
              </w:rPr>
              <w:t>161.51</w:t>
            </w:r>
          </w:p>
        </w:tc>
        <w:tc>
          <w:tcPr>
            <w:tcW w:w="526" w:type="pct"/>
            <w:noWrap w:val="0"/>
            <w:vAlign w:val="center"/>
          </w:tcPr>
          <w:p w14:paraId="5E26907A">
            <w:pPr>
              <w:pStyle w:val="33"/>
              <w:bidi w:val="0"/>
              <w:rPr>
                <w:color w:val="auto"/>
                <w:highlight w:val="none"/>
              </w:rPr>
            </w:pPr>
          </w:p>
        </w:tc>
      </w:tr>
      <w:tr w14:paraId="4CCCD13E">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108" w:type="dxa"/>
            <w:bottom w:w="0" w:type="dxa"/>
            <w:right w:w="108" w:type="dxa"/>
          </w:tblCellMar>
        </w:tblPrEx>
        <w:trPr>
          <w:jc w:val="center"/>
        </w:trPr>
        <w:tc>
          <w:tcPr>
            <w:tcW w:w="484" w:type="pct"/>
            <w:noWrap w:val="0"/>
            <w:vAlign w:val="center"/>
          </w:tcPr>
          <w:p w14:paraId="681F8F54">
            <w:pPr>
              <w:pStyle w:val="33"/>
              <w:bidi w:val="0"/>
              <w:rPr>
                <w:color w:val="auto"/>
                <w:highlight w:val="none"/>
              </w:rPr>
            </w:pPr>
            <w:r>
              <w:rPr>
                <w:color w:val="auto"/>
                <w:highlight w:val="none"/>
              </w:rPr>
              <w:t>6</w:t>
            </w:r>
          </w:p>
        </w:tc>
        <w:tc>
          <w:tcPr>
            <w:tcW w:w="2345" w:type="pct"/>
            <w:gridSpan w:val="2"/>
            <w:noWrap w:val="0"/>
            <w:vAlign w:val="center"/>
          </w:tcPr>
          <w:p w14:paraId="5189B84E">
            <w:pPr>
              <w:pStyle w:val="33"/>
              <w:bidi w:val="0"/>
              <w:rPr>
                <w:color w:val="auto"/>
                <w:highlight w:val="none"/>
              </w:rPr>
            </w:pPr>
            <w:r>
              <w:rPr>
                <w:color w:val="auto"/>
                <w:highlight w:val="none"/>
              </w:rPr>
              <w:t>境界内岩石量</w:t>
            </w:r>
          </w:p>
        </w:tc>
        <w:tc>
          <w:tcPr>
            <w:tcW w:w="731" w:type="pct"/>
            <w:noWrap w:val="0"/>
            <w:vAlign w:val="center"/>
          </w:tcPr>
          <w:p w14:paraId="21C9B409">
            <w:pPr>
              <w:pStyle w:val="33"/>
              <w:bidi w:val="0"/>
              <w:rPr>
                <w:color w:val="auto"/>
                <w:highlight w:val="none"/>
              </w:rPr>
            </w:pPr>
            <w:r>
              <w:rPr>
                <w:color w:val="auto"/>
                <w:highlight w:val="none"/>
              </w:rPr>
              <w:t>万m</w:t>
            </w:r>
            <w:r>
              <w:rPr>
                <w:color w:val="auto"/>
                <w:highlight w:val="none"/>
                <w:vertAlign w:val="superscript"/>
              </w:rPr>
              <w:t>3</w:t>
            </w:r>
          </w:p>
        </w:tc>
        <w:tc>
          <w:tcPr>
            <w:tcW w:w="911" w:type="pct"/>
            <w:noWrap w:val="0"/>
            <w:vAlign w:val="center"/>
          </w:tcPr>
          <w:p w14:paraId="3926C31B">
            <w:pPr>
              <w:pStyle w:val="33"/>
              <w:bidi w:val="0"/>
              <w:rPr>
                <w:color w:val="auto"/>
                <w:highlight w:val="none"/>
              </w:rPr>
            </w:pPr>
            <w:r>
              <w:rPr>
                <w:color w:val="auto"/>
                <w:highlight w:val="none"/>
              </w:rPr>
              <w:t>14.43</w:t>
            </w:r>
          </w:p>
        </w:tc>
        <w:tc>
          <w:tcPr>
            <w:tcW w:w="526" w:type="pct"/>
            <w:noWrap w:val="0"/>
            <w:vAlign w:val="center"/>
          </w:tcPr>
          <w:p w14:paraId="5538B14E">
            <w:pPr>
              <w:pStyle w:val="33"/>
              <w:bidi w:val="0"/>
              <w:rPr>
                <w:color w:val="auto"/>
                <w:highlight w:val="none"/>
              </w:rPr>
            </w:pPr>
          </w:p>
        </w:tc>
      </w:tr>
      <w:tr w14:paraId="7D6C233E">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108" w:type="dxa"/>
            <w:bottom w:w="0" w:type="dxa"/>
            <w:right w:w="108" w:type="dxa"/>
          </w:tblCellMar>
        </w:tblPrEx>
        <w:trPr>
          <w:jc w:val="center"/>
        </w:trPr>
        <w:tc>
          <w:tcPr>
            <w:tcW w:w="484" w:type="pct"/>
            <w:noWrap w:val="0"/>
            <w:vAlign w:val="center"/>
          </w:tcPr>
          <w:p w14:paraId="7C4C3414">
            <w:pPr>
              <w:pStyle w:val="33"/>
              <w:bidi w:val="0"/>
              <w:rPr>
                <w:color w:val="auto"/>
                <w:highlight w:val="none"/>
              </w:rPr>
            </w:pPr>
            <w:r>
              <w:rPr>
                <w:color w:val="auto"/>
                <w:highlight w:val="none"/>
              </w:rPr>
              <w:t>7</w:t>
            </w:r>
          </w:p>
        </w:tc>
        <w:tc>
          <w:tcPr>
            <w:tcW w:w="2345" w:type="pct"/>
            <w:gridSpan w:val="2"/>
            <w:noWrap w:val="0"/>
            <w:vAlign w:val="center"/>
          </w:tcPr>
          <w:p w14:paraId="4EAA49C0">
            <w:pPr>
              <w:pStyle w:val="33"/>
              <w:bidi w:val="0"/>
              <w:rPr>
                <w:color w:val="auto"/>
                <w:highlight w:val="none"/>
              </w:rPr>
            </w:pPr>
            <w:r>
              <w:rPr>
                <w:color w:val="auto"/>
                <w:highlight w:val="none"/>
              </w:rPr>
              <w:t>境界内矿岩量</w:t>
            </w:r>
          </w:p>
        </w:tc>
        <w:tc>
          <w:tcPr>
            <w:tcW w:w="731" w:type="pct"/>
            <w:noWrap w:val="0"/>
            <w:vAlign w:val="center"/>
          </w:tcPr>
          <w:p w14:paraId="31EDE0B8">
            <w:pPr>
              <w:pStyle w:val="33"/>
              <w:bidi w:val="0"/>
              <w:rPr>
                <w:color w:val="auto"/>
                <w:highlight w:val="none"/>
              </w:rPr>
            </w:pPr>
            <w:r>
              <w:rPr>
                <w:color w:val="auto"/>
                <w:highlight w:val="none"/>
              </w:rPr>
              <w:t>万m</w:t>
            </w:r>
            <w:r>
              <w:rPr>
                <w:color w:val="auto"/>
                <w:highlight w:val="none"/>
                <w:vertAlign w:val="superscript"/>
              </w:rPr>
              <w:t>3</w:t>
            </w:r>
          </w:p>
        </w:tc>
        <w:tc>
          <w:tcPr>
            <w:tcW w:w="911" w:type="pct"/>
            <w:noWrap w:val="0"/>
            <w:vAlign w:val="center"/>
          </w:tcPr>
          <w:p w14:paraId="59856B91">
            <w:pPr>
              <w:pStyle w:val="33"/>
              <w:bidi w:val="0"/>
              <w:rPr>
                <w:color w:val="auto"/>
                <w:highlight w:val="none"/>
              </w:rPr>
            </w:pPr>
            <w:r>
              <w:rPr>
                <w:color w:val="auto"/>
                <w:highlight w:val="none"/>
              </w:rPr>
              <w:t>175.94</w:t>
            </w:r>
          </w:p>
        </w:tc>
        <w:tc>
          <w:tcPr>
            <w:tcW w:w="526" w:type="pct"/>
            <w:noWrap w:val="0"/>
            <w:vAlign w:val="center"/>
          </w:tcPr>
          <w:p w14:paraId="3E22CCB4">
            <w:pPr>
              <w:pStyle w:val="33"/>
              <w:bidi w:val="0"/>
              <w:rPr>
                <w:color w:val="auto"/>
                <w:highlight w:val="none"/>
              </w:rPr>
            </w:pPr>
          </w:p>
        </w:tc>
      </w:tr>
      <w:tr w14:paraId="658C289A">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108" w:type="dxa"/>
            <w:bottom w:w="0" w:type="dxa"/>
            <w:right w:w="108" w:type="dxa"/>
          </w:tblCellMar>
        </w:tblPrEx>
        <w:trPr>
          <w:jc w:val="center"/>
        </w:trPr>
        <w:tc>
          <w:tcPr>
            <w:tcW w:w="484" w:type="pct"/>
            <w:noWrap w:val="0"/>
            <w:vAlign w:val="center"/>
          </w:tcPr>
          <w:p w14:paraId="20DB8229">
            <w:pPr>
              <w:pStyle w:val="33"/>
              <w:bidi w:val="0"/>
              <w:rPr>
                <w:color w:val="auto"/>
                <w:highlight w:val="none"/>
              </w:rPr>
            </w:pPr>
            <w:r>
              <w:rPr>
                <w:color w:val="auto"/>
                <w:highlight w:val="none"/>
              </w:rPr>
              <w:t>8</w:t>
            </w:r>
          </w:p>
        </w:tc>
        <w:tc>
          <w:tcPr>
            <w:tcW w:w="2345" w:type="pct"/>
            <w:gridSpan w:val="2"/>
            <w:noWrap w:val="0"/>
            <w:vAlign w:val="center"/>
          </w:tcPr>
          <w:p w14:paraId="71A9013F">
            <w:pPr>
              <w:pStyle w:val="33"/>
              <w:bidi w:val="0"/>
              <w:rPr>
                <w:color w:val="auto"/>
                <w:highlight w:val="none"/>
              </w:rPr>
            </w:pPr>
            <w:r>
              <w:rPr>
                <w:color w:val="auto"/>
                <w:highlight w:val="none"/>
              </w:rPr>
              <w:t>平均剥采比</w:t>
            </w:r>
          </w:p>
        </w:tc>
        <w:tc>
          <w:tcPr>
            <w:tcW w:w="731" w:type="pct"/>
            <w:noWrap w:val="0"/>
            <w:vAlign w:val="center"/>
          </w:tcPr>
          <w:p w14:paraId="3D8A0ED1">
            <w:pPr>
              <w:pStyle w:val="33"/>
              <w:bidi w:val="0"/>
              <w:rPr>
                <w:color w:val="auto"/>
                <w:highlight w:val="none"/>
              </w:rPr>
            </w:pPr>
            <w:r>
              <w:rPr>
                <w:color w:val="auto"/>
                <w:highlight w:val="none"/>
              </w:rPr>
              <w:t>m</w:t>
            </w:r>
            <w:r>
              <w:rPr>
                <w:color w:val="auto"/>
                <w:highlight w:val="none"/>
                <w:vertAlign w:val="superscript"/>
              </w:rPr>
              <w:t>3</w:t>
            </w:r>
            <w:r>
              <w:rPr>
                <w:color w:val="auto"/>
                <w:highlight w:val="none"/>
              </w:rPr>
              <w:t>/m</w:t>
            </w:r>
            <w:r>
              <w:rPr>
                <w:color w:val="auto"/>
                <w:highlight w:val="none"/>
                <w:vertAlign w:val="superscript"/>
              </w:rPr>
              <w:t>3</w:t>
            </w:r>
          </w:p>
        </w:tc>
        <w:tc>
          <w:tcPr>
            <w:tcW w:w="911" w:type="pct"/>
            <w:noWrap w:val="0"/>
            <w:vAlign w:val="center"/>
          </w:tcPr>
          <w:p w14:paraId="39B75412">
            <w:pPr>
              <w:pStyle w:val="33"/>
              <w:bidi w:val="0"/>
              <w:rPr>
                <w:color w:val="auto"/>
                <w:highlight w:val="none"/>
              </w:rPr>
            </w:pPr>
            <w:r>
              <w:rPr>
                <w:color w:val="auto"/>
                <w:highlight w:val="none"/>
              </w:rPr>
              <w:t>0.09:1</w:t>
            </w:r>
          </w:p>
        </w:tc>
        <w:tc>
          <w:tcPr>
            <w:tcW w:w="526" w:type="pct"/>
            <w:noWrap w:val="0"/>
            <w:vAlign w:val="center"/>
          </w:tcPr>
          <w:p w14:paraId="3C58E33A">
            <w:pPr>
              <w:pStyle w:val="33"/>
              <w:bidi w:val="0"/>
              <w:rPr>
                <w:color w:val="auto"/>
                <w:highlight w:val="none"/>
              </w:rPr>
            </w:pPr>
          </w:p>
        </w:tc>
      </w:tr>
    </w:tbl>
    <w:p w14:paraId="5D7FB87A">
      <w:pPr>
        <w:pStyle w:val="24"/>
        <w:rPr>
          <w:rFonts w:hint="eastAsia"/>
          <w:color w:val="auto"/>
          <w:highlight w:val="none"/>
          <w:lang w:val="en-US" w:eastAsia="zh-CN"/>
        </w:rPr>
      </w:pPr>
      <w:r>
        <w:rPr>
          <w:rFonts w:hint="eastAsia"/>
          <w:color w:val="auto"/>
          <w:highlight w:val="none"/>
          <w:lang w:val="en-US" w:eastAsia="zh-CN"/>
        </w:rPr>
        <w:t>（2）采剥工艺、方法</w:t>
      </w:r>
    </w:p>
    <w:p w14:paraId="6E96C95F">
      <w:pPr>
        <w:pStyle w:val="24"/>
        <w:bidi w:val="0"/>
        <w:rPr>
          <w:rFonts w:hint="default"/>
          <w:color w:val="auto"/>
          <w:highlight w:val="none"/>
          <w:lang w:val="en-US" w:eastAsia="zh-CN"/>
        </w:rPr>
      </w:pPr>
      <w:r>
        <w:rPr>
          <w:rFonts w:hint="eastAsia"/>
          <w:color w:val="auto"/>
          <w:highlight w:val="none"/>
          <w:lang w:val="en-US" w:eastAsia="zh-CN"/>
        </w:rPr>
        <w:t>1、开采顺序</w:t>
      </w:r>
    </w:p>
    <w:p w14:paraId="0FAB825D">
      <w:pPr>
        <w:pStyle w:val="24"/>
        <w:bidi w:val="0"/>
        <w:rPr>
          <w:color w:val="auto"/>
          <w:highlight w:val="none"/>
        </w:rPr>
      </w:pPr>
      <w:r>
        <w:rPr>
          <w:color w:val="auto"/>
          <w:highlight w:val="none"/>
        </w:rPr>
        <w:t>根据矿体赋存情况、矿山生产规模及开拓运输方式，设计采用由上至下分台阶开采，先剥离后采矿。</w:t>
      </w:r>
    </w:p>
    <w:p w14:paraId="3E55C98B">
      <w:pPr>
        <w:pStyle w:val="24"/>
        <w:bidi w:val="0"/>
        <w:rPr>
          <w:rFonts w:hint="eastAsia"/>
          <w:color w:val="auto"/>
          <w:highlight w:val="none"/>
          <w:lang w:val="en-US" w:eastAsia="zh-CN"/>
        </w:rPr>
      </w:pPr>
      <w:r>
        <w:rPr>
          <w:rFonts w:hint="eastAsia"/>
          <w:color w:val="auto"/>
          <w:highlight w:val="none"/>
          <w:lang w:val="en-US" w:eastAsia="zh-CN"/>
        </w:rPr>
        <w:t>2、采矿方法</w:t>
      </w:r>
    </w:p>
    <w:p w14:paraId="18AED23D">
      <w:pPr>
        <w:pStyle w:val="24"/>
        <w:bidi w:val="0"/>
        <w:rPr>
          <w:rFonts w:hint="eastAsia"/>
          <w:color w:val="auto"/>
          <w:highlight w:val="none"/>
          <w:lang w:val="en-US" w:eastAsia="zh-CN"/>
        </w:rPr>
      </w:pPr>
      <w:r>
        <w:rPr>
          <w:color w:val="auto"/>
          <w:highlight w:val="none"/>
        </w:rPr>
        <w:t>矿山荒料切割尺寸为长×宽×高：1200mm×1000mm×1400mm，锯切机锯片直径φ3600mm，最大加工深度为1525mm，结合矿山生产设备选型情况，设计确定台阶高度10m，每个台阶由7个开采小台阶组成。开采小台阶高度1.4m，坡面角90°，小台阶平台宽0.4m，最小工作平台宽度为30m。采用水平分台阶采矿方法开采，由高至低逐个生产台阶开采。各生产台阶均沿地形等高线开沟，形成采矿作业面后，水平推进至境界</w:t>
      </w:r>
      <w:r>
        <w:rPr>
          <w:rFonts w:hint="eastAsia"/>
          <w:color w:val="auto"/>
          <w:highlight w:val="none"/>
          <w:lang w:eastAsia="zh-CN"/>
        </w:rPr>
        <w:t>。</w:t>
      </w:r>
    </w:p>
    <w:p w14:paraId="31BBA2E5">
      <w:pPr>
        <w:pStyle w:val="24"/>
        <w:bidi w:val="0"/>
        <w:rPr>
          <w:rFonts w:hint="default"/>
          <w:color w:val="auto"/>
          <w:highlight w:val="none"/>
          <w:lang w:val="en-US" w:eastAsia="zh-CN"/>
        </w:rPr>
      </w:pPr>
      <w:r>
        <w:rPr>
          <w:rFonts w:hint="eastAsia"/>
          <w:color w:val="auto"/>
          <w:highlight w:val="none"/>
          <w:lang w:val="en-US" w:eastAsia="zh-CN"/>
        </w:rPr>
        <w:t>3、采剥工艺</w:t>
      </w:r>
    </w:p>
    <w:p w14:paraId="351CA887">
      <w:pPr>
        <w:pStyle w:val="24"/>
        <w:bidi w:val="0"/>
        <w:rPr>
          <w:color w:val="auto"/>
          <w:highlight w:val="none"/>
        </w:rPr>
      </w:pPr>
      <w:r>
        <w:rPr>
          <w:rFonts w:hint="eastAsia"/>
          <w:color w:val="auto"/>
          <w:highlight w:val="none"/>
          <w:lang w:val="en-US" w:eastAsia="zh-CN"/>
        </w:rPr>
        <w:t>《</w:t>
      </w:r>
      <w:r>
        <w:rPr>
          <w:rFonts w:hint="default"/>
          <w:color w:val="auto"/>
          <w:highlight w:val="none"/>
          <w:lang w:val="zh-CN"/>
        </w:rPr>
        <w:t>可研报告</w:t>
      </w:r>
      <w:r>
        <w:rPr>
          <w:rFonts w:hint="eastAsia"/>
          <w:color w:val="auto"/>
          <w:highlight w:val="none"/>
          <w:lang w:val="en-US" w:eastAsia="zh-CN"/>
        </w:rPr>
        <w:t>》明确</w:t>
      </w:r>
      <w:r>
        <w:rPr>
          <w:color w:val="auto"/>
          <w:highlight w:val="none"/>
        </w:rPr>
        <w:t>设计采用锯切的方式开采矿石，开采基本工艺程序包括：剥离→分离→分割→拖拽或推移→叉装与运输→清渣。</w:t>
      </w:r>
    </w:p>
    <w:p w14:paraId="483C3C64">
      <w:pPr>
        <w:pStyle w:val="24"/>
        <w:bidi w:val="0"/>
        <w:rPr>
          <w:rFonts w:hint="eastAsia"/>
          <w:color w:val="auto"/>
          <w:highlight w:val="none"/>
          <w:lang w:val="en-US" w:eastAsia="zh-CN"/>
        </w:rPr>
      </w:pPr>
      <w:r>
        <w:rPr>
          <w:rFonts w:hint="eastAsia"/>
          <w:color w:val="auto"/>
          <w:highlight w:val="none"/>
          <w:lang w:val="en-US" w:eastAsia="zh-CN"/>
        </w:rPr>
        <w:t>①</w:t>
      </w:r>
      <w:r>
        <w:rPr>
          <w:color w:val="auto"/>
          <w:highlight w:val="none"/>
        </w:rPr>
        <w:t>剥离</w:t>
      </w:r>
    </w:p>
    <w:p w14:paraId="7148563D">
      <w:pPr>
        <w:pStyle w:val="24"/>
        <w:bidi w:val="0"/>
        <w:rPr>
          <w:color w:val="auto"/>
          <w:highlight w:val="none"/>
        </w:rPr>
      </w:pPr>
      <w:r>
        <w:rPr>
          <w:color w:val="auto"/>
          <w:highlight w:val="none"/>
        </w:rPr>
        <w:t>矿山开采仅对第四系表土及风化层进行剥离，根据</w:t>
      </w:r>
      <w:r>
        <w:rPr>
          <w:rFonts w:hint="eastAsia"/>
          <w:color w:val="auto"/>
          <w:highlight w:val="none"/>
        </w:rPr>
        <w:t>储量核实报告</w:t>
      </w:r>
      <w:r>
        <w:rPr>
          <w:color w:val="auto"/>
          <w:highlight w:val="none"/>
        </w:rPr>
        <w:t>确定，地表往下垂厚3～13m内为风化带，岩石较疏松，属剥岩对象，设计采用挖掘机配破碎锤进行剥离，平板车运输，将表土用于复垦，风化石外运修筑道路、填沟或销售。</w:t>
      </w:r>
    </w:p>
    <w:p w14:paraId="72F38DE3">
      <w:pPr>
        <w:pStyle w:val="24"/>
        <w:bidi w:val="0"/>
        <w:rPr>
          <w:rFonts w:hint="eastAsia"/>
          <w:color w:val="auto"/>
          <w:highlight w:val="none"/>
          <w:lang w:val="en-US" w:eastAsia="zh-CN"/>
        </w:rPr>
      </w:pPr>
      <w:r>
        <w:rPr>
          <w:rFonts w:hint="eastAsia"/>
          <w:color w:val="auto"/>
          <w:highlight w:val="none"/>
          <w:lang w:val="en-US" w:eastAsia="zh-CN"/>
        </w:rPr>
        <w:t>②</w:t>
      </w:r>
      <w:r>
        <w:rPr>
          <w:color w:val="auto"/>
          <w:highlight w:val="none"/>
        </w:rPr>
        <w:t>分离、切割工作</w:t>
      </w:r>
    </w:p>
    <w:p w14:paraId="2F304E64">
      <w:pPr>
        <w:pStyle w:val="24"/>
        <w:bidi w:val="0"/>
        <w:rPr>
          <w:color w:val="auto"/>
          <w:highlight w:val="none"/>
        </w:rPr>
      </w:pPr>
      <w:r>
        <w:rPr>
          <w:color w:val="auto"/>
          <w:highlight w:val="none"/>
        </w:rPr>
        <w:t>地表风化带剥离后选用锯切机进行切割。</w:t>
      </w:r>
    </w:p>
    <w:p w14:paraId="4D0EF87E">
      <w:pPr>
        <w:pStyle w:val="24"/>
        <w:bidi w:val="0"/>
        <w:rPr>
          <w:color w:val="auto"/>
          <w:highlight w:val="none"/>
        </w:rPr>
      </w:pPr>
      <w:r>
        <w:rPr>
          <w:color w:val="auto"/>
          <w:highlight w:val="none"/>
        </w:rPr>
        <w:t>切割分离方法：地表剥离后先进行工作面平整工作，沿地形线开掘一条采准堑沟，然后铺设铁轨，用铆钉进行固定。锯切机安装好后，首先用锯切机按指定规格进行垂直切割，在下刀时，要按渐进式进行下刀切割，切割宽度为1m，深度1.4m。矿山锯应稳定行驶，以防翻车。然后在切割块体底部沿水平方向布置钻孔，钻孔深度及水平间距视成材</w:t>
      </w:r>
      <w:r>
        <w:rPr>
          <w:rFonts w:hint="eastAsia"/>
          <w:color w:val="auto"/>
          <w:highlight w:val="none"/>
        </w:rPr>
        <w:t>荒料</w:t>
      </w:r>
      <w:r>
        <w:rPr>
          <w:color w:val="auto"/>
          <w:highlight w:val="none"/>
        </w:rPr>
        <w:t>具体规格而定。钻孔选用Y-28型凿岩机凿岩。分离采用人工方法，将楔子插入钻孔采用人力砸入的方式分离矿石。</w:t>
      </w:r>
    </w:p>
    <w:p w14:paraId="7392ED1E">
      <w:pPr>
        <w:pStyle w:val="24"/>
        <w:bidi w:val="0"/>
        <w:rPr>
          <w:color w:val="auto"/>
          <w:highlight w:val="none"/>
        </w:rPr>
      </w:pPr>
      <w:r>
        <w:rPr>
          <w:color w:val="auto"/>
          <w:highlight w:val="none"/>
        </w:rPr>
        <w:t>锯切机采用湿式切割作业，单台锯切机耗水量为5m</w:t>
      </w:r>
      <w:r>
        <w:rPr>
          <w:color w:val="auto"/>
          <w:highlight w:val="none"/>
          <w:vertAlign w:val="superscript"/>
        </w:rPr>
        <w:t>3</w:t>
      </w:r>
      <w:r>
        <w:rPr>
          <w:color w:val="auto"/>
          <w:highlight w:val="none"/>
        </w:rPr>
        <w:t>/h，矿山配备生产水池，并配齐水龙、水袋、管线等，随着切割开采工作面移动而移动，充分保证生产用水。</w:t>
      </w:r>
    </w:p>
    <w:p w14:paraId="12963F3A">
      <w:pPr>
        <w:pStyle w:val="24"/>
        <w:bidi w:val="0"/>
        <w:rPr>
          <w:color w:val="auto"/>
          <w:highlight w:val="none"/>
        </w:rPr>
      </w:pPr>
      <w:r>
        <w:rPr>
          <w:rFonts w:hint="eastAsia"/>
          <w:color w:val="auto"/>
          <w:highlight w:val="none"/>
          <w:lang w:val="en-US" w:eastAsia="zh-CN"/>
        </w:rPr>
        <w:t>采用叉装机将采下的荒料、碎石装入平板车向外运输，荒料、碎石的移动也采用叉装机进行。</w:t>
      </w:r>
    </w:p>
    <w:p w14:paraId="0E4672AB">
      <w:pPr>
        <w:pStyle w:val="24"/>
        <w:bidi w:val="0"/>
        <w:rPr>
          <w:color w:val="auto"/>
          <w:highlight w:val="none"/>
        </w:rPr>
      </w:pPr>
      <w:r>
        <w:rPr>
          <w:color w:val="auto"/>
          <w:highlight w:val="none"/>
        </w:rPr>
        <w:t>矿山开采切割矿石选用2QYK-3600型华隆牌锯切机，锯切机台年效率为1.2万m</w:t>
      </w:r>
      <w:r>
        <w:rPr>
          <w:color w:val="auto"/>
          <w:highlight w:val="none"/>
          <w:vertAlign w:val="superscript"/>
        </w:rPr>
        <w:t>3</w:t>
      </w:r>
      <w:r>
        <w:rPr>
          <w:color w:val="auto"/>
          <w:highlight w:val="none"/>
        </w:rPr>
        <w:t>/年，矿山生产规模为2万m</w:t>
      </w:r>
      <w:r>
        <w:rPr>
          <w:color w:val="auto"/>
          <w:highlight w:val="none"/>
          <w:vertAlign w:val="superscript"/>
        </w:rPr>
        <w:t>3</w:t>
      </w:r>
      <w:r>
        <w:rPr>
          <w:color w:val="auto"/>
          <w:highlight w:val="none"/>
        </w:rPr>
        <w:t>/年，因此需要3台（2工1备）2QYK-3600型锯切机可满足需要。</w:t>
      </w:r>
    </w:p>
    <w:p w14:paraId="39E1EB98">
      <w:pPr>
        <w:pStyle w:val="24"/>
        <w:bidi w:val="0"/>
        <w:rPr>
          <w:color w:val="auto"/>
          <w:highlight w:val="none"/>
        </w:rPr>
      </w:pPr>
      <w:r>
        <w:rPr>
          <w:color w:val="auto"/>
          <w:highlight w:val="none"/>
        </w:rPr>
        <w:t>露天台阶平均长度为300m，锯切机最小工作线长度为50m，最小工作平台宽度为30m，1个小台阶开采即可满足生产要求。</w:t>
      </w:r>
    </w:p>
    <w:p w14:paraId="0906B4D1">
      <w:pPr>
        <w:pStyle w:val="24"/>
        <w:bidi w:val="0"/>
        <w:rPr>
          <w:rFonts w:hint="default" w:eastAsia="宋体"/>
          <w:color w:val="auto"/>
          <w:highlight w:val="none"/>
          <w:lang w:val="en-US" w:eastAsia="zh-CN"/>
        </w:rPr>
      </w:pPr>
      <w:r>
        <w:rPr>
          <w:rFonts w:hint="eastAsia"/>
          <w:color w:val="auto"/>
          <w:highlight w:val="none"/>
          <w:lang w:val="en-US" w:eastAsia="zh-CN"/>
        </w:rPr>
        <w:t>③</w:t>
      </w:r>
      <w:r>
        <w:rPr>
          <w:color w:val="auto"/>
          <w:highlight w:val="none"/>
        </w:rPr>
        <w:t>装载工作</w:t>
      </w:r>
    </w:p>
    <w:p w14:paraId="4C88180E">
      <w:pPr>
        <w:pStyle w:val="24"/>
        <w:bidi w:val="0"/>
        <w:rPr>
          <w:color w:val="auto"/>
          <w:highlight w:val="none"/>
        </w:rPr>
      </w:pPr>
      <w:r>
        <w:rPr>
          <w:color w:val="auto"/>
          <w:highlight w:val="none"/>
        </w:rPr>
        <w:t>地表风化岩采用小松PC200-11M0型挖掘机配破碎锤进行剥离作业，计算年最大剥离量为0.46万m</w:t>
      </w:r>
      <w:r>
        <w:rPr>
          <w:color w:val="auto"/>
          <w:highlight w:val="none"/>
          <w:vertAlign w:val="superscript"/>
        </w:rPr>
        <w:t>3</w:t>
      </w:r>
      <w:r>
        <w:rPr>
          <w:color w:val="auto"/>
          <w:highlight w:val="none"/>
        </w:rPr>
        <w:t>（1.24万t），挖掘机配破碎锤效率为4.5万t/a，因此选用1台小松PC200-11M0型挖掘机配破碎锤进行剥离作业即可满足生产要求。另选用1台ZL-50型装载机辅助装车、修路及清理地面等，选用2台叉装机将采出的</w:t>
      </w:r>
      <w:r>
        <w:rPr>
          <w:rFonts w:hint="eastAsia"/>
          <w:color w:val="auto"/>
          <w:highlight w:val="none"/>
        </w:rPr>
        <w:t>荒料、碎石</w:t>
      </w:r>
      <w:r>
        <w:rPr>
          <w:color w:val="auto"/>
          <w:highlight w:val="none"/>
        </w:rPr>
        <w:t>装入平板车运输至矿石临时堆场。</w:t>
      </w:r>
    </w:p>
    <w:p w14:paraId="1BD6E553">
      <w:pPr>
        <w:pStyle w:val="31"/>
        <w:bidi w:val="0"/>
        <w:rPr>
          <w:color w:val="auto"/>
          <w:highlight w:val="none"/>
        </w:rPr>
      </w:pPr>
      <w:r>
        <w:rPr>
          <w:rFonts w:hint="eastAsia"/>
          <w:color w:val="auto"/>
          <w:highlight w:val="none"/>
          <w:lang w:val="en-US" w:eastAsia="zh-CN"/>
        </w:rPr>
        <w:t>通风防尘系统</w:t>
      </w:r>
    </w:p>
    <w:p w14:paraId="185F7C18">
      <w:pPr>
        <w:pStyle w:val="24"/>
        <w:bidi w:val="0"/>
        <w:rPr>
          <w:color w:val="auto"/>
          <w:highlight w:val="none"/>
        </w:rPr>
      </w:pPr>
      <w:r>
        <w:rPr>
          <w:rFonts w:hint="eastAsia"/>
          <w:color w:val="auto"/>
          <w:highlight w:val="none"/>
          <w:lang w:val="en-US" w:eastAsia="zh-CN"/>
        </w:rPr>
        <w:t>《</w:t>
      </w:r>
      <w:r>
        <w:rPr>
          <w:rFonts w:hint="default"/>
          <w:color w:val="auto"/>
          <w:highlight w:val="none"/>
          <w:lang w:val="zh-CN"/>
        </w:rPr>
        <w:t>可研报告</w:t>
      </w:r>
      <w:r>
        <w:rPr>
          <w:rFonts w:hint="eastAsia"/>
          <w:color w:val="auto"/>
          <w:highlight w:val="none"/>
          <w:lang w:val="en-US" w:eastAsia="zh-CN"/>
        </w:rPr>
        <w:t>》明确</w:t>
      </w:r>
      <w:r>
        <w:rPr>
          <w:color w:val="auto"/>
          <w:highlight w:val="none"/>
        </w:rPr>
        <w:t>设计为露天开采，采用自然通风，采场采用5t洒水汽车定期降尘。</w:t>
      </w:r>
    </w:p>
    <w:p w14:paraId="0988E196">
      <w:pPr>
        <w:pStyle w:val="31"/>
        <w:bidi w:val="0"/>
        <w:rPr>
          <w:color w:val="auto"/>
          <w:highlight w:val="none"/>
        </w:rPr>
      </w:pPr>
      <w:r>
        <w:rPr>
          <w:rFonts w:hint="eastAsia"/>
          <w:color w:val="auto"/>
          <w:highlight w:val="none"/>
          <w:lang w:val="en-US" w:eastAsia="zh-CN"/>
        </w:rPr>
        <w:t>矿山供配电设施</w:t>
      </w:r>
    </w:p>
    <w:p w14:paraId="0871A9D1">
      <w:pPr>
        <w:pStyle w:val="24"/>
        <w:bidi w:val="0"/>
        <w:rPr>
          <w:rFonts w:hint="default"/>
          <w:color w:val="auto"/>
          <w:highlight w:val="none"/>
          <w:lang w:val="en-US" w:eastAsia="zh-CN"/>
        </w:rPr>
      </w:pPr>
      <w:r>
        <w:rPr>
          <w:rFonts w:hint="eastAsia"/>
          <w:color w:val="auto"/>
          <w:highlight w:val="none"/>
          <w:lang w:val="en-US" w:eastAsia="zh-CN"/>
        </w:rPr>
        <w:t>（1）供电电源</w:t>
      </w:r>
    </w:p>
    <w:p w14:paraId="6231F01F">
      <w:pPr>
        <w:pStyle w:val="24"/>
        <w:bidi w:val="0"/>
        <w:rPr>
          <w:color w:val="auto"/>
          <w:highlight w:val="none"/>
        </w:rPr>
      </w:pPr>
      <w:r>
        <w:rPr>
          <w:rFonts w:hint="eastAsia"/>
          <w:color w:val="auto"/>
          <w:highlight w:val="none"/>
          <w:lang w:val="en-US" w:eastAsia="zh-CN"/>
        </w:rPr>
        <w:t>《</w:t>
      </w:r>
      <w:r>
        <w:rPr>
          <w:rFonts w:hint="default"/>
          <w:color w:val="auto"/>
          <w:highlight w:val="none"/>
          <w:lang w:val="zh-CN"/>
        </w:rPr>
        <w:t>可研报告</w:t>
      </w:r>
      <w:r>
        <w:rPr>
          <w:rFonts w:hint="eastAsia"/>
          <w:color w:val="auto"/>
          <w:highlight w:val="none"/>
          <w:lang w:val="en-US" w:eastAsia="zh-CN"/>
        </w:rPr>
        <w:t>》明确</w:t>
      </w:r>
      <w:r>
        <w:rPr>
          <w:color w:val="auto"/>
          <w:highlight w:val="none"/>
        </w:rPr>
        <w:t>根据矿山生产建设规模，属于小型矿山，矿山由一路10kV电源供电，电源引自上级变电所。</w:t>
      </w:r>
    </w:p>
    <w:p w14:paraId="2A47C143">
      <w:pPr>
        <w:pStyle w:val="24"/>
        <w:bidi w:val="0"/>
        <w:rPr>
          <w:rFonts w:hint="eastAsia"/>
          <w:color w:val="auto"/>
          <w:highlight w:val="none"/>
          <w:lang w:val="en-US" w:eastAsia="zh-CN"/>
        </w:rPr>
      </w:pPr>
      <w:r>
        <w:rPr>
          <w:rFonts w:hint="eastAsia"/>
          <w:color w:val="auto"/>
          <w:highlight w:val="none"/>
          <w:lang w:eastAsia="zh-CN"/>
        </w:rPr>
        <w:t>（</w:t>
      </w:r>
      <w:r>
        <w:rPr>
          <w:rFonts w:hint="eastAsia"/>
          <w:color w:val="auto"/>
          <w:highlight w:val="none"/>
          <w:lang w:val="en-US" w:eastAsia="zh-CN"/>
        </w:rPr>
        <w:t>2</w:t>
      </w:r>
      <w:r>
        <w:rPr>
          <w:rFonts w:hint="eastAsia"/>
          <w:color w:val="auto"/>
          <w:highlight w:val="none"/>
          <w:lang w:eastAsia="zh-CN"/>
        </w:rPr>
        <w:t>）</w:t>
      </w:r>
      <w:r>
        <w:rPr>
          <w:rFonts w:hint="eastAsia"/>
          <w:color w:val="auto"/>
          <w:highlight w:val="none"/>
          <w:lang w:val="en-US" w:eastAsia="zh-CN"/>
        </w:rPr>
        <w:t>供配电电压</w:t>
      </w:r>
    </w:p>
    <w:p w14:paraId="731570EC">
      <w:pPr>
        <w:pStyle w:val="24"/>
        <w:bidi w:val="0"/>
        <w:rPr>
          <w:color w:val="auto"/>
          <w:highlight w:val="none"/>
        </w:rPr>
      </w:pPr>
      <w:r>
        <w:rPr>
          <w:rFonts w:hint="eastAsia"/>
          <w:color w:val="auto"/>
          <w:highlight w:val="none"/>
          <w:lang w:val="en-US" w:eastAsia="zh-CN"/>
        </w:rPr>
        <w:t>《</w:t>
      </w:r>
      <w:r>
        <w:rPr>
          <w:rFonts w:hint="default"/>
          <w:color w:val="auto"/>
          <w:highlight w:val="none"/>
          <w:lang w:val="zh-CN"/>
        </w:rPr>
        <w:t>可研报告</w:t>
      </w:r>
      <w:r>
        <w:rPr>
          <w:rFonts w:hint="eastAsia"/>
          <w:color w:val="auto"/>
          <w:highlight w:val="none"/>
          <w:lang w:val="en-US" w:eastAsia="zh-CN"/>
        </w:rPr>
        <w:t>》明确</w:t>
      </w:r>
      <w:r>
        <w:rPr>
          <w:color w:val="auto"/>
          <w:highlight w:val="none"/>
        </w:rPr>
        <w:t>根据用电设备技术规格及有关规程规定，矿山采用下列各种电压：</w:t>
      </w:r>
    </w:p>
    <w:p w14:paraId="0A210794">
      <w:pPr>
        <w:pStyle w:val="24"/>
        <w:bidi w:val="0"/>
        <w:rPr>
          <w:color w:val="auto"/>
          <w:highlight w:val="none"/>
        </w:rPr>
      </w:pPr>
      <w:r>
        <w:rPr>
          <w:color w:val="auto"/>
          <w:highlight w:val="none"/>
        </w:rPr>
        <w:t>1、露天采矿场供配电压为10kV；</w:t>
      </w:r>
    </w:p>
    <w:p w14:paraId="0AF26E9F">
      <w:pPr>
        <w:pStyle w:val="24"/>
        <w:bidi w:val="0"/>
        <w:rPr>
          <w:color w:val="auto"/>
          <w:highlight w:val="none"/>
        </w:rPr>
      </w:pPr>
      <w:r>
        <w:rPr>
          <w:color w:val="auto"/>
          <w:highlight w:val="none"/>
        </w:rPr>
        <w:t>2、采矿场内低压用电设备采用380V；</w:t>
      </w:r>
    </w:p>
    <w:p w14:paraId="3F6AD93E">
      <w:pPr>
        <w:pStyle w:val="24"/>
        <w:bidi w:val="0"/>
        <w:rPr>
          <w:rFonts w:hint="default"/>
          <w:color w:val="auto"/>
          <w:highlight w:val="none"/>
          <w:lang w:val="en-US" w:eastAsia="zh-CN"/>
        </w:rPr>
      </w:pPr>
      <w:r>
        <w:rPr>
          <w:rFonts w:hint="eastAsia"/>
          <w:color w:val="auto"/>
          <w:highlight w:val="none"/>
          <w:lang w:val="en-US" w:eastAsia="zh-CN"/>
        </w:rPr>
        <w:t>（3）供电系统</w:t>
      </w:r>
    </w:p>
    <w:p w14:paraId="71E77DAD">
      <w:pPr>
        <w:pStyle w:val="24"/>
        <w:bidi w:val="0"/>
        <w:rPr>
          <w:color w:val="auto"/>
          <w:highlight w:val="none"/>
        </w:rPr>
      </w:pPr>
      <w:r>
        <w:rPr>
          <w:color w:val="auto"/>
          <w:highlight w:val="none"/>
        </w:rPr>
        <w:t>根据露天开采范围及地形条件</w:t>
      </w:r>
      <w:r>
        <w:rPr>
          <w:rFonts w:hint="eastAsia"/>
          <w:color w:val="auto"/>
          <w:highlight w:val="none"/>
          <w:lang w:eastAsia="zh-CN"/>
        </w:rPr>
        <w:t>，</w:t>
      </w:r>
      <w:r>
        <w:rPr>
          <w:color w:val="auto"/>
          <w:highlight w:val="none"/>
        </w:rPr>
        <w:t>对采矿场内用电设备采用半环形</w:t>
      </w:r>
      <w:r>
        <w:rPr>
          <w:rFonts w:hint="eastAsia"/>
          <w:color w:val="auto"/>
          <w:highlight w:val="none"/>
          <w:lang w:eastAsia="zh-CN"/>
        </w:rPr>
        <w:t>—</w:t>
      </w:r>
      <w:r>
        <w:rPr>
          <w:color w:val="auto"/>
          <w:highlight w:val="none"/>
        </w:rPr>
        <w:t>横跨线供电。向移动式设备供电的低压配电系统接地形式采用IT系统。</w:t>
      </w:r>
    </w:p>
    <w:p w14:paraId="03DF5B62">
      <w:pPr>
        <w:pStyle w:val="24"/>
        <w:bidi w:val="0"/>
        <w:rPr>
          <w:color w:val="auto"/>
          <w:highlight w:val="none"/>
        </w:rPr>
      </w:pPr>
      <w:r>
        <w:rPr>
          <w:color w:val="auto"/>
          <w:highlight w:val="none"/>
        </w:rPr>
        <w:t>采矿场内设1台400kVA矿用移动变电站，采用中性点绝缘系统，向露天采矿用电设备配电。</w:t>
      </w:r>
    </w:p>
    <w:p w14:paraId="0FB45A3A">
      <w:pPr>
        <w:pStyle w:val="24"/>
        <w:bidi w:val="0"/>
        <w:rPr>
          <w:color w:val="auto"/>
          <w:highlight w:val="none"/>
        </w:rPr>
      </w:pPr>
      <w:r>
        <w:rPr>
          <w:color w:val="auto"/>
          <w:highlight w:val="none"/>
        </w:rPr>
        <w:t>横跨线采用混凝土电杆半固定式线路，线路采用钢芯铝绞线，型号及规格为</w:t>
      </w:r>
      <w:r>
        <w:rPr>
          <w:rFonts w:hint="eastAsia"/>
          <w:color w:val="auto"/>
          <w:highlight w:val="none"/>
          <w:lang w:eastAsia="zh-CN"/>
        </w:rPr>
        <w:t>：</w:t>
      </w:r>
      <w:r>
        <w:rPr>
          <w:color w:val="auto"/>
          <w:highlight w:val="none"/>
        </w:rPr>
        <w:t>×LGJ-50。移动用电设备采用矿用橡套软电缆（铜芯）。</w:t>
      </w:r>
    </w:p>
    <w:p w14:paraId="435AD727">
      <w:pPr>
        <w:pStyle w:val="31"/>
        <w:bidi w:val="0"/>
        <w:rPr>
          <w:rFonts w:hint="default"/>
          <w:color w:val="auto"/>
          <w:highlight w:val="none"/>
          <w:lang w:val="en-US" w:eastAsia="zh-CN"/>
        </w:rPr>
      </w:pPr>
      <w:r>
        <w:rPr>
          <w:rFonts w:hint="eastAsia"/>
          <w:color w:val="auto"/>
          <w:highlight w:val="none"/>
          <w:lang w:val="en-US" w:eastAsia="zh-CN"/>
        </w:rPr>
        <w:t>防排水</w:t>
      </w:r>
    </w:p>
    <w:p w14:paraId="674C2582">
      <w:pPr>
        <w:pStyle w:val="24"/>
        <w:rPr>
          <w:rFonts w:hint="eastAsia"/>
          <w:color w:val="auto"/>
          <w:highlight w:val="none"/>
          <w:lang w:val="en-US" w:eastAsia="zh-CN"/>
        </w:rPr>
      </w:pPr>
      <w:r>
        <w:rPr>
          <w:rFonts w:hint="eastAsia"/>
          <w:color w:val="auto"/>
          <w:highlight w:val="none"/>
          <w:lang w:val="en-US" w:eastAsia="zh-CN"/>
        </w:rPr>
        <w:t>（1）防排水</w:t>
      </w:r>
    </w:p>
    <w:p w14:paraId="72B2B58B">
      <w:pPr>
        <w:pStyle w:val="24"/>
        <w:bidi w:val="0"/>
        <w:rPr>
          <w:color w:val="auto"/>
          <w:highlight w:val="none"/>
        </w:rPr>
      </w:pPr>
      <w:r>
        <w:rPr>
          <w:rFonts w:hint="eastAsia"/>
          <w:color w:val="auto"/>
          <w:highlight w:val="none"/>
          <w:lang w:val="en-US" w:eastAsia="zh-CN"/>
        </w:rPr>
        <w:t>《</w:t>
      </w:r>
      <w:r>
        <w:rPr>
          <w:rFonts w:hint="default"/>
          <w:color w:val="auto"/>
          <w:highlight w:val="none"/>
          <w:lang w:val="zh-CN"/>
        </w:rPr>
        <w:t>可研报告</w:t>
      </w:r>
      <w:r>
        <w:rPr>
          <w:rFonts w:hint="eastAsia"/>
          <w:color w:val="auto"/>
          <w:highlight w:val="none"/>
          <w:lang w:val="en-US" w:eastAsia="zh-CN"/>
        </w:rPr>
        <w:t>》明确</w:t>
      </w:r>
      <w:r>
        <w:rPr>
          <w:color w:val="auto"/>
          <w:highlight w:val="none"/>
        </w:rPr>
        <w:t>矿山正常涌水量为137.7m</w:t>
      </w:r>
      <w:r>
        <w:rPr>
          <w:color w:val="auto"/>
          <w:highlight w:val="none"/>
          <w:vertAlign w:val="superscript"/>
        </w:rPr>
        <w:t>3</w:t>
      </w:r>
      <w:r>
        <w:rPr>
          <w:color w:val="auto"/>
          <w:highlight w:val="none"/>
        </w:rPr>
        <w:t>/d，丰水期涌水量为358.1m</w:t>
      </w:r>
      <w:r>
        <w:rPr>
          <w:color w:val="auto"/>
          <w:highlight w:val="none"/>
          <w:vertAlign w:val="superscript"/>
        </w:rPr>
        <w:t>3</w:t>
      </w:r>
      <w:r>
        <w:rPr>
          <w:color w:val="auto"/>
          <w:highlight w:val="none"/>
        </w:rPr>
        <w:t>/d，本次设计最低开采标高为150m，为山坡露天开采，矿区最低侵蚀基准面为105m，大气降水能够自然排放，地表水通过自流的方式排出采场外。</w:t>
      </w:r>
    </w:p>
    <w:p w14:paraId="5F274505">
      <w:pPr>
        <w:pStyle w:val="24"/>
        <w:bidi w:val="0"/>
        <w:rPr>
          <w:color w:val="auto"/>
          <w:highlight w:val="none"/>
        </w:rPr>
      </w:pPr>
      <w:r>
        <w:rPr>
          <w:color w:val="auto"/>
          <w:highlight w:val="none"/>
        </w:rPr>
        <w:t>根据地形图，露天采场东侧存在汇水面积，降雨后会形成地表径流进入露天采场，设计在露天采场外围设置截水沟，防止地表径流流入采场。</w:t>
      </w:r>
    </w:p>
    <w:p w14:paraId="690F383D">
      <w:pPr>
        <w:pStyle w:val="32"/>
        <w:bidi w:val="0"/>
        <w:rPr>
          <w:color w:val="auto"/>
          <w:highlight w:val="none"/>
        </w:rPr>
      </w:pPr>
      <w:r>
        <w:rPr>
          <w:color w:val="auto"/>
          <w:highlight w:val="none"/>
        </w:rPr>
        <w:t>表</w:t>
      </w:r>
      <w:r>
        <w:rPr>
          <w:rFonts w:hint="eastAsia"/>
          <w:color w:val="auto"/>
          <w:highlight w:val="none"/>
          <w:lang w:val="en-US" w:eastAsia="zh-CN"/>
        </w:rPr>
        <w:t>2.4-2</w:t>
      </w:r>
      <w:r>
        <w:rPr>
          <w:color w:val="auto"/>
          <w:highlight w:val="none"/>
        </w:rPr>
        <w:t xml:space="preserve">  截水沟断面结构表</w:t>
      </w:r>
    </w:p>
    <w:tbl>
      <w:tblPr>
        <w:tblStyle w:val="26"/>
        <w:tblW w:w="4998" w:type="pct"/>
        <w:tblInd w:w="0" w:type="dxa"/>
        <w:tblLayout w:type="autofit"/>
        <w:tblCellMar>
          <w:top w:w="0" w:type="dxa"/>
          <w:left w:w="0" w:type="dxa"/>
          <w:bottom w:w="0" w:type="dxa"/>
          <w:right w:w="0" w:type="dxa"/>
        </w:tblCellMar>
      </w:tblPr>
      <w:tblGrid>
        <w:gridCol w:w="668"/>
        <w:gridCol w:w="2586"/>
        <w:gridCol w:w="1301"/>
        <w:gridCol w:w="1552"/>
        <w:gridCol w:w="1552"/>
        <w:gridCol w:w="1552"/>
      </w:tblGrid>
      <w:tr w14:paraId="0BB1923D">
        <w:trPr>
          <w:trHeight w:val="283" w:hRule="atLeast"/>
          <w:tblHeader/>
        </w:trPr>
        <w:tc>
          <w:tcPr>
            <w:tcW w:w="36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070F6C8">
            <w:pPr>
              <w:pStyle w:val="33"/>
              <w:bidi w:val="0"/>
              <w:rPr>
                <w:color w:val="auto"/>
                <w:highlight w:val="none"/>
              </w:rPr>
            </w:pPr>
            <w:r>
              <w:rPr>
                <w:color w:val="auto"/>
                <w:highlight w:val="none"/>
              </w:rPr>
              <w:t>序号</w:t>
            </w:r>
          </w:p>
        </w:tc>
        <w:tc>
          <w:tcPr>
            <w:tcW w:w="140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64438F0">
            <w:pPr>
              <w:pStyle w:val="33"/>
              <w:bidi w:val="0"/>
              <w:rPr>
                <w:color w:val="auto"/>
                <w:highlight w:val="none"/>
              </w:rPr>
            </w:pPr>
            <w:r>
              <w:rPr>
                <w:color w:val="auto"/>
                <w:highlight w:val="none"/>
              </w:rPr>
              <w:t>名称</w:t>
            </w:r>
          </w:p>
        </w:tc>
        <w:tc>
          <w:tcPr>
            <w:tcW w:w="706"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49AC21B">
            <w:pPr>
              <w:pStyle w:val="33"/>
              <w:bidi w:val="0"/>
              <w:rPr>
                <w:color w:val="auto"/>
                <w:highlight w:val="none"/>
              </w:rPr>
            </w:pPr>
            <w:r>
              <w:rPr>
                <w:color w:val="auto"/>
                <w:highlight w:val="none"/>
              </w:rPr>
              <w:t>断面形式</w:t>
            </w:r>
          </w:p>
        </w:tc>
        <w:tc>
          <w:tcPr>
            <w:tcW w:w="84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BDB7DE0">
            <w:pPr>
              <w:pStyle w:val="33"/>
              <w:bidi w:val="0"/>
              <w:rPr>
                <w:color w:val="auto"/>
                <w:highlight w:val="none"/>
              </w:rPr>
            </w:pPr>
            <w:r>
              <w:rPr>
                <w:color w:val="auto"/>
                <w:highlight w:val="none"/>
              </w:rPr>
              <w:t>底宽（m）</w:t>
            </w:r>
          </w:p>
        </w:tc>
        <w:tc>
          <w:tcPr>
            <w:tcW w:w="84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01AE548">
            <w:pPr>
              <w:pStyle w:val="33"/>
              <w:bidi w:val="0"/>
              <w:rPr>
                <w:color w:val="auto"/>
                <w:highlight w:val="none"/>
              </w:rPr>
            </w:pPr>
            <w:r>
              <w:rPr>
                <w:color w:val="auto"/>
                <w:highlight w:val="none"/>
              </w:rPr>
              <w:t>沟深（m）</w:t>
            </w:r>
          </w:p>
        </w:tc>
        <w:tc>
          <w:tcPr>
            <w:tcW w:w="84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DD44F3E">
            <w:pPr>
              <w:pStyle w:val="33"/>
              <w:bidi w:val="0"/>
              <w:rPr>
                <w:color w:val="auto"/>
                <w:highlight w:val="none"/>
              </w:rPr>
            </w:pPr>
            <w:r>
              <w:rPr>
                <w:color w:val="auto"/>
                <w:highlight w:val="none"/>
              </w:rPr>
              <w:t>长度（m）</w:t>
            </w:r>
          </w:p>
        </w:tc>
      </w:tr>
      <w:tr w14:paraId="4ED017CD">
        <w:tblPrEx>
          <w:tblCellMar>
            <w:top w:w="0" w:type="dxa"/>
            <w:left w:w="0" w:type="dxa"/>
            <w:bottom w:w="0" w:type="dxa"/>
            <w:right w:w="0" w:type="dxa"/>
          </w:tblCellMar>
        </w:tblPrEx>
        <w:trPr>
          <w:trHeight w:val="285" w:hRule="atLeast"/>
        </w:trPr>
        <w:tc>
          <w:tcPr>
            <w:tcW w:w="36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3E97E9F">
            <w:pPr>
              <w:pStyle w:val="33"/>
              <w:bidi w:val="0"/>
              <w:rPr>
                <w:color w:val="auto"/>
                <w:highlight w:val="none"/>
              </w:rPr>
            </w:pPr>
            <w:r>
              <w:rPr>
                <w:color w:val="auto"/>
                <w:highlight w:val="none"/>
              </w:rPr>
              <w:t>1</w:t>
            </w:r>
          </w:p>
        </w:tc>
        <w:tc>
          <w:tcPr>
            <w:tcW w:w="140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BF828A6">
            <w:pPr>
              <w:pStyle w:val="33"/>
              <w:bidi w:val="0"/>
              <w:rPr>
                <w:color w:val="auto"/>
                <w:highlight w:val="none"/>
              </w:rPr>
            </w:pPr>
            <w:r>
              <w:rPr>
                <w:color w:val="auto"/>
                <w:highlight w:val="none"/>
              </w:rPr>
              <w:t>截水沟</w:t>
            </w:r>
          </w:p>
        </w:tc>
        <w:tc>
          <w:tcPr>
            <w:tcW w:w="706"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E69CDF4">
            <w:pPr>
              <w:pStyle w:val="33"/>
              <w:bidi w:val="0"/>
              <w:rPr>
                <w:color w:val="auto"/>
                <w:highlight w:val="none"/>
              </w:rPr>
            </w:pPr>
            <w:r>
              <w:rPr>
                <w:color w:val="auto"/>
                <w:highlight w:val="none"/>
              </w:rPr>
              <w:t>矩形</w:t>
            </w:r>
          </w:p>
        </w:tc>
        <w:tc>
          <w:tcPr>
            <w:tcW w:w="84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5DC4646">
            <w:pPr>
              <w:pStyle w:val="33"/>
              <w:bidi w:val="0"/>
              <w:rPr>
                <w:color w:val="auto"/>
                <w:highlight w:val="none"/>
              </w:rPr>
            </w:pPr>
            <w:r>
              <w:rPr>
                <w:color w:val="auto"/>
                <w:highlight w:val="none"/>
              </w:rPr>
              <w:t xml:space="preserve">1.00 </w:t>
            </w:r>
          </w:p>
        </w:tc>
        <w:tc>
          <w:tcPr>
            <w:tcW w:w="84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B3C61A2">
            <w:pPr>
              <w:pStyle w:val="33"/>
              <w:bidi w:val="0"/>
              <w:rPr>
                <w:color w:val="auto"/>
                <w:highlight w:val="none"/>
              </w:rPr>
            </w:pPr>
            <w:r>
              <w:rPr>
                <w:color w:val="auto"/>
                <w:highlight w:val="none"/>
              </w:rPr>
              <w:t xml:space="preserve">1.10 </w:t>
            </w:r>
          </w:p>
        </w:tc>
        <w:tc>
          <w:tcPr>
            <w:tcW w:w="84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bottom"/>
          </w:tcPr>
          <w:p w14:paraId="2BDEE24A">
            <w:pPr>
              <w:pStyle w:val="33"/>
              <w:bidi w:val="0"/>
              <w:rPr>
                <w:color w:val="auto"/>
                <w:highlight w:val="none"/>
              </w:rPr>
            </w:pPr>
            <w:r>
              <w:rPr>
                <w:color w:val="auto"/>
                <w:highlight w:val="none"/>
              </w:rPr>
              <w:t>610</w:t>
            </w:r>
          </w:p>
        </w:tc>
      </w:tr>
    </w:tbl>
    <w:p w14:paraId="1C3FF755">
      <w:pPr>
        <w:pStyle w:val="24"/>
        <w:bidi w:val="0"/>
        <w:rPr>
          <w:color w:val="auto"/>
          <w:highlight w:val="none"/>
        </w:rPr>
      </w:pPr>
      <w:r>
        <w:rPr>
          <w:color w:val="auto"/>
          <w:highlight w:val="none"/>
        </w:rPr>
        <w:t>注：砌筑厚度0.3m。</w:t>
      </w:r>
    </w:p>
    <w:p w14:paraId="5F48DBC6">
      <w:pPr>
        <w:pStyle w:val="24"/>
        <w:bidi w:val="0"/>
        <w:rPr>
          <w:color w:val="auto"/>
          <w:highlight w:val="none"/>
        </w:rPr>
      </w:pPr>
      <w:r>
        <w:rPr>
          <w:color w:val="auto"/>
          <w:highlight w:val="none"/>
        </w:rPr>
        <w:t>截水沟断面见图</w:t>
      </w:r>
      <w:r>
        <w:rPr>
          <w:rFonts w:hint="eastAsia"/>
          <w:color w:val="auto"/>
          <w:highlight w:val="none"/>
          <w:lang w:val="en-US" w:eastAsia="zh-CN"/>
        </w:rPr>
        <w:t>2.4-1</w:t>
      </w:r>
      <w:r>
        <w:rPr>
          <w:color w:val="auto"/>
          <w:highlight w:val="none"/>
        </w:rPr>
        <w:t>。</w:t>
      </w:r>
    </w:p>
    <w:p w14:paraId="0ED3C3FC">
      <w:pPr>
        <w:pStyle w:val="32"/>
        <w:bidi w:val="0"/>
        <w:rPr>
          <w:color w:val="auto"/>
          <w:highlight w:val="none"/>
          <w:lang w:val="en-US" w:eastAsia="zh-CN"/>
        </w:rPr>
      </w:pPr>
      <w:r>
        <w:rPr>
          <w:color w:val="auto"/>
          <w:highlight w:val="none"/>
        </w:rPr>
        <w:drawing>
          <wp:inline distT="0" distB="0" distL="114300" distR="114300">
            <wp:extent cx="4347210" cy="2752090"/>
            <wp:effectExtent l="0" t="0" r="15240" b="10160"/>
            <wp:docPr id="1" name="图片 10"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0" descr="IMG_256"/>
                    <pic:cNvPicPr>
                      <a:picLocks noChangeAspect="1"/>
                    </pic:cNvPicPr>
                  </pic:nvPicPr>
                  <pic:blipFill>
                    <a:blip r:embed="rId10"/>
                    <a:stretch>
                      <a:fillRect/>
                    </a:stretch>
                  </pic:blipFill>
                  <pic:spPr>
                    <a:xfrm>
                      <a:off x="0" y="0"/>
                      <a:ext cx="4347210" cy="2752090"/>
                    </a:xfrm>
                    <a:prstGeom prst="rect">
                      <a:avLst/>
                    </a:prstGeom>
                    <a:noFill/>
                    <a:ln>
                      <a:noFill/>
                    </a:ln>
                  </pic:spPr>
                </pic:pic>
              </a:graphicData>
            </a:graphic>
          </wp:inline>
        </w:drawing>
      </w:r>
    </w:p>
    <w:p w14:paraId="2B68CC0A">
      <w:pPr>
        <w:pStyle w:val="32"/>
        <w:bidi w:val="0"/>
        <w:rPr>
          <w:color w:val="auto"/>
          <w:highlight w:val="none"/>
        </w:rPr>
      </w:pPr>
      <w:r>
        <w:rPr>
          <w:color w:val="auto"/>
          <w:highlight w:val="none"/>
        </w:rPr>
        <w:t>图</w:t>
      </w:r>
      <w:r>
        <w:rPr>
          <w:rFonts w:hint="eastAsia"/>
          <w:color w:val="auto"/>
          <w:highlight w:val="none"/>
          <w:lang w:val="en-US" w:eastAsia="zh-CN"/>
        </w:rPr>
        <w:t>2.4-1</w:t>
      </w:r>
      <w:r>
        <w:rPr>
          <w:color w:val="auto"/>
          <w:highlight w:val="none"/>
        </w:rPr>
        <w:t xml:space="preserve">  截水沟断面示意图</w:t>
      </w:r>
    </w:p>
    <w:p w14:paraId="7E775BA7">
      <w:pPr>
        <w:pStyle w:val="24"/>
        <w:bidi w:val="0"/>
        <w:rPr>
          <w:color w:val="auto"/>
          <w:highlight w:val="none"/>
        </w:rPr>
      </w:pPr>
      <w:r>
        <w:rPr>
          <w:color w:val="auto"/>
          <w:highlight w:val="none"/>
        </w:rPr>
        <w:t xml:space="preserve">此外矿山运输公路一侧挖排水沟，防止雨水冲刷公路。 </w:t>
      </w:r>
    </w:p>
    <w:p w14:paraId="4E605DAD">
      <w:pPr>
        <w:pStyle w:val="31"/>
        <w:bidi w:val="0"/>
        <w:rPr>
          <w:rFonts w:hint="default"/>
          <w:color w:val="auto"/>
          <w:highlight w:val="none"/>
          <w:lang w:val="en-US" w:eastAsia="zh-CN"/>
        </w:rPr>
      </w:pPr>
      <w:r>
        <w:rPr>
          <w:rFonts w:hint="eastAsia"/>
          <w:color w:val="auto"/>
          <w:highlight w:val="none"/>
          <w:lang w:val="en-US" w:eastAsia="zh-CN"/>
        </w:rPr>
        <w:t>排土场</w:t>
      </w:r>
    </w:p>
    <w:p w14:paraId="52941432">
      <w:pPr>
        <w:pStyle w:val="24"/>
        <w:bidi w:val="0"/>
        <w:rPr>
          <w:rFonts w:hint="default"/>
          <w:color w:val="auto"/>
          <w:highlight w:val="none"/>
          <w:lang w:val="en-US" w:eastAsia="zh-CN"/>
        </w:rPr>
      </w:pPr>
      <w:r>
        <w:rPr>
          <w:rFonts w:hint="eastAsia"/>
          <w:color w:val="auto"/>
          <w:highlight w:val="none"/>
          <w:lang w:val="en-US" w:eastAsia="zh-CN"/>
        </w:rPr>
        <w:t>《可研报告》明确设计不设置废石场，采出的风化石用于修筑道路、填沟或销售。</w:t>
      </w:r>
    </w:p>
    <w:p w14:paraId="1D2F654F">
      <w:pPr>
        <w:pStyle w:val="31"/>
        <w:bidi w:val="0"/>
        <w:rPr>
          <w:rFonts w:hint="default"/>
          <w:color w:val="auto"/>
          <w:highlight w:val="none"/>
          <w:lang w:val="en-US" w:eastAsia="zh-CN"/>
        </w:rPr>
      </w:pPr>
      <w:r>
        <w:rPr>
          <w:rFonts w:hint="eastAsia"/>
          <w:color w:val="auto"/>
          <w:highlight w:val="none"/>
          <w:lang w:val="en-US" w:eastAsia="zh-CN"/>
        </w:rPr>
        <w:t>安全管理及其他</w:t>
      </w:r>
    </w:p>
    <w:p w14:paraId="48B46892">
      <w:pPr>
        <w:pStyle w:val="24"/>
        <w:bidi w:val="0"/>
        <w:rPr>
          <w:rFonts w:hint="eastAsia"/>
          <w:color w:val="auto"/>
          <w:highlight w:val="none"/>
          <w:lang w:val="en-US" w:eastAsia="zh-CN"/>
        </w:rPr>
      </w:pPr>
      <w:r>
        <w:rPr>
          <w:rFonts w:hint="eastAsia"/>
          <w:color w:val="auto"/>
          <w:highlight w:val="none"/>
          <w:lang w:val="en-US" w:eastAsia="zh-CN"/>
        </w:rPr>
        <w:t>1、劳动定员</w:t>
      </w:r>
    </w:p>
    <w:p w14:paraId="702AE19F">
      <w:pPr>
        <w:pStyle w:val="24"/>
        <w:bidi w:val="0"/>
        <w:rPr>
          <w:rFonts w:hint="eastAsia"/>
          <w:color w:val="auto"/>
          <w:highlight w:val="none"/>
          <w:lang w:val="en-US" w:eastAsia="zh-CN"/>
        </w:rPr>
      </w:pPr>
      <w:r>
        <w:rPr>
          <w:rFonts w:hint="eastAsia"/>
          <w:color w:val="auto"/>
          <w:highlight w:val="none"/>
          <w:lang w:val="en-US" w:eastAsia="zh-CN"/>
        </w:rPr>
        <w:t>《可研报告》明确</w:t>
      </w:r>
      <w:r>
        <w:rPr>
          <w:color w:val="auto"/>
          <w:highlight w:val="none"/>
        </w:rPr>
        <w:t>企业采用间断工作制，年工作</w:t>
      </w:r>
      <w:r>
        <w:rPr>
          <w:rFonts w:hint="eastAsia"/>
          <w:color w:val="auto"/>
          <w:highlight w:val="none"/>
          <w:lang w:val="en-US" w:eastAsia="zh-CN"/>
        </w:rPr>
        <w:t>240</w:t>
      </w:r>
      <w:r>
        <w:rPr>
          <w:color w:val="auto"/>
          <w:highlight w:val="none"/>
        </w:rPr>
        <w:t>天，每天1班，每班8小时。其他辅助车间工作制度根据实际需要进行安排。设计按劳动定额、岗位性质和按民营企业管理体制，尽量减少非生产人员的原则编制定员。</w:t>
      </w:r>
    </w:p>
    <w:p w14:paraId="26BEA928">
      <w:pPr>
        <w:pStyle w:val="32"/>
        <w:bidi w:val="0"/>
        <w:rPr>
          <w:rFonts w:hint="default"/>
          <w:color w:val="auto"/>
          <w:highlight w:val="none"/>
          <w:lang w:val="en-US" w:eastAsia="zh-CN"/>
        </w:rPr>
      </w:pPr>
      <w:r>
        <w:rPr>
          <w:rFonts w:hint="eastAsia"/>
          <w:color w:val="auto"/>
          <w:highlight w:val="none"/>
          <w:lang w:val="en-US" w:eastAsia="zh-CN"/>
        </w:rPr>
        <w:t xml:space="preserve">表2.4-3  </w:t>
      </w:r>
      <w:r>
        <w:rPr>
          <w:rFonts w:hint="default"/>
          <w:color w:val="auto"/>
          <w:highlight w:val="none"/>
          <w:lang w:val="en-US" w:eastAsia="zh-CN"/>
        </w:rPr>
        <w:t>劳动定员表</w:t>
      </w:r>
    </w:p>
    <w:tbl>
      <w:tblPr>
        <w:tblStyle w:val="26"/>
        <w:tblW w:w="4998" w:type="pct"/>
        <w:jc w:val="center"/>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Layout w:type="autofit"/>
        <w:tblCellMar>
          <w:top w:w="0" w:type="dxa"/>
          <w:left w:w="0" w:type="dxa"/>
          <w:bottom w:w="0" w:type="dxa"/>
          <w:right w:w="0" w:type="dxa"/>
        </w:tblCellMar>
      </w:tblPr>
      <w:tblGrid>
        <w:gridCol w:w="980"/>
        <w:gridCol w:w="2795"/>
        <w:gridCol w:w="5416"/>
      </w:tblGrid>
      <w:tr w14:paraId="70F5BCDB">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cantSplit/>
          <w:trHeight w:val="312" w:hRule="exact"/>
          <w:jc w:val="center"/>
        </w:trPr>
        <w:tc>
          <w:tcPr>
            <w:tcW w:w="533" w:type="pct"/>
            <w:vMerge w:val="restart"/>
            <w:noWrap w:val="0"/>
            <w:vAlign w:val="center"/>
          </w:tcPr>
          <w:p w14:paraId="2D464831">
            <w:pPr>
              <w:pStyle w:val="33"/>
              <w:bidi w:val="0"/>
              <w:rPr>
                <w:color w:val="auto"/>
                <w:highlight w:val="none"/>
              </w:rPr>
            </w:pPr>
            <w:r>
              <w:rPr>
                <w:color w:val="auto"/>
                <w:highlight w:val="none"/>
              </w:rPr>
              <w:t>序号</w:t>
            </w:r>
          </w:p>
        </w:tc>
        <w:tc>
          <w:tcPr>
            <w:tcW w:w="1520" w:type="pct"/>
            <w:vMerge w:val="restart"/>
            <w:noWrap w:val="0"/>
            <w:vAlign w:val="center"/>
          </w:tcPr>
          <w:p w14:paraId="39F67DFB">
            <w:pPr>
              <w:pStyle w:val="33"/>
              <w:bidi w:val="0"/>
              <w:rPr>
                <w:color w:val="auto"/>
                <w:highlight w:val="none"/>
              </w:rPr>
            </w:pPr>
            <w:r>
              <w:rPr>
                <w:color w:val="auto"/>
                <w:highlight w:val="none"/>
              </w:rPr>
              <w:t>岗位或工种</w:t>
            </w:r>
          </w:p>
        </w:tc>
        <w:tc>
          <w:tcPr>
            <w:tcW w:w="2945" w:type="pct"/>
            <w:tcBorders>
              <w:right w:val="single" w:color="auto" w:sz="4" w:space="0"/>
            </w:tcBorders>
            <w:noWrap w:val="0"/>
            <w:vAlign w:val="center"/>
          </w:tcPr>
          <w:p w14:paraId="6CE2F711">
            <w:pPr>
              <w:pStyle w:val="33"/>
              <w:bidi w:val="0"/>
              <w:rPr>
                <w:color w:val="auto"/>
                <w:highlight w:val="none"/>
              </w:rPr>
            </w:pPr>
            <w:r>
              <w:rPr>
                <w:color w:val="auto"/>
                <w:highlight w:val="none"/>
              </w:rPr>
              <w:t>职工人数</w:t>
            </w:r>
          </w:p>
        </w:tc>
      </w:tr>
      <w:tr w14:paraId="7743FA1A">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cantSplit/>
          <w:trHeight w:val="312" w:hRule="exact"/>
          <w:jc w:val="center"/>
        </w:trPr>
        <w:tc>
          <w:tcPr>
            <w:tcW w:w="533" w:type="pct"/>
            <w:vMerge w:val="continue"/>
            <w:noWrap w:val="0"/>
            <w:vAlign w:val="center"/>
          </w:tcPr>
          <w:p w14:paraId="5B71B763">
            <w:pPr>
              <w:pStyle w:val="33"/>
              <w:bidi w:val="0"/>
              <w:rPr>
                <w:color w:val="auto"/>
                <w:highlight w:val="none"/>
              </w:rPr>
            </w:pPr>
          </w:p>
        </w:tc>
        <w:tc>
          <w:tcPr>
            <w:tcW w:w="1520" w:type="pct"/>
            <w:vMerge w:val="continue"/>
            <w:noWrap w:val="0"/>
            <w:vAlign w:val="center"/>
          </w:tcPr>
          <w:p w14:paraId="4D2FA946">
            <w:pPr>
              <w:pStyle w:val="33"/>
              <w:bidi w:val="0"/>
              <w:rPr>
                <w:color w:val="auto"/>
                <w:highlight w:val="none"/>
              </w:rPr>
            </w:pPr>
          </w:p>
        </w:tc>
        <w:tc>
          <w:tcPr>
            <w:tcW w:w="2945" w:type="pct"/>
            <w:tcBorders>
              <w:right w:val="single" w:color="auto" w:sz="4" w:space="0"/>
            </w:tcBorders>
            <w:noWrap w:val="0"/>
            <w:vAlign w:val="center"/>
          </w:tcPr>
          <w:p w14:paraId="11ED131D">
            <w:pPr>
              <w:pStyle w:val="33"/>
              <w:bidi w:val="0"/>
              <w:rPr>
                <w:color w:val="auto"/>
                <w:highlight w:val="none"/>
              </w:rPr>
            </w:pPr>
            <w:r>
              <w:rPr>
                <w:color w:val="auto"/>
                <w:highlight w:val="none"/>
              </w:rPr>
              <w:t>一班</w:t>
            </w:r>
          </w:p>
        </w:tc>
      </w:tr>
      <w:tr w14:paraId="6938DE81">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cantSplit/>
          <w:trHeight w:val="312" w:hRule="exact"/>
          <w:jc w:val="center"/>
        </w:trPr>
        <w:tc>
          <w:tcPr>
            <w:tcW w:w="533" w:type="pct"/>
            <w:noWrap w:val="0"/>
            <w:vAlign w:val="center"/>
          </w:tcPr>
          <w:p w14:paraId="0D42C468">
            <w:pPr>
              <w:pStyle w:val="33"/>
              <w:bidi w:val="0"/>
              <w:rPr>
                <w:color w:val="auto"/>
                <w:highlight w:val="none"/>
              </w:rPr>
            </w:pPr>
            <w:r>
              <w:rPr>
                <w:color w:val="auto"/>
                <w:highlight w:val="none"/>
              </w:rPr>
              <w:t>1</w:t>
            </w:r>
          </w:p>
        </w:tc>
        <w:tc>
          <w:tcPr>
            <w:tcW w:w="1520" w:type="pct"/>
            <w:noWrap w:val="0"/>
            <w:vAlign w:val="center"/>
          </w:tcPr>
          <w:p w14:paraId="23F5BA3E">
            <w:pPr>
              <w:pStyle w:val="33"/>
              <w:bidi w:val="0"/>
              <w:rPr>
                <w:color w:val="auto"/>
                <w:highlight w:val="none"/>
              </w:rPr>
            </w:pPr>
            <w:r>
              <w:rPr>
                <w:color w:val="auto"/>
                <w:highlight w:val="none"/>
              </w:rPr>
              <w:t>凿岩机工</w:t>
            </w:r>
          </w:p>
        </w:tc>
        <w:tc>
          <w:tcPr>
            <w:tcW w:w="2945" w:type="pct"/>
            <w:tcBorders>
              <w:right w:val="single" w:color="auto" w:sz="4" w:space="0"/>
            </w:tcBorders>
            <w:noWrap w:val="0"/>
            <w:vAlign w:val="center"/>
          </w:tcPr>
          <w:p w14:paraId="6A056FF5">
            <w:pPr>
              <w:pStyle w:val="33"/>
              <w:bidi w:val="0"/>
              <w:rPr>
                <w:color w:val="auto"/>
                <w:highlight w:val="none"/>
              </w:rPr>
            </w:pPr>
            <w:r>
              <w:rPr>
                <w:color w:val="auto"/>
                <w:highlight w:val="none"/>
              </w:rPr>
              <w:t>2</w:t>
            </w:r>
          </w:p>
        </w:tc>
      </w:tr>
      <w:tr w14:paraId="2865A6E0">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cantSplit/>
          <w:trHeight w:val="312" w:hRule="exact"/>
          <w:jc w:val="center"/>
        </w:trPr>
        <w:tc>
          <w:tcPr>
            <w:tcW w:w="533" w:type="pct"/>
            <w:noWrap w:val="0"/>
            <w:vAlign w:val="center"/>
          </w:tcPr>
          <w:p w14:paraId="567C2C3A">
            <w:pPr>
              <w:pStyle w:val="33"/>
              <w:bidi w:val="0"/>
              <w:rPr>
                <w:color w:val="auto"/>
                <w:highlight w:val="none"/>
              </w:rPr>
            </w:pPr>
            <w:r>
              <w:rPr>
                <w:color w:val="auto"/>
                <w:highlight w:val="none"/>
              </w:rPr>
              <w:t>2</w:t>
            </w:r>
          </w:p>
        </w:tc>
        <w:tc>
          <w:tcPr>
            <w:tcW w:w="1520" w:type="pct"/>
            <w:noWrap w:val="0"/>
            <w:vAlign w:val="center"/>
          </w:tcPr>
          <w:p w14:paraId="3488ACBF">
            <w:pPr>
              <w:pStyle w:val="33"/>
              <w:bidi w:val="0"/>
              <w:rPr>
                <w:color w:val="auto"/>
                <w:highlight w:val="none"/>
              </w:rPr>
            </w:pPr>
            <w:r>
              <w:rPr>
                <w:color w:val="auto"/>
                <w:highlight w:val="none"/>
              </w:rPr>
              <w:t>空压机工</w:t>
            </w:r>
          </w:p>
        </w:tc>
        <w:tc>
          <w:tcPr>
            <w:tcW w:w="2945" w:type="pct"/>
            <w:tcBorders>
              <w:right w:val="single" w:color="auto" w:sz="4" w:space="0"/>
            </w:tcBorders>
            <w:noWrap w:val="0"/>
            <w:vAlign w:val="center"/>
          </w:tcPr>
          <w:p w14:paraId="58ED107A">
            <w:pPr>
              <w:pStyle w:val="33"/>
              <w:bidi w:val="0"/>
              <w:rPr>
                <w:color w:val="auto"/>
                <w:highlight w:val="none"/>
              </w:rPr>
            </w:pPr>
            <w:r>
              <w:rPr>
                <w:color w:val="auto"/>
                <w:highlight w:val="none"/>
              </w:rPr>
              <w:t>1</w:t>
            </w:r>
          </w:p>
        </w:tc>
      </w:tr>
      <w:tr w14:paraId="2EDC9501">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cantSplit/>
          <w:trHeight w:val="312" w:hRule="exact"/>
          <w:jc w:val="center"/>
        </w:trPr>
        <w:tc>
          <w:tcPr>
            <w:tcW w:w="533" w:type="pct"/>
            <w:noWrap w:val="0"/>
            <w:vAlign w:val="center"/>
          </w:tcPr>
          <w:p w14:paraId="20F64040">
            <w:pPr>
              <w:pStyle w:val="33"/>
              <w:bidi w:val="0"/>
              <w:rPr>
                <w:color w:val="auto"/>
                <w:highlight w:val="none"/>
              </w:rPr>
            </w:pPr>
            <w:r>
              <w:rPr>
                <w:color w:val="auto"/>
                <w:highlight w:val="none"/>
              </w:rPr>
              <w:t>3</w:t>
            </w:r>
          </w:p>
        </w:tc>
        <w:tc>
          <w:tcPr>
            <w:tcW w:w="1520" w:type="pct"/>
            <w:noWrap w:val="0"/>
            <w:vAlign w:val="center"/>
          </w:tcPr>
          <w:p w14:paraId="77F7689D">
            <w:pPr>
              <w:pStyle w:val="33"/>
              <w:bidi w:val="0"/>
              <w:rPr>
                <w:color w:val="auto"/>
                <w:highlight w:val="none"/>
              </w:rPr>
            </w:pPr>
            <w:r>
              <w:rPr>
                <w:color w:val="auto"/>
                <w:highlight w:val="none"/>
              </w:rPr>
              <w:t>叉装机司机</w:t>
            </w:r>
          </w:p>
        </w:tc>
        <w:tc>
          <w:tcPr>
            <w:tcW w:w="2945" w:type="pct"/>
            <w:tcBorders>
              <w:right w:val="single" w:color="auto" w:sz="4" w:space="0"/>
            </w:tcBorders>
            <w:noWrap w:val="0"/>
            <w:vAlign w:val="center"/>
          </w:tcPr>
          <w:p w14:paraId="728E90F0">
            <w:pPr>
              <w:pStyle w:val="33"/>
              <w:bidi w:val="0"/>
              <w:rPr>
                <w:color w:val="auto"/>
                <w:highlight w:val="none"/>
              </w:rPr>
            </w:pPr>
            <w:r>
              <w:rPr>
                <w:color w:val="auto"/>
                <w:highlight w:val="none"/>
              </w:rPr>
              <w:t>2</w:t>
            </w:r>
          </w:p>
        </w:tc>
      </w:tr>
      <w:tr w14:paraId="75B3F6A4">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cantSplit/>
          <w:trHeight w:val="312" w:hRule="exact"/>
          <w:jc w:val="center"/>
        </w:trPr>
        <w:tc>
          <w:tcPr>
            <w:tcW w:w="533" w:type="pct"/>
            <w:noWrap w:val="0"/>
            <w:vAlign w:val="center"/>
          </w:tcPr>
          <w:p w14:paraId="60F87ADC">
            <w:pPr>
              <w:pStyle w:val="33"/>
              <w:bidi w:val="0"/>
              <w:rPr>
                <w:color w:val="auto"/>
                <w:highlight w:val="none"/>
              </w:rPr>
            </w:pPr>
            <w:r>
              <w:rPr>
                <w:color w:val="auto"/>
                <w:highlight w:val="none"/>
              </w:rPr>
              <w:t>4</w:t>
            </w:r>
          </w:p>
        </w:tc>
        <w:tc>
          <w:tcPr>
            <w:tcW w:w="1520" w:type="pct"/>
            <w:noWrap w:val="0"/>
            <w:vAlign w:val="center"/>
          </w:tcPr>
          <w:p w14:paraId="31F55C3E">
            <w:pPr>
              <w:pStyle w:val="33"/>
              <w:bidi w:val="0"/>
              <w:rPr>
                <w:color w:val="auto"/>
                <w:highlight w:val="none"/>
              </w:rPr>
            </w:pPr>
            <w:r>
              <w:rPr>
                <w:color w:val="auto"/>
                <w:highlight w:val="none"/>
              </w:rPr>
              <w:t>挖掘机司机</w:t>
            </w:r>
          </w:p>
        </w:tc>
        <w:tc>
          <w:tcPr>
            <w:tcW w:w="2945" w:type="pct"/>
            <w:tcBorders>
              <w:right w:val="single" w:color="auto" w:sz="4" w:space="0"/>
            </w:tcBorders>
            <w:noWrap w:val="0"/>
            <w:vAlign w:val="center"/>
          </w:tcPr>
          <w:p w14:paraId="7DC25D40">
            <w:pPr>
              <w:pStyle w:val="33"/>
              <w:bidi w:val="0"/>
              <w:rPr>
                <w:color w:val="auto"/>
                <w:highlight w:val="none"/>
              </w:rPr>
            </w:pPr>
            <w:r>
              <w:rPr>
                <w:color w:val="auto"/>
                <w:highlight w:val="none"/>
              </w:rPr>
              <w:t>1</w:t>
            </w:r>
          </w:p>
        </w:tc>
      </w:tr>
      <w:tr w14:paraId="63654AF9">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cantSplit/>
          <w:trHeight w:val="312" w:hRule="exact"/>
          <w:jc w:val="center"/>
        </w:trPr>
        <w:tc>
          <w:tcPr>
            <w:tcW w:w="533" w:type="pct"/>
            <w:noWrap w:val="0"/>
            <w:vAlign w:val="center"/>
          </w:tcPr>
          <w:p w14:paraId="3DF07462">
            <w:pPr>
              <w:pStyle w:val="33"/>
              <w:bidi w:val="0"/>
              <w:rPr>
                <w:color w:val="auto"/>
                <w:highlight w:val="none"/>
              </w:rPr>
            </w:pPr>
            <w:r>
              <w:rPr>
                <w:color w:val="auto"/>
                <w:highlight w:val="none"/>
              </w:rPr>
              <w:t>5</w:t>
            </w:r>
          </w:p>
        </w:tc>
        <w:tc>
          <w:tcPr>
            <w:tcW w:w="1520" w:type="pct"/>
            <w:noWrap w:val="0"/>
            <w:vAlign w:val="center"/>
          </w:tcPr>
          <w:p w14:paraId="311DB7DA">
            <w:pPr>
              <w:pStyle w:val="33"/>
              <w:bidi w:val="0"/>
              <w:rPr>
                <w:color w:val="auto"/>
                <w:highlight w:val="none"/>
              </w:rPr>
            </w:pPr>
            <w:r>
              <w:rPr>
                <w:color w:val="auto"/>
                <w:highlight w:val="none"/>
              </w:rPr>
              <w:t>平板车司机</w:t>
            </w:r>
          </w:p>
        </w:tc>
        <w:tc>
          <w:tcPr>
            <w:tcW w:w="2945" w:type="pct"/>
            <w:tcBorders>
              <w:right w:val="single" w:color="auto" w:sz="4" w:space="0"/>
            </w:tcBorders>
            <w:noWrap w:val="0"/>
            <w:vAlign w:val="center"/>
          </w:tcPr>
          <w:p w14:paraId="3CC85A77">
            <w:pPr>
              <w:pStyle w:val="33"/>
              <w:bidi w:val="0"/>
              <w:rPr>
                <w:color w:val="auto"/>
                <w:highlight w:val="none"/>
              </w:rPr>
            </w:pPr>
            <w:r>
              <w:rPr>
                <w:color w:val="auto"/>
                <w:highlight w:val="none"/>
              </w:rPr>
              <w:t>2</w:t>
            </w:r>
          </w:p>
        </w:tc>
      </w:tr>
      <w:tr w14:paraId="7DA3F9F5">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cantSplit/>
          <w:trHeight w:val="312" w:hRule="exact"/>
          <w:jc w:val="center"/>
        </w:trPr>
        <w:tc>
          <w:tcPr>
            <w:tcW w:w="533" w:type="pct"/>
            <w:noWrap w:val="0"/>
            <w:vAlign w:val="center"/>
          </w:tcPr>
          <w:p w14:paraId="3A441026">
            <w:pPr>
              <w:pStyle w:val="33"/>
              <w:bidi w:val="0"/>
              <w:rPr>
                <w:color w:val="auto"/>
                <w:highlight w:val="none"/>
              </w:rPr>
            </w:pPr>
            <w:r>
              <w:rPr>
                <w:color w:val="auto"/>
                <w:highlight w:val="none"/>
              </w:rPr>
              <w:t>6</w:t>
            </w:r>
          </w:p>
        </w:tc>
        <w:tc>
          <w:tcPr>
            <w:tcW w:w="1520" w:type="pct"/>
            <w:noWrap w:val="0"/>
            <w:vAlign w:val="center"/>
          </w:tcPr>
          <w:p w14:paraId="1228062E">
            <w:pPr>
              <w:pStyle w:val="33"/>
              <w:bidi w:val="0"/>
              <w:rPr>
                <w:color w:val="auto"/>
                <w:highlight w:val="none"/>
              </w:rPr>
            </w:pPr>
            <w:r>
              <w:rPr>
                <w:color w:val="auto"/>
                <w:highlight w:val="none"/>
              </w:rPr>
              <w:t>洒水车司机</w:t>
            </w:r>
          </w:p>
        </w:tc>
        <w:tc>
          <w:tcPr>
            <w:tcW w:w="2945" w:type="pct"/>
            <w:tcBorders>
              <w:right w:val="single" w:color="auto" w:sz="4" w:space="0"/>
            </w:tcBorders>
            <w:noWrap w:val="0"/>
            <w:vAlign w:val="center"/>
          </w:tcPr>
          <w:p w14:paraId="3255350B">
            <w:pPr>
              <w:pStyle w:val="33"/>
              <w:bidi w:val="0"/>
              <w:rPr>
                <w:color w:val="auto"/>
                <w:highlight w:val="none"/>
              </w:rPr>
            </w:pPr>
            <w:r>
              <w:rPr>
                <w:color w:val="auto"/>
                <w:highlight w:val="none"/>
              </w:rPr>
              <w:t>1</w:t>
            </w:r>
          </w:p>
        </w:tc>
      </w:tr>
      <w:tr w14:paraId="5DB0FD67">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cantSplit/>
          <w:trHeight w:val="312" w:hRule="exact"/>
          <w:jc w:val="center"/>
        </w:trPr>
        <w:tc>
          <w:tcPr>
            <w:tcW w:w="533" w:type="pct"/>
            <w:noWrap w:val="0"/>
            <w:vAlign w:val="center"/>
          </w:tcPr>
          <w:p w14:paraId="430CED4A">
            <w:pPr>
              <w:pStyle w:val="33"/>
              <w:bidi w:val="0"/>
              <w:rPr>
                <w:color w:val="auto"/>
                <w:highlight w:val="none"/>
              </w:rPr>
            </w:pPr>
            <w:r>
              <w:rPr>
                <w:color w:val="auto"/>
                <w:highlight w:val="none"/>
              </w:rPr>
              <w:t>7</w:t>
            </w:r>
          </w:p>
        </w:tc>
        <w:tc>
          <w:tcPr>
            <w:tcW w:w="1520" w:type="pct"/>
            <w:noWrap w:val="0"/>
            <w:vAlign w:val="center"/>
          </w:tcPr>
          <w:p w14:paraId="7930F9BF">
            <w:pPr>
              <w:pStyle w:val="33"/>
              <w:bidi w:val="0"/>
              <w:rPr>
                <w:color w:val="auto"/>
                <w:highlight w:val="none"/>
              </w:rPr>
            </w:pPr>
            <w:r>
              <w:rPr>
                <w:color w:val="auto"/>
                <w:highlight w:val="none"/>
              </w:rPr>
              <w:t>推土机司机</w:t>
            </w:r>
          </w:p>
        </w:tc>
        <w:tc>
          <w:tcPr>
            <w:tcW w:w="2945" w:type="pct"/>
            <w:tcBorders>
              <w:right w:val="single" w:color="auto" w:sz="4" w:space="0"/>
            </w:tcBorders>
            <w:noWrap w:val="0"/>
            <w:vAlign w:val="center"/>
          </w:tcPr>
          <w:p w14:paraId="5ACA2E37">
            <w:pPr>
              <w:pStyle w:val="33"/>
              <w:bidi w:val="0"/>
              <w:rPr>
                <w:color w:val="auto"/>
                <w:highlight w:val="none"/>
              </w:rPr>
            </w:pPr>
            <w:r>
              <w:rPr>
                <w:color w:val="auto"/>
                <w:highlight w:val="none"/>
              </w:rPr>
              <w:t>1</w:t>
            </w:r>
          </w:p>
        </w:tc>
      </w:tr>
      <w:tr w14:paraId="31BC4A1A">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cantSplit/>
          <w:trHeight w:val="312" w:hRule="exact"/>
          <w:jc w:val="center"/>
        </w:trPr>
        <w:tc>
          <w:tcPr>
            <w:tcW w:w="533" w:type="pct"/>
            <w:noWrap w:val="0"/>
            <w:vAlign w:val="center"/>
          </w:tcPr>
          <w:p w14:paraId="3414C8EB">
            <w:pPr>
              <w:pStyle w:val="33"/>
              <w:bidi w:val="0"/>
              <w:rPr>
                <w:color w:val="auto"/>
                <w:highlight w:val="none"/>
              </w:rPr>
            </w:pPr>
            <w:r>
              <w:rPr>
                <w:color w:val="auto"/>
                <w:highlight w:val="none"/>
              </w:rPr>
              <w:t>8</w:t>
            </w:r>
          </w:p>
        </w:tc>
        <w:tc>
          <w:tcPr>
            <w:tcW w:w="1520" w:type="pct"/>
            <w:noWrap w:val="0"/>
            <w:vAlign w:val="center"/>
          </w:tcPr>
          <w:p w14:paraId="3F43A5DF">
            <w:pPr>
              <w:pStyle w:val="33"/>
              <w:bidi w:val="0"/>
              <w:rPr>
                <w:color w:val="auto"/>
                <w:highlight w:val="none"/>
              </w:rPr>
            </w:pPr>
            <w:r>
              <w:rPr>
                <w:color w:val="auto"/>
                <w:highlight w:val="none"/>
              </w:rPr>
              <w:t>电工</w:t>
            </w:r>
          </w:p>
        </w:tc>
        <w:tc>
          <w:tcPr>
            <w:tcW w:w="2945" w:type="pct"/>
            <w:tcBorders>
              <w:right w:val="single" w:color="auto" w:sz="4" w:space="0"/>
            </w:tcBorders>
            <w:noWrap w:val="0"/>
            <w:vAlign w:val="center"/>
          </w:tcPr>
          <w:p w14:paraId="4DCBC5CF">
            <w:pPr>
              <w:pStyle w:val="33"/>
              <w:bidi w:val="0"/>
              <w:rPr>
                <w:color w:val="auto"/>
                <w:highlight w:val="none"/>
              </w:rPr>
            </w:pPr>
            <w:r>
              <w:rPr>
                <w:color w:val="auto"/>
                <w:highlight w:val="none"/>
              </w:rPr>
              <w:t>2</w:t>
            </w:r>
          </w:p>
        </w:tc>
      </w:tr>
      <w:tr w14:paraId="5AAAB8C6">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cantSplit/>
          <w:trHeight w:val="312" w:hRule="exact"/>
          <w:jc w:val="center"/>
        </w:trPr>
        <w:tc>
          <w:tcPr>
            <w:tcW w:w="533" w:type="pct"/>
            <w:noWrap w:val="0"/>
            <w:vAlign w:val="center"/>
          </w:tcPr>
          <w:p w14:paraId="6EF929CD">
            <w:pPr>
              <w:pStyle w:val="33"/>
              <w:bidi w:val="0"/>
              <w:rPr>
                <w:color w:val="auto"/>
                <w:highlight w:val="none"/>
              </w:rPr>
            </w:pPr>
            <w:r>
              <w:rPr>
                <w:color w:val="auto"/>
                <w:highlight w:val="none"/>
              </w:rPr>
              <w:t>9</w:t>
            </w:r>
          </w:p>
        </w:tc>
        <w:tc>
          <w:tcPr>
            <w:tcW w:w="1520" w:type="pct"/>
            <w:noWrap w:val="0"/>
            <w:vAlign w:val="center"/>
          </w:tcPr>
          <w:p w14:paraId="6E01CC57">
            <w:pPr>
              <w:pStyle w:val="33"/>
              <w:bidi w:val="0"/>
              <w:rPr>
                <w:color w:val="auto"/>
                <w:highlight w:val="none"/>
              </w:rPr>
            </w:pPr>
            <w:r>
              <w:rPr>
                <w:color w:val="auto"/>
                <w:highlight w:val="none"/>
              </w:rPr>
              <w:t>机修工</w:t>
            </w:r>
          </w:p>
        </w:tc>
        <w:tc>
          <w:tcPr>
            <w:tcW w:w="2945" w:type="pct"/>
            <w:tcBorders>
              <w:right w:val="single" w:color="auto" w:sz="4" w:space="0"/>
            </w:tcBorders>
            <w:noWrap w:val="0"/>
            <w:vAlign w:val="center"/>
          </w:tcPr>
          <w:p w14:paraId="51556B3C">
            <w:pPr>
              <w:pStyle w:val="33"/>
              <w:bidi w:val="0"/>
              <w:rPr>
                <w:color w:val="auto"/>
                <w:highlight w:val="none"/>
              </w:rPr>
            </w:pPr>
            <w:r>
              <w:rPr>
                <w:color w:val="auto"/>
                <w:highlight w:val="none"/>
              </w:rPr>
              <w:t>1</w:t>
            </w:r>
          </w:p>
        </w:tc>
      </w:tr>
      <w:tr w14:paraId="56F51CF9">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cantSplit/>
          <w:trHeight w:val="312" w:hRule="exact"/>
          <w:jc w:val="center"/>
        </w:trPr>
        <w:tc>
          <w:tcPr>
            <w:tcW w:w="533" w:type="pct"/>
            <w:noWrap w:val="0"/>
            <w:vAlign w:val="center"/>
          </w:tcPr>
          <w:p w14:paraId="72FBEB65">
            <w:pPr>
              <w:pStyle w:val="33"/>
              <w:bidi w:val="0"/>
              <w:rPr>
                <w:color w:val="auto"/>
                <w:highlight w:val="none"/>
              </w:rPr>
            </w:pPr>
            <w:r>
              <w:rPr>
                <w:color w:val="auto"/>
                <w:highlight w:val="none"/>
              </w:rPr>
              <w:t>10</w:t>
            </w:r>
          </w:p>
        </w:tc>
        <w:tc>
          <w:tcPr>
            <w:tcW w:w="1520" w:type="pct"/>
            <w:noWrap w:val="0"/>
            <w:vAlign w:val="center"/>
          </w:tcPr>
          <w:p w14:paraId="54504940">
            <w:pPr>
              <w:pStyle w:val="33"/>
              <w:bidi w:val="0"/>
              <w:rPr>
                <w:color w:val="auto"/>
                <w:highlight w:val="none"/>
              </w:rPr>
            </w:pPr>
            <w:r>
              <w:rPr>
                <w:color w:val="auto"/>
                <w:highlight w:val="none"/>
              </w:rPr>
              <w:t>锯切机操作工</w:t>
            </w:r>
          </w:p>
        </w:tc>
        <w:tc>
          <w:tcPr>
            <w:tcW w:w="2945" w:type="pct"/>
            <w:tcBorders>
              <w:right w:val="single" w:color="auto" w:sz="4" w:space="0"/>
            </w:tcBorders>
            <w:noWrap w:val="0"/>
            <w:vAlign w:val="center"/>
          </w:tcPr>
          <w:p w14:paraId="5EF948D3">
            <w:pPr>
              <w:pStyle w:val="33"/>
              <w:bidi w:val="0"/>
              <w:rPr>
                <w:color w:val="auto"/>
                <w:highlight w:val="none"/>
              </w:rPr>
            </w:pPr>
            <w:r>
              <w:rPr>
                <w:color w:val="auto"/>
                <w:highlight w:val="none"/>
              </w:rPr>
              <w:t>2</w:t>
            </w:r>
          </w:p>
        </w:tc>
      </w:tr>
      <w:tr w14:paraId="1052E48B">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cantSplit/>
          <w:trHeight w:val="312" w:hRule="exact"/>
          <w:jc w:val="center"/>
        </w:trPr>
        <w:tc>
          <w:tcPr>
            <w:tcW w:w="533" w:type="pct"/>
            <w:noWrap w:val="0"/>
            <w:vAlign w:val="center"/>
          </w:tcPr>
          <w:p w14:paraId="051D3123">
            <w:pPr>
              <w:pStyle w:val="33"/>
              <w:bidi w:val="0"/>
              <w:rPr>
                <w:color w:val="auto"/>
                <w:highlight w:val="none"/>
              </w:rPr>
            </w:pPr>
            <w:r>
              <w:rPr>
                <w:color w:val="auto"/>
                <w:highlight w:val="none"/>
              </w:rPr>
              <w:t>11</w:t>
            </w:r>
          </w:p>
        </w:tc>
        <w:tc>
          <w:tcPr>
            <w:tcW w:w="1520" w:type="pct"/>
            <w:noWrap w:val="0"/>
            <w:vAlign w:val="center"/>
          </w:tcPr>
          <w:p w14:paraId="63902DD7">
            <w:pPr>
              <w:pStyle w:val="33"/>
              <w:bidi w:val="0"/>
              <w:rPr>
                <w:color w:val="auto"/>
                <w:highlight w:val="none"/>
              </w:rPr>
            </w:pPr>
            <w:r>
              <w:rPr>
                <w:color w:val="auto"/>
                <w:highlight w:val="none"/>
              </w:rPr>
              <w:t>安全员</w:t>
            </w:r>
          </w:p>
        </w:tc>
        <w:tc>
          <w:tcPr>
            <w:tcW w:w="2945" w:type="pct"/>
            <w:tcBorders>
              <w:right w:val="single" w:color="auto" w:sz="4" w:space="0"/>
            </w:tcBorders>
            <w:noWrap w:val="0"/>
            <w:vAlign w:val="center"/>
          </w:tcPr>
          <w:p w14:paraId="5BFCE79F">
            <w:pPr>
              <w:pStyle w:val="33"/>
              <w:bidi w:val="0"/>
              <w:rPr>
                <w:color w:val="auto"/>
                <w:highlight w:val="none"/>
              </w:rPr>
            </w:pPr>
            <w:r>
              <w:rPr>
                <w:color w:val="auto"/>
                <w:highlight w:val="none"/>
              </w:rPr>
              <w:t>1</w:t>
            </w:r>
          </w:p>
        </w:tc>
      </w:tr>
      <w:tr w14:paraId="74AE63D0">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cantSplit/>
          <w:trHeight w:val="312" w:hRule="exact"/>
          <w:jc w:val="center"/>
        </w:trPr>
        <w:tc>
          <w:tcPr>
            <w:tcW w:w="533" w:type="pct"/>
            <w:noWrap w:val="0"/>
            <w:vAlign w:val="center"/>
          </w:tcPr>
          <w:p w14:paraId="1EBD5557">
            <w:pPr>
              <w:pStyle w:val="33"/>
              <w:bidi w:val="0"/>
              <w:rPr>
                <w:color w:val="auto"/>
                <w:highlight w:val="none"/>
              </w:rPr>
            </w:pPr>
            <w:r>
              <w:rPr>
                <w:color w:val="auto"/>
                <w:highlight w:val="none"/>
              </w:rPr>
              <w:t>12</w:t>
            </w:r>
          </w:p>
        </w:tc>
        <w:tc>
          <w:tcPr>
            <w:tcW w:w="1520" w:type="pct"/>
            <w:noWrap w:val="0"/>
            <w:vAlign w:val="center"/>
          </w:tcPr>
          <w:p w14:paraId="71E73C29">
            <w:pPr>
              <w:pStyle w:val="33"/>
              <w:bidi w:val="0"/>
              <w:rPr>
                <w:color w:val="auto"/>
                <w:highlight w:val="none"/>
              </w:rPr>
            </w:pPr>
            <w:r>
              <w:rPr>
                <w:color w:val="auto"/>
                <w:highlight w:val="none"/>
              </w:rPr>
              <w:t>技术员</w:t>
            </w:r>
          </w:p>
        </w:tc>
        <w:tc>
          <w:tcPr>
            <w:tcW w:w="2945" w:type="pct"/>
            <w:tcBorders>
              <w:right w:val="single" w:color="auto" w:sz="4" w:space="0"/>
            </w:tcBorders>
            <w:noWrap w:val="0"/>
            <w:vAlign w:val="center"/>
          </w:tcPr>
          <w:p w14:paraId="647B45B6">
            <w:pPr>
              <w:pStyle w:val="33"/>
              <w:bidi w:val="0"/>
              <w:rPr>
                <w:color w:val="auto"/>
                <w:highlight w:val="none"/>
              </w:rPr>
            </w:pPr>
            <w:r>
              <w:rPr>
                <w:color w:val="auto"/>
                <w:highlight w:val="none"/>
              </w:rPr>
              <w:t>3</w:t>
            </w:r>
          </w:p>
        </w:tc>
      </w:tr>
      <w:tr w14:paraId="258BBDBD">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cantSplit/>
          <w:trHeight w:val="312" w:hRule="exact"/>
          <w:jc w:val="center"/>
        </w:trPr>
        <w:tc>
          <w:tcPr>
            <w:tcW w:w="533" w:type="pct"/>
            <w:noWrap w:val="0"/>
            <w:vAlign w:val="center"/>
          </w:tcPr>
          <w:p w14:paraId="1E74E287">
            <w:pPr>
              <w:pStyle w:val="33"/>
              <w:bidi w:val="0"/>
              <w:rPr>
                <w:color w:val="auto"/>
                <w:highlight w:val="none"/>
              </w:rPr>
            </w:pPr>
          </w:p>
        </w:tc>
        <w:tc>
          <w:tcPr>
            <w:tcW w:w="1520" w:type="pct"/>
            <w:noWrap w:val="0"/>
            <w:vAlign w:val="center"/>
          </w:tcPr>
          <w:p w14:paraId="7FC79C84">
            <w:pPr>
              <w:pStyle w:val="33"/>
              <w:bidi w:val="0"/>
              <w:rPr>
                <w:color w:val="auto"/>
                <w:highlight w:val="none"/>
              </w:rPr>
            </w:pPr>
            <w:r>
              <w:rPr>
                <w:color w:val="auto"/>
                <w:highlight w:val="none"/>
              </w:rPr>
              <w:t>生产工人合计</w:t>
            </w:r>
          </w:p>
        </w:tc>
        <w:tc>
          <w:tcPr>
            <w:tcW w:w="2945" w:type="pct"/>
            <w:tcBorders>
              <w:right w:val="single" w:color="auto" w:sz="4" w:space="0"/>
            </w:tcBorders>
            <w:noWrap w:val="0"/>
            <w:vAlign w:val="center"/>
          </w:tcPr>
          <w:p w14:paraId="4D75E6D0">
            <w:pPr>
              <w:pStyle w:val="33"/>
              <w:bidi w:val="0"/>
              <w:rPr>
                <w:color w:val="auto"/>
                <w:highlight w:val="none"/>
              </w:rPr>
            </w:pPr>
            <w:r>
              <w:rPr>
                <w:color w:val="auto"/>
                <w:highlight w:val="none"/>
              </w:rPr>
              <w:t>19</w:t>
            </w:r>
          </w:p>
        </w:tc>
      </w:tr>
      <w:tr w14:paraId="1FAF494B">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cantSplit/>
          <w:trHeight w:val="312" w:hRule="exact"/>
          <w:jc w:val="center"/>
        </w:trPr>
        <w:tc>
          <w:tcPr>
            <w:tcW w:w="533" w:type="pct"/>
            <w:noWrap w:val="0"/>
            <w:vAlign w:val="center"/>
          </w:tcPr>
          <w:p w14:paraId="663F70F3">
            <w:pPr>
              <w:pStyle w:val="33"/>
              <w:bidi w:val="0"/>
              <w:rPr>
                <w:color w:val="auto"/>
                <w:highlight w:val="none"/>
              </w:rPr>
            </w:pPr>
            <w:r>
              <w:rPr>
                <w:color w:val="auto"/>
                <w:highlight w:val="none"/>
              </w:rPr>
              <w:t>13</w:t>
            </w:r>
          </w:p>
        </w:tc>
        <w:tc>
          <w:tcPr>
            <w:tcW w:w="1520" w:type="pct"/>
            <w:noWrap w:val="0"/>
            <w:vAlign w:val="center"/>
          </w:tcPr>
          <w:p w14:paraId="3179FA4D">
            <w:pPr>
              <w:pStyle w:val="33"/>
              <w:bidi w:val="0"/>
              <w:rPr>
                <w:color w:val="auto"/>
                <w:highlight w:val="none"/>
              </w:rPr>
            </w:pPr>
            <w:r>
              <w:rPr>
                <w:color w:val="auto"/>
                <w:highlight w:val="none"/>
              </w:rPr>
              <w:t>管理人员</w:t>
            </w:r>
          </w:p>
        </w:tc>
        <w:tc>
          <w:tcPr>
            <w:tcW w:w="2945" w:type="pct"/>
            <w:tcBorders>
              <w:right w:val="single" w:color="auto" w:sz="4" w:space="0"/>
            </w:tcBorders>
            <w:noWrap w:val="0"/>
            <w:vAlign w:val="center"/>
          </w:tcPr>
          <w:p w14:paraId="007EB585">
            <w:pPr>
              <w:pStyle w:val="33"/>
              <w:bidi w:val="0"/>
              <w:rPr>
                <w:color w:val="auto"/>
                <w:highlight w:val="none"/>
              </w:rPr>
            </w:pPr>
            <w:r>
              <w:rPr>
                <w:color w:val="auto"/>
                <w:highlight w:val="none"/>
              </w:rPr>
              <w:t>3</w:t>
            </w:r>
          </w:p>
        </w:tc>
      </w:tr>
      <w:tr w14:paraId="29A5DAE7">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cantSplit/>
          <w:trHeight w:val="312" w:hRule="exact"/>
          <w:jc w:val="center"/>
        </w:trPr>
        <w:tc>
          <w:tcPr>
            <w:tcW w:w="533" w:type="pct"/>
            <w:noWrap w:val="0"/>
            <w:vAlign w:val="center"/>
          </w:tcPr>
          <w:p w14:paraId="4ADE273C">
            <w:pPr>
              <w:pStyle w:val="33"/>
              <w:bidi w:val="0"/>
              <w:rPr>
                <w:color w:val="auto"/>
                <w:highlight w:val="none"/>
              </w:rPr>
            </w:pPr>
          </w:p>
        </w:tc>
        <w:tc>
          <w:tcPr>
            <w:tcW w:w="1520" w:type="pct"/>
            <w:noWrap w:val="0"/>
            <w:vAlign w:val="center"/>
          </w:tcPr>
          <w:p w14:paraId="35520588">
            <w:pPr>
              <w:pStyle w:val="33"/>
              <w:bidi w:val="0"/>
              <w:rPr>
                <w:color w:val="auto"/>
                <w:highlight w:val="none"/>
              </w:rPr>
            </w:pPr>
            <w:r>
              <w:rPr>
                <w:color w:val="auto"/>
                <w:highlight w:val="none"/>
              </w:rPr>
              <w:t>总计</w:t>
            </w:r>
          </w:p>
        </w:tc>
        <w:tc>
          <w:tcPr>
            <w:tcW w:w="2945" w:type="pct"/>
            <w:tcBorders>
              <w:right w:val="single" w:color="auto" w:sz="4" w:space="0"/>
            </w:tcBorders>
            <w:noWrap w:val="0"/>
            <w:vAlign w:val="center"/>
          </w:tcPr>
          <w:p w14:paraId="68BDFE66">
            <w:pPr>
              <w:pStyle w:val="33"/>
              <w:bidi w:val="0"/>
              <w:rPr>
                <w:color w:val="auto"/>
                <w:highlight w:val="none"/>
              </w:rPr>
            </w:pPr>
            <w:r>
              <w:rPr>
                <w:color w:val="auto"/>
                <w:highlight w:val="none"/>
              </w:rPr>
              <w:t>22</w:t>
            </w:r>
          </w:p>
        </w:tc>
      </w:tr>
    </w:tbl>
    <w:p w14:paraId="03E3E25D">
      <w:pPr>
        <w:pStyle w:val="24"/>
        <w:bidi w:val="0"/>
        <w:rPr>
          <w:rFonts w:hint="eastAsia"/>
          <w:color w:val="auto"/>
          <w:highlight w:val="none"/>
          <w:lang w:val="en-US" w:eastAsia="zh-CN"/>
        </w:rPr>
      </w:pPr>
      <w:r>
        <w:rPr>
          <w:rFonts w:hint="eastAsia"/>
          <w:color w:val="auto"/>
          <w:highlight w:val="none"/>
          <w:lang w:val="en-US" w:eastAsia="zh-CN"/>
        </w:rPr>
        <w:t>2、技术经济指标</w:t>
      </w:r>
    </w:p>
    <w:p w14:paraId="00AC4392">
      <w:pPr>
        <w:pStyle w:val="24"/>
        <w:bidi w:val="0"/>
        <w:rPr>
          <w:rFonts w:hint="eastAsia"/>
          <w:color w:val="auto"/>
          <w:highlight w:val="none"/>
          <w:lang w:val="en-US" w:eastAsia="zh-CN"/>
        </w:rPr>
      </w:pPr>
      <w:r>
        <w:rPr>
          <w:color w:val="auto"/>
          <w:highlight w:val="none"/>
        </w:rPr>
        <w:t>项目总投资估算为189.91万元，其中设备购置费100万元，基建剥离费用27.91万元，安全措施费用16万元，其他费用26万元，铺底流动资金20万元。</w:t>
      </w:r>
    </w:p>
    <w:p w14:paraId="4F2E5E58">
      <w:pPr>
        <w:pStyle w:val="32"/>
        <w:bidi w:val="0"/>
        <w:rPr>
          <w:rFonts w:hint="default"/>
          <w:color w:val="auto"/>
          <w:highlight w:val="none"/>
          <w:lang w:val="en-US" w:eastAsia="zh-CN"/>
        </w:rPr>
      </w:pPr>
      <w:r>
        <w:rPr>
          <w:rFonts w:hint="eastAsia"/>
          <w:color w:val="auto"/>
          <w:highlight w:val="none"/>
          <w:lang w:val="en-US" w:eastAsia="zh-CN"/>
        </w:rPr>
        <w:t xml:space="preserve">表2.4-4  </w:t>
      </w:r>
      <w:r>
        <w:rPr>
          <w:rFonts w:hint="default"/>
          <w:color w:val="auto"/>
          <w:highlight w:val="none"/>
          <w:lang w:val="en-US" w:eastAsia="zh-CN"/>
        </w:rPr>
        <w:t>主要技术经济指标详见</w:t>
      </w:r>
    </w:p>
    <w:tbl>
      <w:tblPr>
        <w:tblStyle w:val="26"/>
        <w:tblW w:w="5000" w:type="pct"/>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28" w:type="dxa"/>
          <w:bottom w:w="0" w:type="dxa"/>
          <w:right w:w="28" w:type="dxa"/>
        </w:tblCellMar>
      </w:tblPr>
      <w:tblGrid>
        <w:gridCol w:w="795"/>
        <w:gridCol w:w="3604"/>
        <w:gridCol w:w="1244"/>
        <w:gridCol w:w="1763"/>
        <w:gridCol w:w="1835"/>
      </w:tblGrid>
      <w:tr w14:paraId="1D905AF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blHeader/>
        </w:trPr>
        <w:tc>
          <w:tcPr>
            <w:tcW w:w="430" w:type="pct"/>
            <w:noWrap w:val="0"/>
            <w:vAlign w:val="center"/>
          </w:tcPr>
          <w:p w14:paraId="0D9CD8E8">
            <w:pPr>
              <w:pStyle w:val="33"/>
              <w:bidi w:val="0"/>
              <w:rPr>
                <w:color w:val="auto"/>
                <w:highlight w:val="none"/>
              </w:rPr>
            </w:pPr>
            <w:r>
              <w:rPr>
                <w:color w:val="auto"/>
                <w:highlight w:val="none"/>
              </w:rPr>
              <w:t>序号</w:t>
            </w:r>
          </w:p>
        </w:tc>
        <w:tc>
          <w:tcPr>
            <w:tcW w:w="1950" w:type="pct"/>
            <w:noWrap w:val="0"/>
            <w:vAlign w:val="center"/>
          </w:tcPr>
          <w:p w14:paraId="550FA8CE">
            <w:pPr>
              <w:pStyle w:val="33"/>
              <w:bidi w:val="0"/>
              <w:rPr>
                <w:color w:val="auto"/>
                <w:highlight w:val="none"/>
              </w:rPr>
            </w:pPr>
            <w:r>
              <w:rPr>
                <w:color w:val="auto"/>
                <w:highlight w:val="none"/>
              </w:rPr>
              <w:t>指标名称</w:t>
            </w:r>
          </w:p>
        </w:tc>
        <w:tc>
          <w:tcPr>
            <w:tcW w:w="673" w:type="pct"/>
            <w:noWrap w:val="0"/>
            <w:vAlign w:val="center"/>
          </w:tcPr>
          <w:p w14:paraId="6FBEA82F">
            <w:pPr>
              <w:pStyle w:val="33"/>
              <w:bidi w:val="0"/>
              <w:rPr>
                <w:color w:val="auto"/>
                <w:highlight w:val="none"/>
              </w:rPr>
            </w:pPr>
            <w:r>
              <w:rPr>
                <w:color w:val="auto"/>
                <w:highlight w:val="none"/>
              </w:rPr>
              <w:t>单位</w:t>
            </w:r>
          </w:p>
        </w:tc>
        <w:tc>
          <w:tcPr>
            <w:tcW w:w="954" w:type="pct"/>
            <w:noWrap w:val="0"/>
            <w:vAlign w:val="center"/>
          </w:tcPr>
          <w:p w14:paraId="51B7DDE8">
            <w:pPr>
              <w:pStyle w:val="33"/>
              <w:bidi w:val="0"/>
              <w:rPr>
                <w:color w:val="auto"/>
                <w:highlight w:val="none"/>
              </w:rPr>
            </w:pPr>
            <w:r>
              <w:rPr>
                <w:color w:val="auto"/>
                <w:highlight w:val="none"/>
              </w:rPr>
              <w:t>数量</w:t>
            </w:r>
          </w:p>
        </w:tc>
        <w:tc>
          <w:tcPr>
            <w:tcW w:w="993" w:type="pct"/>
            <w:noWrap w:val="0"/>
            <w:vAlign w:val="center"/>
          </w:tcPr>
          <w:p w14:paraId="54790572">
            <w:pPr>
              <w:pStyle w:val="33"/>
              <w:bidi w:val="0"/>
              <w:rPr>
                <w:color w:val="auto"/>
                <w:highlight w:val="none"/>
              </w:rPr>
            </w:pPr>
            <w:r>
              <w:rPr>
                <w:color w:val="auto"/>
                <w:highlight w:val="none"/>
              </w:rPr>
              <w:t>备注</w:t>
            </w:r>
          </w:p>
        </w:tc>
      </w:tr>
      <w:tr w14:paraId="125757B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56DDC83C">
            <w:pPr>
              <w:pStyle w:val="33"/>
              <w:bidi w:val="0"/>
              <w:rPr>
                <w:color w:val="auto"/>
                <w:highlight w:val="none"/>
              </w:rPr>
            </w:pPr>
            <w:r>
              <w:rPr>
                <w:color w:val="auto"/>
                <w:highlight w:val="none"/>
              </w:rPr>
              <w:t>1</w:t>
            </w:r>
          </w:p>
        </w:tc>
        <w:tc>
          <w:tcPr>
            <w:tcW w:w="1950" w:type="pct"/>
            <w:noWrap w:val="0"/>
            <w:vAlign w:val="center"/>
          </w:tcPr>
          <w:p w14:paraId="6BCA5083">
            <w:pPr>
              <w:pStyle w:val="33"/>
              <w:bidi w:val="0"/>
              <w:rPr>
                <w:color w:val="auto"/>
                <w:highlight w:val="none"/>
              </w:rPr>
            </w:pPr>
            <w:r>
              <w:rPr>
                <w:color w:val="auto"/>
                <w:highlight w:val="none"/>
              </w:rPr>
              <w:t>地质</w:t>
            </w:r>
          </w:p>
        </w:tc>
        <w:tc>
          <w:tcPr>
            <w:tcW w:w="673" w:type="pct"/>
            <w:noWrap w:val="0"/>
            <w:vAlign w:val="center"/>
          </w:tcPr>
          <w:p w14:paraId="0FB77F2B">
            <w:pPr>
              <w:pStyle w:val="33"/>
              <w:bidi w:val="0"/>
              <w:rPr>
                <w:color w:val="auto"/>
                <w:highlight w:val="none"/>
              </w:rPr>
            </w:pPr>
          </w:p>
        </w:tc>
        <w:tc>
          <w:tcPr>
            <w:tcW w:w="954" w:type="pct"/>
            <w:noWrap w:val="0"/>
            <w:vAlign w:val="center"/>
          </w:tcPr>
          <w:p w14:paraId="0CB7F797">
            <w:pPr>
              <w:pStyle w:val="33"/>
              <w:bidi w:val="0"/>
              <w:rPr>
                <w:color w:val="auto"/>
                <w:highlight w:val="none"/>
              </w:rPr>
            </w:pPr>
          </w:p>
        </w:tc>
        <w:tc>
          <w:tcPr>
            <w:tcW w:w="993" w:type="pct"/>
            <w:noWrap w:val="0"/>
            <w:vAlign w:val="center"/>
          </w:tcPr>
          <w:p w14:paraId="649A340E">
            <w:pPr>
              <w:pStyle w:val="33"/>
              <w:bidi w:val="0"/>
              <w:rPr>
                <w:color w:val="auto"/>
                <w:highlight w:val="none"/>
              </w:rPr>
            </w:pPr>
          </w:p>
        </w:tc>
      </w:tr>
      <w:tr w14:paraId="4247DA3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76D5E2C6">
            <w:pPr>
              <w:pStyle w:val="33"/>
              <w:bidi w:val="0"/>
              <w:rPr>
                <w:color w:val="auto"/>
                <w:highlight w:val="none"/>
              </w:rPr>
            </w:pPr>
            <w:r>
              <w:rPr>
                <w:color w:val="auto"/>
                <w:highlight w:val="none"/>
              </w:rPr>
              <w:t>1.1</w:t>
            </w:r>
          </w:p>
        </w:tc>
        <w:tc>
          <w:tcPr>
            <w:tcW w:w="1950" w:type="pct"/>
            <w:noWrap w:val="0"/>
            <w:vAlign w:val="center"/>
          </w:tcPr>
          <w:p w14:paraId="76B4658B">
            <w:pPr>
              <w:pStyle w:val="33"/>
              <w:bidi w:val="0"/>
              <w:rPr>
                <w:color w:val="auto"/>
                <w:highlight w:val="none"/>
              </w:rPr>
            </w:pPr>
            <w:r>
              <w:rPr>
                <w:color w:val="auto"/>
                <w:highlight w:val="none"/>
              </w:rPr>
              <w:t>全矿区资源量/储量</w:t>
            </w:r>
          </w:p>
        </w:tc>
        <w:tc>
          <w:tcPr>
            <w:tcW w:w="673" w:type="pct"/>
            <w:noWrap w:val="0"/>
            <w:vAlign w:val="center"/>
          </w:tcPr>
          <w:p w14:paraId="203CB8BE">
            <w:pPr>
              <w:pStyle w:val="33"/>
              <w:bidi w:val="0"/>
              <w:rPr>
                <w:color w:val="auto"/>
                <w:highlight w:val="none"/>
              </w:rPr>
            </w:pPr>
          </w:p>
        </w:tc>
        <w:tc>
          <w:tcPr>
            <w:tcW w:w="954" w:type="pct"/>
            <w:noWrap w:val="0"/>
            <w:vAlign w:val="center"/>
          </w:tcPr>
          <w:p w14:paraId="40556B43">
            <w:pPr>
              <w:pStyle w:val="33"/>
              <w:bidi w:val="0"/>
              <w:rPr>
                <w:color w:val="auto"/>
                <w:highlight w:val="none"/>
              </w:rPr>
            </w:pPr>
          </w:p>
        </w:tc>
        <w:tc>
          <w:tcPr>
            <w:tcW w:w="993" w:type="pct"/>
            <w:noWrap w:val="0"/>
            <w:vAlign w:val="center"/>
          </w:tcPr>
          <w:p w14:paraId="7926F850">
            <w:pPr>
              <w:pStyle w:val="33"/>
              <w:bidi w:val="0"/>
              <w:rPr>
                <w:color w:val="auto"/>
                <w:highlight w:val="none"/>
              </w:rPr>
            </w:pPr>
          </w:p>
        </w:tc>
      </w:tr>
      <w:tr w14:paraId="6884288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2DE93420">
            <w:pPr>
              <w:pStyle w:val="33"/>
              <w:bidi w:val="0"/>
              <w:rPr>
                <w:color w:val="auto"/>
                <w:highlight w:val="none"/>
              </w:rPr>
            </w:pPr>
          </w:p>
        </w:tc>
        <w:tc>
          <w:tcPr>
            <w:tcW w:w="1950" w:type="pct"/>
            <w:noWrap w:val="0"/>
            <w:vAlign w:val="center"/>
          </w:tcPr>
          <w:p w14:paraId="54C3B6C8">
            <w:pPr>
              <w:pStyle w:val="33"/>
              <w:bidi w:val="0"/>
              <w:rPr>
                <w:color w:val="auto"/>
                <w:highlight w:val="none"/>
              </w:rPr>
            </w:pPr>
            <w:r>
              <w:rPr>
                <w:color w:val="auto"/>
                <w:highlight w:val="none"/>
              </w:rPr>
              <w:t>矿石量</w:t>
            </w:r>
          </w:p>
        </w:tc>
        <w:tc>
          <w:tcPr>
            <w:tcW w:w="673" w:type="pct"/>
            <w:noWrap w:val="0"/>
            <w:vAlign w:val="center"/>
          </w:tcPr>
          <w:p w14:paraId="412DB5A1">
            <w:pPr>
              <w:pStyle w:val="33"/>
              <w:bidi w:val="0"/>
              <w:rPr>
                <w:color w:val="auto"/>
                <w:highlight w:val="none"/>
              </w:rPr>
            </w:pPr>
            <w:r>
              <w:rPr>
                <w:color w:val="auto"/>
                <w:highlight w:val="none"/>
              </w:rPr>
              <w:t>万m</w:t>
            </w:r>
            <w:r>
              <w:rPr>
                <w:color w:val="auto"/>
                <w:highlight w:val="none"/>
                <w:vertAlign w:val="superscript"/>
              </w:rPr>
              <w:t>3</w:t>
            </w:r>
          </w:p>
        </w:tc>
        <w:tc>
          <w:tcPr>
            <w:tcW w:w="954" w:type="pct"/>
            <w:noWrap w:val="0"/>
            <w:vAlign w:val="center"/>
          </w:tcPr>
          <w:p w14:paraId="170E7134">
            <w:pPr>
              <w:pStyle w:val="33"/>
              <w:bidi w:val="0"/>
              <w:rPr>
                <w:color w:val="auto"/>
                <w:highlight w:val="none"/>
              </w:rPr>
            </w:pPr>
            <w:r>
              <w:rPr>
                <w:color w:val="auto"/>
                <w:highlight w:val="none"/>
              </w:rPr>
              <w:t>367.872</w:t>
            </w:r>
          </w:p>
        </w:tc>
        <w:tc>
          <w:tcPr>
            <w:tcW w:w="993" w:type="pct"/>
            <w:noWrap w:val="0"/>
            <w:vAlign w:val="center"/>
          </w:tcPr>
          <w:p w14:paraId="1E556370">
            <w:pPr>
              <w:pStyle w:val="33"/>
              <w:bidi w:val="0"/>
              <w:rPr>
                <w:color w:val="auto"/>
                <w:highlight w:val="none"/>
              </w:rPr>
            </w:pPr>
          </w:p>
        </w:tc>
      </w:tr>
      <w:tr w14:paraId="2D8FAD8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010FD57E">
            <w:pPr>
              <w:pStyle w:val="33"/>
              <w:bidi w:val="0"/>
              <w:rPr>
                <w:color w:val="auto"/>
                <w:highlight w:val="none"/>
              </w:rPr>
            </w:pPr>
          </w:p>
        </w:tc>
        <w:tc>
          <w:tcPr>
            <w:tcW w:w="1950" w:type="pct"/>
            <w:noWrap w:val="0"/>
            <w:vAlign w:val="center"/>
          </w:tcPr>
          <w:p w14:paraId="7435322A">
            <w:pPr>
              <w:pStyle w:val="33"/>
              <w:bidi w:val="0"/>
              <w:rPr>
                <w:color w:val="auto"/>
                <w:highlight w:val="none"/>
              </w:rPr>
            </w:pPr>
            <w:r>
              <w:rPr>
                <w:color w:val="auto"/>
                <w:highlight w:val="none"/>
              </w:rPr>
              <w:t>荒料量</w:t>
            </w:r>
          </w:p>
        </w:tc>
        <w:tc>
          <w:tcPr>
            <w:tcW w:w="673" w:type="pct"/>
            <w:noWrap w:val="0"/>
            <w:vAlign w:val="center"/>
          </w:tcPr>
          <w:p w14:paraId="095D024C">
            <w:pPr>
              <w:pStyle w:val="33"/>
              <w:bidi w:val="0"/>
              <w:rPr>
                <w:color w:val="auto"/>
                <w:highlight w:val="none"/>
              </w:rPr>
            </w:pPr>
            <w:r>
              <w:rPr>
                <w:color w:val="auto"/>
                <w:highlight w:val="none"/>
              </w:rPr>
              <w:t>万m</w:t>
            </w:r>
            <w:r>
              <w:rPr>
                <w:color w:val="auto"/>
                <w:highlight w:val="none"/>
                <w:vertAlign w:val="superscript"/>
              </w:rPr>
              <w:t>3</w:t>
            </w:r>
          </w:p>
        </w:tc>
        <w:tc>
          <w:tcPr>
            <w:tcW w:w="954" w:type="pct"/>
            <w:noWrap w:val="0"/>
            <w:vAlign w:val="center"/>
          </w:tcPr>
          <w:p w14:paraId="13058B68">
            <w:pPr>
              <w:pStyle w:val="33"/>
              <w:bidi w:val="0"/>
              <w:rPr>
                <w:color w:val="auto"/>
                <w:highlight w:val="none"/>
              </w:rPr>
            </w:pPr>
            <w:r>
              <w:rPr>
                <w:color w:val="auto"/>
                <w:highlight w:val="none"/>
              </w:rPr>
              <w:t>80.932</w:t>
            </w:r>
          </w:p>
        </w:tc>
        <w:tc>
          <w:tcPr>
            <w:tcW w:w="993" w:type="pct"/>
            <w:noWrap w:val="0"/>
            <w:vAlign w:val="center"/>
          </w:tcPr>
          <w:p w14:paraId="5D0769FF">
            <w:pPr>
              <w:pStyle w:val="33"/>
              <w:bidi w:val="0"/>
              <w:rPr>
                <w:color w:val="auto"/>
                <w:highlight w:val="none"/>
              </w:rPr>
            </w:pPr>
          </w:p>
        </w:tc>
      </w:tr>
      <w:tr w14:paraId="0543E15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22E93171">
            <w:pPr>
              <w:pStyle w:val="33"/>
              <w:bidi w:val="0"/>
              <w:rPr>
                <w:color w:val="auto"/>
                <w:highlight w:val="none"/>
              </w:rPr>
            </w:pPr>
            <w:r>
              <w:rPr>
                <w:color w:val="auto"/>
                <w:highlight w:val="none"/>
              </w:rPr>
              <w:t>1.2</w:t>
            </w:r>
          </w:p>
        </w:tc>
        <w:tc>
          <w:tcPr>
            <w:tcW w:w="1950" w:type="pct"/>
            <w:noWrap w:val="0"/>
            <w:vAlign w:val="center"/>
          </w:tcPr>
          <w:p w14:paraId="6C0E74AA">
            <w:pPr>
              <w:pStyle w:val="33"/>
              <w:bidi w:val="0"/>
              <w:rPr>
                <w:color w:val="auto"/>
                <w:highlight w:val="none"/>
              </w:rPr>
            </w:pPr>
            <w:r>
              <w:rPr>
                <w:color w:val="auto"/>
                <w:highlight w:val="none"/>
              </w:rPr>
              <w:t>露天开采境界内的资源量/储量</w:t>
            </w:r>
          </w:p>
        </w:tc>
        <w:tc>
          <w:tcPr>
            <w:tcW w:w="673" w:type="pct"/>
            <w:noWrap w:val="0"/>
            <w:vAlign w:val="center"/>
          </w:tcPr>
          <w:p w14:paraId="3F6F859C">
            <w:pPr>
              <w:pStyle w:val="33"/>
              <w:bidi w:val="0"/>
              <w:rPr>
                <w:color w:val="auto"/>
                <w:highlight w:val="none"/>
              </w:rPr>
            </w:pPr>
          </w:p>
        </w:tc>
        <w:tc>
          <w:tcPr>
            <w:tcW w:w="954" w:type="pct"/>
            <w:noWrap w:val="0"/>
            <w:vAlign w:val="center"/>
          </w:tcPr>
          <w:p w14:paraId="470566DA">
            <w:pPr>
              <w:pStyle w:val="33"/>
              <w:bidi w:val="0"/>
              <w:rPr>
                <w:color w:val="auto"/>
                <w:highlight w:val="none"/>
              </w:rPr>
            </w:pPr>
          </w:p>
        </w:tc>
        <w:tc>
          <w:tcPr>
            <w:tcW w:w="993" w:type="pct"/>
            <w:noWrap w:val="0"/>
            <w:vAlign w:val="center"/>
          </w:tcPr>
          <w:p w14:paraId="386092F9">
            <w:pPr>
              <w:pStyle w:val="33"/>
              <w:bidi w:val="0"/>
              <w:rPr>
                <w:color w:val="auto"/>
                <w:highlight w:val="none"/>
              </w:rPr>
            </w:pPr>
          </w:p>
        </w:tc>
      </w:tr>
      <w:tr w14:paraId="4C19ACA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13E44E0E">
            <w:pPr>
              <w:pStyle w:val="33"/>
              <w:bidi w:val="0"/>
              <w:rPr>
                <w:color w:val="auto"/>
                <w:highlight w:val="none"/>
              </w:rPr>
            </w:pPr>
          </w:p>
        </w:tc>
        <w:tc>
          <w:tcPr>
            <w:tcW w:w="1950" w:type="pct"/>
            <w:noWrap w:val="0"/>
            <w:vAlign w:val="center"/>
          </w:tcPr>
          <w:p w14:paraId="45522B54">
            <w:pPr>
              <w:pStyle w:val="33"/>
              <w:bidi w:val="0"/>
              <w:rPr>
                <w:color w:val="auto"/>
                <w:highlight w:val="none"/>
              </w:rPr>
            </w:pPr>
            <w:r>
              <w:rPr>
                <w:color w:val="auto"/>
                <w:highlight w:val="none"/>
              </w:rPr>
              <w:t>矿石量</w:t>
            </w:r>
          </w:p>
        </w:tc>
        <w:tc>
          <w:tcPr>
            <w:tcW w:w="673" w:type="pct"/>
            <w:noWrap w:val="0"/>
            <w:vAlign w:val="center"/>
          </w:tcPr>
          <w:p w14:paraId="1BFA228B">
            <w:pPr>
              <w:pStyle w:val="33"/>
              <w:bidi w:val="0"/>
              <w:rPr>
                <w:color w:val="auto"/>
                <w:highlight w:val="none"/>
              </w:rPr>
            </w:pPr>
            <w:r>
              <w:rPr>
                <w:color w:val="auto"/>
                <w:highlight w:val="none"/>
              </w:rPr>
              <w:t>万m</w:t>
            </w:r>
            <w:r>
              <w:rPr>
                <w:color w:val="auto"/>
                <w:highlight w:val="none"/>
                <w:vertAlign w:val="superscript"/>
              </w:rPr>
              <w:t>3</w:t>
            </w:r>
          </w:p>
        </w:tc>
        <w:tc>
          <w:tcPr>
            <w:tcW w:w="954" w:type="pct"/>
            <w:noWrap w:val="0"/>
            <w:vAlign w:val="center"/>
          </w:tcPr>
          <w:p w14:paraId="03B43F86">
            <w:pPr>
              <w:pStyle w:val="33"/>
              <w:bidi w:val="0"/>
              <w:rPr>
                <w:color w:val="auto"/>
                <w:highlight w:val="none"/>
              </w:rPr>
            </w:pPr>
            <w:r>
              <w:rPr>
                <w:color w:val="auto"/>
                <w:highlight w:val="none"/>
              </w:rPr>
              <w:t>237.51</w:t>
            </w:r>
          </w:p>
        </w:tc>
        <w:tc>
          <w:tcPr>
            <w:tcW w:w="993" w:type="pct"/>
            <w:noWrap w:val="0"/>
            <w:vAlign w:val="center"/>
          </w:tcPr>
          <w:p w14:paraId="63BB1FF1">
            <w:pPr>
              <w:pStyle w:val="33"/>
              <w:bidi w:val="0"/>
              <w:rPr>
                <w:color w:val="auto"/>
                <w:highlight w:val="none"/>
              </w:rPr>
            </w:pPr>
          </w:p>
        </w:tc>
      </w:tr>
      <w:tr w14:paraId="5223BDD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60F7A187">
            <w:pPr>
              <w:pStyle w:val="33"/>
              <w:bidi w:val="0"/>
              <w:rPr>
                <w:color w:val="auto"/>
                <w:highlight w:val="none"/>
              </w:rPr>
            </w:pPr>
          </w:p>
        </w:tc>
        <w:tc>
          <w:tcPr>
            <w:tcW w:w="1950" w:type="pct"/>
            <w:noWrap w:val="0"/>
            <w:vAlign w:val="center"/>
          </w:tcPr>
          <w:p w14:paraId="34373692">
            <w:pPr>
              <w:pStyle w:val="33"/>
              <w:bidi w:val="0"/>
              <w:rPr>
                <w:color w:val="auto"/>
                <w:highlight w:val="none"/>
              </w:rPr>
            </w:pPr>
            <w:r>
              <w:rPr>
                <w:color w:val="auto"/>
                <w:highlight w:val="none"/>
              </w:rPr>
              <w:t>荒料量</w:t>
            </w:r>
          </w:p>
        </w:tc>
        <w:tc>
          <w:tcPr>
            <w:tcW w:w="673" w:type="pct"/>
            <w:noWrap w:val="0"/>
            <w:vAlign w:val="center"/>
          </w:tcPr>
          <w:p w14:paraId="317622DA">
            <w:pPr>
              <w:pStyle w:val="33"/>
              <w:bidi w:val="0"/>
              <w:rPr>
                <w:color w:val="auto"/>
                <w:highlight w:val="none"/>
              </w:rPr>
            </w:pPr>
            <w:r>
              <w:rPr>
                <w:color w:val="auto"/>
                <w:highlight w:val="none"/>
              </w:rPr>
              <w:t>万m</w:t>
            </w:r>
            <w:r>
              <w:rPr>
                <w:color w:val="auto"/>
                <w:highlight w:val="none"/>
                <w:vertAlign w:val="superscript"/>
              </w:rPr>
              <w:t>3</w:t>
            </w:r>
          </w:p>
        </w:tc>
        <w:tc>
          <w:tcPr>
            <w:tcW w:w="954" w:type="pct"/>
            <w:noWrap w:val="0"/>
            <w:vAlign w:val="center"/>
          </w:tcPr>
          <w:p w14:paraId="48856252">
            <w:pPr>
              <w:pStyle w:val="33"/>
              <w:bidi w:val="0"/>
              <w:rPr>
                <w:color w:val="auto"/>
                <w:highlight w:val="none"/>
              </w:rPr>
            </w:pPr>
            <w:r>
              <w:rPr>
                <w:color w:val="auto"/>
                <w:highlight w:val="none"/>
              </w:rPr>
              <w:t>52.25</w:t>
            </w:r>
          </w:p>
        </w:tc>
        <w:tc>
          <w:tcPr>
            <w:tcW w:w="993" w:type="pct"/>
            <w:noWrap w:val="0"/>
            <w:vAlign w:val="center"/>
          </w:tcPr>
          <w:p w14:paraId="2FB80C7D">
            <w:pPr>
              <w:pStyle w:val="33"/>
              <w:bidi w:val="0"/>
              <w:rPr>
                <w:color w:val="auto"/>
                <w:highlight w:val="none"/>
              </w:rPr>
            </w:pPr>
          </w:p>
        </w:tc>
      </w:tr>
      <w:tr w14:paraId="1D9BD8B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75F0A6C5">
            <w:pPr>
              <w:pStyle w:val="33"/>
              <w:bidi w:val="0"/>
              <w:rPr>
                <w:color w:val="auto"/>
                <w:highlight w:val="none"/>
              </w:rPr>
            </w:pPr>
            <w:r>
              <w:rPr>
                <w:color w:val="auto"/>
                <w:highlight w:val="none"/>
              </w:rPr>
              <w:t>1.3</w:t>
            </w:r>
          </w:p>
        </w:tc>
        <w:tc>
          <w:tcPr>
            <w:tcW w:w="1950" w:type="pct"/>
            <w:noWrap w:val="0"/>
            <w:vAlign w:val="center"/>
          </w:tcPr>
          <w:p w14:paraId="113C497C">
            <w:pPr>
              <w:pStyle w:val="33"/>
              <w:bidi w:val="0"/>
              <w:rPr>
                <w:color w:val="auto"/>
                <w:highlight w:val="none"/>
              </w:rPr>
            </w:pPr>
            <w:r>
              <w:rPr>
                <w:color w:val="auto"/>
                <w:highlight w:val="none"/>
              </w:rPr>
              <w:t>矿岩物理力学性质</w:t>
            </w:r>
          </w:p>
        </w:tc>
        <w:tc>
          <w:tcPr>
            <w:tcW w:w="673" w:type="pct"/>
            <w:noWrap w:val="0"/>
            <w:vAlign w:val="center"/>
          </w:tcPr>
          <w:p w14:paraId="495D420E">
            <w:pPr>
              <w:pStyle w:val="33"/>
              <w:bidi w:val="0"/>
              <w:rPr>
                <w:color w:val="auto"/>
                <w:highlight w:val="none"/>
              </w:rPr>
            </w:pPr>
          </w:p>
        </w:tc>
        <w:tc>
          <w:tcPr>
            <w:tcW w:w="954" w:type="pct"/>
            <w:noWrap w:val="0"/>
            <w:vAlign w:val="center"/>
          </w:tcPr>
          <w:p w14:paraId="61ED9106">
            <w:pPr>
              <w:pStyle w:val="33"/>
              <w:bidi w:val="0"/>
              <w:rPr>
                <w:color w:val="auto"/>
                <w:highlight w:val="none"/>
              </w:rPr>
            </w:pPr>
          </w:p>
        </w:tc>
        <w:tc>
          <w:tcPr>
            <w:tcW w:w="993" w:type="pct"/>
            <w:noWrap w:val="0"/>
            <w:vAlign w:val="center"/>
          </w:tcPr>
          <w:p w14:paraId="10C20863">
            <w:pPr>
              <w:pStyle w:val="33"/>
              <w:bidi w:val="0"/>
              <w:rPr>
                <w:color w:val="auto"/>
                <w:highlight w:val="none"/>
              </w:rPr>
            </w:pPr>
          </w:p>
        </w:tc>
      </w:tr>
      <w:tr w14:paraId="42E61B6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283B5225">
            <w:pPr>
              <w:pStyle w:val="33"/>
              <w:bidi w:val="0"/>
              <w:rPr>
                <w:color w:val="auto"/>
                <w:highlight w:val="none"/>
              </w:rPr>
            </w:pPr>
          </w:p>
        </w:tc>
        <w:tc>
          <w:tcPr>
            <w:tcW w:w="1950" w:type="pct"/>
            <w:noWrap w:val="0"/>
            <w:vAlign w:val="center"/>
          </w:tcPr>
          <w:p w14:paraId="40EECD12">
            <w:pPr>
              <w:pStyle w:val="33"/>
              <w:bidi w:val="0"/>
              <w:rPr>
                <w:color w:val="auto"/>
                <w:highlight w:val="none"/>
              </w:rPr>
            </w:pPr>
            <w:r>
              <w:rPr>
                <w:color w:val="auto"/>
                <w:highlight w:val="none"/>
              </w:rPr>
              <w:t>矿石体重</w:t>
            </w:r>
          </w:p>
        </w:tc>
        <w:tc>
          <w:tcPr>
            <w:tcW w:w="673" w:type="pct"/>
            <w:noWrap w:val="0"/>
            <w:vAlign w:val="center"/>
          </w:tcPr>
          <w:p w14:paraId="2E93232A">
            <w:pPr>
              <w:pStyle w:val="33"/>
              <w:bidi w:val="0"/>
              <w:rPr>
                <w:color w:val="auto"/>
                <w:highlight w:val="none"/>
              </w:rPr>
            </w:pPr>
            <w:r>
              <w:rPr>
                <w:color w:val="auto"/>
                <w:highlight w:val="none"/>
              </w:rPr>
              <w:t>t/m</w:t>
            </w:r>
            <w:r>
              <w:rPr>
                <w:color w:val="auto"/>
                <w:highlight w:val="none"/>
                <w:vertAlign w:val="superscript"/>
              </w:rPr>
              <w:t>3</w:t>
            </w:r>
          </w:p>
        </w:tc>
        <w:tc>
          <w:tcPr>
            <w:tcW w:w="954" w:type="pct"/>
            <w:noWrap w:val="0"/>
            <w:vAlign w:val="center"/>
          </w:tcPr>
          <w:p w14:paraId="3655E334">
            <w:pPr>
              <w:pStyle w:val="33"/>
              <w:bidi w:val="0"/>
              <w:rPr>
                <w:color w:val="auto"/>
                <w:highlight w:val="none"/>
              </w:rPr>
            </w:pPr>
            <w:r>
              <w:rPr>
                <w:color w:val="auto"/>
                <w:highlight w:val="none"/>
              </w:rPr>
              <w:t>2.78</w:t>
            </w:r>
          </w:p>
        </w:tc>
        <w:tc>
          <w:tcPr>
            <w:tcW w:w="993" w:type="pct"/>
            <w:noWrap w:val="0"/>
            <w:vAlign w:val="center"/>
          </w:tcPr>
          <w:p w14:paraId="22D16B7C">
            <w:pPr>
              <w:pStyle w:val="33"/>
              <w:bidi w:val="0"/>
              <w:rPr>
                <w:color w:val="auto"/>
                <w:highlight w:val="none"/>
              </w:rPr>
            </w:pPr>
          </w:p>
        </w:tc>
      </w:tr>
      <w:tr w14:paraId="413DD4A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623C2B3C">
            <w:pPr>
              <w:pStyle w:val="33"/>
              <w:bidi w:val="0"/>
              <w:rPr>
                <w:color w:val="auto"/>
                <w:highlight w:val="none"/>
              </w:rPr>
            </w:pPr>
          </w:p>
        </w:tc>
        <w:tc>
          <w:tcPr>
            <w:tcW w:w="1950" w:type="pct"/>
            <w:noWrap w:val="0"/>
            <w:vAlign w:val="center"/>
          </w:tcPr>
          <w:p w14:paraId="56ACDD35">
            <w:pPr>
              <w:pStyle w:val="33"/>
              <w:bidi w:val="0"/>
              <w:rPr>
                <w:color w:val="auto"/>
                <w:highlight w:val="none"/>
              </w:rPr>
            </w:pPr>
            <w:r>
              <w:rPr>
                <w:color w:val="auto"/>
                <w:highlight w:val="none"/>
              </w:rPr>
              <w:t>岩石体重</w:t>
            </w:r>
          </w:p>
        </w:tc>
        <w:tc>
          <w:tcPr>
            <w:tcW w:w="673" w:type="pct"/>
            <w:noWrap w:val="0"/>
            <w:vAlign w:val="center"/>
          </w:tcPr>
          <w:p w14:paraId="2A1F91AF">
            <w:pPr>
              <w:pStyle w:val="33"/>
              <w:bidi w:val="0"/>
              <w:rPr>
                <w:color w:val="auto"/>
                <w:highlight w:val="none"/>
              </w:rPr>
            </w:pPr>
            <w:r>
              <w:rPr>
                <w:color w:val="auto"/>
                <w:highlight w:val="none"/>
              </w:rPr>
              <w:t>t/m</w:t>
            </w:r>
            <w:r>
              <w:rPr>
                <w:color w:val="auto"/>
                <w:highlight w:val="none"/>
                <w:vertAlign w:val="superscript"/>
              </w:rPr>
              <w:t>3</w:t>
            </w:r>
          </w:p>
        </w:tc>
        <w:tc>
          <w:tcPr>
            <w:tcW w:w="954" w:type="pct"/>
            <w:noWrap w:val="0"/>
            <w:vAlign w:val="center"/>
          </w:tcPr>
          <w:p w14:paraId="40B27399">
            <w:pPr>
              <w:pStyle w:val="33"/>
              <w:bidi w:val="0"/>
              <w:rPr>
                <w:color w:val="auto"/>
                <w:highlight w:val="none"/>
              </w:rPr>
            </w:pPr>
            <w:r>
              <w:rPr>
                <w:color w:val="auto"/>
                <w:highlight w:val="none"/>
              </w:rPr>
              <w:t>2.7</w:t>
            </w:r>
          </w:p>
        </w:tc>
        <w:tc>
          <w:tcPr>
            <w:tcW w:w="993" w:type="pct"/>
            <w:noWrap w:val="0"/>
            <w:vAlign w:val="center"/>
          </w:tcPr>
          <w:p w14:paraId="4F70F6BB">
            <w:pPr>
              <w:pStyle w:val="33"/>
              <w:bidi w:val="0"/>
              <w:rPr>
                <w:color w:val="auto"/>
                <w:highlight w:val="none"/>
              </w:rPr>
            </w:pPr>
          </w:p>
        </w:tc>
      </w:tr>
      <w:tr w14:paraId="0D02555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1D4FC1DE">
            <w:pPr>
              <w:pStyle w:val="33"/>
              <w:bidi w:val="0"/>
              <w:rPr>
                <w:color w:val="auto"/>
                <w:highlight w:val="none"/>
              </w:rPr>
            </w:pPr>
          </w:p>
        </w:tc>
        <w:tc>
          <w:tcPr>
            <w:tcW w:w="1950" w:type="pct"/>
            <w:noWrap w:val="0"/>
            <w:vAlign w:val="center"/>
          </w:tcPr>
          <w:p w14:paraId="7D31422C">
            <w:pPr>
              <w:pStyle w:val="33"/>
              <w:bidi w:val="0"/>
              <w:rPr>
                <w:color w:val="auto"/>
                <w:highlight w:val="none"/>
              </w:rPr>
            </w:pPr>
            <w:r>
              <w:rPr>
                <w:color w:val="auto"/>
                <w:highlight w:val="none"/>
              </w:rPr>
              <w:t>矿岩松散系数</w:t>
            </w:r>
          </w:p>
        </w:tc>
        <w:tc>
          <w:tcPr>
            <w:tcW w:w="673" w:type="pct"/>
            <w:noWrap w:val="0"/>
            <w:vAlign w:val="center"/>
          </w:tcPr>
          <w:p w14:paraId="008DF1E7">
            <w:pPr>
              <w:pStyle w:val="33"/>
              <w:bidi w:val="0"/>
              <w:rPr>
                <w:color w:val="auto"/>
                <w:highlight w:val="none"/>
              </w:rPr>
            </w:pPr>
          </w:p>
        </w:tc>
        <w:tc>
          <w:tcPr>
            <w:tcW w:w="954" w:type="pct"/>
            <w:noWrap w:val="0"/>
            <w:vAlign w:val="center"/>
          </w:tcPr>
          <w:p w14:paraId="1CD1281A">
            <w:pPr>
              <w:pStyle w:val="33"/>
              <w:bidi w:val="0"/>
              <w:rPr>
                <w:color w:val="auto"/>
                <w:highlight w:val="none"/>
              </w:rPr>
            </w:pPr>
            <w:r>
              <w:rPr>
                <w:color w:val="auto"/>
                <w:highlight w:val="none"/>
              </w:rPr>
              <w:t>1.5</w:t>
            </w:r>
          </w:p>
        </w:tc>
        <w:tc>
          <w:tcPr>
            <w:tcW w:w="993" w:type="pct"/>
            <w:noWrap w:val="0"/>
            <w:vAlign w:val="center"/>
          </w:tcPr>
          <w:p w14:paraId="5C39B36F">
            <w:pPr>
              <w:pStyle w:val="33"/>
              <w:bidi w:val="0"/>
              <w:rPr>
                <w:color w:val="auto"/>
                <w:highlight w:val="none"/>
              </w:rPr>
            </w:pPr>
          </w:p>
        </w:tc>
      </w:tr>
      <w:tr w14:paraId="22FDC16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77EE6C9D">
            <w:pPr>
              <w:pStyle w:val="33"/>
              <w:bidi w:val="0"/>
              <w:rPr>
                <w:color w:val="auto"/>
                <w:highlight w:val="none"/>
              </w:rPr>
            </w:pPr>
          </w:p>
        </w:tc>
        <w:tc>
          <w:tcPr>
            <w:tcW w:w="1950" w:type="pct"/>
            <w:noWrap w:val="0"/>
            <w:vAlign w:val="center"/>
          </w:tcPr>
          <w:p w14:paraId="43FA723B">
            <w:pPr>
              <w:pStyle w:val="33"/>
              <w:bidi w:val="0"/>
              <w:rPr>
                <w:color w:val="auto"/>
                <w:highlight w:val="none"/>
              </w:rPr>
            </w:pPr>
            <w:r>
              <w:rPr>
                <w:color w:val="auto"/>
                <w:highlight w:val="none"/>
              </w:rPr>
              <w:t>矿石抗压强度</w:t>
            </w:r>
          </w:p>
        </w:tc>
        <w:tc>
          <w:tcPr>
            <w:tcW w:w="673" w:type="pct"/>
            <w:noWrap w:val="0"/>
            <w:vAlign w:val="center"/>
          </w:tcPr>
          <w:p w14:paraId="60377C51">
            <w:pPr>
              <w:pStyle w:val="33"/>
              <w:bidi w:val="0"/>
              <w:rPr>
                <w:color w:val="auto"/>
                <w:highlight w:val="none"/>
              </w:rPr>
            </w:pPr>
            <w:r>
              <w:rPr>
                <w:color w:val="auto"/>
                <w:highlight w:val="none"/>
              </w:rPr>
              <w:t>Mpa</w:t>
            </w:r>
          </w:p>
        </w:tc>
        <w:tc>
          <w:tcPr>
            <w:tcW w:w="954" w:type="pct"/>
            <w:noWrap w:val="0"/>
            <w:vAlign w:val="center"/>
          </w:tcPr>
          <w:p w14:paraId="3C9AC5A2">
            <w:pPr>
              <w:pStyle w:val="33"/>
              <w:bidi w:val="0"/>
              <w:rPr>
                <w:color w:val="auto"/>
                <w:highlight w:val="none"/>
              </w:rPr>
            </w:pPr>
            <w:r>
              <w:rPr>
                <w:color w:val="auto"/>
                <w:highlight w:val="none"/>
              </w:rPr>
              <w:t>40.3～82.9</w:t>
            </w:r>
          </w:p>
        </w:tc>
        <w:tc>
          <w:tcPr>
            <w:tcW w:w="993" w:type="pct"/>
            <w:noWrap w:val="0"/>
            <w:vAlign w:val="center"/>
          </w:tcPr>
          <w:p w14:paraId="47D9F7C8">
            <w:pPr>
              <w:pStyle w:val="33"/>
              <w:bidi w:val="0"/>
              <w:rPr>
                <w:color w:val="auto"/>
                <w:highlight w:val="none"/>
              </w:rPr>
            </w:pPr>
          </w:p>
        </w:tc>
      </w:tr>
      <w:tr w14:paraId="34BE923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248EF668">
            <w:pPr>
              <w:pStyle w:val="33"/>
              <w:bidi w:val="0"/>
              <w:rPr>
                <w:color w:val="auto"/>
                <w:highlight w:val="none"/>
              </w:rPr>
            </w:pPr>
          </w:p>
        </w:tc>
        <w:tc>
          <w:tcPr>
            <w:tcW w:w="1950" w:type="pct"/>
            <w:noWrap w:val="0"/>
            <w:vAlign w:val="center"/>
          </w:tcPr>
          <w:p w14:paraId="3BE527AA">
            <w:pPr>
              <w:pStyle w:val="33"/>
              <w:bidi w:val="0"/>
              <w:rPr>
                <w:color w:val="auto"/>
                <w:highlight w:val="none"/>
              </w:rPr>
            </w:pPr>
            <w:r>
              <w:rPr>
                <w:color w:val="auto"/>
                <w:highlight w:val="none"/>
              </w:rPr>
              <w:t>岩石抗压强度</w:t>
            </w:r>
          </w:p>
        </w:tc>
        <w:tc>
          <w:tcPr>
            <w:tcW w:w="673" w:type="pct"/>
            <w:noWrap w:val="0"/>
            <w:vAlign w:val="center"/>
          </w:tcPr>
          <w:p w14:paraId="38FB9B00">
            <w:pPr>
              <w:pStyle w:val="33"/>
              <w:bidi w:val="0"/>
              <w:rPr>
                <w:color w:val="auto"/>
                <w:highlight w:val="none"/>
              </w:rPr>
            </w:pPr>
            <w:r>
              <w:rPr>
                <w:color w:val="auto"/>
                <w:highlight w:val="none"/>
              </w:rPr>
              <w:t>Mpa</w:t>
            </w:r>
          </w:p>
        </w:tc>
        <w:tc>
          <w:tcPr>
            <w:tcW w:w="954" w:type="pct"/>
            <w:noWrap w:val="0"/>
            <w:vAlign w:val="center"/>
          </w:tcPr>
          <w:p w14:paraId="0F93D6BC">
            <w:pPr>
              <w:pStyle w:val="33"/>
              <w:bidi w:val="0"/>
              <w:rPr>
                <w:color w:val="auto"/>
                <w:highlight w:val="none"/>
              </w:rPr>
            </w:pPr>
            <w:r>
              <w:rPr>
                <w:color w:val="auto"/>
                <w:highlight w:val="none"/>
              </w:rPr>
              <w:t>40.3～82.9</w:t>
            </w:r>
          </w:p>
        </w:tc>
        <w:tc>
          <w:tcPr>
            <w:tcW w:w="993" w:type="pct"/>
            <w:noWrap w:val="0"/>
            <w:vAlign w:val="center"/>
          </w:tcPr>
          <w:p w14:paraId="2613C426">
            <w:pPr>
              <w:pStyle w:val="33"/>
              <w:bidi w:val="0"/>
              <w:rPr>
                <w:color w:val="auto"/>
                <w:highlight w:val="none"/>
              </w:rPr>
            </w:pPr>
          </w:p>
        </w:tc>
      </w:tr>
      <w:tr w14:paraId="66901EF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2DF094D6">
            <w:pPr>
              <w:pStyle w:val="33"/>
              <w:bidi w:val="0"/>
              <w:rPr>
                <w:color w:val="auto"/>
                <w:highlight w:val="none"/>
              </w:rPr>
            </w:pPr>
            <w:r>
              <w:rPr>
                <w:color w:val="auto"/>
                <w:highlight w:val="none"/>
              </w:rPr>
              <w:t>1.4</w:t>
            </w:r>
          </w:p>
        </w:tc>
        <w:tc>
          <w:tcPr>
            <w:tcW w:w="1950" w:type="pct"/>
            <w:noWrap w:val="0"/>
            <w:vAlign w:val="center"/>
          </w:tcPr>
          <w:p w14:paraId="082A8BEE">
            <w:pPr>
              <w:pStyle w:val="33"/>
              <w:bidi w:val="0"/>
              <w:rPr>
                <w:color w:val="auto"/>
                <w:highlight w:val="none"/>
              </w:rPr>
            </w:pPr>
            <w:r>
              <w:rPr>
                <w:color w:val="auto"/>
                <w:highlight w:val="none"/>
              </w:rPr>
              <w:t>地质资料勘探程度</w:t>
            </w:r>
          </w:p>
        </w:tc>
        <w:tc>
          <w:tcPr>
            <w:tcW w:w="673" w:type="pct"/>
            <w:noWrap w:val="0"/>
            <w:vAlign w:val="center"/>
          </w:tcPr>
          <w:p w14:paraId="2456EBB6">
            <w:pPr>
              <w:pStyle w:val="33"/>
              <w:bidi w:val="0"/>
              <w:rPr>
                <w:color w:val="auto"/>
                <w:highlight w:val="none"/>
              </w:rPr>
            </w:pPr>
          </w:p>
        </w:tc>
        <w:tc>
          <w:tcPr>
            <w:tcW w:w="954" w:type="pct"/>
            <w:noWrap w:val="0"/>
            <w:vAlign w:val="center"/>
          </w:tcPr>
          <w:p w14:paraId="29BD5E73">
            <w:pPr>
              <w:pStyle w:val="33"/>
              <w:bidi w:val="0"/>
              <w:rPr>
                <w:color w:val="auto"/>
                <w:highlight w:val="none"/>
              </w:rPr>
            </w:pPr>
          </w:p>
        </w:tc>
        <w:tc>
          <w:tcPr>
            <w:tcW w:w="993" w:type="pct"/>
            <w:noWrap w:val="0"/>
            <w:vAlign w:val="center"/>
          </w:tcPr>
          <w:p w14:paraId="6925500C">
            <w:pPr>
              <w:pStyle w:val="33"/>
              <w:bidi w:val="0"/>
              <w:rPr>
                <w:color w:val="auto"/>
                <w:highlight w:val="none"/>
              </w:rPr>
            </w:pPr>
          </w:p>
        </w:tc>
      </w:tr>
      <w:tr w14:paraId="65314B2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3B0E53BD">
            <w:pPr>
              <w:pStyle w:val="33"/>
              <w:bidi w:val="0"/>
              <w:rPr>
                <w:color w:val="auto"/>
                <w:highlight w:val="none"/>
              </w:rPr>
            </w:pPr>
          </w:p>
        </w:tc>
        <w:tc>
          <w:tcPr>
            <w:tcW w:w="1950" w:type="pct"/>
            <w:noWrap w:val="0"/>
            <w:vAlign w:val="center"/>
          </w:tcPr>
          <w:p w14:paraId="3B440C5D">
            <w:pPr>
              <w:pStyle w:val="33"/>
              <w:bidi w:val="0"/>
              <w:rPr>
                <w:color w:val="auto"/>
                <w:highlight w:val="none"/>
              </w:rPr>
            </w:pPr>
            <w:r>
              <w:rPr>
                <w:color w:val="auto"/>
                <w:highlight w:val="none"/>
              </w:rPr>
              <w:t>水文地质条件类型</w:t>
            </w:r>
          </w:p>
        </w:tc>
        <w:tc>
          <w:tcPr>
            <w:tcW w:w="673" w:type="pct"/>
            <w:noWrap w:val="0"/>
            <w:vAlign w:val="center"/>
          </w:tcPr>
          <w:p w14:paraId="40610811">
            <w:pPr>
              <w:pStyle w:val="33"/>
              <w:bidi w:val="0"/>
              <w:rPr>
                <w:color w:val="auto"/>
                <w:highlight w:val="none"/>
              </w:rPr>
            </w:pPr>
          </w:p>
        </w:tc>
        <w:tc>
          <w:tcPr>
            <w:tcW w:w="954" w:type="pct"/>
            <w:noWrap w:val="0"/>
            <w:vAlign w:val="center"/>
          </w:tcPr>
          <w:p w14:paraId="4922533B">
            <w:pPr>
              <w:pStyle w:val="33"/>
              <w:bidi w:val="0"/>
              <w:rPr>
                <w:color w:val="auto"/>
                <w:highlight w:val="none"/>
              </w:rPr>
            </w:pPr>
            <w:r>
              <w:rPr>
                <w:color w:val="auto"/>
                <w:highlight w:val="none"/>
              </w:rPr>
              <w:t>简单</w:t>
            </w:r>
          </w:p>
        </w:tc>
        <w:tc>
          <w:tcPr>
            <w:tcW w:w="993" w:type="pct"/>
            <w:noWrap w:val="0"/>
            <w:vAlign w:val="center"/>
          </w:tcPr>
          <w:p w14:paraId="2F8FE7B2">
            <w:pPr>
              <w:pStyle w:val="33"/>
              <w:bidi w:val="0"/>
              <w:rPr>
                <w:color w:val="auto"/>
                <w:highlight w:val="none"/>
              </w:rPr>
            </w:pPr>
          </w:p>
        </w:tc>
      </w:tr>
      <w:tr w14:paraId="7FC3A16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0FD5F04F">
            <w:pPr>
              <w:pStyle w:val="33"/>
              <w:bidi w:val="0"/>
              <w:rPr>
                <w:color w:val="auto"/>
                <w:highlight w:val="none"/>
              </w:rPr>
            </w:pPr>
          </w:p>
        </w:tc>
        <w:tc>
          <w:tcPr>
            <w:tcW w:w="1950" w:type="pct"/>
            <w:noWrap w:val="0"/>
            <w:vAlign w:val="center"/>
          </w:tcPr>
          <w:p w14:paraId="72A81D30">
            <w:pPr>
              <w:pStyle w:val="33"/>
              <w:bidi w:val="0"/>
              <w:rPr>
                <w:color w:val="auto"/>
                <w:highlight w:val="none"/>
              </w:rPr>
            </w:pPr>
            <w:r>
              <w:rPr>
                <w:color w:val="auto"/>
                <w:highlight w:val="none"/>
              </w:rPr>
              <w:t>工程地质条件类型</w:t>
            </w:r>
          </w:p>
        </w:tc>
        <w:tc>
          <w:tcPr>
            <w:tcW w:w="673" w:type="pct"/>
            <w:noWrap w:val="0"/>
            <w:vAlign w:val="center"/>
          </w:tcPr>
          <w:p w14:paraId="3B0AE499">
            <w:pPr>
              <w:pStyle w:val="33"/>
              <w:bidi w:val="0"/>
              <w:rPr>
                <w:color w:val="auto"/>
                <w:highlight w:val="none"/>
              </w:rPr>
            </w:pPr>
          </w:p>
        </w:tc>
        <w:tc>
          <w:tcPr>
            <w:tcW w:w="954" w:type="pct"/>
            <w:noWrap w:val="0"/>
            <w:vAlign w:val="center"/>
          </w:tcPr>
          <w:p w14:paraId="03CB4C5A">
            <w:pPr>
              <w:pStyle w:val="33"/>
              <w:bidi w:val="0"/>
              <w:rPr>
                <w:color w:val="auto"/>
                <w:highlight w:val="none"/>
              </w:rPr>
            </w:pPr>
            <w:r>
              <w:rPr>
                <w:color w:val="auto"/>
                <w:highlight w:val="none"/>
              </w:rPr>
              <w:t>简单</w:t>
            </w:r>
          </w:p>
        </w:tc>
        <w:tc>
          <w:tcPr>
            <w:tcW w:w="993" w:type="pct"/>
            <w:noWrap w:val="0"/>
            <w:vAlign w:val="center"/>
          </w:tcPr>
          <w:p w14:paraId="3E6814CA">
            <w:pPr>
              <w:pStyle w:val="33"/>
              <w:bidi w:val="0"/>
              <w:rPr>
                <w:color w:val="auto"/>
                <w:highlight w:val="none"/>
              </w:rPr>
            </w:pPr>
          </w:p>
        </w:tc>
      </w:tr>
      <w:tr w14:paraId="6DD42E5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618F7EA0">
            <w:pPr>
              <w:pStyle w:val="33"/>
              <w:bidi w:val="0"/>
              <w:rPr>
                <w:color w:val="auto"/>
                <w:highlight w:val="none"/>
              </w:rPr>
            </w:pPr>
          </w:p>
        </w:tc>
        <w:tc>
          <w:tcPr>
            <w:tcW w:w="1950" w:type="pct"/>
            <w:noWrap w:val="0"/>
            <w:vAlign w:val="center"/>
          </w:tcPr>
          <w:p w14:paraId="00A291EE">
            <w:pPr>
              <w:pStyle w:val="33"/>
              <w:bidi w:val="0"/>
              <w:rPr>
                <w:color w:val="auto"/>
                <w:highlight w:val="none"/>
              </w:rPr>
            </w:pPr>
            <w:r>
              <w:rPr>
                <w:color w:val="auto"/>
                <w:highlight w:val="none"/>
              </w:rPr>
              <w:t>环境地质条件类型</w:t>
            </w:r>
          </w:p>
        </w:tc>
        <w:tc>
          <w:tcPr>
            <w:tcW w:w="673" w:type="pct"/>
            <w:noWrap w:val="0"/>
            <w:vAlign w:val="center"/>
          </w:tcPr>
          <w:p w14:paraId="5AC6B48D">
            <w:pPr>
              <w:pStyle w:val="33"/>
              <w:bidi w:val="0"/>
              <w:rPr>
                <w:color w:val="auto"/>
                <w:highlight w:val="none"/>
              </w:rPr>
            </w:pPr>
          </w:p>
        </w:tc>
        <w:tc>
          <w:tcPr>
            <w:tcW w:w="954" w:type="pct"/>
            <w:noWrap w:val="0"/>
            <w:vAlign w:val="center"/>
          </w:tcPr>
          <w:p w14:paraId="65BE2FF4">
            <w:pPr>
              <w:pStyle w:val="33"/>
              <w:bidi w:val="0"/>
              <w:rPr>
                <w:color w:val="auto"/>
                <w:highlight w:val="none"/>
              </w:rPr>
            </w:pPr>
            <w:r>
              <w:rPr>
                <w:color w:val="auto"/>
                <w:highlight w:val="none"/>
              </w:rPr>
              <w:t>中等</w:t>
            </w:r>
          </w:p>
        </w:tc>
        <w:tc>
          <w:tcPr>
            <w:tcW w:w="993" w:type="pct"/>
            <w:noWrap w:val="0"/>
            <w:vAlign w:val="center"/>
          </w:tcPr>
          <w:p w14:paraId="7A9184DD">
            <w:pPr>
              <w:pStyle w:val="33"/>
              <w:bidi w:val="0"/>
              <w:rPr>
                <w:color w:val="auto"/>
                <w:highlight w:val="none"/>
              </w:rPr>
            </w:pPr>
          </w:p>
        </w:tc>
      </w:tr>
      <w:tr w14:paraId="061A3B3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7B9892EF">
            <w:pPr>
              <w:pStyle w:val="33"/>
              <w:bidi w:val="0"/>
              <w:rPr>
                <w:color w:val="auto"/>
                <w:highlight w:val="none"/>
              </w:rPr>
            </w:pPr>
            <w:r>
              <w:rPr>
                <w:color w:val="auto"/>
                <w:highlight w:val="none"/>
              </w:rPr>
              <w:t>2</w:t>
            </w:r>
          </w:p>
        </w:tc>
        <w:tc>
          <w:tcPr>
            <w:tcW w:w="1950" w:type="pct"/>
            <w:noWrap w:val="0"/>
            <w:vAlign w:val="center"/>
          </w:tcPr>
          <w:p w14:paraId="7A2E7A39">
            <w:pPr>
              <w:pStyle w:val="33"/>
              <w:bidi w:val="0"/>
              <w:rPr>
                <w:color w:val="auto"/>
                <w:highlight w:val="none"/>
              </w:rPr>
            </w:pPr>
            <w:r>
              <w:rPr>
                <w:color w:val="auto"/>
                <w:highlight w:val="none"/>
              </w:rPr>
              <w:t>采矿</w:t>
            </w:r>
          </w:p>
        </w:tc>
        <w:tc>
          <w:tcPr>
            <w:tcW w:w="673" w:type="pct"/>
            <w:noWrap w:val="0"/>
            <w:vAlign w:val="center"/>
          </w:tcPr>
          <w:p w14:paraId="196C9B01">
            <w:pPr>
              <w:pStyle w:val="33"/>
              <w:bidi w:val="0"/>
              <w:rPr>
                <w:color w:val="auto"/>
                <w:highlight w:val="none"/>
              </w:rPr>
            </w:pPr>
          </w:p>
        </w:tc>
        <w:tc>
          <w:tcPr>
            <w:tcW w:w="954" w:type="pct"/>
            <w:noWrap w:val="0"/>
            <w:vAlign w:val="center"/>
          </w:tcPr>
          <w:p w14:paraId="50218A2E">
            <w:pPr>
              <w:pStyle w:val="33"/>
              <w:bidi w:val="0"/>
              <w:rPr>
                <w:color w:val="auto"/>
                <w:highlight w:val="none"/>
              </w:rPr>
            </w:pPr>
          </w:p>
        </w:tc>
        <w:tc>
          <w:tcPr>
            <w:tcW w:w="993" w:type="pct"/>
            <w:noWrap w:val="0"/>
            <w:vAlign w:val="center"/>
          </w:tcPr>
          <w:p w14:paraId="1930B6BC">
            <w:pPr>
              <w:pStyle w:val="33"/>
              <w:bidi w:val="0"/>
              <w:rPr>
                <w:color w:val="auto"/>
                <w:highlight w:val="none"/>
              </w:rPr>
            </w:pPr>
          </w:p>
        </w:tc>
      </w:tr>
      <w:tr w14:paraId="7E8BB14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23924EB2">
            <w:pPr>
              <w:pStyle w:val="33"/>
              <w:bidi w:val="0"/>
              <w:rPr>
                <w:color w:val="auto"/>
                <w:highlight w:val="none"/>
              </w:rPr>
            </w:pPr>
            <w:r>
              <w:rPr>
                <w:color w:val="auto"/>
                <w:highlight w:val="none"/>
              </w:rPr>
              <w:t>2.1</w:t>
            </w:r>
          </w:p>
        </w:tc>
        <w:tc>
          <w:tcPr>
            <w:tcW w:w="1950" w:type="pct"/>
            <w:noWrap w:val="0"/>
            <w:vAlign w:val="center"/>
          </w:tcPr>
          <w:p w14:paraId="1A836575">
            <w:pPr>
              <w:pStyle w:val="33"/>
              <w:bidi w:val="0"/>
              <w:rPr>
                <w:color w:val="auto"/>
                <w:highlight w:val="none"/>
              </w:rPr>
            </w:pPr>
            <w:r>
              <w:rPr>
                <w:color w:val="auto"/>
                <w:highlight w:val="none"/>
              </w:rPr>
              <w:t>矿山规模</w:t>
            </w:r>
          </w:p>
        </w:tc>
        <w:tc>
          <w:tcPr>
            <w:tcW w:w="673" w:type="pct"/>
            <w:noWrap w:val="0"/>
            <w:vAlign w:val="center"/>
          </w:tcPr>
          <w:p w14:paraId="188F4A8B">
            <w:pPr>
              <w:pStyle w:val="33"/>
              <w:bidi w:val="0"/>
              <w:rPr>
                <w:color w:val="auto"/>
                <w:highlight w:val="none"/>
              </w:rPr>
            </w:pPr>
          </w:p>
        </w:tc>
        <w:tc>
          <w:tcPr>
            <w:tcW w:w="954" w:type="pct"/>
            <w:noWrap w:val="0"/>
            <w:vAlign w:val="center"/>
          </w:tcPr>
          <w:p w14:paraId="3C549F59">
            <w:pPr>
              <w:pStyle w:val="33"/>
              <w:bidi w:val="0"/>
              <w:rPr>
                <w:color w:val="auto"/>
                <w:highlight w:val="none"/>
              </w:rPr>
            </w:pPr>
          </w:p>
        </w:tc>
        <w:tc>
          <w:tcPr>
            <w:tcW w:w="993" w:type="pct"/>
            <w:noWrap w:val="0"/>
            <w:vAlign w:val="center"/>
          </w:tcPr>
          <w:p w14:paraId="647B3D60">
            <w:pPr>
              <w:pStyle w:val="33"/>
              <w:bidi w:val="0"/>
              <w:rPr>
                <w:color w:val="auto"/>
                <w:highlight w:val="none"/>
              </w:rPr>
            </w:pPr>
          </w:p>
        </w:tc>
      </w:tr>
      <w:tr w14:paraId="2B7CA2A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37CE6B08">
            <w:pPr>
              <w:pStyle w:val="33"/>
              <w:bidi w:val="0"/>
              <w:rPr>
                <w:color w:val="auto"/>
                <w:highlight w:val="none"/>
              </w:rPr>
            </w:pPr>
          </w:p>
        </w:tc>
        <w:tc>
          <w:tcPr>
            <w:tcW w:w="1950" w:type="pct"/>
            <w:noWrap w:val="0"/>
            <w:vAlign w:val="center"/>
          </w:tcPr>
          <w:p w14:paraId="60E6E2AD">
            <w:pPr>
              <w:pStyle w:val="33"/>
              <w:bidi w:val="0"/>
              <w:rPr>
                <w:color w:val="auto"/>
                <w:highlight w:val="none"/>
              </w:rPr>
            </w:pPr>
            <w:r>
              <w:rPr>
                <w:color w:val="auto"/>
                <w:highlight w:val="none"/>
              </w:rPr>
              <w:t>矿石量</w:t>
            </w:r>
          </w:p>
        </w:tc>
        <w:tc>
          <w:tcPr>
            <w:tcW w:w="673" w:type="pct"/>
            <w:noWrap w:val="0"/>
            <w:vAlign w:val="center"/>
          </w:tcPr>
          <w:p w14:paraId="60BC5F2F">
            <w:pPr>
              <w:pStyle w:val="33"/>
              <w:bidi w:val="0"/>
              <w:rPr>
                <w:color w:val="auto"/>
                <w:highlight w:val="none"/>
              </w:rPr>
            </w:pPr>
            <w:r>
              <w:rPr>
                <w:color w:val="auto"/>
                <w:highlight w:val="none"/>
              </w:rPr>
              <w:t>万m</w:t>
            </w:r>
            <w:r>
              <w:rPr>
                <w:color w:val="auto"/>
                <w:highlight w:val="none"/>
                <w:vertAlign w:val="superscript"/>
              </w:rPr>
              <w:t>3</w:t>
            </w:r>
            <w:r>
              <w:rPr>
                <w:color w:val="auto"/>
                <w:highlight w:val="none"/>
              </w:rPr>
              <w:t>/a</w:t>
            </w:r>
          </w:p>
        </w:tc>
        <w:tc>
          <w:tcPr>
            <w:tcW w:w="954" w:type="pct"/>
            <w:noWrap w:val="0"/>
            <w:vAlign w:val="center"/>
          </w:tcPr>
          <w:p w14:paraId="3993F43A">
            <w:pPr>
              <w:pStyle w:val="33"/>
              <w:bidi w:val="0"/>
              <w:rPr>
                <w:color w:val="auto"/>
                <w:highlight w:val="none"/>
              </w:rPr>
            </w:pPr>
            <w:r>
              <w:rPr>
                <w:color w:val="auto"/>
                <w:highlight w:val="none"/>
              </w:rPr>
              <w:t>2</w:t>
            </w:r>
          </w:p>
        </w:tc>
        <w:tc>
          <w:tcPr>
            <w:tcW w:w="993" w:type="pct"/>
            <w:noWrap w:val="0"/>
            <w:vAlign w:val="center"/>
          </w:tcPr>
          <w:p w14:paraId="4A026859">
            <w:pPr>
              <w:pStyle w:val="33"/>
              <w:bidi w:val="0"/>
              <w:rPr>
                <w:color w:val="auto"/>
                <w:highlight w:val="none"/>
              </w:rPr>
            </w:pPr>
          </w:p>
        </w:tc>
      </w:tr>
      <w:tr w14:paraId="70D5045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49A07133">
            <w:pPr>
              <w:pStyle w:val="33"/>
              <w:bidi w:val="0"/>
              <w:rPr>
                <w:color w:val="auto"/>
                <w:highlight w:val="none"/>
              </w:rPr>
            </w:pPr>
          </w:p>
        </w:tc>
        <w:tc>
          <w:tcPr>
            <w:tcW w:w="1950" w:type="pct"/>
            <w:noWrap w:val="0"/>
            <w:vAlign w:val="center"/>
          </w:tcPr>
          <w:p w14:paraId="56BF73D9">
            <w:pPr>
              <w:pStyle w:val="33"/>
              <w:bidi w:val="0"/>
              <w:rPr>
                <w:color w:val="auto"/>
                <w:highlight w:val="none"/>
              </w:rPr>
            </w:pPr>
            <w:r>
              <w:rPr>
                <w:color w:val="auto"/>
                <w:highlight w:val="none"/>
              </w:rPr>
              <w:t>剥离量</w:t>
            </w:r>
          </w:p>
        </w:tc>
        <w:tc>
          <w:tcPr>
            <w:tcW w:w="673" w:type="pct"/>
            <w:noWrap w:val="0"/>
            <w:vAlign w:val="center"/>
          </w:tcPr>
          <w:p w14:paraId="36693241">
            <w:pPr>
              <w:pStyle w:val="33"/>
              <w:bidi w:val="0"/>
              <w:rPr>
                <w:color w:val="auto"/>
                <w:highlight w:val="none"/>
              </w:rPr>
            </w:pPr>
            <w:r>
              <w:rPr>
                <w:color w:val="auto"/>
                <w:highlight w:val="none"/>
              </w:rPr>
              <w:t>万m</w:t>
            </w:r>
            <w:r>
              <w:rPr>
                <w:color w:val="auto"/>
                <w:highlight w:val="none"/>
                <w:vertAlign w:val="superscript"/>
              </w:rPr>
              <w:t>3</w:t>
            </w:r>
            <w:r>
              <w:rPr>
                <w:color w:val="auto"/>
                <w:highlight w:val="none"/>
              </w:rPr>
              <w:t>/a</w:t>
            </w:r>
          </w:p>
        </w:tc>
        <w:tc>
          <w:tcPr>
            <w:tcW w:w="954" w:type="pct"/>
            <w:noWrap w:val="0"/>
            <w:vAlign w:val="center"/>
          </w:tcPr>
          <w:p w14:paraId="723B5399">
            <w:pPr>
              <w:pStyle w:val="33"/>
              <w:bidi w:val="0"/>
              <w:rPr>
                <w:color w:val="auto"/>
                <w:highlight w:val="none"/>
              </w:rPr>
            </w:pPr>
            <w:r>
              <w:rPr>
                <w:color w:val="auto"/>
                <w:highlight w:val="none"/>
              </w:rPr>
              <w:t>0.18</w:t>
            </w:r>
          </w:p>
        </w:tc>
        <w:tc>
          <w:tcPr>
            <w:tcW w:w="993" w:type="pct"/>
            <w:noWrap w:val="0"/>
            <w:vAlign w:val="center"/>
          </w:tcPr>
          <w:p w14:paraId="29190F4C">
            <w:pPr>
              <w:pStyle w:val="33"/>
              <w:bidi w:val="0"/>
              <w:rPr>
                <w:color w:val="auto"/>
                <w:highlight w:val="none"/>
              </w:rPr>
            </w:pPr>
          </w:p>
        </w:tc>
      </w:tr>
      <w:tr w14:paraId="503FAF3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3B08DA41">
            <w:pPr>
              <w:pStyle w:val="33"/>
              <w:bidi w:val="0"/>
              <w:rPr>
                <w:color w:val="auto"/>
                <w:highlight w:val="none"/>
              </w:rPr>
            </w:pPr>
          </w:p>
        </w:tc>
        <w:tc>
          <w:tcPr>
            <w:tcW w:w="1950" w:type="pct"/>
            <w:noWrap w:val="0"/>
            <w:vAlign w:val="center"/>
          </w:tcPr>
          <w:p w14:paraId="261AB662">
            <w:pPr>
              <w:pStyle w:val="33"/>
              <w:bidi w:val="0"/>
              <w:rPr>
                <w:color w:val="auto"/>
                <w:highlight w:val="none"/>
              </w:rPr>
            </w:pPr>
            <w:r>
              <w:rPr>
                <w:color w:val="auto"/>
                <w:highlight w:val="none"/>
              </w:rPr>
              <w:t>采剥总量</w:t>
            </w:r>
          </w:p>
        </w:tc>
        <w:tc>
          <w:tcPr>
            <w:tcW w:w="673" w:type="pct"/>
            <w:noWrap w:val="0"/>
            <w:vAlign w:val="center"/>
          </w:tcPr>
          <w:p w14:paraId="4D476EC6">
            <w:pPr>
              <w:pStyle w:val="33"/>
              <w:bidi w:val="0"/>
              <w:rPr>
                <w:color w:val="auto"/>
                <w:highlight w:val="none"/>
              </w:rPr>
            </w:pPr>
            <w:r>
              <w:rPr>
                <w:color w:val="auto"/>
                <w:highlight w:val="none"/>
              </w:rPr>
              <w:t>万m</w:t>
            </w:r>
            <w:r>
              <w:rPr>
                <w:color w:val="auto"/>
                <w:highlight w:val="none"/>
                <w:vertAlign w:val="superscript"/>
              </w:rPr>
              <w:t>3</w:t>
            </w:r>
            <w:r>
              <w:rPr>
                <w:color w:val="auto"/>
                <w:highlight w:val="none"/>
              </w:rPr>
              <w:t>/a</w:t>
            </w:r>
          </w:p>
        </w:tc>
        <w:tc>
          <w:tcPr>
            <w:tcW w:w="954" w:type="pct"/>
            <w:noWrap w:val="0"/>
            <w:vAlign w:val="center"/>
          </w:tcPr>
          <w:p w14:paraId="034E906E">
            <w:pPr>
              <w:pStyle w:val="33"/>
              <w:bidi w:val="0"/>
              <w:rPr>
                <w:color w:val="auto"/>
                <w:highlight w:val="none"/>
              </w:rPr>
            </w:pPr>
            <w:r>
              <w:rPr>
                <w:color w:val="auto"/>
                <w:highlight w:val="none"/>
              </w:rPr>
              <w:t>2.18</w:t>
            </w:r>
          </w:p>
        </w:tc>
        <w:tc>
          <w:tcPr>
            <w:tcW w:w="993" w:type="pct"/>
            <w:noWrap w:val="0"/>
            <w:vAlign w:val="center"/>
          </w:tcPr>
          <w:p w14:paraId="1AABDDE0">
            <w:pPr>
              <w:pStyle w:val="33"/>
              <w:bidi w:val="0"/>
              <w:rPr>
                <w:color w:val="auto"/>
                <w:highlight w:val="none"/>
              </w:rPr>
            </w:pPr>
          </w:p>
        </w:tc>
      </w:tr>
      <w:tr w14:paraId="54CA3A1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70A1E3BD">
            <w:pPr>
              <w:pStyle w:val="33"/>
              <w:bidi w:val="0"/>
              <w:rPr>
                <w:color w:val="auto"/>
                <w:highlight w:val="none"/>
              </w:rPr>
            </w:pPr>
            <w:r>
              <w:rPr>
                <w:color w:val="auto"/>
                <w:highlight w:val="none"/>
              </w:rPr>
              <w:t>2.2</w:t>
            </w:r>
          </w:p>
        </w:tc>
        <w:tc>
          <w:tcPr>
            <w:tcW w:w="1950" w:type="pct"/>
            <w:noWrap w:val="0"/>
            <w:vAlign w:val="center"/>
          </w:tcPr>
          <w:p w14:paraId="501185CC">
            <w:pPr>
              <w:pStyle w:val="33"/>
              <w:bidi w:val="0"/>
              <w:rPr>
                <w:color w:val="auto"/>
                <w:highlight w:val="none"/>
              </w:rPr>
            </w:pPr>
            <w:r>
              <w:rPr>
                <w:color w:val="auto"/>
                <w:highlight w:val="none"/>
              </w:rPr>
              <w:t>剥采比</w:t>
            </w:r>
          </w:p>
        </w:tc>
        <w:tc>
          <w:tcPr>
            <w:tcW w:w="673" w:type="pct"/>
            <w:noWrap w:val="0"/>
            <w:vAlign w:val="center"/>
          </w:tcPr>
          <w:p w14:paraId="6F953098">
            <w:pPr>
              <w:pStyle w:val="33"/>
              <w:bidi w:val="0"/>
              <w:rPr>
                <w:color w:val="auto"/>
                <w:highlight w:val="none"/>
              </w:rPr>
            </w:pPr>
          </w:p>
        </w:tc>
        <w:tc>
          <w:tcPr>
            <w:tcW w:w="954" w:type="pct"/>
            <w:noWrap w:val="0"/>
            <w:vAlign w:val="center"/>
          </w:tcPr>
          <w:p w14:paraId="008CD93F">
            <w:pPr>
              <w:pStyle w:val="33"/>
              <w:bidi w:val="0"/>
              <w:rPr>
                <w:color w:val="auto"/>
                <w:highlight w:val="none"/>
              </w:rPr>
            </w:pPr>
          </w:p>
        </w:tc>
        <w:tc>
          <w:tcPr>
            <w:tcW w:w="993" w:type="pct"/>
            <w:noWrap w:val="0"/>
            <w:vAlign w:val="center"/>
          </w:tcPr>
          <w:p w14:paraId="160AE92E">
            <w:pPr>
              <w:pStyle w:val="33"/>
              <w:bidi w:val="0"/>
              <w:rPr>
                <w:color w:val="auto"/>
                <w:highlight w:val="none"/>
              </w:rPr>
            </w:pPr>
          </w:p>
        </w:tc>
      </w:tr>
      <w:tr w14:paraId="07C7F8C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086C46A6">
            <w:pPr>
              <w:pStyle w:val="33"/>
              <w:bidi w:val="0"/>
              <w:rPr>
                <w:color w:val="auto"/>
                <w:highlight w:val="none"/>
              </w:rPr>
            </w:pPr>
          </w:p>
        </w:tc>
        <w:tc>
          <w:tcPr>
            <w:tcW w:w="1950" w:type="pct"/>
            <w:noWrap w:val="0"/>
            <w:vAlign w:val="center"/>
          </w:tcPr>
          <w:p w14:paraId="755B42EB">
            <w:pPr>
              <w:pStyle w:val="33"/>
              <w:bidi w:val="0"/>
              <w:rPr>
                <w:color w:val="auto"/>
                <w:highlight w:val="none"/>
              </w:rPr>
            </w:pPr>
            <w:r>
              <w:rPr>
                <w:color w:val="auto"/>
                <w:highlight w:val="none"/>
              </w:rPr>
              <w:t>平均剥采比</w:t>
            </w:r>
          </w:p>
        </w:tc>
        <w:tc>
          <w:tcPr>
            <w:tcW w:w="673" w:type="pct"/>
            <w:noWrap w:val="0"/>
            <w:vAlign w:val="center"/>
          </w:tcPr>
          <w:p w14:paraId="293DB008">
            <w:pPr>
              <w:pStyle w:val="33"/>
              <w:bidi w:val="0"/>
              <w:rPr>
                <w:color w:val="auto"/>
                <w:highlight w:val="none"/>
              </w:rPr>
            </w:pPr>
            <w:r>
              <w:rPr>
                <w:color w:val="auto"/>
                <w:highlight w:val="none"/>
              </w:rPr>
              <w:t>m</w:t>
            </w:r>
            <w:r>
              <w:rPr>
                <w:color w:val="auto"/>
                <w:highlight w:val="none"/>
                <w:vertAlign w:val="superscript"/>
              </w:rPr>
              <w:t>3</w:t>
            </w:r>
            <w:r>
              <w:rPr>
                <w:color w:val="auto"/>
                <w:highlight w:val="none"/>
              </w:rPr>
              <w:t>/ m</w:t>
            </w:r>
            <w:r>
              <w:rPr>
                <w:color w:val="auto"/>
                <w:highlight w:val="none"/>
                <w:vertAlign w:val="superscript"/>
              </w:rPr>
              <w:t>3</w:t>
            </w:r>
          </w:p>
        </w:tc>
        <w:tc>
          <w:tcPr>
            <w:tcW w:w="954" w:type="pct"/>
            <w:noWrap w:val="0"/>
            <w:vAlign w:val="center"/>
          </w:tcPr>
          <w:p w14:paraId="66E80769">
            <w:pPr>
              <w:pStyle w:val="33"/>
              <w:bidi w:val="0"/>
              <w:rPr>
                <w:color w:val="auto"/>
                <w:highlight w:val="none"/>
              </w:rPr>
            </w:pPr>
            <w:r>
              <w:rPr>
                <w:color w:val="auto"/>
                <w:highlight w:val="none"/>
              </w:rPr>
              <w:t>0.06:1</w:t>
            </w:r>
          </w:p>
        </w:tc>
        <w:tc>
          <w:tcPr>
            <w:tcW w:w="993" w:type="pct"/>
            <w:noWrap w:val="0"/>
            <w:vAlign w:val="center"/>
          </w:tcPr>
          <w:p w14:paraId="65E5147B">
            <w:pPr>
              <w:pStyle w:val="33"/>
              <w:bidi w:val="0"/>
              <w:rPr>
                <w:color w:val="auto"/>
                <w:highlight w:val="none"/>
              </w:rPr>
            </w:pPr>
          </w:p>
        </w:tc>
      </w:tr>
      <w:tr w14:paraId="7DD643D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32B8A21A">
            <w:pPr>
              <w:pStyle w:val="33"/>
              <w:bidi w:val="0"/>
              <w:rPr>
                <w:color w:val="auto"/>
                <w:highlight w:val="none"/>
              </w:rPr>
            </w:pPr>
          </w:p>
        </w:tc>
        <w:tc>
          <w:tcPr>
            <w:tcW w:w="1950" w:type="pct"/>
            <w:noWrap w:val="0"/>
            <w:vAlign w:val="center"/>
          </w:tcPr>
          <w:p w14:paraId="5048D0E6">
            <w:pPr>
              <w:pStyle w:val="33"/>
              <w:bidi w:val="0"/>
              <w:rPr>
                <w:color w:val="auto"/>
                <w:highlight w:val="none"/>
              </w:rPr>
            </w:pPr>
            <w:r>
              <w:rPr>
                <w:color w:val="auto"/>
                <w:highlight w:val="none"/>
              </w:rPr>
              <w:t>生产平均剥采比</w:t>
            </w:r>
          </w:p>
        </w:tc>
        <w:tc>
          <w:tcPr>
            <w:tcW w:w="673" w:type="pct"/>
            <w:noWrap w:val="0"/>
            <w:vAlign w:val="center"/>
          </w:tcPr>
          <w:p w14:paraId="6D85515C">
            <w:pPr>
              <w:pStyle w:val="33"/>
              <w:bidi w:val="0"/>
              <w:rPr>
                <w:color w:val="auto"/>
                <w:highlight w:val="none"/>
              </w:rPr>
            </w:pPr>
            <w:r>
              <w:rPr>
                <w:color w:val="auto"/>
                <w:highlight w:val="none"/>
              </w:rPr>
              <w:t>m</w:t>
            </w:r>
            <w:r>
              <w:rPr>
                <w:color w:val="auto"/>
                <w:highlight w:val="none"/>
                <w:vertAlign w:val="superscript"/>
              </w:rPr>
              <w:t>3</w:t>
            </w:r>
            <w:r>
              <w:rPr>
                <w:color w:val="auto"/>
                <w:highlight w:val="none"/>
              </w:rPr>
              <w:t>/ m</w:t>
            </w:r>
            <w:r>
              <w:rPr>
                <w:color w:val="auto"/>
                <w:highlight w:val="none"/>
                <w:vertAlign w:val="superscript"/>
              </w:rPr>
              <w:t>3</w:t>
            </w:r>
          </w:p>
        </w:tc>
        <w:tc>
          <w:tcPr>
            <w:tcW w:w="954" w:type="pct"/>
            <w:noWrap w:val="0"/>
            <w:vAlign w:val="center"/>
          </w:tcPr>
          <w:p w14:paraId="3FB805C5">
            <w:pPr>
              <w:pStyle w:val="33"/>
              <w:bidi w:val="0"/>
              <w:rPr>
                <w:color w:val="auto"/>
                <w:highlight w:val="none"/>
              </w:rPr>
            </w:pPr>
            <w:r>
              <w:rPr>
                <w:color w:val="auto"/>
                <w:highlight w:val="none"/>
              </w:rPr>
              <w:t>0.06:1</w:t>
            </w:r>
          </w:p>
        </w:tc>
        <w:tc>
          <w:tcPr>
            <w:tcW w:w="993" w:type="pct"/>
            <w:noWrap w:val="0"/>
            <w:vAlign w:val="center"/>
          </w:tcPr>
          <w:p w14:paraId="0FFDD069">
            <w:pPr>
              <w:pStyle w:val="33"/>
              <w:bidi w:val="0"/>
              <w:rPr>
                <w:color w:val="auto"/>
                <w:highlight w:val="none"/>
              </w:rPr>
            </w:pPr>
          </w:p>
        </w:tc>
      </w:tr>
      <w:tr w14:paraId="3A93A0B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5" w:hRule="atLeast"/>
        </w:trPr>
        <w:tc>
          <w:tcPr>
            <w:tcW w:w="430" w:type="pct"/>
            <w:noWrap w:val="0"/>
            <w:vAlign w:val="center"/>
          </w:tcPr>
          <w:p w14:paraId="51044069">
            <w:pPr>
              <w:pStyle w:val="33"/>
              <w:bidi w:val="0"/>
              <w:rPr>
                <w:color w:val="auto"/>
                <w:highlight w:val="none"/>
              </w:rPr>
            </w:pPr>
            <w:r>
              <w:rPr>
                <w:color w:val="auto"/>
                <w:highlight w:val="none"/>
              </w:rPr>
              <w:t>2.3</w:t>
            </w:r>
          </w:p>
        </w:tc>
        <w:tc>
          <w:tcPr>
            <w:tcW w:w="1950" w:type="pct"/>
            <w:noWrap w:val="0"/>
            <w:vAlign w:val="center"/>
          </w:tcPr>
          <w:p w14:paraId="4AE2087A">
            <w:pPr>
              <w:pStyle w:val="33"/>
              <w:bidi w:val="0"/>
              <w:rPr>
                <w:color w:val="auto"/>
                <w:highlight w:val="none"/>
              </w:rPr>
            </w:pPr>
            <w:r>
              <w:rPr>
                <w:color w:val="auto"/>
                <w:highlight w:val="none"/>
              </w:rPr>
              <w:t>矿山服务年限</w:t>
            </w:r>
          </w:p>
        </w:tc>
        <w:tc>
          <w:tcPr>
            <w:tcW w:w="673" w:type="pct"/>
            <w:noWrap w:val="0"/>
            <w:vAlign w:val="center"/>
          </w:tcPr>
          <w:p w14:paraId="18E9DCEF">
            <w:pPr>
              <w:pStyle w:val="33"/>
              <w:bidi w:val="0"/>
              <w:rPr>
                <w:color w:val="auto"/>
                <w:highlight w:val="none"/>
              </w:rPr>
            </w:pPr>
            <w:r>
              <w:rPr>
                <w:color w:val="auto"/>
                <w:highlight w:val="none"/>
              </w:rPr>
              <w:t>a</w:t>
            </w:r>
          </w:p>
        </w:tc>
        <w:tc>
          <w:tcPr>
            <w:tcW w:w="954" w:type="pct"/>
            <w:noWrap w:val="0"/>
            <w:vAlign w:val="center"/>
          </w:tcPr>
          <w:p w14:paraId="78E4454B">
            <w:pPr>
              <w:pStyle w:val="33"/>
              <w:bidi w:val="0"/>
              <w:rPr>
                <w:color w:val="auto"/>
                <w:highlight w:val="none"/>
              </w:rPr>
            </w:pPr>
            <w:r>
              <w:rPr>
                <w:color w:val="auto"/>
                <w:highlight w:val="none"/>
              </w:rPr>
              <w:t>118</w:t>
            </w:r>
          </w:p>
        </w:tc>
        <w:tc>
          <w:tcPr>
            <w:tcW w:w="993" w:type="pct"/>
            <w:noWrap w:val="0"/>
            <w:vAlign w:val="center"/>
          </w:tcPr>
          <w:p w14:paraId="4DA02A6A">
            <w:pPr>
              <w:pStyle w:val="33"/>
              <w:bidi w:val="0"/>
              <w:rPr>
                <w:color w:val="auto"/>
                <w:highlight w:val="none"/>
              </w:rPr>
            </w:pPr>
          </w:p>
        </w:tc>
      </w:tr>
      <w:tr w14:paraId="23DD405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1A45BCDD">
            <w:pPr>
              <w:pStyle w:val="33"/>
              <w:bidi w:val="0"/>
              <w:rPr>
                <w:color w:val="auto"/>
                <w:highlight w:val="none"/>
              </w:rPr>
            </w:pPr>
            <w:r>
              <w:rPr>
                <w:color w:val="auto"/>
                <w:highlight w:val="none"/>
              </w:rPr>
              <w:t>2.4</w:t>
            </w:r>
          </w:p>
        </w:tc>
        <w:tc>
          <w:tcPr>
            <w:tcW w:w="1950" w:type="pct"/>
            <w:noWrap w:val="0"/>
            <w:vAlign w:val="center"/>
          </w:tcPr>
          <w:p w14:paraId="717D613F">
            <w:pPr>
              <w:pStyle w:val="33"/>
              <w:bidi w:val="0"/>
              <w:rPr>
                <w:color w:val="auto"/>
                <w:highlight w:val="none"/>
              </w:rPr>
            </w:pPr>
            <w:r>
              <w:rPr>
                <w:color w:val="auto"/>
                <w:highlight w:val="none"/>
              </w:rPr>
              <w:t>矿山基建时间</w:t>
            </w:r>
          </w:p>
        </w:tc>
        <w:tc>
          <w:tcPr>
            <w:tcW w:w="673" w:type="pct"/>
            <w:noWrap w:val="0"/>
            <w:vAlign w:val="center"/>
          </w:tcPr>
          <w:p w14:paraId="77FD9439">
            <w:pPr>
              <w:pStyle w:val="33"/>
              <w:bidi w:val="0"/>
              <w:rPr>
                <w:color w:val="auto"/>
                <w:highlight w:val="none"/>
              </w:rPr>
            </w:pPr>
            <w:r>
              <w:rPr>
                <w:color w:val="auto"/>
                <w:highlight w:val="none"/>
              </w:rPr>
              <w:t>a</w:t>
            </w:r>
          </w:p>
        </w:tc>
        <w:tc>
          <w:tcPr>
            <w:tcW w:w="954" w:type="pct"/>
            <w:noWrap w:val="0"/>
            <w:vAlign w:val="center"/>
          </w:tcPr>
          <w:p w14:paraId="4D7F06A8">
            <w:pPr>
              <w:pStyle w:val="33"/>
              <w:bidi w:val="0"/>
              <w:rPr>
                <w:color w:val="auto"/>
                <w:highlight w:val="none"/>
              </w:rPr>
            </w:pPr>
            <w:r>
              <w:rPr>
                <w:color w:val="auto"/>
                <w:highlight w:val="none"/>
              </w:rPr>
              <w:t>1</w:t>
            </w:r>
          </w:p>
        </w:tc>
        <w:tc>
          <w:tcPr>
            <w:tcW w:w="993" w:type="pct"/>
            <w:noWrap w:val="0"/>
            <w:vAlign w:val="center"/>
          </w:tcPr>
          <w:p w14:paraId="0F8B6BE5">
            <w:pPr>
              <w:pStyle w:val="33"/>
              <w:bidi w:val="0"/>
              <w:rPr>
                <w:color w:val="auto"/>
                <w:highlight w:val="none"/>
              </w:rPr>
            </w:pPr>
          </w:p>
        </w:tc>
      </w:tr>
      <w:tr w14:paraId="0EE99CE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6375FA7B">
            <w:pPr>
              <w:pStyle w:val="33"/>
              <w:bidi w:val="0"/>
              <w:rPr>
                <w:color w:val="auto"/>
                <w:highlight w:val="none"/>
              </w:rPr>
            </w:pPr>
          </w:p>
        </w:tc>
        <w:tc>
          <w:tcPr>
            <w:tcW w:w="1950" w:type="pct"/>
            <w:noWrap w:val="0"/>
            <w:vAlign w:val="center"/>
          </w:tcPr>
          <w:p w14:paraId="4AE0DA56">
            <w:pPr>
              <w:pStyle w:val="33"/>
              <w:bidi w:val="0"/>
              <w:rPr>
                <w:color w:val="auto"/>
                <w:highlight w:val="none"/>
              </w:rPr>
            </w:pPr>
            <w:r>
              <w:rPr>
                <w:color w:val="auto"/>
                <w:highlight w:val="none"/>
              </w:rPr>
              <w:t>基建工程量</w:t>
            </w:r>
          </w:p>
        </w:tc>
        <w:tc>
          <w:tcPr>
            <w:tcW w:w="673" w:type="pct"/>
            <w:noWrap w:val="0"/>
            <w:vAlign w:val="center"/>
          </w:tcPr>
          <w:p w14:paraId="5552D397">
            <w:pPr>
              <w:pStyle w:val="33"/>
              <w:bidi w:val="0"/>
              <w:rPr>
                <w:color w:val="auto"/>
                <w:highlight w:val="none"/>
              </w:rPr>
            </w:pPr>
            <w:r>
              <w:rPr>
                <w:color w:val="auto"/>
                <w:highlight w:val="none"/>
              </w:rPr>
              <w:t>万m</w:t>
            </w:r>
            <w:r>
              <w:rPr>
                <w:color w:val="auto"/>
                <w:highlight w:val="none"/>
                <w:vertAlign w:val="superscript"/>
              </w:rPr>
              <w:t>3</w:t>
            </w:r>
          </w:p>
        </w:tc>
        <w:tc>
          <w:tcPr>
            <w:tcW w:w="954" w:type="pct"/>
            <w:noWrap w:val="0"/>
            <w:vAlign w:val="center"/>
          </w:tcPr>
          <w:p w14:paraId="7BC4672F">
            <w:pPr>
              <w:pStyle w:val="33"/>
              <w:bidi w:val="0"/>
              <w:rPr>
                <w:color w:val="auto"/>
                <w:highlight w:val="none"/>
              </w:rPr>
            </w:pPr>
            <w:r>
              <w:rPr>
                <w:color w:val="auto"/>
                <w:highlight w:val="none"/>
              </w:rPr>
              <w:t>3.4491</w:t>
            </w:r>
          </w:p>
        </w:tc>
        <w:tc>
          <w:tcPr>
            <w:tcW w:w="993" w:type="pct"/>
            <w:noWrap w:val="0"/>
            <w:vAlign w:val="center"/>
          </w:tcPr>
          <w:p w14:paraId="4B4DC2CD">
            <w:pPr>
              <w:pStyle w:val="33"/>
              <w:bidi w:val="0"/>
              <w:rPr>
                <w:color w:val="auto"/>
                <w:highlight w:val="none"/>
              </w:rPr>
            </w:pPr>
          </w:p>
        </w:tc>
      </w:tr>
      <w:tr w14:paraId="0A9C19D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3B54DA9C">
            <w:pPr>
              <w:pStyle w:val="33"/>
              <w:bidi w:val="0"/>
              <w:rPr>
                <w:color w:val="auto"/>
                <w:highlight w:val="none"/>
              </w:rPr>
            </w:pPr>
          </w:p>
        </w:tc>
        <w:tc>
          <w:tcPr>
            <w:tcW w:w="1950" w:type="pct"/>
            <w:noWrap w:val="0"/>
            <w:vAlign w:val="center"/>
          </w:tcPr>
          <w:p w14:paraId="5F92F019">
            <w:pPr>
              <w:pStyle w:val="33"/>
              <w:bidi w:val="0"/>
              <w:rPr>
                <w:color w:val="auto"/>
                <w:highlight w:val="none"/>
              </w:rPr>
            </w:pPr>
            <w:r>
              <w:rPr>
                <w:color w:val="auto"/>
                <w:highlight w:val="none"/>
              </w:rPr>
              <w:t>其中：副产矿石量</w:t>
            </w:r>
          </w:p>
        </w:tc>
        <w:tc>
          <w:tcPr>
            <w:tcW w:w="673" w:type="pct"/>
            <w:noWrap w:val="0"/>
            <w:vAlign w:val="center"/>
          </w:tcPr>
          <w:p w14:paraId="77DDAA64">
            <w:pPr>
              <w:pStyle w:val="33"/>
              <w:bidi w:val="0"/>
              <w:rPr>
                <w:color w:val="auto"/>
                <w:highlight w:val="none"/>
              </w:rPr>
            </w:pPr>
            <w:r>
              <w:rPr>
                <w:color w:val="auto"/>
                <w:highlight w:val="none"/>
              </w:rPr>
              <w:t>万m</w:t>
            </w:r>
            <w:r>
              <w:rPr>
                <w:color w:val="auto"/>
                <w:highlight w:val="none"/>
                <w:vertAlign w:val="superscript"/>
              </w:rPr>
              <w:t>3</w:t>
            </w:r>
          </w:p>
        </w:tc>
        <w:tc>
          <w:tcPr>
            <w:tcW w:w="954" w:type="pct"/>
            <w:noWrap w:val="0"/>
            <w:vAlign w:val="center"/>
          </w:tcPr>
          <w:p w14:paraId="3E248067">
            <w:pPr>
              <w:pStyle w:val="33"/>
              <w:bidi w:val="0"/>
              <w:rPr>
                <w:color w:val="auto"/>
                <w:highlight w:val="none"/>
              </w:rPr>
            </w:pPr>
            <w:r>
              <w:rPr>
                <w:color w:val="auto"/>
                <w:highlight w:val="none"/>
              </w:rPr>
              <w:t>1.62</w:t>
            </w:r>
          </w:p>
        </w:tc>
        <w:tc>
          <w:tcPr>
            <w:tcW w:w="993" w:type="pct"/>
            <w:noWrap w:val="0"/>
            <w:vAlign w:val="center"/>
          </w:tcPr>
          <w:p w14:paraId="149B2AD9">
            <w:pPr>
              <w:pStyle w:val="33"/>
              <w:bidi w:val="0"/>
              <w:rPr>
                <w:color w:val="auto"/>
                <w:highlight w:val="none"/>
              </w:rPr>
            </w:pPr>
          </w:p>
        </w:tc>
      </w:tr>
      <w:tr w14:paraId="621F03F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49255DAA">
            <w:pPr>
              <w:pStyle w:val="33"/>
              <w:bidi w:val="0"/>
              <w:rPr>
                <w:color w:val="auto"/>
                <w:highlight w:val="none"/>
              </w:rPr>
            </w:pPr>
            <w:r>
              <w:rPr>
                <w:color w:val="auto"/>
                <w:highlight w:val="none"/>
              </w:rPr>
              <w:t>2.5</w:t>
            </w:r>
          </w:p>
        </w:tc>
        <w:tc>
          <w:tcPr>
            <w:tcW w:w="1950" w:type="pct"/>
            <w:noWrap w:val="0"/>
            <w:vAlign w:val="center"/>
          </w:tcPr>
          <w:p w14:paraId="150F2BA8">
            <w:pPr>
              <w:pStyle w:val="33"/>
              <w:bidi w:val="0"/>
              <w:rPr>
                <w:color w:val="auto"/>
                <w:highlight w:val="none"/>
              </w:rPr>
            </w:pPr>
            <w:r>
              <w:rPr>
                <w:color w:val="auto"/>
                <w:highlight w:val="none"/>
              </w:rPr>
              <w:t>开拓运输方式</w:t>
            </w:r>
          </w:p>
        </w:tc>
        <w:tc>
          <w:tcPr>
            <w:tcW w:w="673" w:type="pct"/>
            <w:noWrap w:val="0"/>
            <w:vAlign w:val="center"/>
          </w:tcPr>
          <w:p w14:paraId="2934A31E">
            <w:pPr>
              <w:pStyle w:val="33"/>
              <w:bidi w:val="0"/>
              <w:rPr>
                <w:color w:val="auto"/>
                <w:highlight w:val="none"/>
              </w:rPr>
            </w:pPr>
          </w:p>
        </w:tc>
        <w:tc>
          <w:tcPr>
            <w:tcW w:w="954" w:type="pct"/>
            <w:noWrap w:val="0"/>
            <w:vAlign w:val="center"/>
          </w:tcPr>
          <w:p w14:paraId="67DD47A1">
            <w:pPr>
              <w:pStyle w:val="33"/>
              <w:bidi w:val="0"/>
              <w:rPr>
                <w:color w:val="auto"/>
                <w:highlight w:val="none"/>
              </w:rPr>
            </w:pPr>
            <w:r>
              <w:rPr>
                <w:color w:val="auto"/>
                <w:highlight w:val="none"/>
              </w:rPr>
              <w:t>公路-汽车</w:t>
            </w:r>
          </w:p>
        </w:tc>
        <w:tc>
          <w:tcPr>
            <w:tcW w:w="993" w:type="pct"/>
            <w:noWrap w:val="0"/>
            <w:vAlign w:val="center"/>
          </w:tcPr>
          <w:p w14:paraId="42B196CE">
            <w:pPr>
              <w:pStyle w:val="33"/>
              <w:bidi w:val="0"/>
              <w:rPr>
                <w:color w:val="auto"/>
                <w:highlight w:val="none"/>
              </w:rPr>
            </w:pPr>
          </w:p>
        </w:tc>
      </w:tr>
      <w:tr w14:paraId="5ECEB07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755F2043">
            <w:pPr>
              <w:pStyle w:val="33"/>
              <w:bidi w:val="0"/>
              <w:rPr>
                <w:color w:val="auto"/>
                <w:highlight w:val="none"/>
              </w:rPr>
            </w:pPr>
          </w:p>
        </w:tc>
        <w:tc>
          <w:tcPr>
            <w:tcW w:w="1950" w:type="pct"/>
            <w:noWrap w:val="0"/>
            <w:vAlign w:val="center"/>
          </w:tcPr>
          <w:p w14:paraId="6A809B1E">
            <w:pPr>
              <w:pStyle w:val="33"/>
              <w:bidi w:val="0"/>
              <w:rPr>
                <w:color w:val="auto"/>
                <w:highlight w:val="none"/>
              </w:rPr>
            </w:pPr>
            <w:r>
              <w:rPr>
                <w:color w:val="auto"/>
                <w:highlight w:val="none"/>
              </w:rPr>
              <w:t>汽车型号</w:t>
            </w:r>
          </w:p>
        </w:tc>
        <w:tc>
          <w:tcPr>
            <w:tcW w:w="673" w:type="pct"/>
            <w:noWrap w:val="0"/>
            <w:vAlign w:val="center"/>
          </w:tcPr>
          <w:p w14:paraId="25AB3D94">
            <w:pPr>
              <w:pStyle w:val="33"/>
              <w:bidi w:val="0"/>
              <w:rPr>
                <w:color w:val="auto"/>
                <w:highlight w:val="none"/>
              </w:rPr>
            </w:pPr>
          </w:p>
        </w:tc>
        <w:tc>
          <w:tcPr>
            <w:tcW w:w="954" w:type="pct"/>
            <w:noWrap w:val="0"/>
            <w:vAlign w:val="center"/>
          </w:tcPr>
          <w:p w14:paraId="22BF7777">
            <w:pPr>
              <w:pStyle w:val="33"/>
              <w:bidi w:val="0"/>
              <w:rPr>
                <w:color w:val="auto"/>
                <w:highlight w:val="none"/>
              </w:rPr>
            </w:pPr>
            <w:r>
              <w:rPr>
                <w:color w:val="auto"/>
                <w:highlight w:val="none"/>
              </w:rPr>
              <w:t>10t平板车</w:t>
            </w:r>
          </w:p>
        </w:tc>
        <w:tc>
          <w:tcPr>
            <w:tcW w:w="993" w:type="pct"/>
            <w:noWrap w:val="0"/>
            <w:vAlign w:val="center"/>
          </w:tcPr>
          <w:p w14:paraId="4812B1FD">
            <w:pPr>
              <w:pStyle w:val="33"/>
              <w:bidi w:val="0"/>
              <w:rPr>
                <w:color w:val="auto"/>
                <w:highlight w:val="none"/>
              </w:rPr>
            </w:pPr>
          </w:p>
        </w:tc>
      </w:tr>
      <w:tr w14:paraId="7F4F20F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282E4381">
            <w:pPr>
              <w:pStyle w:val="33"/>
              <w:bidi w:val="0"/>
              <w:rPr>
                <w:color w:val="auto"/>
                <w:highlight w:val="none"/>
              </w:rPr>
            </w:pPr>
          </w:p>
        </w:tc>
        <w:tc>
          <w:tcPr>
            <w:tcW w:w="1950" w:type="pct"/>
            <w:noWrap w:val="0"/>
            <w:vAlign w:val="center"/>
          </w:tcPr>
          <w:p w14:paraId="0B467393">
            <w:pPr>
              <w:pStyle w:val="33"/>
              <w:bidi w:val="0"/>
              <w:rPr>
                <w:color w:val="auto"/>
                <w:highlight w:val="none"/>
              </w:rPr>
            </w:pPr>
            <w:r>
              <w:rPr>
                <w:color w:val="auto"/>
                <w:highlight w:val="none"/>
              </w:rPr>
              <w:t>汽车数量</w:t>
            </w:r>
          </w:p>
        </w:tc>
        <w:tc>
          <w:tcPr>
            <w:tcW w:w="673" w:type="pct"/>
            <w:noWrap w:val="0"/>
            <w:vAlign w:val="center"/>
          </w:tcPr>
          <w:p w14:paraId="64CF8C1E">
            <w:pPr>
              <w:pStyle w:val="33"/>
              <w:bidi w:val="0"/>
              <w:rPr>
                <w:color w:val="auto"/>
                <w:highlight w:val="none"/>
              </w:rPr>
            </w:pPr>
            <w:r>
              <w:rPr>
                <w:color w:val="auto"/>
                <w:highlight w:val="none"/>
              </w:rPr>
              <w:t>辆</w:t>
            </w:r>
          </w:p>
        </w:tc>
        <w:tc>
          <w:tcPr>
            <w:tcW w:w="954" w:type="pct"/>
            <w:noWrap w:val="0"/>
            <w:vAlign w:val="center"/>
          </w:tcPr>
          <w:p w14:paraId="1C0891E7">
            <w:pPr>
              <w:pStyle w:val="33"/>
              <w:bidi w:val="0"/>
              <w:rPr>
                <w:color w:val="auto"/>
                <w:highlight w:val="none"/>
              </w:rPr>
            </w:pPr>
            <w:r>
              <w:rPr>
                <w:color w:val="auto"/>
                <w:highlight w:val="none"/>
              </w:rPr>
              <w:t>3</w:t>
            </w:r>
          </w:p>
        </w:tc>
        <w:tc>
          <w:tcPr>
            <w:tcW w:w="993" w:type="pct"/>
            <w:noWrap w:val="0"/>
            <w:vAlign w:val="center"/>
          </w:tcPr>
          <w:p w14:paraId="590B12EA">
            <w:pPr>
              <w:pStyle w:val="33"/>
              <w:bidi w:val="0"/>
              <w:rPr>
                <w:color w:val="auto"/>
                <w:highlight w:val="none"/>
              </w:rPr>
            </w:pPr>
          </w:p>
        </w:tc>
      </w:tr>
      <w:tr w14:paraId="3CC692E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183FFCAE">
            <w:pPr>
              <w:pStyle w:val="33"/>
              <w:bidi w:val="0"/>
              <w:rPr>
                <w:color w:val="auto"/>
                <w:highlight w:val="none"/>
              </w:rPr>
            </w:pPr>
            <w:r>
              <w:rPr>
                <w:color w:val="auto"/>
                <w:highlight w:val="none"/>
              </w:rPr>
              <w:t>2.6</w:t>
            </w:r>
          </w:p>
        </w:tc>
        <w:tc>
          <w:tcPr>
            <w:tcW w:w="1950" w:type="pct"/>
            <w:noWrap w:val="0"/>
            <w:vAlign w:val="center"/>
          </w:tcPr>
          <w:p w14:paraId="4A247E42">
            <w:pPr>
              <w:pStyle w:val="33"/>
              <w:bidi w:val="0"/>
              <w:rPr>
                <w:color w:val="auto"/>
                <w:highlight w:val="none"/>
              </w:rPr>
            </w:pPr>
            <w:r>
              <w:rPr>
                <w:color w:val="auto"/>
                <w:highlight w:val="none"/>
              </w:rPr>
              <w:t>工作制度</w:t>
            </w:r>
          </w:p>
        </w:tc>
        <w:tc>
          <w:tcPr>
            <w:tcW w:w="673" w:type="pct"/>
            <w:noWrap w:val="0"/>
            <w:vAlign w:val="center"/>
          </w:tcPr>
          <w:p w14:paraId="4E07B5D6">
            <w:pPr>
              <w:pStyle w:val="33"/>
              <w:bidi w:val="0"/>
              <w:rPr>
                <w:color w:val="auto"/>
                <w:highlight w:val="none"/>
              </w:rPr>
            </w:pPr>
            <w:r>
              <w:rPr>
                <w:color w:val="auto"/>
                <w:highlight w:val="none"/>
              </w:rPr>
              <w:t>d/a</w:t>
            </w:r>
          </w:p>
        </w:tc>
        <w:tc>
          <w:tcPr>
            <w:tcW w:w="954" w:type="pct"/>
            <w:noWrap w:val="0"/>
            <w:vAlign w:val="center"/>
          </w:tcPr>
          <w:p w14:paraId="352E8E50">
            <w:pPr>
              <w:pStyle w:val="33"/>
              <w:bidi w:val="0"/>
              <w:rPr>
                <w:color w:val="auto"/>
                <w:highlight w:val="none"/>
              </w:rPr>
            </w:pPr>
            <w:r>
              <w:rPr>
                <w:color w:val="auto"/>
                <w:highlight w:val="none"/>
              </w:rPr>
              <w:t>240</w:t>
            </w:r>
          </w:p>
        </w:tc>
        <w:tc>
          <w:tcPr>
            <w:tcW w:w="993" w:type="pct"/>
            <w:noWrap w:val="0"/>
            <w:vAlign w:val="center"/>
          </w:tcPr>
          <w:p w14:paraId="5E233E93">
            <w:pPr>
              <w:pStyle w:val="33"/>
              <w:bidi w:val="0"/>
              <w:rPr>
                <w:color w:val="auto"/>
                <w:highlight w:val="none"/>
              </w:rPr>
            </w:pPr>
          </w:p>
        </w:tc>
      </w:tr>
      <w:tr w14:paraId="324818C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739342A5">
            <w:pPr>
              <w:pStyle w:val="33"/>
              <w:bidi w:val="0"/>
              <w:rPr>
                <w:color w:val="auto"/>
                <w:highlight w:val="none"/>
              </w:rPr>
            </w:pPr>
          </w:p>
        </w:tc>
        <w:tc>
          <w:tcPr>
            <w:tcW w:w="1950" w:type="pct"/>
            <w:noWrap w:val="0"/>
            <w:vAlign w:val="center"/>
          </w:tcPr>
          <w:p w14:paraId="55C8F845">
            <w:pPr>
              <w:pStyle w:val="33"/>
              <w:bidi w:val="0"/>
              <w:rPr>
                <w:color w:val="auto"/>
                <w:highlight w:val="none"/>
              </w:rPr>
            </w:pPr>
          </w:p>
        </w:tc>
        <w:tc>
          <w:tcPr>
            <w:tcW w:w="673" w:type="pct"/>
            <w:noWrap w:val="0"/>
            <w:vAlign w:val="center"/>
          </w:tcPr>
          <w:p w14:paraId="7CA31A32">
            <w:pPr>
              <w:pStyle w:val="33"/>
              <w:bidi w:val="0"/>
              <w:rPr>
                <w:color w:val="auto"/>
                <w:highlight w:val="none"/>
              </w:rPr>
            </w:pPr>
            <w:r>
              <w:rPr>
                <w:color w:val="auto"/>
                <w:highlight w:val="none"/>
              </w:rPr>
              <w:t>班/d</w:t>
            </w:r>
          </w:p>
        </w:tc>
        <w:tc>
          <w:tcPr>
            <w:tcW w:w="954" w:type="pct"/>
            <w:noWrap w:val="0"/>
            <w:vAlign w:val="center"/>
          </w:tcPr>
          <w:p w14:paraId="68231893">
            <w:pPr>
              <w:pStyle w:val="33"/>
              <w:bidi w:val="0"/>
              <w:rPr>
                <w:color w:val="auto"/>
                <w:highlight w:val="none"/>
              </w:rPr>
            </w:pPr>
            <w:r>
              <w:rPr>
                <w:color w:val="auto"/>
                <w:highlight w:val="none"/>
              </w:rPr>
              <w:t>1</w:t>
            </w:r>
          </w:p>
        </w:tc>
        <w:tc>
          <w:tcPr>
            <w:tcW w:w="993" w:type="pct"/>
            <w:noWrap w:val="0"/>
            <w:vAlign w:val="center"/>
          </w:tcPr>
          <w:p w14:paraId="50FF0194">
            <w:pPr>
              <w:pStyle w:val="33"/>
              <w:bidi w:val="0"/>
              <w:rPr>
                <w:color w:val="auto"/>
                <w:highlight w:val="none"/>
              </w:rPr>
            </w:pPr>
          </w:p>
        </w:tc>
      </w:tr>
      <w:tr w14:paraId="45E5BDD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09F05544">
            <w:pPr>
              <w:pStyle w:val="33"/>
              <w:bidi w:val="0"/>
              <w:rPr>
                <w:color w:val="auto"/>
                <w:highlight w:val="none"/>
              </w:rPr>
            </w:pPr>
          </w:p>
        </w:tc>
        <w:tc>
          <w:tcPr>
            <w:tcW w:w="1950" w:type="pct"/>
            <w:noWrap w:val="0"/>
            <w:vAlign w:val="center"/>
          </w:tcPr>
          <w:p w14:paraId="07583307">
            <w:pPr>
              <w:pStyle w:val="33"/>
              <w:bidi w:val="0"/>
              <w:rPr>
                <w:color w:val="auto"/>
                <w:highlight w:val="none"/>
              </w:rPr>
            </w:pPr>
          </w:p>
        </w:tc>
        <w:tc>
          <w:tcPr>
            <w:tcW w:w="673" w:type="pct"/>
            <w:noWrap w:val="0"/>
            <w:vAlign w:val="center"/>
          </w:tcPr>
          <w:p w14:paraId="37952764">
            <w:pPr>
              <w:pStyle w:val="33"/>
              <w:bidi w:val="0"/>
              <w:rPr>
                <w:color w:val="auto"/>
                <w:highlight w:val="none"/>
              </w:rPr>
            </w:pPr>
            <w:r>
              <w:rPr>
                <w:color w:val="auto"/>
                <w:highlight w:val="none"/>
              </w:rPr>
              <w:t>h/班</w:t>
            </w:r>
          </w:p>
        </w:tc>
        <w:tc>
          <w:tcPr>
            <w:tcW w:w="954" w:type="pct"/>
            <w:noWrap w:val="0"/>
            <w:vAlign w:val="center"/>
          </w:tcPr>
          <w:p w14:paraId="6F972FE4">
            <w:pPr>
              <w:pStyle w:val="33"/>
              <w:bidi w:val="0"/>
              <w:rPr>
                <w:color w:val="auto"/>
                <w:highlight w:val="none"/>
              </w:rPr>
            </w:pPr>
            <w:r>
              <w:rPr>
                <w:color w:val="auto"/>
                <w:highlight w:val="none"/>
              </w:rPr>
              <w:t>8</w:t>
            </w:r>
          </w:p>
        </w:tc>
        <w:tc>
          <w:tcPr>
            <w:tcW w:w="993" w:type="pct"/>
            <w:noWrap w:val="0"/>
            <w:vAlign w:val="center"/>
          </w:tcPr>
          <w:p w14:paraId="20443ADF">
            <w:pPr>
              <w:pStyle w:val="33"/>
              <w:bidi w:val="0"/>
              <w:rPr>
                <w:color w:val="auto"/>
                <w:highlight w:val="none"/>
              </w:rPr>
            </w:pPr>
          </w:p>
        </w:tc>
      </w:tr>
      <w:tr w14:paraId="228F1EF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1E4081C2">
            <w:pPr>
              <w:pStyle w:val="33"/>
              <w:bidi w:val="0"/>
              <w:rPr>
                <w:color w:val="auto"/>
                <w:highlight w:val="none"/>
              </w:rPr>
            </w:pPr>
            <w:r>
              <w:rPr>
                <w:color w:val="auto"/>
                <w:highlight w:val="none"/>
              </w:rPr>
              <w:t>2.7</w:t>
            </w:r>
          </w:p>
        </w:tc>
        <w:tc>
          <w:tcPr>
            <w:tcW w:w="1950" w:type="pct"/>
            <w:noWrap w:val="0"/>
            <w:vAlign w:val="center"/>
          </w:tcPr>
          <w:p w14:paraId="0CD3D223">
            <w:pPr>
              <w:pStyle w:val="33"/>
              <w:bidi w:val="0"/>
              <w:rPr>
                <w:color w:val="auto"/>
                <w:highlight w:val="none"/>
              </w:rPr>
            </w:pPr>
            <w:r>
              <w:rPr>
                <w:color w:val="auto"/>
                <w:highlight w:val="none"/>
              </w:rPr>
              <w:t>露天开采最终境界</w:t>
            </w:r>
          </w:p>
        </w:tc>
        <w:tc>
          <w:tcPr>
            <w:tcW w:w="673" w:type="pct"/>
            <w:noWrap w:val="0"/>
            <w:vAlign w:val="center"/>
          </w:tcPr>
          <w:p w14:paraId="3C9A40DF">
            <w:pPr>
              <w:pStyle w:val="33"/>
              <w:bidi w:val="0"/>
              <w:rPr>
                <w:color w:val="auto"/>
                <w:highlight w:val="none"/>
              </w:rPr>
            </w:pPr>
          </w:p>
        </w:tc>
        <w:tc>
          <w:tcPr>
            <w:tcW w:w="954" w:type="pct"/>
            <w:noWrap w:val="0"/>
            <w:vAlign w:val="center"/>
          </w:tcPr>
          <w:p w14:paraId="0556E2A9">
            <w:pPr>
              <w:pStyle w:val="33"/>
              <w:bidi w:val="0"/>
              <w:rPr>
                <w:color w:val="auto"/>
                <w:highlight w:val="none"/>
              </w:rPr>
            </w:pPr>
          </w:p>
        </w:tc>
        <w:tc>
          <w:tcPr>
            <w:tcW w:w="993" w:type="pct"/>
            <w:noWrap w:val="0"/>
            <w:vAlign w:val="center"/>
          </w:tcPr>
          <w:p w14:paraId="0E244D33">
            <w:pPr>
              <w:pStyle w:val="33"/>
              <w:bidi w:val="0"/>
              <w:rPr>
                <w:color w:val="auto"/>
                <w:highlight w:val="none"/>
              </w:rPr>
            </w:pPr>
          </w:p>
        </w:tc>
      </w:tr>
      <w:tr w14:paraId="5AD8401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2C08067E">
            <w:pPr>
              <w:pStyle w:val="33"/>
              <w:bidi w:val="0"/>
              <w:rPr>
                <w:color w:val="auto"/>
                <w:highlight w:val="none"/>
              </w:rPr>
            </w:pPr>
          </w:p>
        </w:tc>
        <w:tc>
          <w:tcPr>
            <w:tcW w:w="1950" w:type="pct"/>
            <w:noWrap w:val="0"/>
            <w:vAlign w:val="center"/>
          </w:tcPr>
          <w:p w14:paraId="1F04BE21">
            <w:pPr>
              <w:pStyle w:val="33"/>
              <w:bidi w:val="0"/>
              <w:rPr>
                <w:color w:val="auto"/>
                <w:highlight w:val="none"/>
              </w:rPr>
            </w:pPr>
            <w:r>
              <w:rPr>
                <w:color w:val="auto"/>
                <w:highlight w:val="none"/>
              </w:rPr>
              <w:t>上口尺寸（长、宽）</w:t>
            </w:r>
          </w:p>
        </w:tc>
        <w:tc>
          <w:tcPr>
            <w:tcW w:w="673" w:type="pct"/>
            <w:noWrap w:val="0"/>
            <w:vAlign w:val="center"/>
          </w:tcPr>
          <w:p w14:paraId="764E84EB">
            <w:pPr>
              <w:pStyle w:val="33"/>
              <w:bidi w:val="0"/>
              <w:rPr>
                <w:color w:val="auto"/>
                <w:highlight w:val="none"/>
              </w:rPr>
            </w:pPr>
            <w:r>
              <w:rPr>
                <w:color w:val="auto"/>
                <w:highlight w:val="none"/>
              </w:rPr>
              <w:t>m</w:t>
            </w:r>
          </w:p>
        </w:tc>
        <w:tc>
          <w:tcPr>
            <w:tcW w:w="954" w:type="pct"/>
            <w:noWrap w:val="0"/>
            <w:vAlign w:val="center"/>
          </w:tcPr>
          <w:p w14:paraId="3F458821">
            <w:pPr>
              <w:pStyle w:val="33"/>
              <w:bidi w:val="0"/>
              <w:rPr>
                <w:color w:val="auto"/>
                <w:highlight w:val="none"/>
              </w:rPr>
            </w:pPr>
            <w:r>
              <w:rPr>
                <w:color w:val="auto"/>
                <w:highlight w:val="none"/>
              </w:rPr>
              <w:t>388×152</w:t>
            </w:r>
          </w:p>
        </w:tc>
        <w:tc>
          <w:tcPr>
            <w:tcW w:w="993" w:type="pct"/>
            <w:noWrap w:val="0"/>
            <w:vAlign w:val="center"/>
          </w:tcPr>
          <w:p w14:paraId="1A46D8E9">
            <w:pPr>
              <w:pStyle w:val="33"/>
              <w:bidi w:val="0"/>
              <w:rPr>
                <w:color w:val="auto"/>
                <w:highlight w:val="none"/>
              </w:rPr>
            </w:pPr>
          </w:p>
        </w:tc>
      </w:tr>
      <w:tr w14:paraId="5559115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1DC3327E">
            <w:pPr>
              <w:pStyle w:val="33"/>
              <w:bidi w:val="0"/>
              <w:rPr>
                <w:color w:val="auto"/>
                <w:highlight w:val="none"/>
              </w:rPr>
            </w:pPr>
          </w:p>
        </w:tc>
        <w:tc>
          <w:tcPr>
            <w:tcW w:w="1950" w:type="pct"/>
            <w:noWrap w:val="0"/>
            <w:vAlign w:val="center"/>
          </w:tcPr>
          <w:p w14:paraId="14F8C844">
            <w:pPr>
              <w:pStyle w:val="33"/>
              <w:bidi w:val="0"/>
              <w:rPr>
                <w:color w:val="auto"/>
                <w:highlight w:val="none"/>
              </w:rPr>
            </w:pPr>
            <w:r>
              <w:rPr>
                <w:color w:val="auto"/>
                <w:highlight w:val="none"/>
              </w:rPr>
              <w:t>坑底尺寸（长、宽）</w:t>
            </w:r>
          </w:p>
        </w:tc>
        <w:tc>
          <w:tcPr>
            <w:tcW w:w="673" w:type="pct"/>
            <w:noWrap w:val="0"/>
            <w:vAlign w:val="center"/>
          </w:tcPr>
          <w:p w14:paraId="0C9EC29A">
            <w:pPr>
              <w:pStyle w:val="33"/>
              <w:bidi w:val="0"/>
              <w:rPr>
                <w:color w:val="auto"/>
                <w:highlight w:val="none"/>
              </w:rPr>
            </w:pPr>
            <w:r>
              <w:rPr>
                <w:color w:val="auto"/>
                <w:highlight w:val="none"/>
              </w:rPr>
              <w:t>m</w:t>
            </w:r>
          </w:p>
        </w:tc>
        <w:tc>
          <w:tcPr>
            <w:tcW w:w="954" w:type="pct"/>
            <w:noWrap w:val="0"/>
            <w:vAlign w:val="center"/>
          </w:tcPr>
          <w:p w14:paraId="228BBF9D">
            <w:pPr>
              <w:pStyle w:val="33"/>
              <w:bidi w:val="0"/>
              <w:rPr>
                <w:color w:val="auto"/>
                <w:highlight w:val="none"/>
              </w:rPr>
            </w:pPr>
            <w:r>
              <w:rPr>
                <w:color w:val="auto"/>
                <w:highlight w:val="none"/>
              </w:rPr>
              <w:t>263×72</w:t>
            </w:r>
          </w:p>
        </w:tc>
        <w:tc>
          <w:tcPr>
            <w:tcW w:w="993" w:type="pct"/>
            <w:noWrap w:val="0"/>
            <w:vAlign w:val="center"/>
          </w:tcPr>
          <w:p w14:paraId="0CB980CB">
            <w:pPr>
              <w:pStyle w:val="33"/>
              <w:bidi w:val="0"/>
              <w:rPr>
                <w:color w:val="auto"/>
                <w:highlight w:val="none"/>
              </w:rPr>
            </w:pPr>
          </w:p>
        </w:tc>
      </w:tr>
      <w:tr w14:paraId="649DC3C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5E1C2796">
            <w:pPr>
              <w:pStyle w:val="33"/>
              <w:bidi w:val="0"/>
              <w:rPr>
                <w:color w:val="auto"/>
                <w:highlight w:val="none"/>
              </w:rPr>
            </w:pPr>
          </w:p>
        </w:tc>
        <w:tc>
          <w:tcPr>
            <w:tcW w:w="1950" w:type="pct"/>
            <w:noWrap w:val="0"/>
            <w:vAlign w:val="center"/>
          </w:tcPr>
          <w:p w14:paraId="12B25ACA">
            <w:pPr>
              <w:pStyle w:val="33"/>
              <w:bidi w:val="0"/>
              <w:rPr>
                <w:color w:val="auto"/>
                <w:highlight w:val="none"/>
              </w:rPr>
            </w:pPr>
            <w:r>
              <w:rPr>
                <w:color w:val="auto"/>
                <w:highlight w:val="none"/>
              </w:rPr>
              <w:t>总高度</w:t>
            </w:r>
          </w:p>
        </w:tc>
        <w:tc>
          <w:tcPr>
            <w:tcW w:w="673" w:type="pct"/>
            <w:noWrap w:val="0"/>
            <w:vAlign w:val="center"/>
          </w:tcPr>
          <w:p w14:paraId="0E1EDEA5">
            <w:pPr>
              <w:pStyle w:val="33"/>
              <w:bidi w:val="0"/>
              <w:rPr>
                <w:color w:val="auto"/>
                <w:highlight w:val="none"/>
              </w:rPr>
            </w:pPr>
            <w:r>
              <w:rPr>
                <w:color w:val="auto"/>
                <w:highlight w:val="none"/>
              </w:rPr>
              <w:t>m</w:t>
            </w:r>
          </w:p>
        </w:tc>
        <w:tc>
          <w:tcPr>
            <w:tcW w:w="954" w:type="pct"/>
            <w:noWrap w:val="0"/>
            <w:vAlign w:val="center"/>
          </w:tcPr>
          <w:p w14:paraId="310379F8">
            <w:pPr>
              <w:pStyle w:val="33"/>
              <w:bidi w:val="0"/>
              <w:rPr>
                <w:color w:val="auto"/>
                <w:highlight w:val="none"/>
              </w:rPr>
            </w:pPr>
            <w:r>
              <w:rPr>
                <w:color w:val="auto"/>
                <w:highlight w:val="none"/>
              </w:rPr>
              <w:t>34</w:t>
            </w:r>
          </w:p>
        </w:tc>
        <w:tc>
          <w:tcPr>
            <w:tcW w:w="993" w:type="pct"/>
            <w:noWrap w:val="0"/>
            <w:vAlign w:val="center"/>
          </w:tcPr>
          <w:p w14:paraId="17E176FD">
            <w:pPr>
              <w:pStyle w:val="33"/>
              <w:bidi w:val="0"/>
              <w:rPr>
                <w:color w:val="auto"/>
                <w:highlight w:val="none"/>
              </w:rPr>
            </w:pPr>
          </w:p>
        </w:tc>
      </w:tr>
      <w:tr w14:paraId="09BA05B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1251DD7E">
            <w:pPr>
              <w:pStyle w:val="33"/>
              <w:bidi w:val="0"/>
              <w:rPr>
                <w:color w:val="auto"/>
                <w:highlight w:val="none"/>
              </w:rPr>
            </w:pPr>
          </w:p>
        </w:tc>
        <w:tc>
          <w:tcPr>
            <w:tcW w:w="1950" w:type="pct"/>
            <w:noWrap w:val="0"/>
            <w:vAlign w:val="center"/>
          </w:tcPr>
          <w:p w14:paraId="20F09C25">
            <w:pPr>
              <w:pStyle w:val="33"/>
              <w:bidi w:val="0"/>
              <w:rPr>
                <w:color w:val="auto"/>
                <w:highlight w:val="none"/>
              </w:rPr>
            </w:pPr>
            <w:r>
              <w:rPr>
                <w:color w:val="auto"/>
                <w:highlight w:val="none"/>
              </w:rPr>
              <w:t>最终边坡角</w:t>
            </w:r>
          </w:p>
        </w:tc>
        <w:tc>
          <w:tcPr>
            <w:tcW w:w="673" w:type="pct"/>
            <w:noWrap w:val="0"/>
            <w:vAlign w:val="center"/>
          </w:tcPr>
          <w:p w14:paraId="5AD8115D">
            <w:pPr>
              <w:pStyle w:val="33"/>
              <w:bidi w:val="0"/>
              <w:rPr>
                <w:color w:val="auto"/>
                <w:highlight w:val="none"/>
              </w:rPr>
            </w:pPr>
            <w:r>
              <w:rPr>
                <w:color w:val="auto"/>
                <w:highlight w:val="none"/>
              </w:rPr>
              <w:t>°</w:t>
            </w:r>
          </w:p>
        </w:tc>
        <w:tc>
          <w:tcPr>
            <w:tcW w:w="954" w:type="pct"/>
            <w:noWrap w:val="0"/>
            <w:vAlign w:val="center"/>
          </w:tcPr>
          <w:p w14:paraId="668E1DFB">
            <w:pPr>
              <w:pStyle w:val="33"/>
              <w:bidi w:val="0"/>
              <w:rPr>
                <w:color w:val="auto"/>
                <w:highlight w:val="none"/>
              </w:rPr>
            </w:pPr>
            <w:r>
              <w:rPr>
                <w:color w:val="auto"/>
                <w:highlight w:val="none"/>
              </w:rPr>
              <w:t>46</w:t>
            </w:r>
          </w:p>
        </w:tc>
        <w:tc>
          <w:tcPr>
            <w:tcW w:w="993" w:type="pct"/>
            <w:noWrap w:val="0"/>
            <w:vAlign w:val="center"/>
          </w:tcPr>
          <w:p w14:paraId="6B08B993">
            <w:pPr>
              <w:pStyle w:val="33"/>
              <w:bidi w:val="0"/>
              <w:rPr>
                <w:color w:val="auto"/>
                <w:highlight w:val="none"/>
              </w:rPr>
            </w:pPr>
          </w:p>
        </w:tc>
      </w:tr>
      <w:tr w14:paraId="59B08B7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09620ED2">
            <w:pPr>
              <w:pStyle w:val="33"/>
              <w:bidi w:val="0"/>
              <w:rPr>
                <w:color w:val="auto"/>
                <w:highlight w:val="none"/>
              </w:rPr>
            </w:pPr>
          </w:p>
        </w:tc>
        <w:tc>
          <w:tcPr>
            <w:tcW w:w="1950" w:type="pct"/>
            <w:noWrap w:val="0"/>
            <w:vAlign w:val="center"/>
          </w:tcPr>
          <w:p w14:paraId="4399FE0A">
            <w:pPr>
              <w:pStyle w:val="33"/>
              <w:bidi w:val="0"/>
              <w:rPr>
                <w:color w:val="auto"/>
                <w:highlight w:val="none"/>
              </w:rPr>
            </w:pPr>
            <w:r>
              <w:rPr>
                <w:color w:val="auto"/>
                <w:highlight w:val="none"/>
              </w:rPr>
              <w:t>矿石量</w:t>
            </w:r>
          </w:p>
        </w:tc>
        <w:tc>
          <w:tcPr>
            <w:tcW w:w="673" w:type="pct"/>
            <w:noWrap w:val="0"/>
            <w:vAlign w:val="center"/>
          </w:tcPr>
          <w:p w14:paraId="340843EE">
            <w:pPr>
              <w:pStyle w:val="33"/>
              <w:bidi w:val="0"/>
              <w:rPr>
                <w:color w:val="auto"/>
                <w:highlight w:val="none"/>
              </w:rPr>
            </w:pPr>
            <w:r>
              <w:rPr>
                <w:color w:val="auto"/>
                <w:highlight w:val="none"/>
              </w:rPr>
              <w:t>万m</w:t>
            </w:r>
            <w:r>
              <w:rPr>
                <w:color w:val="auto"/>
                <w:highlight w:val="none"/>
                <w:vertAlign w:val="superscript"/>
              </w:rPr>
              <w:t>3</w:t>
            </w:r>
          </w:p>
        </w:tc>
        <w:tc>
          <w:tcPr>
            <w:tcW w:w="954" w:type="pct"/>
            <w:noWrap w:val="0"/>
            <w:vAlign w:val="center"/>
          </w:tcPr>
          <w:p w14:paraId="3EB89D0E">
            <w:pPr>
              <w:pStyle w:val="33"/>
              <w:bidi w:val="0"/>
              <w:rPr>
                <w:color w:val="auto"/>
                <w:highlight w:val="none"/>
              </w:rPr>
            </w:pPr>
            <w:r>
              <w:rPr>
                <w:color w:val="auto"/>
                <w:highlight w:val="none"/>
              </w:rPr>
              <w:t>237.51</w:t>
            </w:r>
          </w:p>
        </w:tc>
        <w:tc>
          <w:tcPr>
            <w:tcW w:w="993" w:type="pct"/>
            <w:noWrap w:val="0"/>
            <w:vAlign w:val="center"/>
          </w:tcPr>
          <w:p w14:paraId="6C6CCD68">
            <w:pPr>
              <w:pStyle w:val="33"/>
              <w:bidi w:val="0"/>
              <w:rPr>
                <w:color w:val="auto"/>
                <w:highlight w:val="none"/>
              </w:rPr>
            </w:pPr>
          </w:p>
        </w:tc>
      </w:tr>
      <w:tr w14:paraId="528957F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0460917D">
            <w:pPr>
              <w:pStyle w:val="33"/>
              <w:bidi w:val="0"/>
              <w:rPr>
                <w:color w:val="auto"/>
                <w:highlight w:val="none"/>
              </w:rPr>
            </w:pPr>
          </w:p>
        </w:tc>
        <w:tc>
          <w:tcPr>
            <w:tcW w:w="1950" w:type="pct"/>
            <w:noWrap w:val="0"/>
            <w:vAlign w:val="center"/>
          </w:tcPr>
          <w:p w14:paraId="53F8D541">
            <w:pPr>
              <w:pStyle w:val="33"/>
              <w:bidi w:val="0"/>
              <w:rPr>
                <w:color w:val="auto"/>
                <w:highlight w:val="none"/>
              </w:rPr>
            </w:pPr>
            <w:r>
              <w:rPr>
                <w:color w:val="auto"/>
                <w:highlight w:val="none"/>
              </w:rPr>
              <w:t>废石量</w:t>
            </w:r>
          </w:p>
        </w:tc>
        <w:tc>
          <w:tcPr>
            <w:tcW w:w="673" w:type="pct"/>
            <w:noWrap w:val="0"/>
            <w:vAlign w:val="center"/>
          </w:tcPr>
          <w:p w14:paraId="555FAFD5">
            <w:pPr>
              <w:pStyle w:val="33"/>
              <w:bidi w:val="0"/>
              <w:rPr>
                <w:color w:val="auto"/>
                <w:highlight w:val="none"/>
              </w:rPr>
            </w:pPr>
            <w:r>
              <w:rPr>
                <w:color w:val="auto"/>
                <w:highlight w:val="none"/>
              </w:rPr>
              <w:t>万m</w:t>
            </w:r>
            <w:r>
              <w:rPr>
                <w:color w:val="auto"/>
                <w:highlight w:val="none"/>
                <w:vertAlign w:val="superscript"/>
              </w:rPr>
              <w:t>3</w:t>
            </w:r>
          </w:p>
        </w:tc>
        <w:tc>
          <w:tcPr>
            <w:tcW w:w="954" w:type="pct"/>
            <w:noWrap w:val="0"/>
            <w:vAlign w:val="center"/>
          </w:tcPr>
          <w:p w14:paraId="777DCA48">
            <w:pPr>
              <w:pStyle w:val="33"/>
              <w:bidi w:val="0"/>
              <w:rPr>
                <w:color w:val="auto"/>
                <w:highlight w:val="none"/>
              </w:rPr>
            </w:pPr>
            <w:r>
              <w:rPr>
                <w:color w:val="auto"/>
                <w:highlight w:val="none"/>
              </w:rPr>
              <w:t>14.43</w:t>
            </w:r>
          </w:p>
        </w:tc>
        <w:tc>
          <w:tcPr>
            <w:tcW w:w="993" w:type="pct"/>
            <w:noWrap w:val="0"/>
            <w:vAlign w:val="center"/>
          </w:tcPr>
          <w:p w14:paraId="63C23647">
            <w:pPr>
              <w:pStyle w:val="33"/>
              <w:bidi w:val="0"/>
              <w:rPr>
                <w:color w:val="auto"/>
                <w:highlight w:val="none"/>
              </w:rPr>
            </w:pPr>
          </w:p>
        </w:tc>
      </w:tr>
      <w:tr w14:paraId="27D81CB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7FAD3F2D">
            <w:pPr>
              <w:pStyle w:val="33"/>
              <w:bidi w:val="0"/>
              <w:rPr>
                <w:color w:val="auto"/>
                <w:highlight w:val="none"/>
              </w:rPr>
            </w:pPr>
          </w:p>
        </w:tc>
        <w:tc>
          <w:tcPr>
            <w:tcW w:w="1950" w:type="pct"/>
            <w:noWrap w:val="0"/>
            <w:vAlign w:val="center"/>
          </w:tcPr>
          <w:p w14:paraId="2B49FAEB">
            <w:pPr>
              <w:pStyle w:val="33"/>
              <w:bidi w:val="0"/>
              <w:rPr>
                <w:color w:val="auto"/>
                <w:highlight w:val="none"/>
              </w:rPr>
            </w:pPr>
            <w:r>
              <w:rPr>
                <w:color w:val="auto"/>
                <w:highlight w:val="none"/>
              </w:rPr>
              <w:t>采剥总量</w:t>
            </w:r>
          </w:p>
        </w:tc>
        <w:tc>
          <w:tcPr>
            <w:tcW w:w="673" w:type="pct"/>
            <w:noWrap w:val="0"/>
            <w:vAlign w:val="center"/>
          </w:tcPr>
          <w:p w14:paraId="357CB147">
            <w:pPr>
              <w:pStyle w:val="33"/>
              <w:bidi w:val="0"/>
              <w:rPr>
                <w:color w:val="auto"/>
                <w:highlight w:val="none"/>
              </w:rPr>
            </w:pPr>
            <w:r>
              <w:rPr>
                <w:color w:val="auto"/>
                <w:highlight w:val="none"/>
              </w:rPr>
              <w:t>万m</w:t>
            </w:r>
            <w:r>
              <w:rPr>
                <w:color w:val="auto"/>
                <w:highlight w:val="none"/>
                <w:vertAlign w:val="superscript"/>
              </w:rPr>
              <w:t>3</w:t>
            </w:r>
          </w:p>
        </w:tc>
        <w:tc>
          <w:tcPr>
            <w:tcW w:w="954" w:type="pct"/>
            <w:noWrap w:val="0"/>
            <w:vAlign w:val="center"/>
          </w:tcPr>
          <w:p w14:paraId="16415FAF">
            <w:pPr>
              <w:pStyle w:val="33"/>
              <w:bidi w:val="0"/>
              <w:rPr>
                <w:color w:val="auto"/>
                <w:highlight w:val="none"/>
              </w:rPr>
            </w:pPr>
            <w:r>
              <w:rPr>
                <w:color w:val="auto"/>
                <w:highlight w:val="none"/>
              </w:rPr>
              <w:t>251.94</w:t>
            </w:r>
          </w:p>
        </w:tc>
        <w:tc>
          <w:tcPr>
            <w:tcW w:w="993" w:type="pct"/>
            <w:noWrap w:val="0"/>
            <w:vAlign w:val="center"/>
          </w:tcPr>
          <w:p w14:paraId="318CFE92">
            <w:pPr>
              <w:pStyle w:val="33"/>
              <w:bidi w:val="0"/>
              <w:rPr>
                <w:color w:val="auto"/>
                <w:highlight w:val="none"/>
              </w:rPr>
            </w:pPr>
          </w:p>
        </w:tc>
      </w:tr>
      <w:tr w14:paraId="257DBA6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70799200">
            <w:pPr>
              <w:pStyle w:val="33"/>
              <w:bidi w:val="0"/>
              <w:rPr>
                <w:color w:val="auto"/>
                <w:highlight w:val="none"/>
              </w:rPr>
            </w:pPr>
          </w:p>
        </w:tc>
        <w:tc>
          <w:tcPr>
            <w:tcW w:w="1950" w:type="pct"/>
            <w:noWrap w:val="0"/>
            <w:vAlign w:val="center"/>
          </w:tcPr>
          <w:p w14:paraId="657CEE9A">
            <w:pPr>
              <w:pStyle w:val="33"/>
              <w:bidi w:val="0"/>
              <w:rPr>
                <w:color w:val="auto"/>
                <w:highlight w:val="none"/>
              </w:rPr>
            </w:pPr>
            <w:r>
              <w:rPr>
                <w:color w:val="auto"/>
                <w:highlight w:val="none"/>
              </w:rPr>
              <w:t>剥采比</w:t>
            </w:r>
          </w:p>
        </w:tc>
        <w:tc>
          <w:tcPr>
            <w:tcW w:w="673" w:type="pct"/>
            <w:noWrap w:val="0"/>
            <w:vAlign w:val="center"/>
          </w:tcPr>
          <w:p w14:paraId="77130C03">
            <w:pPr>
              <w:pStyle w:val="33"/>
              <w:bidi w:val="0"/>
              <w:rPr>
                <w:color w:val="auto"/>
                <w:highlight w:val="none"/>
              </w:rPr>
            </w:pPr>
            <w:r>
              <w:rPr>
                <w:color w:val="auto"/>
                <w:highlight w:val="none"/>
              </w:rPr>
              <w:t>m</w:t>
            </w:r>
            <w:r>
              <w:rPr>
                <w:color w:val="auto"/>
                <w:highlight w:val="none"/>
                <w:vertAlign w:val="superscript"/>
              </w:rPr>
              <w:t>3</w:t>
            </w:r>
            <w:r>
              <w:rPr>
                <w:color w:val="auto"/>
                <w:highlight w:val="none"/>
              </w:rPr>
              <w:t>/ m</w:t>
            </w:r>
            <w:r>
              <w:rPr>
                <w:color w:val="auto"/>
                <w:highlight w:val="none"/>
                <w:vertAlign w:val="superscript"/>
              </w:rPr>
              <w:t>3</w:t>
            </w:r>
          </w:p>
        </w:tc>
        <w:tc>
          <w:tcPr>
            <w:tcW w:w="954" w:type="pct"/>
            <w:noWrap w:val="0"/>
            <w:vAlign w:val="center"/>
          </w:tcPr>
          <w:p w14:paraId="52D8E1A0">
            <w:pPr>
              <w:pStyle w:val="33"/>
              <w:bidi w:val="0"/>
              <w:rPr>
                <w:color w:val="auto"/>
                <w:highlight w:val="none"/>
              </w:rPr>
            </w:pPr>
            <w:r>
              <w:rPr>
                <w:color w:val="auto"/>
                <w:highlight w:val="none"/>
              </w:rPr>
              <w:t>0.06:1</w:t>
            </w:r>
          </w:p>
        </w:tc>
        <w:tc>
          <w:tcPr>
            <w:tcW w:w="993" w:type="pct"/>
            <w:noWrap w:val="0"/>
            <w:vAlign w:val="center"/>
          </w:tcPr>
          <w:p w14:paraId="146BF2C8">
            <w:pPr>
              <w:pStyle w:val="33"/>
              <w:bidi w:val="0"/>
              <w:rPr>
                <w:color w:val="auto"/>
                <w:highlight w:val="none"/>
              </w:rPr>
            </w:pPr>
          </w:p>
        </w:tc>
      </w:tr>
      <w:tr w14:paraId="63534B7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4E13097D">
            <w:pPr>
              <w:pStyle w:val="33"/>
              <w:bidi w:val="0"/>
              <w:rPr>
                <w:color w:val="auto"/>
                <w:highlight w:val="none"/>
              </w:rPr>
            </w:pPr>
          </w:p>
        </w:tc>
        <w:tc>
          <w:tcPr>
            <w:tcW w:w="1950" w:type="pct"/>
            <w:noWrap w:val="0"/>
            <w:vAlign w:val="center"/>
          </w:tcPr>
          <w:p w14:paraId="796C4CA8">
            <w:pPr>
              <w:pStyle w:val="33"/>
              <w:bidi w:val="0"/>
              <w:rPr>
                <w:color w:val="auto"/>
                <w:highlight w:val="none"/>
              </w:rPr>
            </w:pPr>
            <w:r>
              <w:rPr>
                <w:color w:val="auto"/>
                <w:highlight w:val="none"/>
              </w:rPr>
              <w:t>最高开采台阶标高</w:t>
            </w:r>
          </w:p>
        </w:tc>
        <w:tc>
          <w:tcPr>
            <w:tcW w:w="673" w:type="pct"/>
            <w:noWrap w:val="0"/>
            <w:vAlign w:val="center"/>
          </w:tcPr>
          <w:p w14:paraId="0F86FE16">
            <w:pPr>
              <w:pStyle w:val="33"/>
              <w:bidi w:val="0"/>
              <w:rPr>
                <w:color w:val="auto"/>
                <w:highlight w:val="none"/>
              </w:rPr>
            </w:pPr>
            <w:r>
              <w:rPr>
                <w:color w:val="auto"/>
                <w:highlight w:val="none"/>
              </w:rPr>
              <w:t>m</w:t>
            </w:r>
          </w:p>
        </w:tc>
        <w:tc>
          <w:tcPr>
            <w:tcW w:w="954" w:type="pct"/>
            <w:noWrap w:val="0"/>
            <w:vAlign w:val="center"/>
          </w:tcPr>
          <w:p w14:paraId="5D3F3343">
            <w:pPr>
              <w:pStyle w:val="33"/>
              <w:bidi w:val="0"/>
              <w:rPr>
                <w:color w:val="auto"/>
                <w:highlight w:val="none"/>
              </w:rPr>
            </w:pPr>
            <w:r>
              <w:rPr>
                <w:color w:val="auto"/>
                <w:highlight w:val="none"/>
              </w:rPr>
              <w:t>184</w:t>
            </w:r>
          </w:p>
        </w:tc>
        <w:tc>
          <w:tcPr>
            <w:tcW w:w="993" w:type="pct"/>
            <w:noWrap w:val="0"/>
            <w:vAlign w:val="center"/>
          </w:tcPr>
          <w:p w14:paraId="6A6AC3F5">
            <w:pPr>
              <w:pStyle w:val="33"/>
              <w:bidi w:val="0"/>
              <w:rPr>
                <w:color w:val="auto"/>
                <w:highlight w:val="none"/>
              </w:rPr>
            </w:pPr>
          </w:p>
        </w:tc>
      </w:tr>
      <w:tr w14:paraId="040F756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343BB059">
            <w:pPr>
              <w:pStyle w:val="33"/>
              <w:bidi w:val="0"/>
              <w:rPr>
                <w:color w:val="auto"/>
                <w:highlight w:val="none"/>
              </w:rPr>
            </w:pPr>
          </w:p>
        </w:tc>
        <w:tc>
          <w:tcPr>
            <w:tcW w:w="1950" w:type="pct"/>
            <w:noWrap w:val="0"/>
            <w:vAlign w:val="center"/>
          </w:tcPr>
          <w:p w14:paraId="3FA39DB2">
            <w:pPr>
              <w:pStyle w:val="33"/>
              <w:bidi w:val="0"/>
              <w:rPr>
                <w:color w:val="auto"/>
                <w:highlight w:val="none"/>
              </w:rPr>
            </w:pPr>
            <w:r>
              <w:rPr>
                <w:color w:val="auto"/>
                <w:highlight w:val="none"/>
              </w:rPr>
              <w:t>最低开采台阶标高</w:t>
            </w:r>
          </w:p>
        </w:tc>
        <w:tc>
          <w:tcPr>
            <w:tcW w:w="673" w:type="pct"/>
            <w:noWrap w:val="0"/>
            <w:vAlign w:val="center"/>
          </w:tcPr>
          <w:p w14:paraId="22ACF5B1">
            <w:pPr>
              <w:pStyle w:val="33"/>
              <w:bidi w:val="0"/>
              <w:rPr>
                <w:color w:val="auto"/>
                <w:highlight w:val="none"/>
              </w:rPr>
            </w:pPr>
            <w:r>
              <w:rPr>
                <w:color w:val="auto"/>
                <w:highlight w:val="none"/>
              </w:rPr>
              <w:t>m</w:t>
            </w:r>
          </w:p>
        </w:tc>
        <w:tc>
          <w:tcPr>
            <w:tcW w:w="954" w:type="pct"/>
            <w:noWrap w:val="0"/>
            <w:vAlign w:val="center"/>
          </w:tcPr>
          <w:p w14:paraId="31A473C5">
            <w:pPr>
              <w:pStyle w:val="33"/>
              <w:bidi w:val="0"/>
              <w:rPr>
                <w:color w:val="auto"/>
                <w:highlight w:val="none"/>
              </w:rPr>
            </w:pPr>
            <w:r>
              <w:rPr>
                <w:color w:val="auto"/>
                <w:highlight w:val="none"/>
              </w:rPr>
              <w:t>150</w:t>
            </w:r>
          </w:p>
        </w:tc>
        <w:tc>
          <w:tcPr>
            <w:tcW w:w="993" w:type="pct"/>
            <w:noWrap w:val="0"/>
            <w:vAlign w:val="center"/>
          </w:tcPr>
          <w:p w14:paraId="4B597AB5">
            <w:pPr>
              <w:pStyle w:val="33"/>
              <w:bidi w:val="0"/>
              <w:rPr>
                <w:color w:val="auto"/>
                <w:highlight w:val="none"/>
              </w:rPr>
            </w:pPr>
          </w:p>
        </w:tc>
      </w:tr>
      <w:tr w14:paraId="6F99563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39BE4A01">
            <w:pPr>
              <w:pStyle w:val="33"/>
              <w:bidi w:val="0"/>
              <w:rPr>
                <w:color w:val="auto"/>
                <w:highlight w:val="none"/>
              </w:rPr>
            </w:pPr>
          </w:p>
        </w:tc>
        <w:tc>
          <w:tcPr>
            <w:tcW w:w="1950" w:type="pct"/>
            <w:noWrap w:val="0"/>
            <w:vAlign w:val="center"/>
          </w:tcPr>
          <w:p w14:paraId="4409EBB2">
            <w:pPr>
              <w:pStyle w:val="33"/>
              <w:bidi w:val="0"/>
              <w:rPr>
                <w:color w:val="auto"/>
                <w:highlight w:val="none"/>
              </w:rPr>
            </w:pPr>
            <w:r>
              <w:rPr>
                <w:color w:val="auto"/>
                <w:highlight w:val="none"/>
              </w:rPr>
              <w:t>封闭圈标高</w:t>
            </w:r>
          </w:p>
        </w:tc>
        <w:tc>
          <w:tcPr>
            <w:tcW w:w="673" w:type="pct"/>
            <w:noWrap w:val="0"/>
            <w:vAlign w:val="center"/>
          </w:tcPr>
          <w:p w14:paraId="37FCC2CC">
            <w:pPr>
              <w:pStyle w:val="33"/>
              <w:bidi w:val="0"/>
              <w:rPr>
                <w:color w:val="auto"/>
                <w:highlight w:val="none"/>
              </w:rPr>
            </w:pPr>
            <w:r>
              <w:rPr>
                <w:color w:val="auto"/>
                <w:highlight w:val="none"/>
              </w:rPr>
              <w:t>m</w:t>
            </w:r>
          </w:p>
        </w:tc>
        <w:tc>
          <w:tcPr>
            <w:tcW w:w="954" w:type="pct"/>
            <w:noWrap w:val="0"/>
            <w:vAlign w:val="center"/>
          </w:tcPr>
          <w:p w14:paraId="7DD3880C">
            <w:pPr>
              <w:pStyle w:val="33"/>
              <w:bidi w:val="0"/>
              <w:rPr>
                <w:color w:val="auto"/>
                <w:highlight w:val="none"/>
              </w:rPr>
            </w:pPr>
            <w:r>
              <w:rPr>
                <w:color w:val="auto"/>
                <w:highlight w:val="none"/>
              </w:rPr>
              <w:t>不涉及</w:t>
            </w:r>
          </w:p>
        </w:tc>
        <w:tc>
          <w:tcPr>
            <w:tcW w:w="993" w:type="pct"/>
            <w:noWrap w:val="0"/>
            <w:vAlign w:val="center"/>
          </w:tcPr>
          <w:p w14:paraId="45AAD544">
            <w:pPr>
              <w:pStyle w:val="33"/>
              <w:bidi w:val="0"/>
              <w:rPr>
                <w:color w:val="auto"/>
                <w:highlight w:val="none"/>
              </w:rPr>
            </w:pPr>
            <w:r>
              <w:rPr>
                <w:color w:val="auto"/>
                <w:highlight w:val="none"/>
              </w:rPr>
              <w:t>本次设计为山坡露天</w:t>
            </w:r>
          </w:p>
        </w:tc>
      </w:tr>
      <w:tr w14:paraId="368511E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2FA5753F">
            <w:pPr>
              <w:pStyle w:val="33"/>
              <w:bidi w:val="0"/>
              <w:rPr>
                <w:color w:val="auto"/>
                <w:highlight w:val="none"/>
              </w:rPr>
            </w:pPr>
            <w:r>
              <w:rPr>
                <w:color w:val="auto"/>
                <w:highlight w:val="none"/>
              </w:rPr>
              <w:t>2.8</w:t>
            </w:r>
          </w:p>
        </w:tc>
        <w:tc>
          <w:tcPr>
            <w:tcW w:w="1950" w:type="pct"/>
            <w:noWrap w:val="0"/>
            <w:vAlign w:val="center"/>
          </w:tcPr>
          <w:p w14:paraId="4C313BEF">
            <w:pPr>
              <w:pStyle w:val="33"/>
              <w:bidi w:val="0"/>
              <w:rPr>
                <w:color w:val="auto"/>
                <w:highlight w:val="none"/>
              </w:rPr>
            </w:pPr>
            <w:r>
              <w:rPr>
                <w:color w:val="auto"/>
                <w:highlight w:val="none"/>
              </w:rPr>
              <w:t>台阶参数</w:t>
            </w:r>
          </w:p>
        </w:tc>
        <w:tc>
          <w:tcPr>
            <w:tcW w:w="673" w:type="pct"/>
            <w:noWrap w:val="0"/>
            <w:vAlign w:val="center"/>
          </w:tcPr>
          <w:p w14:paraId="5EDCF8CF">
            <w:pPr>
              <w:pStyle w:val="33"/>
              <w:bidi w:val="0"/>
              <w:rPr>
                <w:color w:val="auto"/>
                <w:highlight w:val="none"/>
              </w:rPr>
            </w:pPr>
          </w:p>
        </w:tc>
        <w:tc>
          <w:tcPr>
            <w:tcW w:w="954" w:type="pct"/>
            <w:noWrap w:val="0"/>
            <w:vAlign w:val="center"/>
          </w:tcPr>
          <w:p w14:paraId="3F0DCF18">
            <w:pPr>
              <w:pStyle w:val="33"/>
              <w:bidi w:val="0"/>
              <w:rPr>
                <w:color w:val="auto"/>
                <w:highlight w:val="none"/>
              </w:rPr>
            </w:pPr>
          </w:p>
        </w:tc>
        <w:tc>
          <w:tcPr>
            <w:tcW w:w="993" w:type="pct"/>
            <w:noWrap w:val="0"/>
            <w:vAlign w:val="center"/>
          </w:tcPr>
          <w:p w14:paraId="7E53E077">
            <w:pPr>
              <w:pStyle w:val="33"/>
              <w:bidi w:val="0"/>
              <w:rPr>
                <w:color w:val="auto"/>
                <w:highlight w:val="none"/>
              </w:rPr>
            </w:pPr>
          </w:p>
        </w:tc>
      </w:tr>
      <w:tr w14:paraId="3BB7ACA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1AD66BB9">
            <w:pPr>
              <w:pStyle w:val="33"/>
              <w:bidi w:val="0"/>
              <w:rPr>
                <w:color w:val="auto"/>
                <w:highlight w:val="none"/>
              </w:rPr>
            </w:pPr>
          </w:p>
        </w:tc>
        <w:tc>
          <w:tcPr>
            <w:tcW w:w="1950" w:type="pct"/>
            <w:noWrap w:val="0"/>
            <w:vAlign w:val="center"/>
          </w:tcPr>
          <w:p w14:paraId="3AEE4D42">
            <w:pPr>
              <w:pStyle w:val="33"/>
              <w:bidi w:val="0"/>
              <w:rPr>
                <w:color w:val="auto"/>
                <w:highlight w:val="none"/>
              </w:rPr>
            </w:pPr>
            <w:r>
              <w:rPr>
                <w:color w:val="auto"/>
                <w:highlight w:val="none"/>
              </w:rPr>
              <w:t>最终边坡台阶高度</w:t>
            </w:r>
          </w:p>
        </w:tc>
        <w:tc>
          <w:tcPr>
            <w:tcW w:w="673" w:type="pct"/>
            <w:noWrap w:val="0"/>
            <w:vAlign w:val="center"/>
          </w:tcPr>
          <w:p w14:paraId="280E0EBA">
            <w:pPr>
              <w:pStyle w:val="33"/>
              <w:bidi w:val="0"/>
              <w:rPr>
                <w:color w:val="auto"/>
                <w:highlight w:val="none"/>
              </w:rPr>
            </w:pPr>
            <w:r>
              <w:rPr>
                <w:color w:val="auto"/>
                <w:highlight w:val="none"/>
              </w:rPr>
              <w:t>m</w:t>
            </w:r>
          </w:p>
        </w:tc>
        <w:tc>
          <w:tcPr>
            <w:tcW w:w="954" w:type="pct"/>
            <w:noWrap w:val="0"/>
            <w:vAlign w:val="center"/>
          </w:tcPr>
          <w:p w14:paraId="68CAC1BF">
            <w:pPr>
              <w:pStyle w:val="33"/>
              <w:bidi w:val="0"/>
              <w:rPr>
                <w:color w:val="auto"/>
                <w:highlight w:val="none"/>
              </w:rPr>
            </w:pPr>
            <w:r>
              <w:rPr>
                <w:color w:val="auto"/>
                <w:highlight w:val="none"/>
              </w:rPr>
              <w:t>10</w:t>
            </w:r>
          </w:p>
        </w:tc>
        <w:tc>
          <w:tcPr>
            <w:tcW w:w="993" w:type="pct"/>
            <w:noWrap w:val="0"/>
            <w:vAlign w:val="center"/>
          </w:tcPr>
          <w:p w14:paraId="072BB96F">
            <w:pPr>
              <w:pStyle w:val="33"/>
              <w:bidi w:val="0"/>
              <w:rPr>
                <w:color w:val="auto"/>
                <w:highlight w:val="none"/>
              </w:rPr>
            </w:pPr>
          </w:p>
        </w:tc>
      </w:tr>
      <w:tr w14:paraId="3A78BBE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0B4214D1">
            <w:pPr>
              <w:pStyle w:val="33"/>
              <w:bidi w:val="0"/>
              <w:rPr>
                <w:color w:val="auto"/>
                <w:highlight w:val="none"/>
              </w:rPr>
            </w:pPr>
          </w:p>
        </w:tc>
        <w:tc>
          <w:tcPr>
            <w:tcW w:w="1950" w:type="pct"/>
            <w:noWrap w:val="0"/>
            <w:vAlign w:val="center"/>
          </w:tcPr>
          <w:p w14:paraId="70DEA3E4">
            <w:pPr>
              <w:pStyle w:val="33"/>
              <w:bidi w:val="0"/>
              <w:rPr>
                <w:color w:val="auto"/>
                <w:highlight w:val="none"/>
              </w:rPr>
            </w:pPr>
            <w:r>
              <w:rPr>
                <w:color w:val="auto"/>
                <w:highlight w:val="none"/>
              </w:rPr>
              <w:t>台阶坡面角</w:t>
            </w:r>
          </w:p>
        </w:tc>
        <w:tc>
          <w:tcPr>
            <w:tcW w:w="673" w:type="pct"/>
            <w:noWrap w:val="0"/>
            <w:vAlign w:val="center"/>
          </w:tcPr>
          <w:p w14:paraId="5C24113E">
            <w:pPr>
              <w:pStyle w:val="33"/>
              <w:bidi w:val="0"/>
              <w:rPr>
                <w:color w:val="auto"/>
                <w:highlight w:val="none"/>
              </w:rPr>
            </w:pPr>
            <w:r>
              <w:rPr>
                <w:color w:val="auto"/>
                <w:highlight w:val="none"/>
              </w:rPr>
              <w:t>°</w:t>
            </w:r>
          </w:p>
        </w:tc>
        <w:tc>
          <w:tcPr>
            <w:tcW w:w="954" w:type="pct"/>
            <w:noWrap w:val="0"/>
            <w:vAlign w:val="center"/>
          </w:tcPr>
          <w:p w14:paraId="51C7F213">
            <w:pPr>
              <w:pStyle w:val="33"/>
              <w:bidi w:val="0"/>
              <w:rPr>
                <w:color w:val="auto"/>
                <w:highlight w:val="none"/>
              </w:rPr>
            </w:pPr>
            <w:r>
              <w:rPr>
                <w:color w:val="auto"/>
                <w:highlight w:val="none"/>
              </w:rPr>
              <w:t>65</w:t>
            </w:r>
          </w:p>
        </w:tc>
        <w:tc>
          <w:tcPr>
            <w:tcW w:w="993" w:type="pct"/>
            <w:noWrap w:val="0"/>
            <w:vAlign w:val="center"/>
          </w:tcPr>
          <w:p w14:paraId="4F79BEAA">
            <w:pPr>
              <w:pStyle w:val="33"/>
              <w:bidi w:val="0"/>
              <w:rPr>
                <w:color w:val="auto"/>
                <w:highlight w:val="none"/>
              </w:rPr>
            </w:pPr>
          </w:p>
        </w:tc>
      </w:tr>
      <w:tr w14:paraId="3CF4C98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521538E9">
            <w:pPr>
              <w:pStyle w:val="33"/>
              <w:bidi w:val="0"/>
              <w:rPr>
                <w:color w:val="auto"/>
                <w:highlight w:val="none"/>
              </w:rPr>
            </w:pPr>
          </w:p>
        </w:tc>
        <w:tc>
          <w:tcPr>
            <w:tcW w:w="1950" w:type="pct"/>
            <w:noWrap w:val="0"/>
            <w:vAlign w:val="center"/>
          </w:tcPr>
          <w:p w14:paraId="420A2D2D">
            <w:pPr>
              <w:pStyle w:val="33"/>
              <w:bidi w:val="0"/>
              <w:rPr>
                <w:color w:val="auto"/>
                <w:highlight w:val="none"/>
              </w:rPr>
            </w:pPr>
            <w:r>
              <w:rPr>
                <w:color w:val="auto"/>
                <w:highlight w:val="none"/>
              </w:rPr>
              <w:t>开采小台阶高度</w:t>
            </w:r>
          </w:p>
        </w:tc>
        <w:tc>
          <w:tcPr>
            <w:tcW w:w="673" w:type="pct"/>
            <w:noWrap w:val="0"/>
            <w:vAlign w:val="center"/>
          </w:tcPr>
          <w:p w14:paraId="3DC19112">
            <w:pPr>
              <w:pStyle w:val="33"/>
              <w:bidi w:val="0"/>
              <w:rPr>
                <w:color w:val="auto"/>
                <w:highlight w:val="none"/>
              </w:rPr>
            </w:pPr>
            <w:r>
              <w:rPr>
                <w:color w:val="auto"/>
                <w:highlight w:val="none"/>
              </w:rPr>
              <w:t>m</w:t>
            </w:r>
          </w:p>
        </w:tc>
        <w:tc>
          <w:tcPr>
            <w:tcW w:w="954" w:type="pct"/>
            <w:noWrap w:val="0"/>
            <w:vAlign w:val="center"/>
          </w:tcPr>
          <w:p w14:paraId="3F429014">
            <w:pPr>
              <w:pStyle w:val="33"/>
              <w:bidi w:val="0"/>
              <w:rPr>
                <w:color w:val="auto"/>
                <w:highlight w:val="none"/>
              </w:rPr>
            </w:pPr>
            <w:r>
              <w:rPr>
                <w:color w:val="auto"/>
                <w:highlight w:val="none"/>
              </w:rPr>
              <w:t>1.4</w:t>
            </w:r>
          </w:p>
        </w:tc>
        <w:tc>
          <w:tcPr>
            <w:tcW w:w="993" w:type="pct"/>
            <w:noWrap w:val="0"/>
            <w:vAlign w:val="center"/>
          </w:tcPr>
          <w:p w14:paraId="45AF32F2">
            <w:pPr>
              <w:pStyle w:val="33"/>
              <w:bidi w:val="0"/>
              <w:rPr>
                <w:color w:val="auto"/>
                <w:highlight w:val="none"/>
              </w:rPr>
            </w:pPr>
          </w:p>
        </w:tc>
      </w:tr>
      <w:tr w14:paraId="2ED9805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4D150883">
            <w:pPr>
              <w:pStyle w:val="33"/>
              <w:bidi w:val="0"/>
              <w:rPr>
                <w:color w:val="auto"/>
                <w:highlight w:val="none"/>
              </w:rPr>
            </w:pPr>
          </w:p>
        </w:tc>
        <w:tc>
          <w:tcPr>
            <w:tcW w:w="1950" w:type="pct"/>
            <w:noWrap w:val="0"/>
            <w:vAlign w:val="center"/>
          </w:tcPr>
          <w:p w14:paraId="4D8BDB43">
            <w:pPr>
              <w:pStyle w:val="33"/>
              <w:bidi w:val="0"/>
              <w:rPr>
                <w:color w:val="auto"/>
                <w:highlight w:val="none"/>
              </w:rPr>
            </w:pPr>
            <w:r>
              <w:rPr>
                <w:color w:val="auto"/>
                <w:highlight w:val="none"/>
              </w:rPr>
              <w:t>开采小台阶宽度</w:t>
            </w:r>
          </w:p>
        </w:tc>
        <w:tc>
          <w:tcPr>
            <w:tcW w:w="673" w:type="pct"/>
            <w:noWrap w:val="0"/>
            <w:vAlign w:val="center"/>
          </w:tcPr>
          <w:p w14:paraId="22381463">
            <w:pPr>
              <w:pStyle w:val="33"/>
              <w:bidi w:val="0"/>
              <w:rPr>
                <w:color w:val="auto"/>
                <w:highlight w:val="none"/>
              </w:rPr>
            </w:pPr>
            <w:r>
              <w:rPr>
                <w:color w:val="auto"/>
                <w:highlight w:val="none"/>
              </w:rPr>
              <w:t>m</w:t>
            </w:r>
          </w:p>
        </w:tc>
        <w:tc>
          <w:tcPr>
            <w:tcW w:w="954" w:type="pct"/>
            <w:noWrap w:val="0"/>
            <w:vAlign w:val="center"/>
          </w:tcPr>
          <w:p w14:paraId="5629EB0F">
            <w:pPr>
              <w:pStyle w:val="33"/>
              <w:bidi w:val="0"/>
              <w:rPr>
                <w:color w:val="auto"/>
                <w:highlight w:val="none"/>
              </w:rPr>
            </w:pPr>
            <w:r>
              <w:rPr>
                <w:color w:val="auto"/>
                <w:highlight w:val="none"/>
              </w:rPr>
              <w:t>0.4</w:t>
            </w:r>
          </w:p>
        </w:tc>
        <w:tc>
          <w:tcPr>
            <w:tcW w:w="993" w:type="pct"/>
            <w:noWrap w:val="0"/>
            <w:vAlign w:val="center"/>
          </w:tcPr>
          <w:p w14:paraId="4DF01C3A">
            <w:pPr>
              <w:pStyle w:val="33"/>
              <w:bidi w:val="0"/>
              <w:rPr>
                <w:color w:val="auto"/>
                <w:highlight w:val="none"/>
              </w:rPr>
            </w:pPr>
          </w:p>
        </w:tc>
      </w:tr>
      <w:tr w14:paraId="3964B58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224CD21C">
            <w:pPr>
              <w:pStyle w:val="33"/>
              <w:bidi w:val="0"/>
              <w:rPr>
                <w:color w:val="auto"/>
                <w:highlight w:val="none"/>
              </w:rPr>
            </w:pPr>
          </w:p>
        </w:tc>
        <w:tc>
          <w:tcPr>
            <w:tcW w:w="1950" w:type="pct"/>
            <w:noWrap w:val="0"/>
            <w:vAlign w:val="center"/>
          </w:tcPr>
          <w:p w14:paraId="50C03281">
            <w:pPr>
              <w:pStyle w:val="33"/>
              <w:bidi w:val="0"/>
              <w:rPr>
                <w:color w:val="auto"/>
                <w:highlight w:val="none"/>
              </w:rPr>
            </w:pPr>
            <w:r>
              <w:rPr>
                <w:color w:val="auto"/>
                <w:highlight w:val="none"/>
              </w:rPr>
              <w:t>安全平台宽度</w:t>
            </w:r>
          </w:p>
        </w:tc>
        <w:tc>
          <w:tcPr>
            <w:tcW w:w="673" w:type="pct"/>
            <w:noWrap w:val="0"/>
            <w:vAlign w:val="center"/>
          </w:tcPr>
          <w:p w14:paraId="30A750F4">
            <w:pPr>
              <w:pStyle w:val="33"/>
              <w:bidi w:val="0"/>
              <w:rPr>
                <w:color w:val="auto"/>
                <w:highlight w:val="none"/>
              </w:rPr>
            </w:pPr>
            <w:r>
              <w:rPr>
                <w:color w:val="auto"/>
                <w:highlight w:val="none"/>
              </w:rPr>
              <w:t>m</w:t>
            </w:r>
          </w:p>
        </w:tc>
        <w:tc>
          <w:tcPr>
            <w:tcW w:w="954" w:type="pct"/>
            <w:noWrap w:val="0"/>
            <w:vAlign w:val="center"/>
          </w:tcPr>
          <w:p w14:paraId="3D65CE83">
            <w:pPr>
              <w:pStyle w:val="33"/>
              <w:bidi w:val="0"/>
              <w:rPr>
                <w:color w:val="auto"/>
                <w:highlight w:val="none"/>
              </w:rPr>
            </w:pPr>
            <w:r>
              <w:rPr>
                <w:color w:val="auto"/>
                <w:highlight w:val="none"/>
              </w:rPr>
              <w:t>4</w:t>
            </w:r>
          </w:p>
        </w:tc>
        <w:tc>
          <w:tcPr>
            <w:tcW w:w="993" w:type="pct"/>
            <w:noWrap w:val="0"/>
            <w:vAlign w:val="center"/>
          </w:tcPr>
          <w:p w14:paraId="4E2B756F">
            <w:pPr>
              <w:pStyle w:val="33"/>
              <w:bidi w:val="0"/>
              <w:rPr>
                <w:color w:val="auto"/>
                <w:highlight w:val="none"/>
              </w:rPr>
            </w:pPr>
          </w:p>
        </w:tc>
      </w:tr>
      <w:tr w14:paraId="0B22222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7212AB81">
            <w:pPr>
              <w:pStyle w:val="33"/>
              <w:bidi w:val="0"/>
              <w:rPr>
                <w:color w:val="auto"/>
                <w:highlight w:val="none"/>
              </w:rPr>
            </w:pPr>
          </w:p>
        </w:tc>
        <w:tc>
          <w:tcPr>
            <w:tcW w:w="1950" w:type="pct"/>
            <w:noWrap w:val="0"/>
            <w:vAlign w:val="center"/>
          </w:tcPr>
          <w:p w14:paraId="5E2045B5">
            <w:pPr>
              <w:pStyle w:val="33"/>
              <w:bidi w:val="0"/>
              <w:rPr>
                <w:color w:val="auto"/>
                <w:highlight w:val="none"/>
              </w:rPr>
            </w:pPr>
            <w:r>
              <w:rPr>
                <w:color w:val="auto"/>
                <w:highlight w:val="none"/>
              </w:rPr>
              <w:t>清扫平台宽度</w:t>
            </w:r>
          </w:p>
        </w:tc>
        <w:tc>
          <w:tcPr>
            <w:tcW w:w="673" w:type="pct"/>
            <w:noWrap w:val="0"/>
            <w:vAlign w:val="center"/>
          </w:tcPr>
          <w:p w14:paraId="2D992C0A">
            <w:pPr>
              <w:pStyle w:val="33"/>
              <w:bidi w:val="0"/>
              <w:rPr>
                <w:color w:val="auto"/>
                <w:highlight w:val="none"/>
              </w:rPr>
            </w:pPr>
            <w:r>
              <w:rPr>
                <w:color w:val="auto"/>
                <w:highlight w:val="none"/>
              </w:rPr>
              <w:t>m</w:t>
            </w:r>
          </w:p>
        </w:tc>
        <w:tc>
          <w:tcPr>
            <w:tcW w:w="954" w:type="pct"/>
            <w:noWrap w:val="0"/>
            <w:vAlign w:val="center"/>
          </w:tcPr>
          <w:p w14:paraId="3C27C458">
            <w:pPr>
              <w:pStyle w:val="33"/>
              <w:bidi w:val="0"/>
              <w:rPr>
                <w:color w:val="auto"/>
                <w:highlight w:val="none"/>
              </w:rPr>
            </w:pPr>
            <w:r>
              <w:rPr>
                <w:color w:val="auto"/>
                <w:highlight w:val="none"/>
              </w:rPr>
              <w:t>8</w:t>
            </w:r>
          </w:p>
        </w:tc>
        <w:tc>
          <w:tcPr>
            <w:tcW w:w="993" w:type="pct"/>
            <w:noWrap w:val="0"/>
            <w:vAlign w:val="center"/>
          </w:tcPr>
          <w:p w14:paraId="56E289BF">
            <w:pPr>
              <w:pStyle w:val="33"/>
              <w:bidi w:val="0"/>
              <w:rPr>
                <w:color w:val="auto"/>
                <w:highlight w:val="none"/>
              </w:rPr>
            </w:pPr>
          </w:p>
        </w:tc>
      </w:tr>
      <w:tr w14:paraId="14AFF48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403636ED">
            <w:pPr>
              <w:pStyle w:val="33"/>
              <w:bidi w:val="0"/>
              <w:rPr>
                <w:color w:val="auto"/>
                <w:highlight w:val="none"/>
              </w:rPr>
            </w:pPr>
          </w:p>
        </w:tc>
        <w:tc>
          <w:tcPr>
            <w:tcW w:w="1950" w:type="pct"/>
            <w:noWrap w:val="0"/>
            <w:vAlign w:val="center"/>
          </w:tcPr>
          <w:p w14:paraId="5BCEF15F">
            <w:pPr>
              <w:pStyle w:val="33"/>
              <w:bidi w:val="0"/>
              <w:rPr>
                <w:color w:val="auto"/>
                <w:highlight w:val="none"/>
              </w:rPr>
            </w:pPr>
            <w:r>
              <w:rPr>
                <w:color w:val="auto"/>
                <w:highlight w:val="none"/>
              </w:rPr>
              <w:t>工作台阶坡面角</w:t>
            </w:r>
          </w:p>
        </w:tc>
        <w:tc>
          <w:tcPr>
            <w:tcW w:w="673" w:type="pct"/>
            <w:noWrap w:val="0"/>
            <w:vAlign w:val="center"/>
          </w:tcPr>
          <w:p w14:paraId="21163ECD">
            <w:pPr>
              <w:pStyle w:val="33"/>
              <w:bidi w:val="0"/>
              <w:rPr>
                <w:color w:val="auto"/>
                <w:highlight w:val="none"/>
              </w:rPr>
            </w:pPr>
            <w:r>
              <w:rPr>
                <w:color w:val="auto"/>
                <w:highlight w:val="none"/>
              </w:rPr>
              <w:t>°</w:t>
            </w:r>
          </w:p>
        </w:tc>
        <w:tc>
          <w:tcPr>
            <w:tcW w:w="954" w:type="pct"/>
            <w:noWrap w:val="0"/>
            <w:vAlign w:val="center"/>
          </w:tcPr>
          <w:p w14:paraId="67206255">
            <w:pPr>
              <w:pStyle w:val="33"/>
              <w:bidi w:val="0"/>
              <w:rPr>
                <w:color w:val="auto"/>
                <w:highlight w:val="none"/>
              </w:rPr>
            </w:pPr>
            <w:r>
              <w:rPr>
                <w:color w:val="auto"/>
                <w:highlight w:val="none"/>
              </w:rPr>
              <w:t>90</w:t>
            </w:r>
          </w:p>
        </w:tc>
        <w:tc>
          <w:tcPr>
            <w:tcW w:w="993" w:type="pct"/>
            <w:noWrap w:val="0"/>
            <w:vAlign w:val="center"/>
          </w:tcPr>
          <w:p w14:paraId="216FA117">
            <w:pPr>
              <w:pStyle w:val="33"/>
              <w:bidi w:val="0"/>
              <w:rPr>
                <w:color w:val="auto"/>
                <w:highlight w:val="none"/>
              </w:rPr>
            </w:pPr>
          </w:p>
        </w:tc>
      </w:tr>
      <w:tr w14:paraId="5EE829E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4E11C67E">
            <w:pPr>
              <w:pStyle w:val="33"/>
              <w:bidi w:val="0"/>
              <w:rPr>
                <w:color w:val="auto"/>
                <w:highlight w:val="none"/>
              </w:rPr>
            </w:pPr>
          </w:p>
        </w:tc>
        <w:tc>
          <w:tcPr>
            <w:tcW w:w="1950" w:type="pct"/>
            <w:noWrap w:val="0"/>
            <w:vAlign w:val="center"/>
          </w:tcPr>
          <w:p w14:paraId="32B05988">
            <w:pPr>
              <w:pStyle w:val="33"/>
              <w:bidi w:val="0"/>
              <w:rPr>
                <w:color w:val="auto"/>
                <w:highlight w:val="none"/>
              </w:rPr>
            </w:pPr>
            <w:r>
              <w:rPr>
                <w:color w:val="auto"/>
                <w:highlight w:val="none"/>
              </w:rPr>
              <w:t>最小工作平台宽度</w:t>
            </w:r>
          </w:p>
        </w:tc>
        <w:tc>
          <w:tcPr>
            <w:tcW w:w="673" w:type="pct"/>
            <w:noWrap w:val="0"/>
            <w:vAlign w:val="center"/>
          </w:tcPr>
          <w:p w14:paraId="10FB028F">
            <w:pPr>
              <w:pStyle w:val="33"/>
              <w:bidi w:val="0"/>
              <w:rPr>
                <w:color w:val="auto"/>
                <w:highlight w:val="none"/>
              </w:rPr>
            </w:pPr>
            <w:r>
              <w:rPr>
                <w:color w:val="auto"/>
                <w:highlight w:val="none"/>
              </w:rPr>
              <w:t>m</w:t>
            </w:r>
          </w:p>
        </w:tc>
        <w:tc>
          <w:tcPr>
            <w:tcW w:w="954" w:type="pct"/>
            <w:noWrap w:val="0"/>
            <w:vAlign w:val="center"/>
          </w:tcPr>
          <w:p w14:paraId="17D8FCC0">
            <w:pPr>
              <w:pStyle w:val="33"/>
              <w:bidi w:val="0"/>
              <w:rPr>
                <w:color w:val="auto"/>
                <w:highlight w:val="none"/>
              </w:rPr>
            </w:pPr>
            <w:r>
              <w:rPr>
                <w:color w:val="auto"/>
                <w:highlight w:val="none"/>
              </w:rPr>
              <w:t>30</w:t>
            </w:r>
          </w:p>
        </w:tc>
        <w:tc>
          <w:tcPr>
            <w:tcW w:w="993" w:type="pct"/>
            <w:noWrap w:val="0"/>
            <w:vAlign w:val="center"/>
          </w:tcPr>
          <w:p w14:paraId="541C9B14">
            <w:pPr>
              <w:pStyle w:val="33"/>
              <w:bidi w:val="0"/>
              <w:rPr>
                <w:color w:val="auto"/>
                <w:highlight w:val="none"/>
              </w:rPr>
            </w:pPr>
          </w:p>
        </w:tc>
      </w:tr>
      <w:tr w14:paraId="2BA91DB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36FB7B6F">
            <w:pPr>
              <w:pStyle w:val="33"/>
              <w:bidi w:val="0"/>
              <w:rPr>
                <w:color w:val="auto"/>
                <w:highlight w:val="none"/>
              </w:rPr>
            </w:pPr>
          </w:p>
        </w:tc>
        <w:tc>
          <w:tcPr>
            <w:tcW w:w="1950" w:type="pct"/>
            <w:noWrap w:val="0"/>
            <w:vAlign w:val="center"/>
          </w:tcPr>
          <w:p w14:paraId="10183C4B">
            <w:pPr>
              <w:pStyle w:val="33"/>
              <w:bidi w:val="0"/>
              <w:rPr>
                <w:color w:val="auto"/>
                <w:highlight w:val="none"/>
              </w:rPr>
            </w:pPr>
            <w:r>
              <w:rPr>
                <w:color w:val="auto"/>
                <w:highlight w:val="none"/>
              </w:rPr>
              <w:t>同时开采的台阶数</w:t>
            </w:r>
          </w:p>
        </w:tc>
        <w:tc>
          <w:tcPr>
            <w:tcW w:w="673" w:type="pct"/>
            <w:noWrap w:val="0"/>
            <w:vAlign w:val="center"/>
          </w:tcPr>
          <w:p w14:paraId="64579926">
            <w:pPr>
              <w:pStyle w:val="33"/>
              <w:bidi w:val="0"/>
              <w:rPr>
                <w:color w:val="auto"/>
                <w:highlight w:val="none"/>
              </w:rPr>
            </w:pPr>
            <w:r>
              <w:rPr>
                <w:color w:val="auto"/>
                <w:highlight w:val="none"/>
              </w:rPr>
              <w:t>个</w:t>
            </w:r>
          </w:p>
        </w:tc>
        <w:tc>
          <w:tcPr>
            <w:tcW w:w="954" w:type="pct"/>
            <w:noWrap w:val="0"/>
            <w:vAlign w:val="center"/>
          </w:tcPr>
          <w:p w14:paraId="12DE6256">
            <w:pPr>
              <w:pStyle w:val="33"/>
              <w:bidi w:val="0"/>
              <w:rPr>
                <w:color w:val="auto"/>
                <w:highlight w:val="none"/>
              </w:rPr>
            </w:pPr>
            <w:r>
              <w:rPr>
                <w:color w:val="auto"/>
                <w:highlight w:val="none"/>
              </w:rPr>
              <w:t>1</w:t>
            </w:r>
          </w:p>
        </w:tc>
        <w:tc>
          <w:tcPr>
            <w:tcW w:w="993" w:type="pct"/>
            <w:noWrap w:val="0"/>
            <w:vAlign w:val="center"/>
          </w:tcPr>
          <w:p w14:paraId="2BB71412">
            <w:pPr>
              <w:pStyle w:val="33"/>
              <w:bidi w:val="0"/>
              <w:rPr>
                <w:color w:val="auto"/>
                <w:highlight w:val="none"/>
              </w:rPr>
            </w:pPr>
          </w:p>
        </w:tc>
      </w:tr>
      <w:tr w14:paraId="6D6F2AA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2B5C5187">
            <w:pPr>
              <w:pStyle w:val="33"/>
              <w:bidi w:val="0"/>
              <w:rPr>
                <w:color w:val="auto"/>
                <w:highlight w:val="none"/>
              </w:rPr>
            </w:pPr>
          </w:p>
        </w:tc>
        <w:tc>
          <w:tcPr>
            <w:tcW w:w="1950" w:type="pct"/>
            <w:noWrap w:val="0"/>
            <w:vAlign w:val="center"/>
          </w:tcPr>
          <w:p w14:paraId="3B78C93E">
            <w:pPr>
              <w:pStyle w:val="33"/>
              <w:bidi w:val="0"/>
              <w:rPr>
                <w:color w:val="auto"/>
                <w:highlight w:val="none"/>
              </w:rPr>
            </w:pPr>
            <w:r>
              <w:rPr>
                <w:color w:val="auto"/>
                <w:highlight w:val="none"/>
              </w:rPr>
              <w:t>最小工作线长度</w:t>
            </w:r>
          </w:p>
        </w:tc>
        <w:tc>
          <w:tcPr>
            <w:tcW w:w="673" w:type="pct"/>
            <w:noWrap w:val="0"/>
            <w:vAlign w:val="center"/>
          </w:tcPr>
          <w:p w14:paraId="2D914224">
            <w:pPr>
              <w:pStyle w:val="33"/>
              <w:bidi w:val="0"/>
              <w:rPr>
                <w:color w:val="auto"/>
                <w:highlight w:val="none"/>
              </w:rPr>
            </w:pPr>
            <w:r>
              <w:rPr>
                <w:color w:val="auto"/>
                <w:highlight w:val="none"/>
              </w:rPr>
              <w:t>m</w:t>
            </w:r>
          </w:p>
        </w:tc>
        <w:tc>
          <w:tcPr>
            <w:tcW w:w="954" w:type="pct"/>
            <w:noWrap w:val="0"/>
            <w:vAlign w:val="center"/>
          </w:tcPr>
          <w:p w14:paraId="2D727565">
            <w:pPr>
              <w:pStyle w:val="33"/>
              <w:bidi w:val="0"/>
              <w:rPr>
                <w:color w:val="auto"/>
                <w:highlight w:val="none"/>
              </w:rPr>
            </w:pPr>
            <w:r>
              <w:rPr>
                <w:color w:val="auto"/>
                <w:highlight w:val="none"/>
              </w:rPr>
              <w:t>50</w:t>
            </w:r>
          </w:p>
        </w:tc>
        <w:tc>
          <w:tcPr>
            <w:tcW w:w="993" w:type="pct"/>
            <w:noWrap w:val="0"/>
            <w:vAlign w:val="center"/>
          </w:tcPr>
          <w:p w14:paraId="7F2D47B5">
            <w:pPr>
              <w:pStyle w:val="33"/>
              <w:bidi w:val="0"/>
              <w:rPr>
                <w:color w:val="auto"/>
                <w:highlight w:val="none"/>
              </w:rPr>
            </w:pPr>
          </w:p>
        </w:tc>
      </w:tr>
      <w:tr w14:paraId="36F8129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10E3465C">
            <w:pPr>
              <w:pStyle w:val="33"/>
              <w:bidi w:val="0"/>
              <w:rPr>
                <w:color w:val="auto"/>
                <w:highlight w:val="none"/>
              </w:rPr>
            </w:pPr>
            <w:r>
              <w:rPr>
                <w:color w:val="auto"/>
                <w:highlight w:val="none"/>
              </w:rPr>
              <w:t>2.9</w:t>
            </w:r>
          </w:p>
        </w:tc>
        <w:tc>
          <w:tcPr>
            <w:tcW w:w="1950" w:type="pct"/>
            <w:noWrap w:val="0"/>
            <w:vAlign w:val="center"/>
          </w:tcPr>
          <w:p w14:paraId="5A030055">
            <w:pPr>
              <w:pStyle w:val="33"/>
              <w:bidi w:val="0"/>
              <w:rPr>
                <w:color w:val="auto"/>
                <w:highlight w:val="none"/>
              </w:rPr>
            </w:pPr>
            <w:r>
              <w:rPr>
                <w:color w:val="auto"/>
                <w:highlight w:val="none"/>
              </w:rPr>
              <w:t>排土场（废石场）</w:t>
            </w:r>
          </w:p>
        </w:tc>
        <w:tc>
          <w:tcPr>
            <w:tcW w:w="673" w:type="pct"/>
            <w:noWrap w:val="0"/>
            <w:vAlign w:val="center"/>
          </w:tcPr>
          <w:p w14:paraId="62634C1C">
            <w:pPr>
              <w:pStyle w:val="33"/>
              <w:bidi w:val="0"/>
              <w:rPr>
                <w:color w:val="auto"/>
                <w:highlight w:val="none"/>
              </w:rPr>
            </w:pPr>
          </w:p>
        </w:tc>
        <w:tc>
          <w:tcPr>
            <w:tcW w:w="954" w:type="pct"/>
            <w:noWrap w:val="0"/>
            <w:vAlign w:val="center"/>
          </w:tcPr>
          <w:p w14:paraId="6DCECA42">
            <w:pPr>
              <w:pStyle w:val="33"/>
              <w:bidi w:val="0"/>
              <w:rPr>
                <w:color w:val="auto"/>
                <w:highlight w:val="none"/>
              </w:rPr>
            </w:pPr>
            <w:r>
              <w:rPr>
                <w:color w:val="auto"/>
                <w:highlight w:val="none"/>
              </w:rPr>
              <w:t>不涉及</w:t>
            </w:r>
          </w:p>
        </w:tc>
        <w:tc>
          <w:tcPr>
            <w:tcW w:w="993" w:type="pct"/>
            <w:noWrap w:val="0"/>
            <w:vAlign w:val="center"/>
          </w:tcPr>
          <w:p w14:paraId="4AA19CA5">
            <w:pPr>
              <w:pStyle w:val="33"/>
              <w:bidi w:val="0"/>
              <w:rPr>
                <w:color w:val="auto"/>
                <w:highlight w:val="none"/>
              </w:rPr>
            </w:pPr>
            <w:r>
              <w:rPr>
                <w:color w:val="auto"/>
                <w:highlight w:val="none"/>
              </w:rPr>
              <w:t>本次设计不设置排土场（废石场）</w:t>
            </w:r>
          </w:p>
        </w:tc>
      </w:tr>
      <w:tr w14:paraId="07E0037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7D5C3A1D">
            <w:pPr>
              <w:pStyle w:val="33"/>
              <w:bidi w:val="0"/>
              <w:rPr>
                <w:color w:val="auto"/>
                <w:highlight w:val="none"/>
              </w:rPr>
            </w:pPr>
            <w:r>
              <w:rPr>
                <w:color w:val="auto"/>
                <w:highlight w:val="none"/>
              </w:rPr>
              <w:t>3</w:t>
            </w:r>
          </w:p>
        </w:tc>
        <w:tc>
          <w:tcPr>
            <w:tcW w:w="1950" w:type="pct"/>
            <w:noWrap w:val="0"/>
            <w:vAlign w:val="center"/>
          </w:tcPr>
          <w:p w14:paraId="4782D09B">
            <w:pPr>
              <w:pStyle w:val="33"/>
              <w:bidi w:val="0"/>
              <w:rPr>
                <w:color w:val="auto"/>
                <w:highlight w:val="none"/>
              </w:rPr>
            </w:pPr>
            <w:r>
              <w:rPr>
                <w:color w:val="auto"/>
                <w:highlight w:val="none"/>
              </w:rPr>
              <w:t>供电</w:t>
            </w:r>
          </w:p>
        </w:tc>
        <w:tc>
          <w:tcPr>
            <w:tcW w:w="673" w:type="pct"/>
            <w:noWrap w:val="0"/>
            <w:vAlign w:val="center"/>
          </w:tcPr>
          <w:p w14:paraId="70BF533E">
            <w:pPr>
              <w:pStyle w:val="33"/>
              <w:bidi w:val="0"/>
              <w:rPr>
                <w:color w:val="auto"/>
                <w:highlight w:val="none"/>
              </w:rPr>
            </w:pPr>
          </w:p>
        </w:tc>
        <w:tc>
          <w:tcPr>
            <w:tcW w:w="954" w:type="pct"/>
            <w:noWrap w:val="0"/>
            <w:vAlign w:val="center"/>
          </w:tcPr>
          <w:p w14:paraId="3080E383">
            <w:pPr>
              <w:pStyle w:val="33"/>
              <w:bidi w:val="0"/>
              <w:rPr>
                <w:color w:val="auto"/>
                <w:highlight w:val="none"/>
              </w:rPr>
            </w:pPr>
          </w:p>
        </w:tc>
        <w:tc>
          <w:tcPr>
            <w:tcW w:w="993" w:type="pct"/>
            <w:noWrap w:val="0"/>
            <w:vAlign w:val="center"/>
          </w:tcPr>
          <w:p w14:paraId="69DF15E0">
            <w:pPr>
              <w:pStyle w:val="33"/>
              <w:bidi w:val="0"/>
              <w:rPr>
                <w:color w:val="auto"/>
                <w:highlight w:val="none"/>
              </w:rPr>
            </w:pPr>
          </w:p>
        </w:tc>
      </w:tr>
      <w:tr w14:paraId="5606184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440E143C">
            <w:pPr>
              <w:pStyle w:val="33"/>
              <w:bidi w:val="0"/>
              <w:rPr>
                <w:color w:val="auto"/>
                <w:highlight w:val="none"/>
              </w:rPr>
            </w:pPr>
            <w:r>
              <w:rPr>
                <w:color w:val="auto"/>
                <w:highlight w:val="none"/>
              </w:rPr>
              <w:t>3.1</w:t>
            </w:r>
          </w:p>
        </w:tc>
        <w:tc>
          <w:tcPr>
            <w:tcW w:w="1950" w:type="pct"/>
            <w:noWrap w:val="0"/>
            <w:vAlign w:val="center"/>
          </w:tcPr>
          <w:p w14:paraId="3508B48E">
            <w:pPr>
              <w:pStyle w:val="33"/>
              <w:bidi w:val="0"/>
              <w:rPr>
                <w:color w:val="auto"/>
                <w:highlight w:val="none"/>
              </w:rPr>
            </w:pPr>
            <w:r>
              <w:rPr>
                <w:color w:val="auto"/>
                <w:highlight w:val="none"/>
              </w:rPr>
              <w:t>用电设备安装功率</w:t>
            </w:r>
          </w:p>
        </w:tc>
        <w:tc>
          <w:tcPr>
            <w:tcW w:w="673" w:type="pct"/>
            <w:noWrap w:val="0"/>
            <w:vAlign w:val="center"/>
          </w:tcPr>
          <w:p w14:paraId="7149EA97">
            <w:pPr>
              <w:pStyle w:val="33"/>
              <w:bidi w:val="0"/>
              <w:rPr>
                <w:color w:val="auto"/>
                <w:highlight w:val="none"/>
              </w:rPr>
            </w:pPr>
            <w:r>
              <w:rPr>
                <w:color w:val="auto"/>
                <w:highlight w:val="none"/>
              </w:rPr>
              <w:t>kW</w:t>
            </w:r>
          </w:p>
        </w:tc>
        <w:tc>
          <w:tcPr>
            <w:tcW w:w="954" w:type="pct"/>
            <w:noWrap w:val="0"/>
            <w:vAlign w:val="center"/>
          </w:tcPr>
          <w:p w14:paraId="17A0B5AE">
            <w:pPr>
              <w:pStyle w:val="33"/>
              <w:bidi w:val="0"/>
              <w:rPr>
                <w:color w:val="auto"/>
                <w:highlight w:val="none"/>
              </w:rPr>
            </w:pPr>
            <w:r>
              <w:rPr>
                <w:color w:val="auto"/>
                <w:highlight w:val="none"/>
              </w:rPr>
              <w:t>330</w:t>
            </w:r>
          </w:p>
        </w:tc>
        <w:tc>
          <w:tcPr>
            <w:tcW w:w="993" w:type="pct"/>
            <w:noWrap w:val="0"/>
            <w:vAlign w:val="center"/>
          </w:tcPr>
          <w:p w14:paraId="23D07ADC">
            <w:pPr>
              <w:pStyle w:val="33"/>
              <w:bidi w:val="0"/>
              <w:rPr>
                <w:color w:val="auto"/>
                <w:highlight w:val="none"/>
              </w:rPr>
            </w:pPr>
          </w:p>
        </w:tc>
      </w:tr>
      <w:tr w14:paraId="552BB48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5D4E6216">
            <w:pPr>
              <w:pStyle w:val="33"/>
              <w:bidi w:val="0"/>
              <w:rPr>
                <w:color w:val="auto"/>
                <w:highlight w:val="none"/>
              </w:rPr>
            </w:pPr>
            <w:r>
              <w:rPr>
                <w:color w:val="auto"/>
                <w:highlight w:val="none"/>
              </w:rPr>
              <w:t>3.2</w:t>
            </w:r>
          </w:p>
        </w:tc>
        <w:tc>
          <w:tcPr>
            <w:tcW w:w="1950" w:type="pct"/>
            <w:noWrap w:val="0"/>
            <w:vAlign w:val="center"/>
          </w:tcPr>
          <w:p w14:paraId="74858C38">
            <w:pPr>
              <w:pStyle w:val="33"/>
              <w:bidi w:val="0"/>
              <w:rPr>
                <w:color w:val="auto"/>
                <w:highlight w:val="none"/>
              </w:rPr>
            </w:pPr>
            <w:r>
              <w:rPr>
                <w:color w:val="auto"/>
                <w:highlight w:val="none"/>
              </w:rPr>
              <w:t>用电设备工作功率</w:t>
            </w:r>
          </w:p>
        </w:tc>
        <w:tc>
          <w:tcPr>
            <w:tcW w:w="673" w:type="pct"/>
            <w:noWrap w:val="0"/>
            <w:vAlign w:val="center"/>
          </w:tcPr>
          <w:p w14:paraId="0A76DF46">
            <w:pPr>
              <w:pStyle w:val="33"/>
              <w:bidi w:val="0"/>
              <w:rPr>
                <w:color w:val="auto"/>
                <w:highlight w:val="none"/>
              </w:rPr>
            </w:pPr>
            <w:r>
              <w:rPr>
                <w:color w:val="auto"/>
                <w:highlight w:val="none"/>
              </w:rPr>
              <w:t>kW</w:t>
            </w:r>
          </w:p>
        </w:tc>
        <w:tc>
          <w:tcPr>
            <w:tcW w:w="954" w:type="pct"/>
            <w:noWrap w:val="0"/>
            <w:vAlign w:val="center"/>
          </w:tcPr>
          <w:p w14:paraId="0F350F13">
            <w:pPr>
              <w:pStyle w:val="33"/>
              <w:bidi w:val="0"/>
              <w:rPr>
                <w:color w:val="auto"/>
                <w:highlight w:val="none"/>
              </w:rPr>
            </w:pPr>
            <w:r>
              <w:rPr>
                <w:color w:val="auto"/>
                <w:highlight w:val="none"/>
              </w:rPr>
              <w:t>330</w:t>
            </w:r>
          </w:p>
        </w:tc>
        <w:tc>
          <w:tcPr>
            <w:tcW w:w="993" w:type="pct"/>
            <w:noWrap w:val="0"/>
            <w:vAlign w:val="center"/>
          </w:tcPr>
          <w:p w14:paraId="240FE217">
            <w:pPr>
              <w:pStyle w:val="33"/>
              <w:bidi w:val="0"/>
              <w:rPr>
                <w:color w:val="auto"/>
                <w:highlight w:val="none"/>
              </w:rPr>
            </w:pPr>
          </w:p>
        </w:tc>
      </w:tr>
      <w:tr w14:paraId="4D3978A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0" w:hRule="atLeast"/>
        </w:trPr>
        <w:tc>
          <w:tcPr>
            <w:tcW w:w="430" w:type="pct"/>
            <w:noWrap w:val="0"/>
            <w:vAlign w:val="center"/>
          </w:tcPr>
          <w:p w14:paraId="67370C51">
            <w:pPr>
              <w:pStyle w:val="33"/>
              <w:bidi w:val="0"/>
              <w:rPr>
                <w:color w:val="auto"/>
                <w:highlight w:val="none"/>
              </w:rPr>
            </w:pPr>
            <w:r>
              <w:rPr>
                <w:color w:val="auto"/>
                <w:highlight w:val="none"/>
              </w:rPr>
              <w:t>3.3</w:t>
            </w:r>
          </w:p>
        </w:tc>
        <w:tc>
          <w:tcPr>
            <w:tcW w:w="1950" w:type="pct"/>
            <w:noWrap w:val="0"/>
            <w:vAlign w:val="center"/>
          </w:tcPr>
          <w:p w14:paraId="17140584">
            <w:pPr>
              <w:pStyle w:val="33"/>
              <w:bidi w:val="0"/>
              <w:rPr>
                <w:color w:val="auto"/>
                <w:highlight w:val="none"/>
              </w:rPr>
            </w:pPr>
            <w:r>
              <w:rPr>
                <w:color w:val="auto"/>
                <w:highlight w:val="none"/>
              </w:rPr>
              <w:t>年总用电量</w:t>
            </w:r>
          </w:p>
        </w:tc>
        <w:tc>
          <w:tcPr>
            <w:tcW w:w="673" w:type="pct"/>
            <w:noWrap w:val="0"/>
            <w:vAlign w:val="center"/>
          </w:tcPr>
          <w:p w14:paraId="7578CC92">
            <w:pPr>
              <w:pStyle w:val="33"/>
              <w:bidi w:val="0"/>
              <w:rPr>
                <w:color w:val="auto"/>
                <w:highlight w:val="none"/>
              </w:rPr>
            </w:pPr>
            <w:r>
              <w:rPr>
                <w:color w:val="auto"/>
                <w:highlight w:val="none"/>
              </w:rPr>
              <w:t>kw·h /a</w:t>
            </w:r>
          </w:p>
        </w:tc>
        <w:tc>
          <w:tcPr>
            <w:tcW w:w="954" w:type="pct"/>
            <w:noWrap w:val="0"/>
            <w:vAlign w:val="center"/>
          </w:tcPr>
          <w:p w14:paraId="1AA32BBA">
            <w:pPr>
              <w:pStyle w:val="33"/>
              <w:bidi w:val="0"/>
              <w:rPr>
                <w:color w:val="auto"/>
                <w:highlight w:val="none"/>
              </w:rPr>
            </w:pPr>
            <w:r>
              <w:rPr>
                <w:color w:val="auto"/>
                <w:highlight w:val="none"/>
              </w:rPr>
              <w:t>504240</w:t>
            </w:r>
          </w:p>
        </w:tc>
        <w:tc>
          <w:tcPr>
            <w:tcW w:w="993" w:type="pct"/>
            <w:noWrap w:val="0"/>
            <w:vAlign w:val="center"/>
          </w:tcPr>
          <w:p w14:paraId="3DE9BB54">
            <w:pPr>
              <w:pStyle w:val="33"/>
              <w:bidi w:val="0"/>
              <w:rPr>
                <w:color w:val="auto"/>
                <w:highlight w:val="none"/>
              </w:rPr>
            </w:pPr>
          </w:p>
        </w:tc>
      </w:tr>
      <w:tr w14:paraId="400B318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5" w:hRule="atLeast"/>
        </w:trPr>
        <w:tc>
          <w:tcPr>
            <w:tcW w:w="430" w:type="pct"/>
            <w:noWrap w:val="0"/>
            <w:vAlign w:val="center"/>
          </w:tcPr>
          <w:p w14:paraId="32CE5055">
            <w:pPr>
              <w:pStyle w:val="33"/>
              <w:bidi w:val="0"/>
              <w:rPr>
                <w:color w:val="auto"/>
                <w:highlight w:val="none"/>
              </w:rPr>
            </w:pPr>
            <w:r>
              <w:rPr>
                <w:color w:val="auto"/>
                <w:highlight w:val="none"/>
              </w:rPr>
              <w:t>3.4</w:t>
            </w:r>
          </w:p>
        </w:tc>
        <w:tc>
          <w:tcPr>
            <w:tcW w:w="1950" w:type="pct"/>
            <w:noWrap w:val="0"/>
            <w:vAlign w:val="center"/>
          </w:tcPr>
          <w:p w14:paraId="56811CCF">
            <w:pPr>
              <w:pStyle w:val="33"/>
              <w:bidi w:val="0"/>
              <w:rPr>
                <w:color w:val="auto"/>
                <w:highlight w:val="none"/>
              </w:rPr>
            </w:pPr>
            <w:r>
              <w:rPr>
                <w:color w:val="auto"/>
                <w:highlight w:val="none"/>
              </w:rPr>
              <w:t>单位矿石耗电量</w:t>
            </w:r>
          </w:p>
        </w:tc>
        <w:tc>
          <w:tcPr>
            <w:tcW w:w="673" w:type="pct"/>
            <w:noWrap w:val="0"/>
            <w:vAlign w:val="center"/>
          </w:tcPr>
          <w:p w14:paraId="57BF185E">
            <w:pPr>
              <w:pStyle w:val="33"/>
              <w:bidi w:val="0"/>
              <w:rPr>
                <w:color w:val="auto"/>
                <w:highlight w:val="none"/>
              </w:rPr>
            </w:pPr>
            <w:r>
              <w:rPr>
                <w:color w:val="auto"/>
                <w:highlight w:val="none"/>
              </w:rPr>
              <w:t>kw·h/t</w:t>
            </w:r>
          </w:p>
        </w:tc>
        <w:tc>
          <w:tcPr>
            <w:tcW w:w="954" w:type="pct"/>
            <w:noWrap w:val="0"/>
            <w:vAlign w:val="center"/>
          </w:tcPr>
          <w:p w14:paraId="4BAD5308">
            <w:pPr>
              <w:pStyle w:val="33"/>
              <w:bidi w:val="0"/>
              <w:rPr>
                <w:color w:val="auto"/>
                <w:highlight w:val="none"/>
              </w:rPr>
            </w:pPr>
            <w:r>
              <w:rPr>
                <w:color w:val="auto"/>
                <w:highlight w:val="none"/>
              </w:rPr>
              <w:t>25.21</w:t>
            </w:r>
          </w:p>
        </w:tc>
        <w:tc>
          <w:tcPr>
            <w:tcW w:w="993" w:type="pct"/>
            <w:noWrap w:val="0"/>
            <w:vAlign w:val="center"/>
          </w:tcPr>
          <w:p w14:paraId="59553422">
            <w:pPr>
              <w:pStyle w:val="33"/>
              <w:bidi w:val="0"/>
              <w:rPr>
                <w:color w:val="auto"/>
                <w:highlight w:val="none"/>
              </w:rPr>
            </w:pPr>
          </w:p>
        </w:tc>
      </w:tr>
    </w:tbl>
    <w:p w14:paraId="23958A56">
      <w:pPr>
        <w:pStyle w:val="24"/>
        <w:bidi w:val="0"/>
        <w:rPr>
          <w:rFonts w:hint="default"/>
          <w:color w:val="auto"/>
          <w:highlight w:val="none"/>
          <w:lang w:val="en-US" w:eastAsia="zh-CN"/>
        </w:rPr>
      </w:pPr>
    </w:p>
    <w:p w14:paraId="1148A80B">
      <w:pPr>
        <w:pStyle w:val="24"/>
        <w:bidi w:val="0"/>
        <w:rPr>
          <w:rFonts w:hint="default"/>
          <w:color w:val="auto"/>
          <w:highlight w:val="none"/>
          <w:lang w:val="en-US" w:eastAsia="zh-CN"/>
        </w:rPr>
        <w:sectPr>
          <w:headerReference r:id="rId3" w:type="default"/>
          <w:footerReference r:id="rId4" w:type="default"/>
          <w:pgSz w:w="11906" w:h="16838"/>
          <w:pgMar w:top="1417" w:right="1134" w:bottom="1134" w:left="1587" w:header="851" w:footer="992" w:gutter="0"/>
          <w:pgBorders>
            <w:top w:val="none" w:sz="0" w:space="0"/>
            <w:left w:val="none" w:sz="0" w:space="0"/>
            <w:bottom w:val="none" w:sz="0" w:space="0"/>
            <w:right w:val="none" w:sz="0" w:space="0"/>
          </w:pgBorders>
          <w:pgNumType w:fmt="decimal" w:start="1"/>
          <w:cols w:space="0" w:num="1"/>
          <w:rtlGutter w:val="0"/>
          <w:docGrid w:type="lines" w:linePitch="312" w:charSpace="0"/>
        </w:sectPr>
      </w:pPr>
    </w:p>
    <w:p w14:paraId="51C781C1">
      <w:pPr>
        <w:pStyle w:val="29"/>
        <w:bidi w:val="0"/>
        <w:rPr>
          <w:rFonts w:hint="default"/>
          <w:color w:val="auto"/>
          <w:highlight w:val="none"/>
          <w:lang w:val="en-US" w:eastAsia="zh-CN"/>
        </w:rPr>
      </w:pPr>
      <w:bookmarkStart w:id="17" w:name="_Toc24265"/>
      <w:r>
        <w:rPr>
          <w:rFonts w:hint="default"/>
          <w:color w:val="auto"/>
          <w:highlight w:val="none"/>
          <w:lang w:val="en-US" w:eastAsia="zh-CN"/>
        </w:rPr>
        <w:t>定性、定量评价</w:t>
      </w:r>
      <w:bookmarkEnd w:id="17"/>
    </w:p>
    <w:p w14:paraId="67BA65C6">
      <w:pPr>
        <w:pStyle w:val="24"/>
        <w:bidi w:val="0"/>
        <w:rPr>
          <w:color w:val="auto"/>
          <w:highlight w:val="none"/>
          <w:lang w:val="zh-CN"/>
        </w:rPr>
      </w:pPr>
      <w:r>
        <w:rPr>
          <w:color w:val="auto"/>
          <w:highlight w:val="none"/>
          <w:lang w:val="zh-CN"/>
        </w:rPr>
        <w:t>根据项目建设特点，结合该矿山主要危险、有害因素的性质和存在部位，划分为1</w:t>
      </w:r>
      <w:r>
        <w:rPr>
          <w:rFonts w:hint="eastAsia"/>
          <w:color w:val="auto"/>
          <w:highlight w:val="none"/>
        </w:rPr>
        <w:t>1</w:t>
      </w:r>
      <w:r>
        <w:rPr>
          <w:rFonts w:hint="eastAsia"/>
          <w:color w:val="auto"/>
          <w:highlight w:val="none"/>
          <w:lang w:val="zh-CN"/>
        </w:rPr>
        <w:t>个单元。</w:t>
      </w:r>
    </w:p>
    <w:p w14:paraId="7E0CD20A">
      <w:pPr>
        <w:pStyle w:val="32"/>
        <w:bidi w:val="0"/>
        <w:rPr>
          <w:rFonts w:hint="eastAsia"/>
          <w:color w:val="auto"/>
          <w:highlight w:val="none"/>
        </w:rPr>
      </w:pPr>
      <w:r>
        <w:rPr>
          <w:rFonts w:hint="eastAsia"/>
          <w:color w:val="auto"/>
          <w:highlight w:val="none"/>
        </w:rPr>
        <w:t>表3 评价单元划分表</w:t>
      </w:r>
    </w:p>
    <w:tbl>
      <w:tblPr>
        <w:tblStyle w:val="26"/>
        <w:tblW w:w="444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5"/>
        <w:gridCol w:w="6848"/>
      </w:tblGrid>
      <w:tr w14:paraId="0707B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blHeader/>
          <w:jc w:val="center"/>
        </w:trPr>
        <w:tc>
          <w:tcPr>
            <w:tcW w:w="906" w:type="pct"/>
            <w:noWrap w:val="0"/>
            <w:vAlign w:val="center"/>
          </w:tcPr>
          <w:p w14:paraId="0FA1DF7F">
            <w:pPr>
              <w:pStyle w:val="33"/>
              <w:bidi w:val="0"/>
              <w:rPr>
                <w:rFonts w:hint="eastAsia"/>
                <w:color w:val="auto"/>
                <w:highlight w:val="none"/>
              </w:rPr>
            </w:pPr>
            <w:r>
              <w:rPr>
                <w:rFonts w:hint="eastAsia"/>
                <w:color w:val="auto"/>
                <w:highlight w:val="none"/>
              </w:rPr>
              <w:t>序号</w:t>
            </w:r>
          </w:p>
        </w:tc>
        <w:tc>
          <w:tcPr>
            <w:tcW w:w="4093" w:type="pct"/>
            <w:noWrap w:val="0"/>
            <w:vAlign w:val="center"/>
          </w:tcPr>
          <w:p w14:paraId="0CBD1862">
            <w:pPr>
              <w:pStyle w:val="33"/>
              <w:bidi w:val="0"/>
              <w:rPr>
                <w:rFonts w:hint="eastAsia"/>
                <w:color w:val="auto"/>
                <w:highlight w:val="none"/>
              </w:rPr>
            </w:pPr>
            <w:r>
              <w:rPr>
                <w:rFonts w:hint="eastAsia"/>
                <w:color w:val="auto"/>
                <w:highlight w:val="none"/>
              </w:rPr>
              <w:t>评价单元划分</w:t>
            </w:r>
          </w:p>
        </w:tc>
      </w:tr>
      <w:tr w14:paraId="000FC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blHeader/>
          <w:jc w:val="center"/>
        </w:trPr>
        <w:tc>
          <w:tcPr>
            <w:tcW w:w="906" w:type="pct"/>
            <w:noWrap w:val="0"/>
            <w:vAlign w:val="center"/>
          </w:tcPr>
          <w:p w14:paraId="6D36FE52">
            <w:pPr>
              <w:pStyle w:val="33"/>
              <w:bidi w:val="0"/>
              <w:rPr>
                <w:rFonts w:hint="eastAsia"/>
                <w:color w:val="auto"/>
                <w:highlight w:val="none"/>
              </w:rPr>
            </w:pPr>
            <w:r>
              <w:rPr>
                <w:rFonts w:hint="eastAsia"/>
                <w:color w:val="auto"/>
                <w:highlight w:val="none"/>
              </w:rPr>
              <w:t>1</w:t>
            </w:r>
          </w:p>
        </w:tc>
        <w:tc>
          <w:tcPr>
            <w:tcW w:w="4093" w:type="pct"/>
            <w:noWrap w:val="0"/>
            <w:vAlign w:val="center"/>
          </w:tcPr>
          <w:p w14:paraId="06994B37">
            <w:pPr>
              <w:pStyle w:val="33"/>
              <w:bidi w:val="0"/>
              <w:rPr>
                <w:rFonts w:hint="eastAsia"/>
                <w:color w:val="auto"/>
                <w:highlight w:val="none"/>
              </w:rPr>
            </w:pPr>
            <w:r>
              <w:rPr>
                <w:rFonts w:hint="eastAsia"/>
                <w:color w:val="auto"/>
                <w:highlight w:val="none"/>
              </w:rPr>
              <w:t>总平面布置</w:t>
            </w:r>
          </w:p>
        </w:tc>
      </w:tr>
      <w:tr w14:paraId="04270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53DC2762">
            <w:pPr>
              <w:pStyle w:val="33"/>
              <w:bidi w:val="0"/>
              <w:rPr>
                <w:rFonts w:hint="eastAsia"/>
                <w:color w:val="auto"/>
                <w:highlight w:val="none"/>
              </w:rPr>
            </w:pPr>
            <w:r>
              <w:rPr>
                <w:rFonts w:hint="eastAsia"/>
                <w:color w:val="auto"/>
                <w:highlight w:val="none"/>
              </w:rPr>
              <w:t>2</w:t>
            </w:r>
          </w:p>
        </w:tc>
        <w:tc>
          <w:tcPr>
            <w:tcW w:w="4093" w:type="pct"/>
            <w:noWrap w:val="0"/>
            <w:vAlign w:val="center"/>
          </w:tcPr>
          <w:p w14:paraId="73808EAA">
            <w:pPr>
              <w:pStyle w:val="33"/>
              <w:bidi w:val="0"/>
              <w:rPr>
                <w:rFonts w:hint="default"/>
                <w:color w:val="auto"/>
                <w:highlight w:val="none"/>
                <w:lang w:val="en-US" w:eastAsia="zh-CN"/>
              </w:rPr>
            </w:pPr>
            <w:r>
              <w:rPr>
                <w:rFonts w:hint="eastAsia"/>
                <w:color w:val="auto"/>
                <w:highlight w:val="none"/>
                <w:lang w:val="en-US" w:eastAsia="zh-CN"/>
              </w:rPr>
              <w:t>开拓运输系统单元</w:t>
            </w:r>
          </w:p>
        </w:tc>
      </w:tr>
      <w:tr w14:paraId="4B065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7929C7F2">
            <w:pPr>
              <w:pStyle w:val="33"/>
              <w:bidi w:val="0"/>
              <w:rPr>
                <w:rFonts w:hint="eastAsia"/>
                <w:color w:val="auto"/>
                <w:highlight w:val="none"/>
              </w:rPr>
            </w:pPr>
            <w:r>
              <w:rPr>
                <w:rFonts w:hint="eastAsia"/>
                <w:color w:val="auto"/>
                <w:highlight w:val="none"/>
              </w:rPr>
              <w:t>3</w:t>
            </w:r>
          </w:p>
        </w:tc>
        <w:tc>
          <w:tcPr>
            <w:tcW w:w="4093" w:type="pct"/>
            <w:noWrap w:val="0"/>
            <w:vAlign w:val="center"/>
          </w:tcPr>
          <w:p w14:paraId="56E1D814">
            <w:pPr>
              <w:pStyle w:val="33"/>
              <w:bidi w:val="0"/>
              <w:rPr>
                <w:rFonts w:hint="default"/>
                <w:color w:val="auto"/>
                <w:highlight w:val="none"/>
                <w:lang w:val="en-US" w:eastAsia="zh-CN"/>
              </w:rPr>
            </w:pPr>
            <w:r>
              <w:rPr>
                <w:rFonts w:hint="eastAsia"/>
                <w:color w:val="auto"/>
                <w:highlight w:val="none"/>
                <w:lang w:val="en-US" w:eastAsia="zh-CN"/>
              </w:rPr>
              <w:t>采剥单元</w:t>
            </w:r>
          </w:p>
        </w:tc>
      </w:tr>
      <w:tr w14:paraId="3101B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24AFF1B7">
            <w:pPr>
              <w:pStyle w:val="33"/>
              <w:bidi w:val="0"/>
              <w:rPr>
                <w:rFonts w:hint="eastAsia"/>
                <w:color w:val="auto"/>
                <w:highlight w:val="none"/>
              </w:rPr>
            </w:pPr>
            <w:r>
              <w:rPr>
                <w:rFonts w:hint="eastAsia"/>
                <w:color w:val="auto"/>
                <w:highlight w:val="none"/>
              </w:rPr>
              <w:t>4</w:t>
            </w:r>
          </w:p>
        </w:tc>
        <w:tc>
          <w:tcPr>
            <w:tcW w:w="4093" w:type="pct"/>
            <w:noWrap w:val="0"/>
            <w:vAlign w:val="center"/>
          </w:tcPr>
          <w:p w14:paraId="2A8A5662">
            <w:pPr>
              <w:pStyle w:val="33"/>
              <w:bidi w:val="0"/>
              <w:rPr>
                <w:rFonts w:hint="default"/>
                <w:color w:val="auto"/>
                <w:highlight w:val="none"/>
                <w:lang w:val="en-US" w:eastAsia="zh-CN"/>
              </w:rPr>
            </w:pPr>
            <w:r>
              <w:rPr>
                <w:rFonts w:hint="eastAsia"/>
                <w:color w:val="auto"/>
                <w:highlight w:val="none"/>
                <w:lang w:val="en-US" w:eastAsia="zh-CN"/>
              </w:rPr>
              <w:t>矿山供配电设施单元</w:t>
            </w:r>
          </w:p>
        </w:tc>
      </w:tr>
      <w:tr w14:paraId="26283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7136B068">
            <w:pPr>
              <w:pStyle w:val="33"/>
              <w:bidi w:val="0"/>
              <w:rPr>
                <w:rFonts w:hint="eastAsia"/>
                <w:color w:val="auto"/>
                <w:highlight w:val="none"/>
              </w:rPr>
            </w:pPr>
            <w:r>
              <w:rPr>
                <w:rFonts w:hint="eastAsia"/>
                <w:color w:val="auto"/>
                <w:highlight w:val="none"/>
              </w:rPr>
              <w:t>5</w:t>
            </w:r>
          </w:p>
        </w:tc>
        <w:tc>
          <w:tcPr>
            <w:tcW w:w="4093" w:type="pct"/>
            <w:noWrap w:val="0"/>
            <w:vAlign w:val="center"/>
          </w:tcPr>
          <w:p w14:paraId="4E107158">
            <w:pPr>
              <w:pStyle w:val="33"/>
              <w:bidi w:val="0"/>
              <w:rPr>
                <w:rFonts w:hint="default"/>
                <w:color w:val="auto"/>
                <w:highlight w:val="none"/>
                <w:lang w:val="en-US" w:eastAsia="zh-CN"/>
              </w:rPr>
            </w:pPr>
            <w:r>
              <w:rPr>
                <w:rFonts w:hint="eastAsia"/>
                <w:color w:val="auto"/>
                <w:highlight w:val="none"/>
                <w:lang w:val="en-US" w:eastAsia="zh-CN"/>
              </w:rPr>
              <w:t>防排水与防灭火单元</w:t>
            </w:r>
          </w:p>
        </w:tc>
      </w:tr>
      <w:tr w14:paraId="3FDFE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1CDE0C4E">
            <w:pPr>
              <w:pStyle w:val="33"/>
              <w:bidi w:val="0"/>
              <w:rPr>
                <w:rFonts w:hint="eastAsia"/>
                <w:color w:val="auto"/>
                <w:highlight w:val="none"/>
              </w:rPr>
            </w:pPr>
            <w:r>
              <w:rPr>
                <w:rFonts w:hint="eastAsia"/>
                <w:color w:val="auto"/>
                <w:highlight w:val="none"/>
              </w:rPr>
              <w:t>6</w:t>
            </w:r>
          </w:p>
        </w:tc>
        <w:tc>
          <w:tcPr>
            <w:tcW w:w="4093" w:type="pct"/>
            <w:noWrap w:val="0"/>
            <w:vAlign w:val="center"/>
          </w:tcPr>
          <w:p w14:paraId="535C42E1">
            <w:pPr>
              <w:pStyle w:val="33"/>
              <w:bidi w:val="0"/>
              <w:rPr>
                <w:rFonts w:hint="default"/>
                <w:color w:val="auto"/>
                <w:highlight w:val="none"/>
                <w:lang w:val="en-US" w:eastAsia="zh-CN"/>
              </w:rPr>
            </w:pPr>
            <w:r>
              <w:rPr>
                <w:rFonts w:hint="eastAsia"/>
                <w:color w:val="auto"/>
                <w:highlight w:val="none"/>
                <w:lang w:val="en-US" w:eastAsia="zh-CN"/>
              </w:rPr>
              <w:t>排土场单元</w:t>
            </w:r>
          </w:p>
        </w:tc>
      </w:tr>
      <w:tr w14:paraId="11129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3A1C18CB">
            <w:pPr>
              <w:pStyle w:val="33"/>
              <w:bidi w:val="0"/>
              <w:rPr>
                <w:rFonts w:hint="eastAsia"/>
                <w:color w:val="auto"/>
                <w:highlight w:val="none"/>
              </w:rPr>
            </w:pPr>
            <w:r>
              <w:rPr>
                <w:rFonts w:hint="eastAsia"/>
                <w:color w:val="auto"/>
                <w:highlight w:val="none"/>
              </w:rPr>
              <w:t>7</w:t>
            </w:r>
          </w:p>
        </w:tc>
        <w:tc>
          <w:tcPr>
            <w:tcW w:w="4093" w:type="pct"/>
            <w:noWrap w:val="0"/>
            <w:vAlign w:val="center"/>
          </w:tcPr>
          <w:p w14:paraId="1F622AC6">
            <w:pPr>
              <w:pStyle w:val="33"/>
              <w:bidi w:val="0"/>
              <w:rPr>
                <w:rFonts w:hint="default"/>
                <w:color w:val="auto"/>
                <w:highlight w:val="none"/>
                <w:lang w:val="en-US" w:eastAsia="zh-CN"/>
              </w:rPr>
            </w:pPr>
            <w:r>
              <w:rPr>
                <w:rFonts w:hint="eastAsia"/>
                <w:color w:val="auto"/>
                <w:highlight w:val="none"/>
                <w:lang w:val="en-US" w:eastAsia="zh-CN"/>
              </w:rPr>
              <w:t>安全管理及其他单元</w:t>
            </w:r>
          </w:p>
        </w:tc>
      </w:tr>
      <w:tr w14:paraId="67AA6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5BE1CAE1">
            <w:pPr>
              <w:pStyle w:val="33"/>
              <w:bidi w:val="0"/>
              <w:rPr>
                <w:rFonts w:hint="eastAsia"/>
                <w:color w:val="auto"/>
                <w:highlight w:val="none"/>
                <w:lang w:val="en-US" w:eastAsia="zh-CN"/>
              </w:rPr>
            </w:pPr>
            <w:r>
              <w:rPr>
                <w:rFonts w:hint="eastAsia"/>
                <w:color w:val="auto"/>
                <w:highlight w:val="none"/>
                <w:lang w:val="en-US" w:eastAsia="zh-CN"/>
              </w:rPr>
              <w:t>8</w:t>
            </w:r>
          </w:p>
        </w:tc>
        <w:tc>
          <w:tcPr>
            <w:tcW w:w="4093" w:type="pct"/>
            <w:noWrap w:val="0"/>
            <w:vAlign w:val="center"/>
          </w:tcPr>
          <w:p w14:paraId="71760E03">
            <w:pPr>
              <w:pStyle w:val="33"/>
              <w:bidi w:val="0"/>
              <w:rPr>
                <w:rFonts w:hint="eastAsia"/>
                <w:color w:val="auto"/>
                <w:highlight w:val="none"/>
              </w:rPr>
            </w:pPr>
            <w:r>
              <w:rPr>
                <w:color w:val="auto"/>
                <w:highlight w:val="none"/>
              </w:rPr>
              <w:t>重大危险源辨识单元</w:t>
            </w:r>
          </w:p>
        </w:tc>
      </w:tr>
    </w:tbl>
    <w:p w14:paraId="37BED405">
      <w:pPr>
        <w:pStyle w:val="24"/>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eastAsia"/>
          <w:color w:val="auto"/>
          <w:highlight w:val="none"/>
        </w:rPr>
      </w:pPr>
      <w:r>
        <w:rPr>
          <w:color w:val="auto"/>
          <w:highlight w:val="none"/>
          <w:lang w:val="zh-CN"/>
        </w:rPr>
        <w:t>根据《</w:t>
      </w:r>
      <w:r>
        <w:rPr>
          <w:rFonts w:hint="eastAsia"/>
          <w:color w:val="auto"/>
          <w:highlight w:val="none"/>
          <w:lang w:val="zh-CN"/>
        </w:rPr>
        <w:t>金属非金属露天矿山建设项目安全预评价报告编写提纲</w:t>
      </w:r>
      <w:r>
        <w:rPr>
          <w:color w:val="auto"/>
          <w:highlight w:val="none"/>
          <w:lang w:val="zh-CN"/>
        </w:rPr>
        <w:t>》，本章节采用如下评价方法进行评价：安全检查表法、预先危险性分析法等定性评价方法；</w:t>
      </w:r>
      <w:r>
        <w:rPr>
          <w:rFonts w:hint="eastAsia"/>
          <w:color w:val="auto"/>
          <w:highlight w:val="none"/>
        </w:rPr>
        <w:t>专家评议法</w:t>
      </w:r>
      <w:r>
        <w:rPr>
          <w:color w:val="auto"/>
          <w:highlight w:val="none"/>
          <w:lang w:val="zh-CN"/>
        </w:rPr>
        <w:t>等定量评价方法对</w:t>
      </w:r>
      <w:r>
        <w:rPr>
          <w:rFonts w:hint="eastAsia"/>
          <w:color w:val="auto"/>
          <w:highlight w:val="none"/>
          <w:lang w:val="en-US" w:eastAsia="zh-CN"/>
        </w:rPr>
        <w:t>采剥单元</w:t>
      </w:r>
      <w:r>
        <w:rPr>
          <w:color w:val="auto"/>
          <w:highlight w:val="none"/>
          <w:lang w:val="zh-CN"/>
        </w:rPr>
        <w:t>进行评价。</w:t>
      </w:r>
    </w:p>
    <w:p w14:paraId="20B79D30">
      <w:pPr>
        <w:pStyle w:val="30"/>
        <w:bidi w:val="0"/>
        <w:rPr>
          <w:rFonts w:hint="default"/>
          <w:color w:val="auto"/>
          <w:highlight w:val="none"/>
          <w:lang w:val="en-US" w:eastAsia="zh-CN"/>
        </w:rPr>
      </w:pPr>
      <w:bookmarkStart w:id="18" w:name="_Toc7605"/>
      <w:r>
        <w:rPr>
          <w:rFonts w:hint="default"/>
          <w:color w:val="auto"/>
          <w:highlight w:val="none"/>
          <w:lang w:val="en-US" w:eastAsia="zh-CN"/>
        </w:rPr>
        <w:t>总平面布置单元</w:t>
      </w:r>
      <w:bookmarkEnd w:id="18"/>
    </w:p>
    <w:p w14:paraId="0C524998">
      <w:pPr>
        <w:pStyle w:val="24"/>
        <w:bidi w:val="0"/>
        <w:rPr>
          <w:rFonts w:hint="default"/>
          <w:color w:val="auto"/>
          <w:highlight w:val="none"/>
        </w:rPr>
      </w:pPr>
      <w:bookmarkStart w:id="19" w:name="_Toc352424822"/>
      <w:bookmarkStart w:id="20" w:name="_Toc454915726"/>
      <w:r>
        <w:rPr>
          <w:rFonts w:hint="default"/>
          <w:color w:val="auto"/>
          <w:highlight w:val="none"/>
          <w:lang w:eastAsia="zh-CN"/>
        </w:rPr>
        <w:t>（</w:t>
      </w:r>
      <w:r>
        <w:rPr>
          <w:rFonts w:hint="default"/>
          <w:color w:val="auto"/>
          <w:highlight w:val="none"/>
          <w:lang w:val="en-US" w:eastAsia="zh-CN"/>
        </w:rPr>
        <w:t>1）</w:t>
      </w:r>
      <w:r>
        <w:rPr>
          <w:rFonts w:hint="default"/>
          <w:color w:val="auto"/>
          <w:highlight w:val="none"/>
        </w:rPr>
        <w:t>使用安全检查表法对总平面布置单元进行安全评价，见表3</w:t>
      </w:r>
      <w:r>
        <w:rPr>
          <w:rFonts w:hint="eastAsia"/>
          <w:color w:val="auto"/>
          <w:highlight w:val="none"/>
          <w:lang w:val="en-US" w:eastAsia="zh-CN"/>
        </w:rPr>
        <w:t>.1</w:t>
      </w:r>
      <w:r>
        <w:rPr>
          <w:rFonts w:hint="default"/>
          <w:color w:val="auto"/>
          <w:highlight w:val="none"/>
        </w:rPr>
        <w:t>-1。</w:t>
      </w:r>
    </w:p>
    <w:p w14:paraId="77A79450">
      <w:pPr>
        <w:pStyle w:val="32"/>
        <w:bidi w:val="0"/>
        <w:rPr>
          <w:rFonts w:hint="default"/>
          <w:color w:val="auto"/>
          <w:highlight w:val="none"/>
        </w:rPr>
      </w:pPr>
      <w:r>
        <w:rPr>
          <w:rFonts w:hint="default"/>
          <w:color w:val="auto"/>
          <w:highlight w:val="none"/>
        </w:rPr>
        <w:t>表3</w:t>
      </w:r>
      <w:r>
        <w:rPr>
          <w:rFonts w:hint="eastAsia"/>
          <w:color w:val="auto"/>
          <w:highlight w:val="none"/>
          <w:lang w:val="en-US" w:eastAsia="zh-CN"/>
        </w:rPr>
        <w:t>.1</w:t>
      </w:r>
      <w:r>
        <w:rPr>
          <w:rFonts w:hint="default"/>
          <w:color w:val="auto"/>
          <w:highlight w:val="none"/>
        </w:rPr>
        <w:t xml:space="preserve">-1 </w:t>
      </w:r>
      <w:r>
        <w:rPr>
          <w:rFonts w:hint="eastAsia"/>
          <w:color w:val="auto"/>
          <w:highlight w:val="none"/>
          <w:lang w:val="en-US" w:eastAsia="zh-CN"/>
        </w:rPr>
        <w:t xml:space="preserve"> </w:t>
      </w:r>
      <w:r>
        <w:rPr>
          <w:rFonts w:hint="default"/>
          <w:color w:val="auto"/>
          <w:highlight w:val="none"/>
        </w:rPr>
        <w:t>总平面布置安全检查表</w:t>
      </w:r>
    </w:p>
    <w:tbl>
      <w:tblPr>
        <w:tblStyle w:val="2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4"/>
        <w:gridCol w:w="3004"/>
        <w:gridCol w:w="2190"/>
        <w:gridCol w:w="2758"/>
        <w:gridCol w:w="695"/>
      </w:tblGrid>
      <w:tr w14:paraId="178B58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99" w:type="pct"/>
            <w:noWrap w:val="0"/>
            <w:vAlign w:val="center"/>
          </w:tcPr>
          <w:p w14:paraId="11F92CF0">
            <w:pPr>
              <w:pStyle w:val="33"/>
              <w:bidi w:val="0"/>
              <w:rPr>
                <w:rFonts w:hint="default"/>
                <w:color w:val="auto"/>
                <w:highlight w:val="none"/>
              </w:rPr>
            </w:pPr>
            <w:r>
              <w:rPr>
                <w:rFonts w:hint="default"/>
                <w:color w:val="auto"/>
                <w:highlight w:val="none"/>
              </w:rPr>
              <w:t>项目</w:t>
            </w:r>
          </w:p>
        </w:tc>
        <w:tc>
          <w:tcPr>
            <w:tcW w:w="1695" w:type="pct"/>
            <w:noWrap w:val="0"/>
            <w:vAlign w:val="center"/>
          </w:tcPr>
          <w:p w14:paraId="6BE956F3">
            <w:pPr>
              <w:pStyle w:val="33"/>
              <w:bidi w:val="0"/>
              <w:rPr>
                <w:rFonts w:hint="default"/>
                <w:color w:val="auto"/>
                <w:highlight w:val="none"/>
              </w:rPr>
            </w:pPr>
            <w:r>
              <w:rPr>
                <w:rFonts w:hint="default"/>
                <w:color w:val="auto"/>
                <w:highlight w:val="none"/>
              </w:rPr>
              <w:t>检查内容</w:t>
            </w:r>
          </w:p>
        </w:tc>
        <w:tc>
          <w:tcPr>
            <w:tcW w:w="775" w:type="pct"/>
            <w:noWrap w:val="0"/>
            <w:vAlign w:val="center"/>
          </w:tcPr>
          <w:p w14:paraId="47FFF537">
            <w:pPr>
              <w:pStyle w:val="33"/>
              <w:bidi w:val="0"/>
              <w:rPr>
                <w:rFonts w:hint="default"/>
                <w:color w:val="auto"/>
                <w:highlight w:val="none"/>
              </w:rPr>
            </w:pPr>
            <w:r>
              <w:rPr>
                <w:rFonts w:hint="default"/>
                <w:color w:val="auto"/>
                <w:highlight w:val="none"/>
              </w:rPr>
              <w:t>检查依据</w:t>
            </w:r>
          </w:p>
        </w:tc>
        <w:tc>
          <w:tcPr>
            <w:tcW w:w="1564" w:type="pct"/>
            <w:noWrap w:val="0"/>
            <w:vAlign w:val="center"/>
          </w:tcPr>
          <w:p w14:paraId="3BA2778B">
            <w:pPr>
              <w:pStyle w:val="33"/>
              <w:bidi w:val="0"/>
              <w:rPr>
                <w:rFonts w:hint="default"/>
                <w:color w:val="auto"/>
                <w:highlight w:val="none"/>
              </w:rPr>
            </w:pPr>
            <w:r>
              <w:rPr>
                <w:rFonts w:hint="default"/>
                <w:color w:val="auto"/>
                <w:highlight w:val="none"/>
              </w:rPr>
              <w:t>《可研报告》中介绍的情况</w:t>
            </w:r>
          </w:p>
        </w:tc>
        <w:tc>
          <w:tcPr>
            <w:tcW w:w="467" w:type="pct"/>
            <w:noWrap w:val="0"/>
            <w:vAlign w:val="center"/>
          </w:tcPr>
          <w:p w14:paraId="5806AD81">
            <w:pPr>
              <w:pStyle w:val="33"/>
              <w:bidi w:val="0"/>
              <w:rPr>
                <w:rFonts w:hint="default"/>
                <w:color w:val="auto"/>
                <w:highlight w:val="none"/>
              </w:rPr>
            </w:pPr>
            <w:r>
              <w:rPr>
                <w:rFonts w:hint="default"/>
                <w:color w:val="auto"/>
                <w:highlight w:val="none"/>
              </w:rPr>
              <w:t>检查结果</w:t>
            </w:r>
          </w:p>
        </w:tc>
      </w:tr>
      <w:tr w14:paraId="63F67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12" w:hRule="atLeast"/>
          <w:jc w:val="center"/>
        </w:trPr>
        <w:tc>
          <w:tcPr>
            <w:tcW w:w="499" w:type="pct"/>
            <w:vMerge w:val="restart"/>
            <w:noWrap w:val="0"/>
            <w:vAlign w:val="center"/>
          </w:tcPr>
          <w:p w14:paraId="738354C2">
            <w:pPr>
              <w:pStyle w:val="33"/>
              <w:bidi w:val="0"/>
              <w:rPr>
                <w:rFonts w:hint="default"/>
                <w:color w:val="auto"/>
                <w:highlight w:val="none"/>
              </w:rPr>
            </w:pPr>
            <w:r>
              <w:rPr>
                <w:rFonts w:hint="default"/>
                <w:color w:val="auto"/>
                <w:highlight w:val="none"/>
              </w:rPr>
              <w:t>矿区</w:t>
            </w:r>
          </w:p>
          <w:p w14:paraId="4DFDED80">
            <w:pPr>
              <w:pStyle w:val="33"/>
              <w:bidi w:val="0"/>
              <w:rPr>
                <w:rFonts w:hint="default"/>
                <w:color w:val="auto"/>
                <w:highlight w:val="none"/>
              </w:rPr>
            </w:pPr>
            <w:r>
              <w:rPr>
                <w:rFonts w:hint="default"/>
                <w:color w:val="auto"/>
                <w:highlight w:val="none"/>
              </w:rPr>
              <w:t>及建</w:t>
            </w:r>
          </w:p>
          <w:p w14:paraId="250B9D37">
            <w:pPr>
              <w:pStyle w:val="33"/>
              <w:bidi w:val="0"/>
              <w:rPr>
                <w:rFonts w:hint="default"/>
                <w:color w:val="auto"/>
                <w:highlight w:val="none"/>
              </w:rPr>
            </w:pPr>
            <w:r>
              <w:rPr>
                <w:rFonts w:hint="default"/>
                <w:color w:val="auto"/>
                <w:highlight w:val="none"/>
              </w:rPr>
              <w:t>构筑</w:t>
            </w:r>
          </w:p>
          <w:p w14:paraId="1B64E756">
            <w:pPr>
              <w:pStyle w:val="33"/>
              <w:bidi w:val="0"/>
              <w:rPr>
                <w:rFonts w:hint="default"/>
                <w:color w:val="auto"/>
                <w:highlight w:val="none"/>
              </w:rPr>
            </w:pPr>
            <w:r>
              <w:rPr>
                <w:rFonts w:hint="default"/>
                <w:color w:val="auto"/>
                <w:highlight w:val="none"/>
              </w:rPr>
              <w:t>物布</w:t>
            </w:r>
          </w:p>
          <w:p w14:paraId="7DD23EB0">
            <w:pPr>
              <w:pStyle w:val="33"/>
              <w:bidi w:val="0"/>
              <w:rPr>
                <w:rFonts w:hint="default"/>
                <w:color w:val="auto"/>
                <w:highlight w:val="none"/>
              </w:rPr>
            </w:pPr>
            <w:r>
              <w:rPr>
                <w:rFonts w:hint="default"/>
                <w:color w:val="auto"/>
                <w:highlight w:val="none"/>
              </w:rPr>
              <w:t>置</w:t>
            </w:r>
          </w:p>
        </w:tc>
        <w:tc>
          <w:tcPr>
            <w:tcW w:w="1695" w:type="pct"/>
            <w:noWrap w:val="0"/>
            <w:vAlign w:val="center"/>
          </w:tcPr>
          <w:p w14:paraId="1FCC6964">
            <w:pPr>
              <w:pStyle w:val="33"/>
              <w:bidi w:val="0"/>
              <w:rPr>
                <w:rFonts w:hint="default"/>
                <w:color w:val="auto"/>
                <w:highlight w:val="none"/>
              </w:rPr>
            </w:pPr>
            <w:r>
              <w:rPr>
                <w:rFonts w:hint="default"/>
                <w:color w:val="auto"/>
                <w:highlight w:val="none"/>
              </w:rPr>
              <w:t>1．厂址应具有满足生产、生活及发展规划所必需的水源和电源，且用水、用电量特别大的工业企业，宜靠近水源、电源。</w:t>
            </w:r>
          </w:p>
        </w:tc>
        <w:tc>
          <w:tcPr>
            <w:tcW w:w="775" w:type="pct"/>
            <w:noWrap w:val="0"/>
            <w:vAlign w:val="center"/>
          </w:tcPr>
          <w:p w14:paraId="6C202433">
            <w:pPr>
              <w:pStyle w:val="33"/>
              <w:bidi w:val="0"/>
              <w:rPr>
                <w:rFonts w:hint="default"/>
                <w:color w:val="auto"/>
                <w:highlight w:val="none"/>
              </w:rPr>
            </w:pPr>
            <w:r>
              <w:rPr>
                <w:rFonts w:hint="default"/>
                <w:color w:val="auto"/>
                <w:highlight w:val="none"/>
              </w:rPr>
              <w:t>《工业企业总平面设计规范》第3.0.6条</w:t>
            </w:r>
          </w:p>
        </w:tc>
        <w:tc>
          <w:tcPr>
            <w:tcW w:w="1564" w:type="pct"/>
            <w:noWrap w:val="0"/>
            <w:vAlign w:val="center"/>
          </w:tcPr>
          <w:p w14:paraId="45EB6809">
            <w:pPr>
              <w:pStyle w:val="33"/>
              <w:bidi w:val="0"/>
              <w:rPr>
                <w:rFonts w:hint="default"/>
                <w:color w:val="auto"/>
                <w:highlight w:val="none"/>
              </w:rPr>
            </w:pPr>
            <w:r>
              <w:rPr>
                <w:rFonts w:hint="default"/>
                <w:color w:val="auto"/>
                <w:highlight w:val="none"/>
                <w:lang w:val="en-US" w:eastAsia="zh-CN"/>
              </w:rPr>
              <w:t>矿山工业场地</w:t>
            </w:r>
            <w:r>
              <w:rPr>
                <w:rFonts w:hint="default"/>
                <w:color w:val="auto"/>
                <w:highlight w:val="none"/>
              </w:rPr>
              <w:t>供电电源引自附近10kV</w:t>
            </w:r>
            <w:r>
              <w:rPr>
                <w:rFonts w:hAnsi="宋体"/>
                <w:color w:val="auto"/>
                <w:highlight w:val="none"/>
              </w:rPr>
              <w:t>架空线路</w:t>
            </w:r>
            <w:r>
              <w:rPr>
                <w:rFonts w:hint="default"/>
                <w:color w:val="auto"/>
                <w:highlight w:val="none"/>
              </w:rPr>
              <w:t>，该项目水源和电源</w:t>
            </w:r>
            <w:r>
              <w:rPr>
                <w:rFonts w:hint="eastAsia"/>
                <w:color w:val="auto"/>
                <w:highlight w:val="none"/>
                <w:lang w:val="en-US" w:eastAsia="zh-CN"/>
              </w:rPr>
              <w:t>充足</w:t>
            </w:r>
            <w:r>
              <w:rPr>
                <w:rFonts w:hint="default"/>
                <w:color w:val="auto"/>
                <w:highlight w:val="none"/>
              </w:rPr>
              <w:t>，可以满足生产需要。</w:t>
            </w:r>
          </w:p>
        </w:tc>
        <w:tc>
          <w:tcPr>
            <w:tcW w:w="467" w:type="pct"/>
            <w:noWrap w:val="0"/>
            <w:vAlign w:val="center"/>
          </w:tcPr>
          <w:p w14:paraId="0B6E2055">
            <w:pPr>
              <w:pStyle w:val="33"/>
              <w:bidi w:val="0"/>
              <w:rPr>
                <w:rFonts w:hint="default"/>
                <w:color w:val="auto"/>
                <w:highlight w:val="none"/>
              </w:rPr>
            </w:pPr>
            <w:r>
              <w:rPr>
                <w:rFonts w:hint="default"/>
                <w:color w:val="auto"/>
                <w:highlight w:val="none"/>
              </w:rPr>
              <w:t>符合要求</w:t>
            </w:r>
          </w:p>
        </w:tc>
      </w:tr>
      <w:tr w14:paraId="17B6F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2" w:hRule="atLeast"/>
          <w:jc w:val="center"/>
        </w:trPr>
        <w:tc>
          <w:tcPr>
            <w:tcW w:w="499" w:type="pct"/>
            <w:vMerge w:val="continue"/>
            <w:noWrap w:val="0"/>
            <w:vAlign w:val="center"/>
          </w:tcPr>
          <w:p w14:paraId="5979AD37">
            <w:pPr>
              <w:pStyle w:val="33"/>
              <w:bidi w:val="0"/>
              <w:rPr>
                <w:rFonts w:hint="default"/>
                <w:color w:val="auto"/>
                <w:highlight w:val="none"/>
              </w:rPr>
            </w:pPr>
          </w:p>
        </w:tc>
        <w:tc>
          <w:tcPr>
            <w:tcW w:w="1695" w:type="pct"/>
            <w:noWrap w:val="0"/>
            <w:vAlign w:val="center"/>
          </w:tcPr>
          <w:p w14:paraId="13A9865D">
            <w:pPr>
              <w:pStyle w:val="33"/>
              <w:bidi w:val="0"/>
              <w:rPr>
                <w:rFonts w:hint="default"/>
                <w:color w:val="auto"/>
                <w:highlight w:val="none"/>
              </w:rPr>
            </w:pPr>
            <w:r>
              <w:rPr>
                <w:rFonts w:hint="default"/>
                <w:color w:val="auto"/>
                <w:highlight w:val="none"/>
              </w:rPr>
              <w:t>2．厂址应具有满足建设工程需要的工程地质条件和水文地质条件。</w:t>
            </w:r>
          </w:p>
        </w:tc>
        <w:tc>
          <w:tcPr>
            <w:tcW w:w="775" w:type="pct"/>
            <w:noWrap w:val="0"/>
            <w:vAlign w:val="center"/>
          </w:tcPr>
          <w:p w14:paraId="6FFAD032">
            <w:pPr>
              <w:pStyle w:val="33"/>
              <w:bidi w:val="0"/>
              <w:rPr>
                <w:rFonts w:hint="default"/>
                <w:color w:val="auto"/>
                <w:highlight w:val="none"/>
              </w:rPr>
            </w:pPr>
            <w:r>
              <w:rPr>
                <w:rFonts w:hint="default"/>
                <w:color w:val="auto"/>
                <w:highlight w:val="none"/>
              </w:rPr>
              <w:t>《工业企业总平面设计规范》第3.0.8条</w:t>
            </w:r>
          </w:p>
        </w:tc>
        <w:tc>
          <w:tcPr>
            <w:tcW w:w="1564" w:type="pct"/>
            <w:noWrap w:val="0"/>
            <w:vAlign w:val="center"/>
          </w:tcPr>
          <w:p w14:paraId="42098DE8">
            <w:pPr>
              <w:pStyle w:val="33"/>
              <w:bidi w:val="0"/>
              <w:rPr>
                <w:rFonts w:hint="default"/>
                <w:color w:val="auto"/>
                <w:highlight w:val="none"/>
              </w:rPr>
            </w:pPr>
            <w:r>
              <w:rPr>
                <w:rFonts w:hint="default"/>
                <w:color w:val="auto"/>
                <w:highlight w:val="none"/>
              </w:rPr>
              <w:t>矿区工程地质条件和水文地质条件</w:t>
            </w:r>
            <w:r>
              <w:rPr>
                <w:rFonts w:hint="eastAsia"/>
                <w:color w:val="auto"/>
                <w:highlight w:val="none"/>
                <w:lang w:val="en-US" w:eastAsia="zh-CN"/>
              </w:rPr>
              <w:t>简单</w:t>
            </w:r>
            <w:r>
              <w:rPr>
                <w:rFonts w:hint="default"/>
                <w:color w:val="auto"/>
                <w:highlight w:val="none"/>
              </w:rPr>
              <w:t>，</w:t>
            </w:r>
            <w:r>
              <w:rPr>
                <w:rFonts w:hint="default"/>
                <w:color w:val="auto"/>
                <w:highlight w:val="none"/>
                <w:lang w:eastAsia="zh-CN"/>
              </w:rPr>
              <w:t>现有</w:t>
            </w:r>
            <w:r>
              <w:rPr>
                <w:rFonts w:hint="default"/>
                <w:color w:val="auto"/>
                <w:highlight w:val="none"/>
              </w:rPr>
              <w:t>厂址能满足需要。</w:t>
            </w:r>
          </w:p>
        </w:tc>
        <w:tc>
          <w:tcPr>
            <w:tcW w:w="467" w:type="pct"/>
            <w:noWrap w:val="0"/>
            <w:vAlign w:val="center"/>
          </w:tcPr>
          <w:p w14:paraId="01338DA3">
            <w:pPr>
              <w:pStyle w:val="33"/>
              <w:bidi w:val="0"/>
              <w:rPr>
                <w:rFonts w:hint="default"/>
                <w:color w:val="auto"/>
                <w:highlight w:val="none"/>
              </w:rPr>
            </w:pPr>
            <w:r>
              <w:rPr>
                <w:rFonts w:hint="default"/>
                <w:color w:val="auto"/>
                <w:highlight w:val="none"/>
              </w:rPr>
              <w:t>符合要求</w:t>
            </w:r>
          </w:p>
        </w:tc>
      </w:tr>
      <w:tr w14:paraId="6A6F1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2" w:hRule="atLeast"/>
          <w:jc w:val="center"/>
        </w:trPr>
        <w:tc>
          <w:tcPr>
            <w:tcW w:w="499" w:type="pct"/>
            <w:vMerge w:val="continue"/>
            <w:noWrap w:val="0"/>
            <w:vAlign w:val="center"/>
          </w:tcPr>
          <w:p w14:paraId="3D9F3436">
            <w:pPr>
              <w:pStyle w:val="33"/>
              <w:bidi w:val="0"/>
              <w:rPr>
                <w:rFonts w:hint="default"/>
                <w:color w:val="auto"/>
                <w:highlight w:val="none"/>
              </w:rPr>
            </w:pPr>
          </w:p>
        </w:tc>
        <w:tc>
          <w:tcPr>
            <w:tcW w:w="1695" w:type="pct"/>
            <w:noWrap w:val="0"/>
            <w:vAlign w:val="center"/>
          </w:tcPr>
          <w:p w14:paraId="5F6829AE">
            <w:pPr>
              <w:pStyle w:val="33"/>
              <w:bidi w:val="0"/>
              <w:rPr>
                <w:rFonts w:hint="default"/>
                <w:color w:val="auto"/>
                <w:highlight w:val="none"/>
              </w:rPr>
            </w:pPr>
            <w:r>
              <w:rPr>
                <w:rFonts w:hint="default"/>
                <w:color w:val="auto"/>
                <w:highlight w:val="none"/>
              </w:rPr>
              <w:t>3.厂址应满足适宜的地形坡度，尽量避开自然地形复杂、自然坡度大的地段，应避免将盆地、积水洼地作为厂址。</w:t>
            </w:r>
          </w:p>
        </w:tc>
        <w:tc>
          <w:tcPr>
            <w:tcW w:w="775" w:type="pct"/>
            <w:noWrap w:val="0"/>
            <w:vAlign w:val="center"/>
          </w:tcPr>
          <w:p w14:paraId="77E103C5">
            <w:pPr>
              <w:pStyle w:val="33"/>
              <w:bidi w:val="0"/>
              <w:rPr>
                <w:rFonts w:hint="default"/>
                <w:color w:val="auto"/>
                <w:highlight w:val="none"/>
              </w:rPr>
            </w:pPr>
            <w:r>
              <w:rPr>
                <w:rFonts w:hint="default"/>
                <w:color w:val="auto"/>
                <w:highlight w:val="none"/>
              </w:rPr>
              <w:t>《工业企业总平面设计规范》第3.0.10条</w:t>
            </w:r>
          </w:p>
        </w:tc>
        <w:tc>
          <w:tcPr>
            <w:tcW w:w="1564" w:type="pct"/>
            <w:noWrap w:val="0"/>
            <w:vAlign w:val="center"/>
          </w:tcPr>
          <w:p w14:paraId="25EFD840">
            <w:pPr>
              <w:pStyle w:val="33"/>
              <w:bidi w:val="0"/>
              <w:rPr>
                <w:rFonts w:hint="default"/>
                <w:color w:val="auto"/>
                <w:highlight w:val="none"/>
              </w:rPr>
            </w:pPr>
            <w:r>
              <w:rPr>
                <w:rFonts w:hint="default"/>
                <w:color w:val="auto"/>
                <w:highlight w:val="none"/>
              </w:rPr>
              <w:t>工业场地位置地势较平坦，坡度不大。</w:t>
            </w:r>
          </w:p>
        </w:tc>
        <w:tc>
          <w:tcPr>
            <w:tcW w:w="467" w:type="pct"/>
            <w:noWrap w:val="0"/>
            <w:vAlign w:val="center"/>
          </w:tcPr>
          <w:p w14:paraId="237E1DC7">
            <w:pPr>
              <w:pStyle w:val="33"/>
              <w:bidi w:val="0"/>
              <w:rPr>
                <w:rFonts w:hint="default"/>
                <w:color w:val="auto"/>
                <w:highlight w:val="none"/>
              </w:rPr>
            </w:pPr>
            <w:r>
              <w:rPr>
                <w:rFonts w:hint="default"/>
                <w:color w:val="auto"/>
                <w:highlight w:val="none"/>
              </w:rPr>
              <w:t>符合要求</w:t>
            </w:r>
          </w:p>
        </w:tc>
      </w:tr>
      <w:tr w14:paraId="30FB5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17" w:hRule="atLeast"/>
          <w:jc w:val="center"/>
        </w:trPr>
        <w:tc>
          <w:tcPr>
            <w:tcW w:w="499" w:type="pct"/>
            <w:vMerge w:val="continue"/>
            <w:noWrap w:val="0"/>
            <w:vAlign w:val="center"/>
          </w:tcPr>
          <w:p w14:paraId="448A31F0">
            <w:pPr>
              <w:pStyle w:val="33"/>
              <w:bidi w:val="0"/>
              <w:rPr>
                <w:rFonts w:hint="default"/>
                <w:color w:val="auto"/>
                <w:highlight w:val="none"/>
              </w:rPr>
            </w:pPr>
          </w:p>
        </w:tc>
        <w:tc>
          <w:tcPr>
            <w:tcW w:w="1695" w:type="pct"/>
            <w:noWrap w:val="0"/>
            <w:vAlign w:val="center"/>
          </w:tcPr>
          <w:p w14:paraId="68F738AE">
            <w:pPr>
              <w:pStyle w:val="33"/>
              <w:bidi w:val="0"/>
              <w:rPr>
                <w:rFonts w:hint="default"/>
                <w:color w:val="auto"/>
                <w:highlight w:val="none"/>
              </w:rPr>
            </w:pPr>
            <w:r>
              <w:rPr>
                <w:rFonts w:hint="default"/>
                <w:color w:val="auto"/>
                <w:highlight w:val="none"/>
              </w:rPr>
              <w:t>4．居住区应位于向大气排放有害气体、烟、雾、粉尘等有害物质的工业企业全年最小频率风向的下风侧。</w:t>
            </w:r>
          </w:p>
        </w:tc>
        <w:tc>
          <w:tcPr>
            <w:tcW w:w="775" w:type="pct"/>
            <w:noWrap w:val="0"/>
            <w:vAlign w:val="center"/>
          </w:tcPr>
          <w:p w14:paraId="0B8F3F5C">
            <w:pPr>
              <w:pStyle w:val="33"/>
              <w:bidi w:val="0"/>
              <w:rPr>
                <w:rFonts w:hint="default"/>
                <w:color w:val="auto"/>
                <w:highlight w:val="none"/>
              </w:rPr>
            </w:pPr>
            <w:r>
              <w:rPr>
                <w:rFonts w:hint="default"/>
                <w:color w:val="auto"/>
                <w:highlight w:val="none"/>
              </w:rPr>
              <w:t>《工业企业总平面设计规范》第4.5.3条</w:t>
            </w:r>
          </w:p>
        </w:tc>
        <w:tc>
          <w:tcPr>
            <w:tcW w:w="1564" w:type="pct"/>
            <w:noWrap w:val="0"/>
            <w:vAlign w:val="center"/>
          </w:tcPr>
          <w:p w14:paraId="543AA436">
            <w:pPr>
              <w:pStyle w:val="33"/>
              <w:bidi w:val="0"/>
              <w:rPr>
                <w:rFonts w:hint="default"/>
                <w:color w:val="auto"/>
                <w:highlight w:val="none"/>
              </w:rPr>
            </w:pPr>
            <w:r>
              <w:rPr>
                <w:rFonts w:hint="default"/>
                <w:color w:val="auto"/>
                <w:highlight w:val="none"/>
              </w:rPr>
              <w:t>设计工业场地位置位于全年最小频率风向的下风侧。</w:t>
            </w:r>
          </w:p>
        </w:tc>
        <w:tc>
          <w:tcPr>
            <w:tcW w:w="467" w:type="pct"/>
            <w:noWrap w:val="0"/>
            <w:vAlign w:val="center"/>
          </w:tcPr>
          <w:p w14:paraId="59B956CE">
            <w:pPr>
              <w:pStyle w:val="33"/>
              <w:bidi w:val="0"/>
              <w:rPr>
                <w:rFonts w:hint="default"/>
                <w:color w:val="auto"/>
                <w:highlight w:val="none"/>
              </w:rPr>
            </w:pPr>
            <w:r>
              <w:rPr>
                <w:rFonts w:hint="default"/>
                <w:color w:val="auto"/>
                <w:highlight w:val="none"/>
              </w:rPr>
              <w:t>符合要求</w:t>
            </w:r>
          </w:p>
        </w:tc>
      </w:tr>
      <w:tr w14:paraId="08B06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9" w:hRule="atLeast"/>
          <w:jc w:val="center"/>
        </w:trPr>
        <w:tc>
          <w:tcPr>
            <w:tcW w:w="499" w:type="pct"/>
            <w:vMerge w:val="continue"/>
            <w:noWrap w:val="0"/>
            <w:vAlign w:val="center"/>
          </w:tcPr>
          <w:p w14:paraId="36ACE174">
            <w:pPr>
              <w:pStyle w:val="33"/>
              <w:bidi w:val="0"/>
              <w:rPr>
                <w:rFonts w:hint="default"/>
                <w:color w:val="auto"/>
                <w:highlight w:val="none"/>
              </w:rPr>
            </w:pPr>
          </w:p>
        </w:tc>
        <w:tc>
          <w:tcPr>
            <w:tcW w:w="1695" w:type="pct"/>
            <w:noWrap w:val="0"/>
            <w:vAlign w:val="center"/>
          </w:tcPr>
          <w:p w14:paraId="10D8FA7C">
            <w:pPr>
              <w:pStyle w:val="33"/>
              <w:bidi w:val="0"/>
              <w:rPr>
                <w:rFonts w:hint="default"/>
                <w:color w:val="auto"/>
                <w:highlight w:val="none"/>
              </w:rPr>
            </w:pPr>
            <w:r>
              <w:rPr>
                <w:rFonts w:hint="default"/>
                <w:color w:val="auto"/>
                <w:highlight w:val="none"/>
              </w:rPr>
              <w:t>5.  露天采场的总出入沟口、平硐口、排水口和工业场地应不受洪水威胁。</w:t>
            </w:r>
          </w:p>
        </w:tc>
        <w:tc>
          <w:tcPr>
            <w:tcW w:w="775" w:type="pct"/>
            <w:noWrap w:val="0"/>
            <w:vAlign w:val="center"/>
          </w:tcPr>
          <w:p w14:paraId="32BFB34D">
            <w:pPr>
              <w:pStyle w:val="33"/>
              <w:bidi w:val="0"/>
              <w:rPr>
                <w:rFonts w:hint="default"/>
                <w:color w:val="auto"/>
                <w:highlight w:val="none"/>
              </w:rPr>
            </w:pPr>
            <w:r>
              <w:rPr>
                <w:rFonts w:hint="default"/>
                <w:color w:val="auto"/>
                <w:highlight w:val="none"/>
              </w:rPr>
              <w:t>《GB16423-20</w:t>
            </w:r>
            <w:r>
              <w:rPr>
                <w:rFonts w:hint="default"/>
                <w:color w:val="auto"/>
                <w:highlight w:val="none"/>
                <w:lang w:val="en-US" w:eastAsia="zh-CN"/>
              </w:rPr>
              <w:t>20</w:t>
            </w:r>
            <w:r>
              <w:rPr>
                <w:rFonts w:hint="default"/>
                <w:color w:val="auto"/>
                <w:highlight w:val="none"/>
              </w:rPr>
              <w:t>》</w:t>
            </w:r>
            <w:r>
              <w:rPr>
                <w:rFonts w:hint="default"/>
                <w:color w:val="auto"/>
                <w:highlight w:val="none"/>
                <w:lang w:eastAsia="zh-CN"/>
              </w:rPr>
              <w:t>之</w:t>
            </w:r>
            <w:r>
              <w:rPr>
                <w:rFonts w:hint="default"/>
                <w:color w:val="auto"/>
                <w:highlight w:val="none"/>
              </w:rPr>
              <w:t>5.</w:t>
            </w:r>
            <w:r>
              <w:rPr>
                <w:rFonts w:hint="default"/>
                <w:color w:val="auto"/>
                <w:highlight w:val="none"/>
                <w:lang w:val="en-US" w:eastAsia="zh-CN"/>
              </w:rPr>
              <w:t>7</w:t>
            </w:r>
            <w:r>
              <w:rPr>
                <w:rFonts w:hint="default"/>
                <w:color w:val="auto"/>
                <w:highlight w:val="none"/>
              </w:rPr>
              <w:t>.1.2条</w:t>
            </w:r>
          </w:p>
        </w:tc>
        <w:tc>
          <w:tcPr>
            <w:tcW w:w="1564" w:type="pct"/>
            <w:noWrap w:val="0"/>
            <w:vAlign w:val="center"/>
          </w:tcPr>
          <w:p w14:paraId="522D0D3E">
            <w:pPr>
              <w:pStyle w:val="33"/>
              <w:bidi w:val="0"/>
              <w:rPr>
                <w:rFonts w:hint="default"/>
                <w:color w:val="auto"/>
                <w:highlight w:val="none"/>
              </w:rPr>
            </w:pPr>
            <w:r>
              <w:rPr>
                <w:rFonts w:hint="default"/>
                <w:color w:val="auto"/>
                <w:highlight w:val="none"/>
                <w:lang w:val="en-GB"/>
              </w:rPr>
              <w:t>采场</w:t>
            </w:r>
            <w:r>
              <w:rPr>
                <w:rFonts w:hint="default"/>
                <w:color w:val="auto"/>
                <w:highlight w:val="none"/>
                <w:lang w:val="en-GB" w:eastAsia="zh-CN"/>
              </w:rPr>
              <w:t>及</w:t>
            </w:r>
            <w:r>
              <w:rPr>
                <w:rFonts w:hint="default"/>
                <w:color w:val="auto"/>
                <w:highlight w:val="none"/>
              </w:rPr>
              <w:t>工业场地不受洪水威胁。</w:t>
            </w:r>
          </w:p>
        </w:tc>
        <w:tc>
          <w:tcPr>
            <w:tcW w:w="467" w:type="pct"/>
            <w:noWrap w:val="0"/>
            <w:vAlign w:val="center"/>
          </w:tcPr>
          <w:p w14:paraId="201F90CA">
            <w:pPr>
              <w:pStyle w:val="33"/>
              <w:bidi w:val="0"/>
              <w:rPr>
                <w:rFonts w:hint="default"/>
                <w:color w:val="auto"/>
                <w:highlight w:val="none"/>
              </w:rPr>
            </w:pPr>
            <w:r>
              <w:rPr>
                <w:rFonts w:hint="default"/>
                <w:color w:val="auto"/>
                <w:highlight w:val="none"/>
              </w:rPr>
              <w:t>符合要求</w:t>
            </w:r>
          </w:p>
        </w:tc>
      </w:tr>
      <w:tr w14:paraId="3EB1A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5" w:hRule="atLeast"/>
          <w:jc w:val="center"/>
        </w:trPr>
        <w:tc>
          <w:tcPr>
            <w:tcW w:w="499" w:type="pct"/>
            <w:vMerge w:val="restart"/>
            <w:noWrap w:val="0"/>
            <w:vAlign w:val="center"/>
          </w:tcPr>
          <w:p w14:paraId="7665C46A">
            <w:pPr>
              <w:pStyle w:val="33"/>
              <w:bidi w:val="0"/>
              <w:rPr>
                <w:rFonts w:hint="default"/>
                <w:color w:val="auto"/>
                <w:highlight w:val="none"/>
              </w:rPr>
            </w:pPr>
            <w:r>
              <w:rPr>
                <w:rFonts w:hint="default"/>
                <w:color w:val="auto"/>
                <w:highlight w:val="none"/>
              </w:rPr>
              <w:t>矿区道路布置</w:t>
            </w:r>
          </w:p>
        </w:tc>
        <w:tc>
          <w:tcPr>
            <w:tcW w:w="1695" w:type="pct"/>
            <w:noWrap w:val="0"/>
            <w:vAlign w:val="center"/>
          </w:tcPr>
          <w:p w14:paraId="25A82574">
            <w:pPr>
              <w:pStyle w:val="33"/>
              <w:bidi w:val="0"/>
              <w:rPr>
                <w:rFonts w:hint="default"/>
                <w:color w:val="auto"/>
                <w:highlight w:val="none"/>
              </w:rPr>
            </w:pPr>
            <w:r>
              <w:rPr>
                <w:rFonts w:hint="default"/>
                <w:color w:val="auto"/>
                <w:highlight w:val="none"/>
              </w:rPr>
              <w:t>1．露天矿山道路生产干线为采矿场各开采台阶通往卸矿点和废石场的共用道路。</w:t>
            </w:r>
          </w:p>
        </w:tc>
        <w:tc>
          <w:tcPr>
            <w:tcW w:w="775" w:type="pct"/>
            <w:noWrap w:val="0"/>
            <w:vAlign w:val="center"/>
          </w:tcPr>
          <w:p w14:paraId="1C4274D6">
            <w:pPr>
              <w:pStyle w:val="33"/>
              <w:bidi w:val="0"/>
              <w:rPr>
                <w:rFonts w:hint="default"/>
                <w:color w:val="auto"/>
                <w:highlight w:val="none"/>
              </w:rPr>
            </w:pPr>
            <w:r>
              <w:rPr>
                <w:rFonts w:hint="default"/>
                <w:color w:val="auto"/>
                <w:highlight w:val="none"/>
              </w:rPr>
              <w:t>《厂矿道路设计规范》第2.4.1条</w:t>
            </w:r>
          </w:p>
        </w:tc>
        <w:tc>
          <w:tcPr>
            <w:tcW w:w="1564" w:type="pct"/>
            <w:noWrap w:val="0"/>
            <w:vAlign w:val="center"/>
          </w:tcPr>
          <w:p w14:paraId="28294B5A">
            <w:pPr>
              <w:pStyle w:val="33"/>
              <w:bidi w:val="0"/>
              <w:rPr>
                <w:rFonts w:hint="default"/>
                <w:color w:val="auto"/>
                <w:highlight w:val="none"/>
              </w:rPr>
            </w:pPr>
            <w:r>
              <w:rPr>
                <w:rFonts w:hint="default"/>
                <w:color w:val="auto"/>
                <w:highlight w:val="none"/>
              </w:rPr>
              <w:t>《可研报告》设计矿山道路生产干线为采矿场各开采台阶通往卸矿点的共用道路。</w:t>
            </w:r>
          </w:p>
        </w:tc>
        <w:tc>
          <w:tcPr>
            <w:tcW w:w="467" w:type="pct"/>
            <w:noWrap w:val="0"/>
            <w:vAlign w:val="center"/>
          </w:tcPr>
          <w:p w14:paraId="5B6F4764">
            <w:pPr>
              <w:pStyle w:val="33"/>
              <w:bidi w:val="0"/>
              <w:rPr>
                <w:rFonts w:hint="default"/>
                <w:color w:val="auto"/>
                <w:highlight w:val="none"/>
              </w:rPr>
            </w:pPr>
            <w:r>
              <w:rPr>
                <w:rFonts w:hint="default"/>
                <w:color w:val="auto"/>
                <w:highlight w:val="none"/>
              </w:rPr>
              <w:t>符合要求</w:t>
            </w:r>
          </w:p>
        </w:tc>
      </w:tr>
      <w:tr w14:paraId="584A4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9" w:hRule="atLeast"/>
          <w:jc w:val="center"/>
        </w:trPr>
        <w:tc>
          <w:tcPr>
            <w:tcW w:w="499" w:type="pct"/>
            <w:vMerge w:val="continue"/>
            <w:noWrap w:val="0"/>
            <w:vAlign w:val="center"/>
          </w:tcPr>
          <w:p w14:paraId="7EC0BCF0">
            <w:pPr>
              <w:pStyle w:val="33"/>
              <w:bidi w:val="0"/>
              <w:rPr>
                <w:rFonts w:hint="default"/>
                <w:color w:val="auto"/>
                <w:highlight w:val="none"/>
              </w:rPr>
            </w:pPr>
          </w:p>
        </w:tc>
        <w:tc>
          <w:tcPr>
            <w:tcW w:w="2915" w:type="dxa"/>
            <w:noWrap w:val="0"/>
            <w:vAlign w:val="center"/>
          </w:tcPr>
          <w:p w14:paraId="27F31B94">
            <w:pPr>
              <w:pStyle w:val="33"/>
              <w:bidi w:val="0"/>
              <w:rPr>
                <w:rFonts w:hint="default"/>
                <w:color w:val="auto"/>
                <w:highlight w:val="none"/>
              </w:rPr>
            </w:pPr>
            <w:r>
              <w:rPr>
                <w:color w:val="auto"/>
                <w:highlight w:val="none"/>
              </w:rPr>
              <w:t>2．三级露天矿山路面宽度宜不小于4.0m（单车道）、6.5m（双车道）。</w:t>
            </w:r>
          </w:p>
        </w:tc>
        <w:tc>
          <w:tcPr>
            <w:tcW w:w="1943" w:type="dxa"/>
            <w:noWrap w:val="0"/>
            <w:vAlign w:val="center"/>
          </w:tcPr>
          <w:p w14:paraId="5DFDFE02">
            <w:pPr>
              <w:pStyle w:val="33"/>
              <w:bidi w:val="0"/>
              <w:rPr>
                <w:rFonts w:hint="default"/>
                <w:color w:val="auto"/>
                <w:highlight w:val="none"/>
              </w:rPr>
            </w:pPr>
            <w:r>
              <w:rPr>
                <w:color w:val="auto"/>
                <w:highlight w:val="none"/>
              </w:rPr>
              <w:t>《厂矿道路设计规范》第2.4.2条</w:t>
            </w:r>
          </w:p>
        </w:tc>
        <w:tc>
          <w:tcPr>
            <w:tcW w:w="2679" w:type="dxa"/>
            <w:noWrap w:val="0"/>
            <w:vAlign w:val="center"/>
          </w:tcPr>
          <w:p w14:paraId="3E77AC0A">
            <w:pPr>
              <w:pStyle w:val="33"/>
              <w:bidi w:val="0"/>
              <w:rPr>
                <w:rFonts w:hint="default"/>
                <w:color w:val="auto"/>
                <w:highlight w:val="none"/>
              </w:rPr>
            </w:pPr>
            <w:r>
              <w:rPr>
                <w:rFonts w:hint="eastAsia"/>
                <w:color w:val="auto"/>
                <w:highlight w:val="none"/>
              </w:rPr>
              <w:t>该项目露天矿山的道路等级为三级，道路面宽度</w:t>
            </w:r>
            <w:r>
              <w:rPr>
                <w:rFonts w:hint="eastAsia"/>
                <w:color w:val="auto"/>
                <w:highlight w:val="none"/>
                <w:lang w:val="en-US" w:eastAsia="zh-CN"/>
              </w:rPr>
              <w:t>4.5</w:t>
            </w:r>
            <w:r>
              <w:rPr>
                <w:rFonts w:hint="eastAsia"/>
                <w:color w:val="auto"/>
                <w:highlight w:val="none"/>
              </w:rPr>
              <w:t>m。</w:t>
            </w:r>
          </w:p>
        </w:tc>
        <w:tc>
          <w:tcPr>
            <w:tcW w:w="705" w:type="dxa"/>
            <w:noWrap w:val="0"/>
            <w:vAlign w:val="center"/>
          </w:tcPr>
          <w:p w14:paraId="2CBBE054">
            <w:pPr>
              <w:pStyle w:val="33"/>
              <w:bidi w:val="0"/>
              <w:rPr>
                <w:rFonts w:hint="default"/>
                <w:color w:val="auto"/>
                <w:highlight w:val="none"/>
              </w:rPr>
            </w:pPr>
            <w:r>
              <w:rPr>
                <w:color w:val="auto"/>
                <w:highlight w:val="none"/>
              </w:rPr>
              <w:t>符合要求</w:t>
            </w:r>
          </w:p>
        </w:tc>
      </w:tr>
      <w:tr w14:paraId="71034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2" w:hRule="atLeast"/>
          <w:jc w:val="center"/>
        </w:trPr>
        <w:tc>
          <w:tcPr>
            <w:tcW w:w="499" w:type="pct"/>
            <w:vMerge w:val="continue"/>
            <w:noWrap w:val="0"/>
            <w:vAlign w:val="center"/>
          </w:tcPr>
          <w:p w14:paraId="3006D699">
            <w:pPr>
              <w:pStyle w:val="33"/>
              <w:bidi w:val="0"/>
              <w:rPr>
                <w:rFonts w:hint="default"/>
                <w:color w:val="auto"/>
                <w:highlight w:val="none"/>
              </w:rPr>
            </w:pPr>
          </w:p>
        </w:tc>
        <w:tc>
          <w:tcPr>
            <w:tcW w:w="2915" w:type="dxa"/>
            <w:noWrap w:val="0"/>
            <w:vAlign w:val="center"/>
          </w:tcPr>
          <w:p w14:paraId="01BFE17B">
            <w:pPr>
              <w:pStyle w:val="33"/>
              <w:bidi w:val="0"/>
              <w:rPr>
                <w:rFonts w:hint="default"/>
                <w:color w:val="auto"/>
                <w:highlight w:val="none"/>
              </w:rPr>
            </w:pPr>
            <w:r>
              <w:rPr>
                <w:color w:val="auto"/>
                <w:highlight w:val="none"/>
              </w:rPr>
              <w:t>3．三级露天矿山道路最小圆曲线半径</w:t>
            </w:r>
            <w:r>
              <w:rPr>
                <w:rFonts w:hint="eastAsia"/>
                <w:color w:val="auto"/>
                <w:highlight w:val="none"/>
              </w:rPr>
              <w:t>应不小于</w:t>
            </w:r>
            <w:r>
              <w:rPr>
                <w:color w:val="auto"/>
                <w:highlight w:val="none"/>
              </w:rPr>
              <w:t>15m，</w:t>
            </w:r>
            <w:r>
              <w:rPr>
                <w:rFonts w:hint="eastAsia"/>
                <w:color w:val="auto"/>
                <w:highlight w:val="none"/>
              </w:rPr>
              <w:t>局部受地形限制应不小于12m，</w:t>
            </w:r>
            <w:r>
              <w:rPr>
                <w:color w:val="auto"/>
                <w:highlight w:val="none"/>
              </w:rPr>
              <w:t>最大纵坡8%。</w:t>
            </w:r>
          </w:p>
        </w:tc>
        <w:tc>
          <w:tcPr>
            <w:tcW w:w="1943" w:type="dxa"/>
            <w:noWrap w:val="0"/>
            <w:vAlign w:val="center"/>
          </w:tcPr>
          <w:p w14:paraId="4BF3A16F">
            <w:pPr>
              <w:pStyle w:val="33"/>
              <w:bidi w:val="0"/>
              <w:rPr>
                <w:rFonts w:hint="default"/>
                <w:color w:val="auto"/>
                <w:highlight w:val="none"/>
              </w:rPr>
            </w:pPr>
            <w:r>
              <w:rPr>
                <w:color w:val="auto"/>
                <w:highlight w:val="none"/>
              </w:rPr>
              <w:t>《厂矿道路设计规范》第2.4.6条、第2.4.13条</w:t>
            </w:r>
          </w:p>
        </w:tc>
        <w:tc>
          <w:tcPr>
            <w:tcW w:w="2679" w:type="dxa"/>
            <w:noWrap w:val="0"/>
            <w:vAlign w:val="center"/>
          </w:tcPr>
          <w:p w14:paraId="51B51ECC">
            <w:pPr>
              <w:pStyle w:val="33"/>
              <w:bidi w:val="0"/>
              <w:rPr>
                <w:rFonts w:hint="default"/>
                <w:color w:val="auto"/>
                <w:highlight w:val="none"/>
                <w:lang w:eastAsia="zh-CN"/>
              </w:rPr>
            </w:pPr>
            <w:r>
              <w:rPr>
                <w:rFonts w:hint="eastAsia"/>
                <w:color w:val="auto"/>
                <w:highlight w:val="none"/>
              </w:rPr>
              <w:t>平均坡度</w:t>
            </w:r>
            <w:r>
              <w:rPr>
                <w:rFonts w:hint="eastAsia"/>
                <w:color w:val="auto"/>
                <w:highlight w:val="none"/>
                <w:lang w:val="en-US" w:eastAsia="zh-CN"/>
              </w:rPr>
              <w:t>小于</w:t>
            </w:r>
            <w:r>
              <w:rPr>
                <w:rFonts w:hint="eastAsia"/>
                <w:color w:val="auto"/>
                <w:highlight w:val="none"/>
              </w:rPr>
              <w:t>6.</w:t>
            </w:r>
            <w:r>
              <w:rPr>
                <w:rFonts w:hint="eastAsia"/>
                <w:color w:val="auto"/>
                <w:highlight w:val="none"/>
                <w:lang w:val="en-US" w:eastAsia="zh-CN"/>
              </w:rPr>
              <w:t>5</w:t>
            </w:r>
            <w:r>
              <w:rPr>
                <w:rFonts w:hint="eastAsia"/>
                <w:color w:val="auto"/>
                <w:highlight w:val="none"/>
              </w:rPr>
              <w:t>%，最小圆曲线半径15m</w:t>
            </w:r>
            <w:r>
              <w:rPr>
                <w:rFonts w:hint="eastAsia"/>
                <w:color w:val="auto"/>
                <w:highlight w:val="none"/>
                <w:lang w:eastAsia="zh-CN"/>
              </w:rPr>
              <w:t>。</w:t>
            </w:r>
          </w:p>
        </w:tc>
        <w:tc>
          <w:tcPr>
            <w:tcW w:w="705" w:type="dxa"/>
            <w:noWrap w:val="0"/>
            <w:vAlign w:val="center"/>
          </w:tcPr>
          <w:p w14:paraId="79F262CF">
            <w:pPr>
              <w:pStyle w:val="33"/>
              <w:bidi w:val="0"/>
              <w:rPr>
                <w:rFonts w:hint="default"/>
                <w:color w:val="auto"/>
                <w:highlight w:val="none"/>
              </w:rPr>
            </w:pPr>
            <w:r>
              <w:rPr>
                <w:color w:val="auto"/>
                <w:highlight w:val="none"/>
              </w:rPr>
              <w:t>符合要求</w:t>
            </w:r>
          </w:p>
        </w:tc>
      </w:tr>
      <w:bookmarkEnd w:id="19"/>
      <w:bookmarkEnd w:id="20"/>
    </w:tbl>
    <w:p w14:paraId="3D906859">
      <w:pPr>
        <w:tabs>
          <w:tab w:val="left" w:pos="1080"/>
          <w:tab w:val="left" w:pos="1260"/>
        </w:tabs>
        <w:adjustRightInd w:val="0"/>
        <w:snapToGrid w:val="0"/>
        <w:spacing w:line="480" w:lineRule="exact"/>
        <w:ind w:firstLine="480" w:firstLineChars="200"/>
        <w:rPr>
          <w:rFonts w:hint="default" w:ascii="Times New Roman" w:hAnsi="Times New Roman" w:eastAsia="宋体" w:cs="Times New Roman"/>
          <w:color w:val="auto"/>
          <w:sz w:val="24"/>
          <w:highlight w:val="none"/>
          <w:lang w:val="en-US" w:eastAsia="zh-CN"/>
        </w:rPr>
      </w:pPr>
      <w:bookmarkStart w:id="21" w:name="_Toc180734303"/>
      <w:bookmarkStart w:id="22" w:name="_Toc178849952"/>
      <w:bookmarkStart w:id="23" w:name="_Toc169854401"/>
      <w:bookmarkStart w:id="24" w:name="_Toc194557908"/>
      <w:r>
        <w:rPr>
          <w:rFonts w:hint="default" w:ascii="Times New Roman" w:hAnsi="Times New Roman" w:eastAsia="宋体" w:cs="Times New Roman"/>
          <w:color w:val="auto"/>
          <w:sz w:val="24"/>
          <w:highlight w:val="none"/>
          <w:lang w:val="en-US" w:eastAsia="zh-CN"/>
        </w:rPr>
        <w:t>（</w:t>
      </w:r>
      <w:r>
        <w:rPr>
          <w:rFonts w:hint="eastAsia"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val="en-US" w:eastAsia="zh-CN"/>
        </w:rPr>
        <w:t>）小结</w:t>
      </w:r>
    </w:p>
    <w:p w14:paraId="61F852FB">
      <w:pPr>
        <w:tabs>
          <w:tab w:val="left" w:pos="1080"/>
          <w:tab w:val="left" w:pos="1260"/>
        </w:tabs>
        <w:adjustRightInd w:val="0"/>
        <w:snapToGrid w:val="0"/>
        <w:spacing w:line="480" w:lineRule="exact"/>
        <w:ind w:firstLine="480" w:firstLineChars="200"/>
        <w:rPr>
          <w:rFonts w:hint="default"/>
          <w:color w:val="auto"/>
          <w:highlight w:val="none"/>
          <w:lang w:val="en-US" w:eastAsia="zh-CN"/>
        </w:rPr>
      </w:pPr>
      <w:r>
        <w:rPr>
          <w:rFonts w:hint="default" w:ascii="Times New Roman" w:hAnsi="Times New Roman" w:eastAsia="宋体" w:cs="Times New Roman"/>
          <w:color w:val="auto"/>
          <w:sz w:val="24"/>
          <w:highlight w:val="none"/>
        </w:rPr>
        <w:t>由以上检查表</w:t>
      </w:r>
      <w:r>
        <w:rPr>
          <w:rFonts w:hint="default" w:ascii="Times New Roman" w:hAnsi="Times New Roman" w:eastAsia="宋体" w:cs="Times New Roman"/>
          <w:color w:val="auto"/>
          <w:sz w:val="24"/>
          <w:highlight w:val="none"/>
          <w:lang w:val="en-US" w:eastAsia="zh-CN"/>
        </w:rPr>
        <w:t>和经验</w:t>
      </w:r>
      <w:r>
        <w:rPr>
          <w:rFonts w:hint="default" w:ascii="Times New Roman" w:hAnsi="Times New Roman" w:eastAsia="宋体" w:cs="Times New Roman"/>
          <w:color w:val="auto"/>
          <w:sz w:val="24"/>
          <w:highlight w:val="none"/>
        </w:rPr>
        <w:t>分析可知：《可研报告》对总平面布置单元中的厂址选择、地表建筑</w:t>
      </w:r>
      <w:r>
        <w:rPr>
          <w:rFonts w:hint="default" w:ascii="Times New Roman" w:hAnsi="Times New Roman" w:cs="Times New Roman"/>
          <w:color w:val="auto"/>
          <w:sz w:val="24"/>
          <w:highlight w:val="none"/>
        </w:rPr>
        <w:t>物的布置进行了必要的论证，充分考虑了总平面布置方面潜在的危险有害因素，通过使用检查表进行的8项检查，全部符合要求。本次安全预评价确认，该项目选址合理，地面工业场地布置合理，运输道路布置合理，总平面布置单元符合《工业企业总平面设计规范》、《厂矿道路设计规范》等标准的有关规定。</w:t>
      </w:r>
      <w:bookmarkEnd w:id="21"/>
      <w:bookmarkEnd w:id="22"/>
      <w:bookmarkEnd w:id="23"/>
      <w:bookmarkEnd w:id="24"/>
    </w:p>
    <w:p w14:paraId="20FFAF13">
      <w:pPr>
        <w:pStyle w:val="30"/>
        <w:bidi w:val="0"/>
        <w:rPr>
          <w:rFonts w:hint="default"/>
          <w:color w:val="auto"/>
          <w:highlight w:val="none"/>
          <w:lang w:val="en-US" w:eastAsia="zh-CN"/>
        </w:rPr>
      </w:pPr>
      <w:bookmarkStart w:id="25" w:name="_Toc19042"/>
      <w:r>
        <w:rPr>
          <w:rFonts w:hint="default"/>
          <w:color w:val="auto"/>
          <w:highlight w:val="none"/>
          <w:lang w:val="en-US" w:eastAsia="zh-CN"/>
        </w:rPr>
        <w:t>开拓系统单元评价</w:t>
      </w:r>
      <w:bookmarkEnd w:id="25"/>
    </w:p>
    <w:p w14:paraId="1F3E34BC">
      <w:pPr>
        <w:pStyle w:val="31"/>
        <w:rPr>
          <w:rFonts w:hint="default"/>
          <w:color w:val="auto"/>
          <w:highlight w:val="none"/>
          <w:lang w:val="en-US" w:eastAsia="zh-CN"/>
        </w:rPr>
      </w:pPr>
      <w:r>
        <w:rPr>
          <w:rFonts w:hint="default"/>
          <w:color w:val="auto"/>
          <w:highlight w:val="none"/>
          <w:lang w:val="en-US" w:eastAsia="zh-CN"/>
        </w:rPr>
        <w:t>危险、有害因素辨识</w:t>
      </w:r>
      <w:r>
        <w:rPr>
          <w:rFonts w:hint="eastAsia"/>
          <w:color w:val="auto"/>
          <w:highlight w:val="none"/>
          <w:lang w:val="en-US" w:eastAsia="zh-CN"/>
        </w:rPr>
        <w:t>和分析</w:t>
      </w:r>
    </w:p>
    <w:p w14:paraId="7B1122E9">
      <w:pPr>
        <w:pStyle w:val="24"/>
        <w:bidi w:val="0"/>
        <w:rPr>
          <w:rFonts w:hint="default"/>
          <w:color w:val="auto"/>
          <w:highlight w:val="none"/>
          <w:lang w:val="en-US" w:eastAsia="zh-CN"/>
        </w:rPr>
      </w:pPr>
      <w:r>
        <w:rPr>
          <w:rFonts w:hint="default"/>
          <w:color w:val="auto"/>
          <w:highlight w:val="none"/>
          <w:lang w:val="en-US" w:eastAsia="zh-CN"/>
        </w:rPr>
        <w:t>该项目采用汽车运输方式。露天采场内外有大量车辆运行，可能发生车辆伤害。</w:t>
      </w:r>
    </w:p>
    <w:p w14:paraId="5733F1C0">
      <w:pPr>
        <w:pStyle w:val="24"/>
        <w:bidi w:val="0"/>
        <w:rPr>
          <w:rFonts w:hint="default"/>
          <w:color w:val="auto"/>
          <w:highlight w:val="none"/>
          <w:lang w:val="en-US" w:eastAsia="zh-CN"/>
        </w:rPr>
      </w:pPr>
      <w:r>
        <w:rPr>
          <w:rFonts w:hint="default"/>
          <w:color w:val="auto"/>
          <w:highlight w:val="none"/>
          <w:lang w:val="en-US" w:eastAsia="zh-CN"/>
        </w:rPr>
        <w:t>该项目拟建的露天采场内部公路运输线路较复杂，若日常运输管理不力（如信号系统错误、行人与汽车抢道等），可能导致运输事故。</w:t>
      </w:r>
    </w:p>
    <w:p w14:paraId="507CC208">
      <w:pPr>
        <w:pStyle w:val="24"/>
        <w:bidi w:val="0"/>
        <w:rPr>
          <w:rFonts w:hint="default"/>
          <w:color w:val="auto"/>
          <w:highlight w:val="none"/>
          <w:lang w:val="en-US" w:eastAsia="zh-CN"/>
        </w:rPr>
      </w:pPr>
      <w:r>
        <w:rPr>
          <w:rFonts w:hint="default"/>
          <w:color w:val="auto"/>
          <w:highlight w:val="none"/>
          <w:lang w:val="en-US" w:eastAsia="zh-CN"/>
        </w:rPr>
        <w:t>《可研报告》提出，该项目选用10t平板车运输矿岩，若道路（或其局部）不符合要求：坡度过大、转弯半径过小、路宽不够、路面不平，路面缺乏维护保养等，易发生意外事故，主要表现为车辆挤人、压人、撞车或撞人、车辆倾覆等。</w:t>
      </w:r>
    </w:p>
    <w:p w14:paraId="1094E4B7">
      <w:pPr>
        <w:pStyle w:val="24"/>
        <w:bidi w:val="0"/>
        <w:rPr>
          <w:rFonts w:hint="default"/>
          <w:color w:val="auto"/>
          <w:highlight w:val="none"/>
          <w:lang w:val="en-US" w:eastAsia="zh-CN"/>
        </w:rPr>
      </w:pPr>
      <w:r>
        <w:rPr>
          <w:rFonts w:hint="default"/>
          <w:color w:val="auto"/>
          <w:highlight w:val="none"/>
          <w:lang w:val="en-US" w:eastAsia="zh-CN"/>
        </w:rPr>
        <w:t>（1）运输道路设计不符合要求，如坡度大，转弯半径过小，路宽不够，路面不平等。</w:t>
      </w:r>
    </w:p>
    <w:p w14:paraId="5EAF7283">
      <w:pPr>
        <w:pStyle w:val="24"/>
        <w:bidi w:val="0"/>
        <w:rPr>
          <w:rFonts w:hint="default"/>
          <w:color w:val="auto"/>
          <w:highlight w:val="none"/>
          <w:lang w:val="en-US" w:eastAsia="zh-CN"/>
        </w:rPr>
      </w:pPr>
      <w:r>
        <w:rPr>
          <w:rFonts w:hint="default"/>
          <w:color w:val="auto"/>
          <w:highlight w:val="none"/>
          <w:lang w:val="en-US" w:eastAsia="zh-CN"/>
        </w:rPr>
        <w:t>（2）运输道路路面缺乏维护保养。</w:t>
      </w:r>
    </w:p>
    <w:p w14:paraId="6D41C702">
      <w:pPr>
        <w:pStyle w:val="24"/>
        <w:bidi w:val="0"/>
        <w:rPr>
          <w:rFonts w:hint="default"/>
          <w:color w:val="auto"/>
          <w:highlight w:val="none"/>
          <w:lang w:val="en-US" w:eastAsia="zh-CN"/>
        </w:rPr>
      </w:pPr>
      <w:r>
        <w:rPr>
          <w:rFonts w:hint="default"/>
          <w:color w:val="auto"/>
          <w:highlight w:val="none"/>
          <w:lang w:val="en-US" w:eastAsia="zh-CN"/>
        </w:rPr>
        <w:t>（3）车辆驾驶员没有经过培训考试持证上岗，或没有严格执行行车规则和驾驶操作规程。</w:t>
      </w:r>
    </w:p>
    <w:p w14:paraId="4B6E30A4">
      <w:pPr>
        <w:pStyle w:val="24"/>
        <w:bidi w:val="0"/>
        <w:rPr>
          <w:rFonts w:hint="default"/>
          <w:color w:val="auto"/>
          <w:highlight w:val="none"/>
          <w:lang w:val="en-US" w:eastAsia="zh-CN"/>
        </w:rPr>
      </w:pPr>
      <w:r>
        <w:rPr>
          <w:rFonts w:hint="default"/>
          <w:color w:val="auto"/>
          <w:highlight w:val="none"/>
          <w:lang w:val="en-US" w:eastAsia="zh-CN"/>
        </w:rPr>
        <w:t>（4）车辆没有按照有关规定进行保养，其安全防护装置有缺陷。</w:t>
      </w:r>
    </w:p>
    <w:p w14:paraId="02635BE9">
      <w:pPr>
        <w:pStyle w:val="24"/>
        <w:bidi w:val="0"/>
        <w:rPr>
          <w:rFonts w:hint="default"/>
          <w:color w:val="auto"/>
          <w:highlight w:val="none"/>
          <w:lang w:val="en-US" w:eastAsia="zh-CN"/>
        </w:rPr>
      </w:pPr>
      <w:r>
        <w:rPr>
          <w:rFonts w:hint="default"/>
          <w:color w:val="auto"/>
          <w:highlight w:val="none"/>
          <w:lang w:val="en-US" w:eastAsia="zh-CN"/>
        </w:rPr>
        <w:t>（5）自然条件恶劣，如雾天影响视线，冰雪和雨水使路面变滑等。</w:t>
      </w:r>
    </w:p>
    <w:p w14:paraId="6D500312">
      <w:pPr>
        <w:pStyle w:val="24"/>
        <w:bidi w:val="0"/>
        <w:rPr>
          <w:rFonts w:hint="default"/>
          <w:color w:val="auto"/>
          <w:highlight w:val="none"/>
          <w:lang w:val="en-US" w:eastAsia="zh-CN"/>
        </w:rPr>
      </w:pPr>
      <w:r>
        <w:rPr>
          <w:rFonts w:hint="default"/>
          <w:color w:val="auto"/>
          <w:highlight w:val="none"/>
          <w:lang w:val="en-US" w:eastAsia="zh-CN"/>
        </w:rPr>
        <w:t>此外，由于该项目使用的车辆较多，行车公路上将经常沉积大量粉尘，在大风干燥天气下车辆运行时，导致尘土弥漫，空气中每立方米的粉尘量可能高达几十甚至几百毫克。运输车辆在行使过程中，产尘量的大小与路面种类、路面上积尘多少、天气干湿、有无雨雪以及汽车行驶速度等因素有关。</w:t>
      </w:r>
    </w:p>
    <w:p w14:paraId="5F6C3483">
      <w:pPr>
        <w:pStyle w:val="24"/>
        <w:bidi w:val="0"/>
        <w:rPr>
          <w:rFonts w:hint="default"/>
          <w:color w:val="auto"/>
          <w:highlight w:val="none"/>
          <w:lang w:val="en-US" w:eastAsia="zh-CN"/>
        </w:rPr>
      </w:pPr>
      <w:r>
        <w:rPr>
          <w:rFonts w:hint="default"/>
          <w:color w:val="auto"/>
          <w:highlight w:val="none"/>
          <w:lang w:val="en-US" w:eastAsia="zh-CN"/>
        </w:rPr>
        <w:t>粉（矿）尘对人的主要危害是能引起尘肺病。尘肺病是由于长期大量吸入微细矿尘而引起的一种慢性职业病。尘肺病是矿工的主要职业病，发病率高，对身体影响大，迄今尚无根治的方法。</w:t>
      </w:r>
    </w:p>
    <w:p w14:paraId="310E49A0">
      <w:pPr>
        <w:pStyle w:val="24"/>
        <w:bidi w:val="0"/>
        <w:rPr>
          <w:rFonts w:hint="default"/>
          <w:color w:val="auto"/>
          <w:highlight w:val="none"/>
          <w:lang w:val="en-US" w:eastAsia="zh-CN"/>
        </w:rPr>
      </w:pPr>
      <w:r>
        <w:rPr>
          <w:rFonts w:hint="default"/>
          <w:color w:val="auto"/>
          <w:highlight w:val="none"/>
          <w:lang w:val="en-US" w:eastAsia="zh-CN"/>
        </w:rPr>
        <w:t>通过对矿山开拓运输单元存在的危险、有害因素进行辨识和分析，确定该单元存在的危险因素为“车辆伤害”，有害因素为“尘毒”。</w:t>
      </w:r>
    </w:p>
    <w:p w14:paraId="479DB335">
      <w:pPr>
        <w:pStyle w:val="31"/>
        <w:bidi w:val="0"/>
        <w:rPr>
          <w:rFonts w:hint="default"/>
          <w:color w:val="auto"/>
          <w:highlight w:val="none"/>
          <w:lang w:val="en-US" w:eastAsia="zh-CN"/>
        </w:rPr>
      </w:pPr>
      <w:r>
        <w:rPr>
          <w:rFonts w:hint="default"/>
          <w:color w:val="auto"/>
          <w:highlight w:val="none"/>
          <w:lang w:val="en-US" w:eastAsia="zh-CN"/>
        </w:rPr>
        <w:t>预先危险性分析法评价</w:t>
      </w:r>
    </w:p>
    <w:p w14:paraId="6941A586">
      <w:pPr>
        <w:snapToGrid w:val="0"/>
        <w:spacing w:line="360" w:lineRule="auto"/>
        <w:ind w:firstLine="560" w:firstLineChars="200"/>
        <w:rPr>
          <w:rFonts w:hint="eastAsia" w:ascii="Times New Roman" w:hAnsi="Times New Roman"/>
          <w:caps w:val="0"/>
          <w:smallCaps w:val="0"/>
          <w:color w:val="auto"/>
          <w:sz w:val="28"/>
          <w:szCs w:val="28"/>
          <w:highlight w:val="none"/>
        </w:rPr>
      </w:pPr>
      <w:r>
        <w:rPr>
          <w:rFonts w:hint="eastAsia" w:ascii="Times New Roman" w:hAnsi="Times New Roman"/>
          <w:caps w:val="0"/>
          <w:smallCaps w:val="0"/>
          <w:color w:val="auto"/>
          <w:sz w:val="28"/>
          <w:szCs w:val="28"/>
          <w:highlight w:val="none"/>
        </w:rPr>
        <w:t>采用预先危险性分析法对矿山开拓运输单元进行评价，见表3.2-1。</w:t>
      </w:r>
    </w:p>
    <w:p w14:paraId="61C11706">
      <w:pPr>
        <w:pStyle w:val="32"/>
        <w:bidi w:val="0"/>
        <w:rPr>
          <w:rFonts w:hint="eastAsia"/>
          <w:color w:val="auto"/>
          <w:highlight w:val="none"/>
        </w:rPr>
      </w:pPr>
      <w:r>
        <w:rPr>
          <w:rFonts w:hint="eastAsia"/>
          <w:color w:val="auto"/>
          <w:highlight w:val="none"/>
        </w:rPr>
        <w:t>表3.2-1 矿山开拓运输单元预先危险性分</w:t>
      </w:r>
      <w:r>
        <w:rPr>
          <w:rFonts w:hint="eastAsia"/>
          <w:color w:val="auto"/>
          <w:highlight w:val="none"/>
          <w:lang w:val="en-US" w:eastAsia="zh-CN"/>
        </w:rPr>
        <w:t>析</w:t>
      </w:r>
      <w:r>
        <w:rPr>
          <w:rFonts w:hint="eastAsia"/>
          <w:color w:val="auto"/>
          <w:highlight w:val="none"/>
        </w:rPr>
        <w:t>表</w:t>
      </w:r>
    </w:p>
    <w:tbl>
      <w:tblPr>
        <w:tblStyle w:val="2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8"/>
        <w:gridCol w:w="2958"/>
        <w:gridCol w:w="1280"/>
        <w:gridCol w:w="801"/>
        <w:gridCol w:w="2856"/>
      </w:tblGrid>
      <w:tr w14:paraId="1A618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108" w:type="dxa"/>
            <w:noWrap w:val="0"/>
            <w:vAlign w:val="center"/>
          </w:tcPr>
          <w:p w14:paraId="15B833DB">
            <w:pPr>
              <w:pStyle w:val="33"/>
              <w:bidi w:val="0"/>
              <w:rPr>
                <w:rFonts w:hint="default"/>
                <w:color w:val="auto"/>
                <w:highlight w:val="none"/>
              </w:rPr>
            </w:pPr>
            <w:r>
              <w:rPr>
                <w:rFonts w:hint="default"/>
                <w:color w:val="auto"/>
                <w:highlight w:val="none"/>
              </w:rPr>
              <w:t>危险有</w:t>
            </w:r>
          </w:p>
          <w:p w14:paraId="56C97C15">
            <w:pPr>
              <w:pStyle w:val="33"/>
              <w:bidi w:val="0"/>
              <w:rPr>
                <w:rFonts w:hint="default"/>
                <w:color w:val="auto"/>
                <w:highlight w:val="none"/>
              </w:rPr>
            </w:pPr>
            <w:r>
              <w:rPr>
                <w:rFonts w:hint="default"/>
                <w:color w:val="auto"/>
                <w:highlight w:val="none"/>
              </w:rPr>
              <w:t>害因素</w:t>
            </w:r>
          </w:p>
        </w:tc>
        <w:tc>
          <w:tcPr>
            <w:tcW w:w="2958" w:type="dxa"/>
            <w:noWrap w:val="0"/>
            <w:vAlign w:val="center"/>
          </w:tcPr>
          <w:p w14:paraId="08E2CF99">
            <w:pPr>
              <w:pStyle w:val="33"/>
              <w:bidi w:val="0"/>
              <w:ind w:left="0" w:leftChars="0" w:right="0" w:rightChars="0" w:firstLine="0" w:firstLineChars="0"/>
              <w:jc w:val="center"/>
              <w:rPr>
                <w:rFonts w:hint="default"/>
                <w:color w:val="auto"/>
                <w:highlight w:val="none"/>
              </w:rPr>
            </w:pPr>
            <w:r>
              <w:rPr>
                <w:rFonts w:hint="default"/>
                <w:color w:val="auto"/>
                <w:highlight w:val="none"/>
              </w:rPr>
              <w:t>致因因素</w:t>
            </w:r>
          </w:p>
        </w:tc>
        <w:tc>
          <w:tcPr>
            <w:tcW w:w="1280" w:type="dxa"/>
            <w:noWrap w:val="0"/>
            <w:vAlign w:val="center"/>
          </w:tcPr>
          <w:p w14:paraId="22A33D0F">
            <w:pPr>
              <w:pStyle w:val="33"/>
              <w:bidi w:val="0"/>
              <w:rPr>
                <w:rFonts w:hint="default"/>
                <w:color w:val="auto"/>
                <w:highlight w:val="none"/>
              </w:rPr>
            </w:pPr>
            <w:r>
              <w:rPr>
                <w:rFonts w:hint="default"/>
                <w:color w:val="auto"/>
                <w:highlight w:val="none"/>
              </w:rPr>
              <w:t>事故后果</w:t>
            </w:r>
          </w:p>
        </w:tc>
        <w:tc>
          <w:tcPr>
            <w:tcW w:w="801" w:type="dxa"/>
            <w:noWrap w:val="0"/>
            <w:vAlign w:val="center"/>
          </w:tcPr>
          <w:p w14:paraId="73C51B34">
            <w:pPr>
              <w:pStyle w:val="33"/>
              <w:bidi w:val="0"/>
              <w:rPr>
                <w:rFonts w:hint="default"/>
                <w:color w:val="auto"/>
                <w:highlight w:val="none"/>
              </w:rPr>
            </w:pPr>
            <w:r>
              <w:rPr>
                <w:rFonts w:hint="default"/>
                <w:color w:val="auto"/>
                <w:highlight w:val="none"/>
              </w:rPr>
              <w:t>危险等级</w:t>
            </w:r>
          </w:p>
        </w:tc>
        <w:tc>
          <w:tcPr>
            <w:tcW w:w="2856" w:type="dxa"/>
            <w:noWrap w:val="0"/>
            <w:vAlign w:val="center"/>
          </w:tcPr>
          <w:p w14:paraId="62B2E6A8">
            <w:pPr>
              <w:pStyle w:val="33"/>
              <w:bidi w:val="0"/>
              <w:rPr>
                <w:rFonts w:hint="default"/>
                <w:color w:val="auto"/>
                <w:highlight w:val="none"/>
              </w:rPr>
            </w:pPr>
            <w:r>
              <w:rPr>
                <w:rFonts w:hint="default"/>
                <w:color w:val="auto"/>
                <w:highlight w:val="none"/>
              </w:rPr>
              <w:t>预防措施</w:t>
            </w:r>
          </w:p>
        </w:tc>
      </w:tr>
      <w:tr w14:paraId="19567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108" w:type="dxa"/>
            <w:noWrap w:val="0"/>
            <w:vAlign w:val="center"/>
          </w:tcPr>
          <w:p w14:paraId="47BBBEE5">
            <w:pPr>
              <w:pStyle w:val="33"/>
              <w:bidi w:val="0"/>
              <w:rPr>
                <w:rFonts w:hint="default"/>
                <w:color w:val="auto"/>
                <w:highlight w:val="none"/>
              </w:rPr>
            </w:pPr>
            <w:r>
              <w:rPr>
                <w:rFonts w:hint="default"/>
                <w:color w:val="auto"/>
                <w:highlight w:val="none"/>
              </w:rPr>
              <w:t>车</w:t>
            </w:r>
          </w:p>
          <w:p w14:paraId="59778334">
            <w:pPr>
              <w:pStyle w:val="33"/>
              <w:bidi w:val="0"/>
              <w:rPr>
                <w:rFonts w:hint="default"/>
                <w:color w:val="auto"/>
                <w:highlight w:val="none"/>
              </w:rPr>
            </w:pPr>
            <w:r>
              <w:rPr>
                <w:rFonts w:hint="default"/>
                <w:color w:val="auto"/>
                <w:highlight w:val="none"/>
              </w:rPr>
              <w:t>辆</w:t>
            </w:r>
          </w:p>
          <w:p w14:paraId="1A9715C6">
            <w:pPr>
              <w:pStyle w:val="33"/>
              <w:bidi w:val="0"/>
              <w:rPr>
                <w:rFonts w:hint="default"/>
                <w:color w:val="auto"/>
                <w:highlight w:val="none"/>
              </w:rPr>
            </w:pPr>
            <w:r>
              <w:rPr>
                <w:rFonts w:hint="default"/>
                <w:color w:val="auto"/>
                <w:highlight w:val="none"/>
              </w:rPr>
              <w:t>伤</w:t>
            </w:r>
          </w:p>
          <w:p w14:paraId="2862814B">
            <w:pPr>
              <w:pStyle w:val="33"/>
              <w:bidi w:val="0"/>
              <w:rPr>
                <w:rFonts w:hint="default"/>
                <w:color w:val="auto"/>
                <w:highlight w:val="none"/>
              </w:rPr>
            </w:pPr>
            <w:r>
              <w:rPr>
                <w:rFonts w:hint="default"/>
                <w:color w:val="auto"/>
                <w:highlight w:val="none"/>
              </w:rPr>
              <w:t>害</w:t>
            </w:r>
          </w:p>
        </w:tc>
        <w:tc>
          <w:tcPr>
            <w:tcW w:w="2958" w:type="dxa"/>
            <w:noWrap w:val="0"/>
            <w:vAlign w:val="center"/>
          </w:tcPr>
          <w:p w14:paraId="74675413">
            <w:pPr>
              <w:pStyle w:val="33"/>
              <w:bidi w:val="0"/>
              <w:ind w:left="0" w:leftChars="0" w:right="0" w:rightChars="0" w:firstLine="0" w:firstLineChars="0"/>
              <w:jc w:val="both"/>
              <w:rPr>
                <w:rFonts w:hint="default"/>
                <w:color w:val="auto"/>
                <w:highlight w:val="none"/>
              </w:rPr>
            </w:pPr>
            <w:r>
              <w:rPr>
                <w:rFonts w:hint="default"/>
                <w:color w:val="auto"/>
                <w:highlight w:val="none"/>
              </w:rPr>
              <w:t>1.车辆老化，设备损坏。</w:t>
            </w:r>
          </w:p>
          <w:p w14:paraId="6D373F91">
            <w:pPr>
              <w:pStyle w:val="33"/>
              <w:bidi w:val="0"/>
              <w:ind w:left="0" w:leftChars="0" w:right="0" w:rightChars="0" w:firstLine="0" w:firstLineChars="0"/>
              <w:jc w:val="both"/>
              <w:rPr>
                <w:rFonts w:hint="default"/>
                <w:color w:val="auto"/>
                <w:highlight w:val="none"/>
              </w:rPr>
            </w:pPr>
            <w:r>
              <w:rPr>
                <w:rFonts w:hint="default"/>
                <w:color w:val="auto"/>
                <w:highlight w:val="none"/>
              </w:rPr>
              <w:t>2.道口未设有明显的警示标志。</w:t>
            </w:r>
          </w:p>
          <w:p w14:paraId="0D887FCB">
            <w:pPr>
              <w:pStyle w:val="33"/>
              <w:bidi w:val="0"/>
              <w:ind w:left="0" w:leftChars="0" w:right="0" w:rightChars="0" w:firstLine="0" w:firstLineChars="0"/>
              <w:jc w:val="both"/>
              <w:rPr>
                <w:rFonts w:hint="default"/>
                <w:color w:val="auto"/>
                <w:highlight w:val="none"/>
              </w:rPr>
            </w:pPr>
            <w:r>
              <w:rPr>
                <w:rFonts w:hint="default"/>
                <w:color w:val="auto"/>
                <w:highlight w:val="none"/>
              </w:rPr>
              <w:t>3.采场道路外侧未设有安全车挡。</w:t>
            </w:r>
          </w:p>
          <w:p w14:paraId="25C0A3E8">
            <w:pPr>
              <w:pStyle w:val="33"/>
              <w:bidi w:val="0"/>
              <w:ind w:left="0" w:leftChars="0" w:right="0" w:rightChars="0" w:firstLine="0" w:firstLineChars="0"/>
              <w:jc w:val="both"/>
              <w:rPr>
                <w:rFonts w:hint="default"/>
                <w:color w:val="auto"/>
                <w:highlight w:val="none"/>
              </w:rPr>
            </w:pPr>
            <w:r>
              <w:rPr>
                <w:rFonts w:hint="default"/>
                <w:color w:val="auto"/>
                <w:highlight w:val="none"/>
              </w:rPr>
              <w:t>4.道路盲区，道口交叉。</w:t>
            </w:r>
          </w:p>
          <w:p w14:paraId="61699945">
            <w:pPr>
              <w:pStyle w:val="33"/>
              <w:bidi w:val="0"/>
              <w:ind w:left="0" w:leftChars="0" w:right="0" w:rightChars="0" w:firstLine="0" w:firstLineChars="0"/>
              <w:jc w:val="both"/>
              <w:rPr>
                <w:rFonts w:hint="default"/>
                <w:color w:val="auto"/>
                <w:highlight w:val="none"/>
              </w:rPr>
            </w:pPr>
            <w:r>
              <w:rPr>
                <w:rFonts w:hint="default"/>
                <w:color w:val="auto"/>
                <w:highlight w:val="none"/>
              </w:rPr>
              <w:t>5.违章驾驶。</w:t>
            </w:r>
          </w:p>
          <w:p w14:paraId="62F4A325">
            <w:pPr>
              <w:pStyle w:val="33"/>
              <w:bidi w:val="0"/>
              <w:ind w:left="0" w:leftChars="0" w:right="0" w:rightChars="0" w:firstLine="0" w:firstLineChars="0"/>
              <w:jc w:val="both"/>
              <w:rPr>
                <w:rFonts w:hint="default"/>
                <w:color w:val="auto"/>
                <w:highlight w:val="none"/>
              </w:rPr>
            </w:pPr>
            <w:r>
              <w:rPr>
                <w:rFonts w:hint="default"/>
                <w:color w:val="auto"/>
                <w:highlight w:val="none"/>
              </w:rPr>
              <w:t>6.信号警示差，安全距离不够。</w:t>
            </w:r>
          </w:p>
          <w:p w14:paraId="0E6DC0B5">
            <w:pPr>
              <w:pStyle w:val="33"/>
              <w:bidi w:val="0"/>
              <w:ind w:left="0" w:leftChars="0" w:right="0" w:rightChars="0" w:firstLine="0" w:firstLineChars="0"/>
              <w:jc w:val="both"/>
              <w:rPr>
                <w:rFonts w:hint="default"/>
                <w:color w:val="auto"/>
                <w:highlight w:val="none"/>
              </w:rPr>
            </w:pPr>
            <w:r>
              <w:rPr>
                <w:rFonts w:hint="default"/>
                <w:color w:val="auto"/>
                <w:highlight w:val="none"/>
              </w:rPr>
              <w:t>7.运输道路不标准，检修道路不及时。</w:t>
            </w:r>
          </w:p>
          <w:p w14:paraId="50ED7024">
            <w:pPr>
              <w:pStyle w:val="33"/>
              <w:bidi w:val="0"/>
              <w:ind w:left="0" w:leftChars="0" w:right="0" w:rightChars="0" w:firstLine="0" w:firstLineChars="0"/>
              <w:jc w:val="both"/>
              <w:rPr>
                <w:rFonts w:hint="default"/>
                <w:color w:val="auto"/>
                <w:highlight w:val="none"/>
              </w:rPr>
            </w:pPr>
            <w:r>
              <w:rPr>
                <w:rFonts w:hint="default"/>
                <w:color w:val="auto"/>
                <w:highlight w:val="none"/>
              </w:rPr>
              <w:t>8.驾驶室外平台、脚踏板及车斗不应载人；不应在运行中升降车斗。</w:t>
            </w:r>
          </w:p>
          <w:p w14:paraId="20C0055E">
            <w:pPr>
              <w:pStyle w:val="33"/>
              <w:bidi w:val="0"/>
              <w:ind w:left="0" w:leftChars="0" w:right="0" w:rightChars="0" w:firstLine="0" w:firstLineChars="0"/>
              <w:jc w:val="both"/>
              <w:rPr>
                <w:rFonts w:hint="default"/>
                <w:color w:val="auto"/>
                <w:highlight w:val="none"/>
              </w:rPr>
            </w:pPr>
            <w:r>
              <w:rPr>
                <w:rFonts w:hint="default"/>
                <w:color w:val="auto"/>
                <w:highlight w:val="none"/>
              </w:rPr>
              <w:t>9.冰雪或多雨季节道路较滑时，未设防滑措施。</w:t>
            </w:r>
          </w:p>
          <w:p w14:paraId="76AA79EE">
            <w:pPr>
              <w:pStyle w:val="33"/>
              <w:bidi w:val="0"/>
              <w:ind w:left="0" w:leftChars="0" w:right="0" w:rightChars="0" w:firstLine="0" w:firstLineChars="0"/>
              <w:jc w:val="both"/>
              <w:rPr>
                <w:rFonts w:hint="default"/>
                <w:color w:val="auto"/>
                <w:highlight w:val="none"/>
              </w:rPr>
            </w:pPr>
            <w:r>
              <w:rPr>
                <w:rFonts w:hint="default"/>
                <w:color w:val="auto"/>
                <w:highlight w:val="none"/>
              </w:rPr>
              <w:t>10.同类车超车，前后车距离应保持适当。生产干线、坡道上无故停车。</w:t>
            </w:r>
          </w:p>
          <w:p w14:paraId="7D6B6188">
            <w:pPr>
              <w:pStyle w:val="33"/>
              <w:bidi w:val="0"/>
              <w:ind w:left="0" w:leftChars="0" w:right="0" w:rightChars="0" w:firstLine="0" w:firstLineChars="0"/>
              <w:jc w:val="both"/>
              <w:rPr>
                <w:rFonts w:hint="default"/>
                <w:color w:val="auto"/>
                <w:highlight w:val="none"/>
              </w:rPr>
            </w:pPr>
            <w:r>
              <w:rPr>
                <w:rFonts w:hint="default"/>
                <w:color w:val="auto"/>
                <w:highlight w:val="none"/>
              </w:rPr>
              <w:t>11.采用溜车方式发动车辆，下坡行驶空</w:t>
            </w:r>
            <w:r>
              <w:rPr>
                <w:rFonts w:hint="default"/>
                <w:color w:val="auto"/>
                <w:highlight w:val="none"/>
                <w:lang w:val="en-US" w:eastAsia="zh-CN"/>
              </w:rPr>
              <w:t>挡</w:t>
            </w:r>
            <w:r>
              <w:rPr>
                <w:rFonts w:hint="default"/>
                <w:color w:val="auto"/>
                <w:highlight w:val="none"/>
              </w:rPr>
              <w:t>滑行。</w:t>
            </w:r>
          </w:p>
        </w:tc>
        <w:tc>
          <w:tcPr>
            <w:tcW w:w="1280" w:type="dxa"/>
            <w:noWrap w:val="0"/>
            <w:vAlign w:val="center"/>
          </w:tcPr>
          <w:p w14:paraId="6AAE1A51">
            <w:pPr>
              <w:pStyle w:val="33"/>
              <w:bidi w:val="0"/>
              <w:rPr>
                <w:rFonts w:hint="default"/>
                <w:color w:val="auto"/>
                <w:highlight w:val="none"/>
              </w:rPr>
            </w:pPr>
            <w:r>
              <w:rPr>
                <w:rFonts w:hint="default"/>
                <w:color w:val="auto"/>
                <w:highlight w:val="none"/>
              </w:rPr>
              <w:t>人员伤亡。</w:t>
            </w:r>
          </w:p>
        </w:tc>
        <w:tc>
          <w:tcPr>
            <w:tcW w:w="801" w:type="dxa"/>
            <w:noWrap w:val="0"/>
            <w:vAlign w:val="center"/>
          </w:tcPr>
          <w:p w14:paraId="7870C462">
            <w:pPr>
              <w:pStyle w:val="33"/>
              <w:bidi w:val="0"/>
              <w:rPr>
                <w:rFonts w:hint="default"/>
                <w:color w:val="auto"/>
                <w:highlight w:val="none"/>
              </w:rPr>
            </w:pPr>
            <w:r>
              <w:rPr>
                <w:rFonts w:hint="default"/>
                <w:color w:val="auto"/>
                <w:highlight w:val="none"/>
              </w:rPr>
              <w:t>Ⅲ</w:t>
            </w:r>
          </w:p>
        </w:tc>
        <w:tc>
          <w:tcPr>
            <w:tcW w:w="2856" w:type="dxa"/>
            <w:noWrap w:val="0"/>
            <w:vAlign w:val="center"/>
          </w:tcPr>
          <w:p w14:paraId="6B1470ED">
            <w:pPr>
              <w:pStyle w:val="33"/>
              <w:bidi w:val="0"/>
              <w:jc w:val="both"/>
              <w:rPr>
                <w:rFonts w:hint="default"/>
                <w:color w:val="auto"/>
                <w:highlight w:val="none"/>
              </w:rPr>
            </w:pPr>
            <w:r>
              <w:rPr>
                <w:rFonts w:hint="default"/>
                <w:color w:val="auto"/>
                <w:highlight w:val="none"/>
              </w:rPr>
              <w:t>1.经常检查与维护车辆，损坏车辆维修前严禁作业。</w:t>
            </w:r>
          </w:p>
          <w:p w14:paraId="09CDEFF5">
            <w:pPr>
              <w:pStyle w:val="33"/>
              <w:bidi w:val="0"/>
              <w:jc w:val="both"/>
              <w:rPr>
                <w:rFonts w:hint="default"/>
                <w:color w:val="auto"/>
                <w:highlight w:val="none"/>
              </w:rPr>
            </w:pPr>
            <w:r>
              <w:rPr>
                <w:rFonts w:hint="default"/>
                <w:color w:val="auto"/>
                <w:highlight w:val="none"/>
              </w:rPr>
              <w:t>2.道口设置明显的警示标志。</w:t>
            </w:r>
          </w:p>
          <w:p w14:paraId="21FABFBB">
            <w:pPr>
              <w:pStyle w:val="33"/>
              <w:bidi w:val="0"/>
              <w:jc w:val="both"/>
              <w:rPr>
                <w:rFonts w:hint="default"/>
                <w:color w:val="auto"/>
                <w:highlight w:val="none"/>
              </w:rPr>
            </w:pPr>
            <w:r>
              <w:rPr>
                <w:rFonts w:hint="default"/>
                <w:color w:val="auto"/>
                <w:highlight w:val="none"/>
              </w:rPr>
              <w:t>3.采场道路外侧设不小于车辆轮胎高度1/2的安全车挡。</w:t>
            </w:r>
          </w:p>
          <w:p w14:paraId="56F277DB">
            <w:pPr>
              <w:pStyle w:val="33"/>
              <w:bidi w:val="0"/>
              <w:jc w:val="both"/>
              <w:rPr>
                <w:rFonts w:hint="default"/>
                <w:color w:val="auto"/>
                <w:highlight w:val="none"/>
              </w:rPr>
            </w:pPr>
            <w:r>
              <w:rPr>
                <w:rFonts w:hint="default"/>
                <w:color w:val="auto"/>
                <w:highlight w:val="none"/>
              </w:rPr>
              <w:t>4.人员加强道路盲区及道路交叉处的了望，增设醒目的警示牌。</w:t>
            </w:r>
          </w:p>
          <w:p w14:paraId="3C042137">
            <w:pPr>
              <w:pStyle w:val="33"/>
              <w:bidi w:val="0"/>
              <w:jc w:val="both"/>
              <w:rPr>
                <w:rFonts w:hint="default"/>
                <w:color w:val="auto"/>
                <w:highlight w:val="none"/>
              </w:rPr>
            </w:pPr>
            <w:r>
              <w:rPr>
                <w:rFonts w:hint="default"/>
                <w:color w:val="auto"/>
                <w:highlight w:val="none"/>
              </w:rPr>
              <w:t>5.司机持证上岗，按规程驾驶车辆。</w:t>
            </w:r>
          </w:p>
          <w:p w14:paraId="65B077F4">
            <w:pPr>
              <w:pStyle w:val="33"/>
              <w:bidi w:val="0"/>
              <w:jc w:val="both"/>
              <w:rPr>
                <w:rFonts w:hint="default"/>
                <w:color w:val="auto"/>
                <w:highlight w:val="none"/>
              </w:rPr>
            </w:pPr>
            <w:r>
              <w:rPr>
                <w:rFonts w:hint="default"/>
                <w:color w:val="auto"/>
                <w:highlight w:val="none"/>
              </w:rPr>
              <w:t>6.设置明显的警示指示信号。</w:t>
            </w:r>
          </w:p>
          <w:p w14:paraId="13192398">
            <w:pPr>
              <w:pStyle w:val="33"/>
              <w:bidi w:val="0"/>
              <w:jc w:val="both"/>
              <w:rPr>
                <w:rFonts w:hint="default"/>
                <w:color w:val="auto"/>
                <w:highlight w:val="none"/>
              </w:rPr>
            </w:pPr>
            <w:r>
              <w:rPr>
                <w:rFonts w:hint="default"/>
                <w:color w:val="auto"/>
                <w:highlight w:val="none"/>
              </w:rPr>
              <w:t>7.经常检查与维护道路。</w:t>
            </w:r>
          </w:p>
          <w:p w14:paraId="05FD3F4B">
            <w:pPr>
              <w:pStyle w:val="33"/>
              <w:bidi w:val="0"/>
              <w:jc w:val="both"/>
              <w:rPr>
                <w:rFonts w:hint="default"/>
                <w:color w:val="auto"/>
                <w:highlight w:val="none"/>
              </w:rPr>
            </w:pPr>
            <w:r>
              <w:rPr>
                <w:rFonts w:hint="default"/>
                <w:color w:val="auto"/>
                <w:highlight w:val="none"/>
              </w:rPr>
              <w:t>8.按照设计要求修建矿区道路。</w:t>
            </w:r>
          </w:p>
          <w:p w14:paraId="4BD6603D">
            <w:pPr>
              <w:pStyle w:val="33"/>
              <w:bidi w:val="0"/>
              <w:jc w:val="both"/>
              <w:rPr>
                <w:rFonts w:hint="default"/>
                <w:color w:val="auto"/>
                <w:highlight w:val="none"/>
              </w:rPr>
            </w:pPr>
            <w:r>
              <w:rPr>
                <w:rFonts w:hint="default"/>
                <w:color w:val="auto"/>
                <w:highlight w:val="none"/>
              </w:rPr>
              <w:t>9.遵守岗位操作规程，冰雪或多雨季节制定防滑措施。</w:t>
            </w:r>
          </w:p>
          <w:p w14:paraId="5FE3C2A9">
            <w:pPr>
              <w:pStyle w:val="33"/>
              <w:bidi w:val="0"/>
              <w:jc w:val="both"/>
              <w:rPr>
                <w:rFonts w:hint="default"/>
                <w:color w:val="auto"/>
                <w:highlight w:val="none"/>
              </w:rPr>
            </w:pPr>
            <w:r>
              <w:rPr>
                <w:rFonts w:hint="default"/>
                <w:color w:val="auto"/>
                <w:highlight w:val="none"/>
              </w:rPr>
              <w:t>10.车辆之间保持足够的安全距离。</w:t>
            </w:r>
          </w:p>
          <w:p w14:paraId="387ACACC">
            <w:pPr>
              <w:pStyle w:val="33"/>
              <w:bidi w:val="0"/>
              <w:jc w:val="both"/>
              <w:rPr>
                <w:rFonts w:hint="default"/>
                <w:color w:val="auto"/>
                <w:highlight w:val="none"/>
              </w:rPr>
            </w:pPr>
            <w:r>
              <w:rPr>
                <w:rFonts w:hint="default"/>
                <w:color w:val="auto"/>
                <w:highlight w:val="none"/>
              </w:rPr>
              <w:t>11.严禁采用溜车方式发动车辆，下坡行驶空</w:t>
            </w:r>
            <w:r>
              <w:rPr>
                <w:rFonts w:hint="default"/>
                <w:color w:val="auto"/>
                <w:highlight w:val="none"/>
                <w:lang w:val="en-US" w:eastAsia="zh-CN"/>
              </w:rPr>
              <w:t>挡</w:t>
            </w:r>
            <w:r>
              <w:rPr>
                <w:rFonts w:hint="default"/>
                <w:color w:val="auto"/>
                <w:highlight w:val="none"/>
              </w:rPr>
              <w:t>滑行。</w:t>
            </w:r>
          </w:p>
        </w:tc>
      </w:tr>
      <w:tr w14:paraId="4388D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108" w:type="dxa"/>
            <w:noWrap w:val="0"/>
            <w:vAlign w:val="center"/>
          </w:tcPr>
          <w:p w14:paraId="4725AF3A">
            <w:pPr>
              <w:pStyle w:val="33"/>
              <w:bidi w:val="0"/>
              <w:rPr>
                <w:rFonts w:hint="default"/>
                <w:color w:val="auto"/>
                <w:highlight w:val="none"/>
              </w:rPr>
            </w:pPr>
            <w:r>
              <w:rPr>
                <w:rFonts w:hint="default"/>
                <w:color w:val="auto"/>
                <w:highlight w:val="none"/>
              </w:rPr>
              <w:t>尘毒</w:t>
            </w:r>
          </w:p>
        </w:tc>
        <w:tc>
          <w:tcPr>
            <w:tcW w:w="2958" w:type="dxa"/>
            <w:noWrap w:val="0"/>
            <w:vAlign w:val="center"/>
          </w:tcPr>
          <w:p w14:paraId="6B77475B">
            <w:pPr>
              <w:pStyle w:val="33"/>
              <w:bidi w:val="0"/>
              <w:ind w:left="0" w:leftChars="0" w:right="0" w:rightChars="0" w:firstLine="0" w:firstLineChars="0"/>
              <w:jc w:val="both"/>
              <w:rPr>
                <w:rFonts w:hint="default"/>
                <w:color w:val="auto"/>
                <w:highlight w:val="none"/>
              </w:rPr>
            </w:pPr>
            <w:r>
              <w:rPr>
                <w:rFonts w:hint="default"/>
                <w:color w:val="auto"/>
                <w:highlight w:val="none"/>
              </w:rPr>
              <w:t>汽车作业时产生尾气、粉尘。</w:t>
            </w:r>
          </w:p>
        </w:tc>
        <w:tc>
          <w:tcPr>
            <w:tcW w:w="1280" w:type="dxa"/>
            <w:noWrap w:val="0"/>
            <w:vAlign w:val="center"/>
          </w:tcPr>
          <w:p w14:paraId="204E566E">
            <w:pPr>
              <w:pStyle w:val="33"/>
              <w:bidi w:val="0"/>
              <w:rPr>
                <w:rFonts w:hint="default"/>
                <w:color w:val="auto"/>
                <w:highlight w:val="none"/>
              </w:rPr>
            </w:pPr>
            <w:r>
              <w:rPr>
                <w:rFonts w:hint="default"/>
                <w:color w:val="auto"/>
                <w:highlight w:val="none"/>
              </w:rPr>
              <w:t>影响人员健康。</w:t>
            </w:r>
          </w:p>
        </w:tc>
        <w:tc>
          <w:tcPr>
            <w:tcW w:w="801" w:type="dxa"/>
            <w:noWrap w:val="0"/>
            <w:vAlign w:val="center"/>
          </w:tcPr>
          <w:p w14:paraId="22C44AEF">
            <w:pPr>
              <w:pStyle w:val="33"/>
              <w:bidi w:val="0"/>
              <w:rPr>
                <w:rFonts w:hint="default"/>
                <w:color w:val="auto"/>
                <w:highlight w:val="none"/>
              </w:rPr>
            </w:pPr>
            <w:r>
              <w:rPr>
                <w:rFonts w:hint="default"/>
                <w:color w:val="auto"/>
                <w:highlight w:val="none"/>
              </w:rPr>
              <w:t>Ⅱ</w:t>
            </w:r>
          </w:p>
        </w:tc>
        <w:tc>
          <w:tcPr>
            <w:tcW w:w="2856" w:type="dxa"/>
            <w:noWrap w:val="0"/>
            <w:vAlign w:val="center"/>
          </w:tcPr>
          <w:p w14:paraId="306190E1">
            <w:pPr>
              <w:pStyle w:val="33"/>
              <w:bidi w:val="0"/>
              <w:jc w:val="both"/>
              <w:rPr>
                <w:rFonts w:hint="default"/>
                <w:color w:val="auto"/>
                <w:highlight w:val="none"/>
              </w:rPr>
            </w:pPr>
            <w:r>
              <w:rPr>
                <w:rFonts w:hint="default"/>
                <w:color w:val="auto"/>
                <w:highlight w:val="none"/>
              </w:rPr>
              <w:t>1.汽车安装尾气净化装置；</w:t>
            </w:r>
          </w:p>
          <w:p w14:paraId="059DB99A">
            <w:pPr>
              <w:pStyle w:val="33"/>
              <w:bidi w:val="0"/>
              <w:jc w:val="both"/>
              <w:rPr>
                <w:rFonts w:hint="default"/>
                <w:color w:val="auto"/>
                <w:highlight w:val="none"/>
              </w:rPr>
            </w:pPr>
            <w:r>
              <w:rPr>
                <w:rFonts w:hint="default"/>
                <w:color w:val="auto"/>
                <w:highlight w:val="none"/>
              </w:rPr>
              <w:t>2.加强洒水作业；</w:t>
            </w:r>
          </w:p>
          <w:p w14:paraId="28790C1D">
            <w:pPr>
              <w:pStyle w:val="33"/>
              <w:bidi w:val="0"/>
              <w:jc w:val="both"/>
              <w:rPr>
                <w:rFonts w:hint="default"/>
                <w:color w:val="auto"/>
                <w:highlight w:val="none"/>
              </w:rPr>
            </w:pPr>
            <w:r>
              <w:rPr>
                <w:rFonts w:hint="default"/>
                <w:color w:val="auto"/>
                <w:highlight w:val="none"/>
              </w:rPr>
              <w:t>3.加强个体防护等。</w:t>
            </w:r>
          </w:p>
        </w:tc>
      </w:tr>
      <w:tr w14:paraId="19B8A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108" w:type="dxa"/>
            <w:noWrap w:val="0"/>
            <w:vAlign w:val="center"/>
          </w:tcPr>
          <w:p w14:paraId="1521991C">
            <w:pPr>
              <w:pStyle w:val="33"/>
              <w:bidi w:val="0"/>
              <w:rPr>
                <w:rFonts w:hint="default"/>
                <w:color w:val="auto"/>
                <w:highlight w:val="none"/>
              </w:rPr>
            </w:pPr>
            <w:r>
              <w:rPr>
                <w:rFonts w:hint="default"/>
                <w:color w:val="auto"/>
                <w:highlight w:val="none"/>
              </w:rPr>
              <w:t>高处</w:t>
            </w:r>
          </w:p>
          <w:p w14:paraId="507AA765">
            <w:pPr>
              <w:pStyle w:val="33"/>
              <w:bidi w:val="0"/>
              <w:rPr>
                <w:rFonts w:hint="default"/>
                <w:color w:val="auto"/>
                <w:highlight w:val="none"/>
              </w:rPr>
            </w:pPr>
            <w:r>
              <w:rPr>
                <w:rFonts w:hint="default"/>
                <w:color w:val="auto"/>
                <w:highlight w:val="none"/>
              </w:rPr>
              <w:t>坠落</w:t>
            </w:r>
          </w:p>
        </w:tc>
        <w:tc>
          <w:tcPr>
            <w:tcW w:w="2958" w:type="dxa"/>
            <w:noWrap w:val="0"/>
            <w:vAlign w:val="center"/>
          </w:tcPr>
          <w:p w14:paraId="443CDA2E">
            <w:pPr>
              <w:pStyle w:val="33"/>
              <w:bidi w:val="0"/>
              <w:ind w:left="0" w:leftChars="0" w:right="0" w:rightChars="0" w:firstLine="0" w:firstLineChars="0"/>
              <w:jc w:val="both"/>
              <w:rPr>
                <w:rFonts w:hint="default"/>
                <w:color w:val="auto"/>
                <w:highlight w:val="none"/>
              </w:rPr>
            </w:pPr>
            <w:r>
              <w:rPr>
                <w:rFonts w:hint="default"/>
                <w:color w:val="auto"/>
                <w:highlight w:val="none"/>
              </w:rPr>
              <w:t>1.翻卸矿岩时，汽车司机没有听从指挥，倒车超过安全位置。</w:t>
            </w:r>
          </w:p>
          <w:p w14:paraId="7E001320">
            <w:pPr>
              <w:pStyle w:val="33"/>
              <w:bidi w:val="0"/>
              <w:ind w:left="0" w:leftChars="0" w:right="0" w:rightChars="0" w:firstLine="0" w:firstLineChars="0"/>
              <w:jc w:val="both"/>
              <w:rPr>
                <w:rFonts w:hint="default"/>
                <w:color w:val="auto"/>
                <w:highlight w:val="none"/>
              </w:rPr>
            </w:pPr>
            <w:r>
              <w:rPr>
                <w:rFonts w:hint="default"/>
                <w:color w:val="auto"/>
                <w:highlight w:val="none"/>
              </w:rPr>
              <w:t>2.运矿汽车在无人指挥时翻卸。</w:t>
            </w:r>
          </w:p>
          <w:p w14:paraId="683C7838">
            <w:pPr>
              <w:pStyle w:val="33"/>
              <w:bidi w:val="0"/>
              <w:ind w:left="0" w:leftChars="0" w:right="0" w:rightChars="0" w:firstLine="0" w:firstLineChars="0"/>
              <w:jc w:val="both"/>
              <w:rPr>
                <w:rFonts w:hint="default"/>
                <w:color w:val="auto"/>
                <w:highlight w:val="none"/>
              </w:rPr>
            </w:pPr>
            <w:r>
              <w:rPr>
                <w:rFonts w:hint="default"/>
                <w:color w:val="auto"/>
                <w:highlight w:val="none"/>
              </w:rPr>
              <w:t>3.卸矿地点没有牢固可靠的挡车设施。</w:t>
            </w:r>
          </w:p>
          <w:p w14:paraId="17195ACC">
            <w:pPr>
              <w:pStyle w:val="33"/>
              <w:bidi w:val="0"/>
              <w:ind w:left="0" w:leftChars="0" w:right="0" w:rightChars="0" w:firstLine="0" w:firstLineChars="0"/>
              <w:jc w:val="both"/>
              <w:rPr>
                <w:rFonts w:hint="default"/>
                <w:color w:val="auto"/>
                <w:highlight w:val="none"/>
              </w:rPr>
            </w:pPr>
            <w:r>
              <w:rPr>
                <w:rFonts w:hint="default"/>
                <w:color w:val="auto"/>
                <w:highlight w:val="none"/>
              </w:rPr>
              <w:t>4.在车顶检修时，没有选择好站立位置，站稳抓牢。</w:t>
            </w:r>
          </w:p>
        </w:tc>
        <w:tc>
          <w:tcPr>
            <w:tcW w:w="1280" w:type="dxa"/>
            <w:noWrap w:val="0"/>
            <w:vAlign w:val="center"/>
          </w:tcPr>
          <w:p w14:paraId="21ABF795">
            <w:pPr>
              <w:pStyle w:val="33"/>
              <w:bidi w:val="0"/>
              <w:rPr>
                <w:rFonts w:hint="default"/>
                <w:color w:val="auto"/>
                <w:highlight w:val="none"/>
              </w:rPr>
            </w:pPr>
            <w:r>
              <w:rPr>
                <w:rFonts w:hint="default"/>
                <w:color w:val="auto"/>
                <w:highlight w:val="none"/>
              </w:rPr>
              <w:t>人员伤亡，车辆损坏</w:t>
            </w:r>
          </w:p>
        </w:tc>
        <w:tc>
          <w:tcPr>
            <w:tcW w:w="801" w:type="dxa"/>
            <w:noWrap w:val="0"/>
            <w:vAlign w:val="center"/>
          </w:tcPr>
          <w:p w14:paraId="67909486">
            <w:pPr>
              <w:pStyle w:val="33"/>
              <w:bidi w:val="0"/>
              <w:rPr>
                <w:rFonts w:hint="default"/>
                <w:color w:val="auto"/>
                <w:highlight w:val="none"/>
              </w:rPr>
            </w:pPr>
            <w:r>
              <w:rPr>
                <w:rFonts w:hint="default"/>
                <w:color w:val="auto"/>
                <w:highlight w:val="none"/>
              </w:rPr>
              <w:t>Ⅱ</w:t>
            </w:r>
          </w:p>
        </w:tc>
        <w:tc>
          <w:tcPr>
            <w:tcW w:w="2856" w:type="dxa"/>
            <w:noWrap w:val="0"/>
            <w:vAlign w:val="center"/>
          </w:tcPr>
          <w:p w14:paraId="277494C4">
            <w:pPr>
              <w:pStyle w:val="33"/>
              <w:bidi w:val="0"/>
              <w:jc w:val="both"/>
              <w:rPr>
                <w:rFonts w:hint="default"/>
                <w:color w:val="auto"/>
                <w:highlight w:val="none"/>
              </w:rPr>
            </w:pPr>
            <w:r>
              <w:rPr>
                <w:rFonts w:hint="default"/>
                <w:color w:val="auto"/>
                <w:highlight w:val="none"/>
              </w:rPr>
              <w:t>1.翻卸矿岩时，汽车司机要听从指挥，倒车不要超过安全位置。</w:t>
            </w:r>
          </w:p>
          <w:p w14:paraId="7445A57E">
            <w:pPr>
              <w:pStyle w:val="33"/>
              <w:bidi w:val="0"/>
              <w:jc w:val="both"/>
              <w:rPr>
                <w:rFonts w:hint="default"/>
                <w:color w:val="auto"/>
                <w:highlight w:val="none"/>
              </w:rPr>
            </w:pPr>
            <w:r>
              <w:rPr>
                <w:rFonts w:hint="default"/>
                <w:color w:val="auto"/>
                <w:highlight w:val="none"/>
              </w:rPr>
              <w:t>2.运矿汽车不要在无人指挥时翻卸。</w:t>
            </w:r>
          </w:p>
          <w:p w14:paraId="6D59F94A">
            <w:pPr>
              <w:pStyle w:val="33"/>
              <w:bidi w:val="0"/>
              <w:jc w:val="both"/>
              <w:rPr>
                <w:rFonts w:hint="default"/>
                <w:color w:val="auto"/>
                <w:highlight w:val="none"/>
              </w:rPr>
            </w:pPr>
            <w:r>
              <w:rPr>
                <w:rFonts w:hint="default"/>
                <w:color w:val="auto"/>
                <w:highlight w:val="none"/>
              </w:rPr>
              <w:t>3.卸矿地点要有牢固可靠的挡车设施。</w:t>
            </w:r>
          </w:p>
          <w:p w14:paraId="0C16690F">
            <w:pPr>
              <w:pStyle w:val="33"/>
              <w:bidi w:val="0"/>
              <w:jc w:val="both"/>
              <w:rPr>
                <w:rFonts w:hint="default"/>
                <w:color w:val="auto"/>
                <w:highlight w:val="none"/>
              </w:rPr>
            </w:pPr>
            <w:r>
              <w:rPr>
                <w:rFonts w:hint="default"/>
                <w:color w:val="auto"/>
                <w:highlight w:val="none"/>
              </w:rPr>
              <w:t>4.在车顶检修时，要选择好站立位置，站稳抓牢。</w:t>
            </w:r>
          </w:p>
        </w:tc>
      </w:tr>
      <w:tr w14:paraId="23385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108" w:type="dxa"/>
            <w:noWrap w:val="0"/>
            <w:vAlign w:val="center"/>
          </w:tcPr>
          <w:p w14:paraId="6263555F">
            <w:pPr>
              <w:pStyle w:val="33"/>
              <w:bidi w:val="0"/>
              <w:rPr>
                <w:rFonts w:hint="default"/>
                <w:color w:val="auto"/>
                <w:highlight w:val="none"/>
              </w:rPr>
            </w:pPr>
            <w:r>
              <w:rPr>
                <w:rFonts w:hint="default"/>
                <w:color w:val="auto"/>
                <w:highlight w:val="none"/>
              </w:rPr>
              <w:t>物体</w:t>
            </w:r>
          </w:p>
          <w:p w14:paraId="4515CFBF">
            <w:pPr>
              <w:pStyle w:val="33"/>
              <w:bidi w:val="0"/>
              <w:rPr>
                <w:rFonts w:hint="default"/>
                <w:color w:val="auto"/>
                <w:highlight w:val="none"/>
              </w:rPr>
            </w:pPr>
            <w:r>
              <w:rPr>
                <w:rFonts w:hint="default"/>
                <w:color w:val="auto"/>
                <w:highlight w:val="none"/>
              </w:rPr>
              <w:t>打击</w:t>
            </w:r>
          </w:p>
        </w:tc>
        <w:tc>
          <w:tcPr>
            <w:tcW w:w="2958" w:type="dxa"/>
            <w:noWrap w:val="0"/>
            <w:vAlign w:val="center"/>
          </w:tcPr>
          <w:p w14:paraId="524295B4">
            <w:pPr>
              <w:pStyle w:val="33"/>
              <w:bidi w:val="0"/>
              <w:ind w:left="0" w:leftChars="0" w:right="0" w:rightChars="0" w:firstLine="0" w:firstLineChars="0"/>
              <w:jc w:val="both"/>
              <w:rPr>
                <w:rFonts w:hint="default"/>
                <w:color w:val="auto"/>
                <w:highlight w:val="none"/>
              </w:rPr>
            </w:pPr>
            <w:r>
              <w:rPr>
                <w:rFonts w:hint="default"/>
                <w:color w:val="auto"/>
                <w:highlight w:val="none"/>
              </w:rPr>
              <w:t>1.装车过满或装载不均，车辆运行时矿（岩）石滑落甩出。</w:t>
            </w:r>
          </w:p>
          <w:p w14:paraId="3045615D">
            <w:pPr>
              <w:pStyle w:val="33"/>
              <w:bidi w:val="0"/>
              <w:ind w:left="0" w:leftChars="0" w:right="0" w:rightChars="0" w:firstLine="0" w:firstLineChars="0"/>
              <w:jc w:val="both"/>
              <w:rPr>
                <w:rFonts w:hint="default"/>
                <w:color w:val="auto"/>
                <w:highlight w:val="none"/>
              </w:rPr>
            </w:pPr>
            <w:r>
              <w:rPr>
                <w:rFonts w:hint="default"/>
                <w:color w:val="auto"/>
                <w:highlight w:val="none"/>
              </w:rPr>
              <w:t>2.车辆在有浮石、“伞檐”、崖头的边坡附近行驶。</w:t>
            </w:r>
          </w:p>
        </w:tc>
        <w:tc>
          <w:tcPr>
            <w:tcW w:w="1280" w:type="dxa"/>
            <w:noWrap w:val="0"/>
            <w:vAlign w:val="center"/>
          </w:tcPr>
          <w:p w14:paraId="21A466A7">
            <w:pPr>
              <w:pStyle w:val="33"/>
              <w:bidi w:val="0"/>
              <w:rPr>
                <w:rFonts w:hint="default"/>
                <w:color w:val="auto"/>
                <w:highlight w:val="none"/>
              </w:rPr>
            </w:pPr>
            <w:r>
              <w:rPr>
                <w:rFonts w:hint="default"/>
                <w:color w:val="auto"/>
                <w:highlight w:val="none"/>
              </w:rPr>
              <w:t>人员伤亡</w:t>
            </w:r>
          </w:p>
        </w:tc>
        <w:tc>
          <w:tcPr>
            <w:tcW w:w="801" w:type="dxa"/>
            <w:noWrap w:val="0"/>
            <w:vAlign w:val="center"/>
          </w:tcPr>
          <w:p w14:paraId="1948DDE6">
            <w:pPr>
              <w:pStyle w:val="33"/>
              <w:bidi w:val="0"/>
              <w:rPr>
                <w:rFonts w:hint="default"/>
                <w:color w:val="auto"/>
                <w:highlight w:val="none"/>
              </w:rPr>
            </w:pPr>
            <w:r>
              <w:rPr>
                <w:rFonts w:hint="default"/>
                <w:color w:val="auto"/>
                <w:highlight w:val="none"/>
              </w:rPr>
              <w:t>Ⅱ</w:t>
            </w:r>
          </w:p>
        </w:tc>
        <w:tc>
          <w:tcPr>
            <w:tcW w:w="2856" w:type="dxa"/>
            <w:noWrap w:val="0"/>
            <w:vAlign w:val="center"/>
          </w:tcPr>
          <w:p w14:paraId="01E12F59">
            <w:pPr>
              <w:pStyle w:val="33"/>
              <w:bidi w:val="0"/>
              <w:jc w:val="both"/>
              <w:rPr>
                <w:rFonts w:hint="default"/>
                <w:color w:val="auto"/>
                <w:highlight w:val="none"/>
              </w:rPr>
            </w:pPr>
            <w:r>
              <w:rPr>
                <w:rFonts w:hint="default"/>
                <w:color w:val="auto"/>
                <w:highlight w:val="none"/>
              </w:rPr>
              <w:t>1.装车不要过满，不要装载不均。</w:t>
            </w:r>
          </w:p>
          <w:p w14:paraId="55F8719B">
            <w:pPr>
              <w:pStyle w:val="33"/>
              <w:bidi w:val="0"/>
              <w:jc w:val="both"/>
              <w:rPr>
                <w:rFonts w:hint="default"/>
                <w:color w:val="auto"/>
                <w:highlight w:val="none"/>
              </w:rPr>
            </w:pPr>
            <w:r>
              <w:rPr>
                <w:rFonts w:hint="default"/>
                <w:color w:val="auto"/>
                <w:highlight w:val="none"/>
              </w:rPr>
              <w:t>2.及时处理车辆运行地段附近边坡的浮石、“伞檐”、崖头。</w:t>
            </w:r>
          </w:p>
        </w:tc>
      </w:tr>
    </w:tbl>
    <w:p w14:paraId="0730CAC0">
      <w:pPr>
        <w:pStyle w:val="31"/>
        <w:bidi w:val="0"/>
        <w:rPr>
          <w:rFonts w:hint="eastAsia"/>
          <w:color w:val="auto"/>
          <w:highlight w:val="none"/>
        </w:rPr>
      </w:pPr>
      <w:r>
        <w:rPr>
          <w:rFonts w:hint="eastAsia"/>
          <w:color w:val="auto"/>
          <w:highlight w:val="none"/>
          <w:lang w:val="en-US" w:eastAsia="zh-CN"/>
        </w:rPr>
        <w:t>评价结果</w:t>
      </w:r>
    </w:p>
    <w:p w14:paraId="5F5D4F41">
      <w:pPr>
        <w:pStyle w:val="24"/>
        <w:bidi w:val="0"/>
        <w:rPr>
          <w:rFonts w:hint="default"/>
          <w:color w:val="auto"/>
          <w:highlight w:val="none"/>
        </w:rPr>
      </w:pPr>
      <w:r>
        <w:rPr>
          <w:rFonts w:hint="default"/>
          <w:color w:val="auto"/>
          <w:highlight w:val="none"/>
        </w:rPr>
        <w:t>车辆伤害是常见的运输事故，且事故结果较为严重，因此，本项目运输过程中造成的伤害危险等级定为Ⅱ～Ⅲ级。</w:t>
      </w:r>
    </w:p>
    <w:p w14:paraId="51ED40D4">
      <w:pPr>
        <w:pStyle w:val="24"/>
        <w:bidi w:val="0"/>
        <w:rPr>
          <w:rFonts w:hint="default"/>
          <w:color w:val="auto"/>
          <w:highlight w:val="none"/>
          <w:lang w:val="en-US" w:eastAsia="zh-CN"/>
        </w:rPr>
      </w:pPr>
      <w:r>
        <w:rPr>
          <w:rFonts w:hint="default"/>
          <w:color w:val="auto"/>
          <w:highlight w:val="none"/>
        </w:rPr>
        <w:t>《可研报告》明确道路按矿山</w:t>
      </w:r>
      <w:r>
        <w:rPr>
          <w:rFonts w:hint="eastAsia"/>
          <w:color w:val="auto"/>
          <w:highlight w:val="none"/>
          <w:lang w:val="en-US" w:eastAsia="zh-CN"/>
        </w:rPr>
        <w:t>三</w:t>
      </w:r>
      <w:r>
        <w:rPr>
          <w:rFonts w:hint="default"/>
          <w:color w:val="auto"/>
          <w:highlight w:val="none"/>
        </w:rPr>
        <w:t>级道路标准设计，道路建设方案满足《厂矿道路设计规范》（GBJ22-87）要求，建设单位只要按照设计要求布置矿山道路，对运输车辆及时检修保持车况良好，并杜绝驾驶人员违章，运输过程中造成的伤害是可控制的</w:t>
      </w:r>
      <w:r>
        <w:rPr>
          <w:rFonts w:hint="default"/>
          <w:color w:val="auto"/>
          <w:highlight w:val="none"/>
          <w:lang w:val="en-US" w:eastAsia="zh-CN"/>
        </w:rPr>
        <w:t>。</w:t>
      </w:r>
    </w:p>
    <w:p w14:paraId="08A0B653">
      <w:pPr>
        <w:pStyle w:val="30"/>
        <w:bidi w:val="0"/>
        <w:rPr>
          <w:rFonts w:hint="default"/>
          <w:color w:val="auto"/>
          <w:highlight w:val="none"/>
          <w:lang w:val="en-US" w:eastAsia="zh-CN"/>
        </w:rPr>
      </w:pPr>
      <w:bookmarkStart w:id="26" w:name="_Toc26488"/>
      <w:r>
        <w:rPr>
          <w:rFonts w:hint="default"/>
          <w:color w:val="auto"/>
          <w:highlight w:val="none"/>
          <w:lang w:val="en-US" w:eastAsia="zh-CN"/>
        </w:rPr>
        <w:t>采剥单元评价</w:t>
      </w:r>
      <w:bookmarkEnd w:id="26"/>
    </w:p>
    <w:p w14:paraId="4919876D">
      <w:pPr>
        <w:pStyle w:val="24"/>
        <w:keepNext w:val="0"/>
        <w:keepLines w:val="0"/>
        <w:pageBreakBefore w:val="0"/>
        <w:widowControl w:val="0"/>
        <w:kinsoku/>
        <w:wordWrap/>
        <w:overflowPunct/>
        <w:topLinePunct w:val="0"/>
        <w:autoSpaceDE/>
        <w:autoSpaceDN/>
        <w:bidi w:val="0"/>
        <w:adjustRightInd w:val="0"/>
        <w:snapToGrid w:val="0"/>
        <w:textAlignment w:val="auto"/>
        <w:rPr>
          <w:rFonts w:hint="default"/>
          <w:color w:val="auto"/>
          <w:highlight w:val="none"/>
          <w:lang w:val="en-US" w:eastAsia="zh-CN"/>
        </w:rPr>
      </w:pPr>
      <w:r>
        <w:rPr>
          <w:rFonts w:hint="default"/>
          <w:color w:val="auto"/>
          <w:highlight w:val="none"/>
          <w:lang w:val="en-US" w:eastAsia="zh-CN"/>
        </w:rPr>
        <w:t>采剥单元中存在的危险、有害因素较多，又交叉存在于不同的工序和环节中，为便于评价工作的有序开展，将采剥单元划分为</w:t>
      </w:r>
      <w:r>
        <w:rPr>
          <w:rFonts w:hint="eastAsia"/>
          <w:color w:val="auto"/>
          <w:highlight w:val="none"/>
          <w:lang w:val="en-US" w:eastAsia="zh-CN"/>
        </w:rPr>
        <w:t>2</w:t>
      </w:r>
      <w:r>
        <w:rPr>
          <w:rFonts w:hint="default"/>
          <w:color w:val="auto"/>
          <w:highlight w:val="none"/>
          <w:lang w:val="en-US" w:eastAsia="zh-CN"/>
        </w:rPr>
        <w:t>个子单元，即边坡稳定性</w:t>
      </w:r>
      <w:r>
        <w:rPr>
          <w:rFonts w:hint="eastAsia"/>
          <w:color w:val="auto"/>
          <w:highlight w:val="none"/>
          <w:lang w:val="en-US" w:eastAsia="zh-CN"/>
        </w:rPr>
        <w:t>和叉装</w:t>
      </w:r>
      <w:r>
        <w:rPr>
          <w:rFonts w:hint="default"/>
          <w:color w:val="auto"/>
          <w:highlight w:val="none"/>
          <w:lang w:val="en-US" w:eastAsia="zh-CN"/>
        </w:rPr>
        <w:t>子单元。</w:t>
      </w:r>
    </w:p>
    <w:p w14:paraId="19CDB790">
      <w:pPr>
        <w:pStyle w:val="31"/>
        <w:rPr>
          <w:rFonts w:hint="default"/>
          <w:color w:val="auto"/>
          <w:highlight w:val="none"/>
          <w:lang w:val="en-US" w:eastAsia="zh-CN"/>
        </w:rPr>
      </w:pPr>
      <w:r>
        <w:rPr>
          <w:rFonts w:hint="eastAsia"/>
          <w:color w:val="auto"/>
          <w:highlight w:val="none"/>
          <w:lang w:val="en-US" w:eastAsia="zh-CN"/>
        </w:rPr>
        <w:t>边坡稳定性子单元</w:t>
      </w:r>
    </w:p>
    <w:p w14:paraId="2E43D30C">
      <w:pPr>
        <w:pStyle w:val="24"/>
        <w:rPr>
          <w:rFonts w:hint="default"/>
          <w:b/>
          <w:bCs/>
          <w:color w:val="auto"/>
          <w:highlight w:val="none"/>
          <w:lang w:val="en-US" w:eastAsia="zh-CN"/>
        </w:rPr>
      </w:pPr>
      <w:r>
        <w:rPr>
          <w:rFonts w:hint="eastAsia"/>
          <w:b/>
          <w:bCs/>
          <w:color w:val="auto"/>
          <w:highlight w:val="none"/>
          <w:lang w:val="en-US" w:eastAsia="zh-CN"/>
        </w:rPr>
        <w:t>3.3.1.1危险、有害因素的辨识和分析</w:t>
      </w:r>
    </w:p>
    <w:p w14:paraId="1B156C2B">
      <w:pPr>
        <w:pStyle w:val="24"/>
        <w:bidi w:val="0"/>
        <w:rPr>
          <w:rFonts w:hint="default"/>
          <w:color w:val="auto"/>
          <w:highlight w:val="none"/>
        </w:rPr>
      </w:pPr>
      <w:r>
        <w:rPr>
          <w:rFonts w:hint="default"/>
          <w:color w:val="auto"/>
          <w:highlight w:val="none"/>
        </w:rPr>
        <w:t>露天采场边坡上不稳定的岩（土）体在重力作用下沿一定滑动面（或滑动带）整体向下滑动的物理地质现象，称为滑坡。在露天开采工程中，滑坡往往造成严重危害。</w:t>
      </w:r>
    </w:p>
    <w:p w14:paraId="1FB24AEA">
      <w:pPr>
        <w:pStyle w:val="24"/>
        <w:bidi w:val="0"/>
        <w:rPr>
          <w:rFonts w:hint="default"/>
          <w:color w:val="auto"/>
          <w:highlight w:val="none"/>
        </w:rPr>
      </w:pPr>
      <w:r>
        <w:rPr>
          <w:rFonts w:hint="default"/>
          <w:color w:val="auto"/>
          <w:highlight w:val="none"/>
        </w:rPr>
        <w:t>由于边坡过陡、其岩土内含水量较大、岩石风化，以及岩层构造、地震影响等原因导致坍（塌）方的物理地质现象，称为坍塌。在露天开采过程中，坍塌也往往造成严重危害。</w:t>
      </w:r>
    </w:p>
    <w:p w14:paraId="7F2D097A">
      <w:pPr>
        <w:pStyle w:val="24"/>
        <w:bidi w:val="0"/>
        <w:rPr>
          <w:rFonts w:hint="default"/>
          <w:color w:val="auto"/>
          <w:highlight w:val="none"/>
        </w:rPr>
      </w:pPr>
      <w:r>
        <w:rPr>
          <w:rFonts w:hint="default"/>
          <w:color w:val="auto"/>
          <w:highlight w:val="none"/>
        </w:rPr>
        <w:t>该项目实施过程中可能发生滑坡与坍塌的地点主要为露天采场。</w:t>
      </w:r>
    </w:p>
    <w:p w14:paraId="7844A264">
      <w:pPr>
        <w:pStyle w:val="24"/>
        <w:bidi w:val="0"/>
        <w:rPr>
          <w:rFonts w:hint="default"/>
          <w:color w:val="auto"/>
          <w:highlight w:val="none"/>
        </w:rPr>
      </w:pPr>
      <w:r>
        <w:rPr>
          <w:rFonts w:hint="default"/>
          <w:color w:val="auto"/>
          <w:highlight w:val="none"/>
        </w:rPr>
        <w:t>（1）露天采场</w:t>
      </w:r>
    </w:p>
    <w:p w14:paraId="2D6E7A9C">
      <w:pPr>
        <w:pStyle w:val="24"/>
        <w:bidi w:val="0"/>
        <w:rPr>
          <w:rFonts w:hint="default"/>
          <w:color w:val="auto"/>
          <w:highlight w:val="none"/>
        </w:rPr>
      </w:pPr>
      <w:r>
        <w:rPr>
          <w:rFonts w:hint="default"/>
          <w:color w:val="auto"/>
          <w:highlight w:val="none"/>
        </w:rPr>
        <w:t>《可研报告》设计矿山露天开采总服务年限为118年，最大边坡高度为</w:t>
      </w:r>
      <w:r>
        <w:rPr>
          <w:rFonts w:hint="eastAsia"/>
          <w:color w:val="auto"/>
          <w:highlight w:val="none"/>
          <w:lang w:val="en-US" w:eastAsia="zh-CN"/>
        </w:rPr>
        <w:t>34</w:t>
      </w:r>
      <w:r>
        <w:rPr>
          <w:rFonts w:hint="default"/>
          <w:color w:val="auto"/>
          <w:highlight w:val="none"/>
        </w:rPr>
        <w:t>m，可能诱发灾害的持续时间也长，因此，受滑坡与坍塌的威胁较大。</w:t>
      </w:r>
    </w:p>
    <w:p w14:paraId="1FF80AC5">
      <w:pPr>
        <w:pStyle w:val="24"/>
        <w:bidi w:val="0"/>
        <w:rPr>
          <w:rFonts w:hint="default"/>
          <w:color w:val="auto"/>
          <w:highlight w:val="none"/>
        </w:rPr>
      </w:pPr>
      <w:r>
        <w:rPr>
          <w:rFonts w:hint="default"/>
          <w:color w:val="auto"/>
          <w:highlight w:val="none"/>
        </w:rPr>
        <w:t>从《可研报告》、《地质报告》提供的地质资料，结合其附图分析，该项目的露天采场范围内存在的</w:t>
      </w:r>
      <w:r>
        <w:rPr>
          <w:color w:val="auto"/>
          <w:highlight w:val="none"/>
        </w:rPr>
        <w:t>主要断裂有3条</w:t>
      </w:r>
      <w:r>
        <w:rPr>
          <w:rFonts w:hint="default"/>
          <w:color w:val="auto"/>
          <w:highlight w:val="none"/>
        </w:rPr>
        <w:t>，可能导致在开采过程中发生边坡滑坡与坍塌事故。</w:t>
      </w:r>
    </w:p>
    <w:p w14:paraId="7F9516AC">
      <w:pPr>
        <w:pStyle w:val="24"/>
        <w:bidi w:val="0"/>
        <w:rPr>
          <w:rFonts w:hint="eastAsia" w:eastAsia="宋体"/>
          <w:color w:val="auto"/>
          <w:highlight w:val="none"/>
          <w:lang w:eastAsia="zh-CN"/>
        </w:rPr>
      </w:pPr>
      <w:r>
        <w:rPr>
          <w:color w:val="auto"/>
          <w:highlight w:val="none"/>
        </w:rPr>
        <w:t>工作区侵蚀基准面为105m，矿体位于侵蚀基准面以上，含水层富水性较弱，附近无地表水体影响，矿床充水类型主要以大气降水为主</w:t>
      </w:r>
      <w:r>
        <w:rPr>
          <w:rFonts w:hint="eastAsia"/>
          <w:color w:val="auto"/>
          <w:highlight w:val="none"/>
          <w:lang w:eastAsia="zh-CN"/>
        </w:rPr>
        <w:t>，</w:t>
      </w:r>
      <w:r>
        <w:rPr>
          <w:color w:val="auto"/>
          <w:highlight w:val="none"/>
        </w:rPr>
        <w:t>水文地质条件为简单类型</w:t>
      </w:r>
      <w:r>
        <w:rPr>
          <w:rFonts w:hint="eastAsia"/>
          <w:color w:val="auto"/>
          <w:highlight w:val="none"/>
          <w:lang w:eastAsia="zh-CN"/>
        </w:rPr>
        <w:t>，</w:t>
      </w:r>
      <w:r>
        <w:rPr>
          <w:rFonts w:hint="default" w:ascii="Times New Roman" w:hAnsi="Times New Roman" w:cs="Times New Roman"/>
          <w:color w:val="auto"/>
          <w:highlight w:val="none"/>
        </w:rPr>
        <w:t>因此水对边坡稳定的影响不大。</w:t>
      </w:r>
    </w:p>
    <w:p w14:paraId="6EB3DCE4">
      <w:pPr>
        <w:pStyle w:val="24"/>
        <w:bidi w:val="0"/>
        <w:rPr>
          <w:rFonts w:hint="default"/>
          <w:color w:val="auto"/>
          <w:highlight w:val="none"/>
        </w:rPr>
      </w:pPr>
      <w:r>
        <w:rPr>
          <w:rFonts w:hint="default"/>
          <w:color w:val="auto"/>
          <w:highlight w:val="none"/>
        </w:rPr>
        <w:t>《可研报告》</w:t>
      </w:r>
      <w:r>
        <w:rPr>
          <w:rFonts w:hint="eastAsia"/>
          <w:color w:val="auto"/>
          <w:highlight w:val="none"/>
          <w:lang w:val="en-US" w:eastAsia="zh-CN"/>
        </w:rPr>
        <w:t>明确</w:t>
      </w:r>
      <w:r>
        <w:rPr>
          <w:color w:val="auto"/>
          <w:highlight w:val="none"/>
        </w:rPr>
        <w:t>设计采用锯切的方式开采矿石</w:t>
      </w:r>
      <w:r>
        <w:rPr>
          <w:rFonts w:hint="eastAsia"/>
          <w:color w:val="auto"/>
          <w:highlight w:val="none"/>
          <w:lang w:eastAsia="zh-CN"/>
        </w:rPr>
        <w:t>。地表剥离后先进行工作面平整工作，沿地形线开掘一条采准堑沟，然后铺设铁轨，用铆钉进行固定。锯切机安装好后，首先用锯切机按指定规格进行垂直切割，在下刀时，要按渐进式进行下刀切割，切割宽度为1m，深度1.4m。矿山锯应稳定行驶，以防翻车。然后在切割块体底部沿水平方向布置钻孔，钻孔深度及水平间距视成材荒料具体规格而定。钻孔选用Y-28型凿岩机凿岩。分离采用人工方法，将楔子插入钻孔采用人力砸入的方式分离矿石。</w:t>
      </w:r>
      <w:r>
        <w:rPr>
          <w:color w:val="auto"/>
          <w:highlight w:val="none"/>
        </w:rPr>
        <w:t>采用锯切的方式开采矿石</w:t>
      </w:r>
      <w:r>
        <w:rPr>
          <w:rFonts w:hint="eastAsia"/>
          <w:color w:val="auto"/>
          <w:highlight w:val="none"/>
          <w:lang w:val="en-US" w:eastAsia="zh-CN"/>
        </w:rPr>
        <w:t>对</w:t>
      </w:r>
      <w:r>
        <w:rPr>
          <w:rFonts w:hint="default"/>
          <w:color w:val="auto"/>
          <w:highlight w:val="none"/>
        </w:rPr>
        <w:t>边坡的稳定</w:t>
      </w:r>
      <w:r>
        <w:rPr>
          <w:rFonts w:hint="eastAsia"/>
          <w:color w:val="auto"/>
          <w:highlight w:val="none"/>
          <w:lang w:val="en-US" w:eastAsia="zh-CN"/>
        </w:rPr>
        <w:t>整体</w:t>
      </w:r>
      <w:r>
        <w:rPr>
          <w:rFonts w:hint="default"/>
          <w:color w:val="auto"/>
          <w:highlight w:val="none"/>
        </w:rPr>
        <w:t>影响较</w:t>
      </w:r>
      <w:r>
        <w:rPr>
          <w:rFonts w:hint="eastAsia"/>
          <w:color w:val="auto"/>
          <w:highlight w:val="none"/>
          <w:lang w:val="en-US" w:eastAsia="zh-CN"/>
        </w:rPr>
        <w:t>小</w:t>
      </w:r>
      <w:r>
        <w:rPr>
          <w:rFonts w:hint="default"/>
          <w:color w:val="auto"/>
          <w:highlight w:val="none"/>
        </w:rPr>
        <w:t>。</w:t>
      </w:r>
    </w:p>
    <w:p w14:paraId="4A929894">
      <w:pPr>
        <w:pStyle w:val="24"/>
        <w:bidi w:val="0"/>
        <w:rPr>
          <w:rFonts w:hint="default"/>
          <w:color w:val="auto"/>
          <w:highlight w:val="none"/>
        </w:rPr>
      </w:pPr>
      <w:r>
        <w:rPr>
          <w:rFonts w:hint="default"/>
          <w:color w:val="auto"/>
          <w:highlight w:val="none"/>
        </w:rPr>
        <w:t>露天采场在采剥过程中，由于管理不善，形成“伞檐”或边坡浮石及上段工作平台碎石清扫不净，受到铲装、运输等某种震动，很可能发生滚石滑落，对下部平台作业人员的危害是严重的。造成滚石的主要原因有：</w:t>
      </w:r>
    </w:p>
    <w:p w14:paraId="1DA83E0C">
      <w:pPr>
        <w:pStyle w:val="24"/>
        <w:bidi w:val="0"/>
        <w:rPr>
          <w:rFonts w:hint="default"/>
          <w:color w:val="auto"/>
          <w:highlight w:val="none"/>
        </w:rPr>
      </w:pPr>
      <w:r>
        <w:rPr>
          <w:rFonts w:hint="eastAsia"/>
          <w:color w:val="auto"/>
          <w:highlight w:val="none"/>
          <w:lang w:val="en-US" w:eastAsia="zh-CN"/>
        </w:rPr>
        <w:t>1、</w:t>
      </w:r>
      <w:r>
        <w:rPr>
          <w:rFonts w:hint="default"/>
          <w:color w:val="auto"/>
          <w:highlight w:val="none"/>
        </w:rPr>
        <w:t>处理浮石、“伞檐”不及时（露天采场存在滚石伤人的隐患）。</w:t>
      </w:r>
    </w:p>
    <w:p w14:paraId="6773F236">
      <w:pPr>
        <w:pStyle w:val="24"/>
        <w:bidi w:val="0"/>
        <w:rPr>
          <w:rFonts w:hint="default"/>
          <w:color w:val="auto"/>
          <w:highlight w:val="none"/>
        </w:rPr>
      </w:pPr>
      <w:r>
        <w:rPr>
          <w:rFonts w:hint="eastAsia"/>
          <w:color w:val="auto"/>
          <w:highlight w:val="none"/>
          <w:lang w:val="en-US" w:eastAsia="zh-CN"/>
        </w:rPr>
        <w:t>2、</w:t>
      </w:r>
      <w:r>
        <w:rPr>
          <w:rFonts w:hint="default"/>
          <w:color w:val="auto"/>
          <w:highlight w:val="none"/>
        </w:rPr>
        <w:t>处理浮石操作方法不当。由于处理浮石操作方法不当所引起的滚石事故，大多数是因处理前缺乏全面、细致的检查，没有掌握浮石情况而造成的。</w:t>
      </w:r>
    </w:p>
    <w:p w14:paraId="33AA7BB9">
      <w:pPr>
        <w:pStyle w:val="24"/>
        <w:bidi w:val="0"/>
        <w:rPr>
          <w:rFonts w:hint="default"/>
          <w:color w:val="auto"/>
          <w:highlight w:val="none"/>
        </w:rPr>
      </w:pPr>
      <w:r>
        <w:rPr>
          <w:rFonts w:hint="eastAsia"/>
          <w:color w:val="auto"/>
          <w:highlight w:val="none"/>
          <w:lang w:val="en-US" w:eastAsia="zh-CN"/>
        </w:rPr>
        <w:t>3、</w:t>
      </w:r>
      <w:r>
        <w:rPr>
          <w:rFonts w:hint="default"/>
          <w:color w:val="auto"/>
          <w:highlight w:val="none"/>
        </w:rPr>
        <w:t>安全平台宽度不足，不能充分缓冲和阻截滑落的岩石。</w:t>
      </w:r>
    </w:p>
    <w:p w14:paraId="7294D40A">
      <w:pPr>
        <w:pStyle w:val="24"/>
        <w:bidi w:val="0"/>
        <w:rPr>
          <w:rFonts w:hint="default"/>
          <w:color w:val="auto"/>
          <w:highlight w:val="none"/>
        </w:rPr>
      </w:pPr>
      <w:r>
        <w:rPr>
          <w:rFonts w:hint="eastAsia"/>
          <w:color w:val="auto"/>
          <w:highlight w:val="none"/>
          <w:lang w:val="en-US" w:eastAsia="zh-CN"/>
        </w:rPr>
        <w:t>4、</w:t>
      </w:r>
      <w:r>
        <w:rPr>
          <w:rFonts w:hint="default"/>
          <w:color w:val="auto"/>
          <w:highlight w:val="none"/>
        </w:rPr>
        <w:t>上下平台同时作业时，未能保持一定的超前距离，当上部平台作业时滚石滑落造成下部平台人员设备不能及时躲避。</w:t>
      </w:r>
    </w:p>
    <w:p w14:paraId="394A9155">
      <w:pPr>
        <w:pStyle w:val="24"/>
        <w:bidi w:val="0"/>
        <w:rPr>
          <w:rFonts w:hint="default"/>
          <w:color w:val="auto"/>
          <w:highlight w:val="none"/>
        </w:rPr>
      </w:pPr>
      <w:r>
        <w:rPr>
          <w:rFonts w:hint="eastAsia"/>
          <w:color w:val="auto"/>
          <w:highlight w:val="none"/>
          <w:lang w:val="en-US" w:eastAsia="zh-CN"/>
        </w:rPr>
        <w:t>5、</w:t>
      </w:r>
      <w:r>
        <w:rPr>
          <w:rFonts w:hint="default"/>
          <w:color w:val="auto"/>
          <w:highlight w:val="none"/>
        </w:rPr>
        <w:t>在处理浮石时，操作工人的技术不熟练，站立位置不当，当浮石落下时无法躲避而造成事故。</w:t>
      </w:r>
    </w:p>
    <w:p w14:paraId="1677F118">
      <w:pPr>
        <w:pStyle w:val="24"/>
        <w:bidi w:val="0"/>
        <w:rPr>
          <w:rFonts w:hint="default"/>
          <w:b/>
          <w:bCs/>
          <w:color w:val="auto"/>
          <w:highlight w:val="none"/>
        </w:rPr>
      </w:pPr>
      <w:bookmarkStart w:id="27" w:name="_Toc504859917"/>
      <w:bookmarkStart w:id="28" w:name="_Toc504369065"/>
      <w:bookmarkStart w:id="29" w:name="_Toc28579"/>
      <w:bookmarkStart w:id="30" w:name="_Toc502928908"/>
      <w:bookmarkStart w:id="31" w:name="_Toc502929551"/>
      <w:bookmarkStart w:id="32" w:name="_Toc2405"/>
      <w:bookmarkStart w:id="33" w:name="_Toc24521"/>
      <w:r>
        <w:rPr>
          <w:rFonts w:hint="eastAsia"/>
          <w:b/>
          <w:bCs/>
          <w:color w:val="auto"/>
          <w:highlight w:val="none"/>
          <w:lang w:val="en-US" w:eastAsia="zh-CN"/>
        </w:rPr>
        <w:t>3.3.1.2</w:t>
      </w:r>
      <w:r>
        <w:rPr>
          <w:rFonts w:hint="default"/>
          <w:b/>
          <w:bCs/>
          <w:color w:val="auto"/>
          <w:highlight w:val="none"/>
        </w:rPr>
        <w:t>边坡稳定性子单元评价</w:t>
      </w:r>
      <w:bookmarkEnd w:id="27"/>
      <w:bookmarkEnd w:id="28"/>
      <w:bookmarkEnd w:id="29"/>
      <w:bookmarkEnd w:id="30"/>
      <w:bookmarkEnd w:id="31"/>
      <w:bookmarkEnd w:id="32"/>
      <w:bookmarkEnd w:id="33"/>
    </w:p>
    <w:p w14:paraId="08CC62C9">
      <w:pPr>
        <w:pStyle w:val="24"/>
        <w:bidi w:val="0"/>
        <w:rPr>
          <w:rFonts w:hint="default"/>
          <w:color w:val="auto"/>
          <w:highlight w:val="none"/>
        </w:rPr>
      </w:pPr>
      <w:r>
        <w:rPr>
          <w:rFonts w:hint="default"/>
          <w:color w:val="auto"/>
          <w:highlight w:val="none"/>
        </w:rPr>
        <w:t>（1）专家评议法预评价</w:t>
      </w:r>
    </w:p>
    <w:p w14:paraId="3D724F75">
      <w:pPr>
        <w:pStyle w:val="24"/>
        <w:bidi w:val="0"/>
        <w:rPr>
          <w:rFonts w:hint="default"/>
          <w:color w:val="auto"/>
          <w:highlight w:val="none"/>
        </w:rPr>
      </w:pPr>
      <w:r>
        <w:rPr>
          <w:rFonts w:hint="default"/>
          <w:color w:val="auto"/>
          <w:highlight w:val="none"/>
        </w:rPr>
        <w:t>本预评价通过分析影响边坡稳定的几个因素，来预测边坡的稳定性：</w:t>
      </w:r>
    </w:p>
    <w:p w14:paraId="3EFAA641">
      <w:pPr>
        <w:pStyle w:val="24"/>
        <w:bidi w:val="0"/>
        <w:rPr>
          <w:rFonts w:hint="default"/>
          <w:color w:val="auto"/>
          <w:highlight w:val="none"/>
        </w:rPr>
      </w:pPr>
      <w:r>
        <w:rPr>
          <w:rFonts w:hint="eastAsia"/>
          <w:color w:val="auto"/>
          <w:highlight w:val="none"/>
          <w:lang w:val="en-US" w:eastAsia="zh-CN"/>
        </w:rPr>
        <w:t>1、</w:t>
      </w:r>
      <w:r>
        <w:rPr>
          <w:rFonts w:hint="default"/>
          <w:color w:val="auto"/>
          <w:highlight w:val="none"/>
        </w:rPr>
        <w:t>断裂构造的影响</w:t>
      </w:r>
    </w:p>
    <w:p w14:paraId="3DA56133">
      <w:pPr>
        <w:pStyle w:val="24"/>
        <w:bidi w:val="0"/>
        <w:rPr>
          <w:rFonts w:hint="default"/>
          <w:color w:val="auto"/>
          <w:highlight w:val="none"/>
        </w:rPr>
      </w:pPr>
      <w:r>
        <w:rPr>
          <w:rFonts w:hint="eastAsia"/>
          <w:color w:val="auto"/>
          <w:highlight w:val="none"/>
        </w:rPr>
        <w:t>矿区内构造较发育，主要断裂有3条。F1逆断层见于南部，近东西向展布，位于中细粒闪长岩内，倾向173°～193°，倾角60°～80°。F2、F3为性质不明断层，北北东向展布向北延出区外，均切割中细粒花岗闪长岩，倾向106°～113°，倾角55°～60°。</w:t>
      </w:r>
    </w:p>
    <w:p w14:paraId="53214232">
      <w:pPr>
        <w:pStyle w:val="24"/>
        <w:bidi w:val="0"/>
        <w:rPr>
          <w:rFonts w:hint="default"/>
          <w:color w:val="auto"/>
          <w:highlight w:val="none"/>
        </w:rPr>
      </w:pPr>
      <w:r>
        <w:rPr>
          <w:rFonts w:hint="default"/>
          <w:color w:val="auto"/>
          <w:highlight w:val="none"/>
        </w:rPr>
        <w:t>总体而言，影响边坡稳定的主要断裂构造引发大规模滑坡的可能性较小。断裂构造带来的威胁主要是开采过程中的坍塌及工作边帮的局部破碎（进而引发滑坡及坍塌）。</w:t>
      </w:r>
    </w:p>
    <w:p w14:paraId="465D465F">
      <w:pPr>
        <w:pStyle w:val="24"/>
        <w:bidi w:val="0"/>
        <w:rPr>
          <w:rFonts w:hint="default"/>
          <w:color w:val="auto"/>
          <w:highlight w:val="none"/>
        </w:rPr>
      </w:pPr>
      <w:r>
        <w:rPr>
          <w:rFonts w:hint="default"/>
          <w:color w:val="auto"/>
          <w:highlight w:val="none"/>
        </w:rPr>
        <w:t>在安全设施设计及项目实施过程中，及时、准确地判定断裂构造的位置、形态，进而采取相关措施（如锚固等），可以将断裂构造对边坡稳定的影响控制在可接受的范围内。</w:t>
      </w:r>
    </w:p>
    <w:p w14:paraId="3E5C196F">
      <w:pPr>
        <w:pStyle w:val="24"/>
        <w:bidi w:val="0"/>
        <w:rPr>
          <w:rFonts w:hint="default"/>
          <w:color w:val="auto"/>
          <w:highlight w:val="none"/>
        </w:rPr>
      </w:pPr>
      <w:r>
        <w:rPr>
          <w:rFonts w:hint="default"/>
          <w:color w:val="auto"/>
          <w:highlight w:val="none"/>
        </w:rPr>
        <w:t>限于现有的地质资料，矿区内可能发育有小型的次一级断裂构造，在降雨和爆破震动等外动力作用下，有沿脉岩引发滑塌及泥石流灾害的可能，因此，本预评价建议：</w:t>
      </w:r>
    </w:p>
    <w:p w14:paraId="32EC1E2F">
      <w:pPr>
        <w:pStyle w:val="24"/>
        <w:bidi w:val="0"/>
        <w:rPr>
          <w:rFonts w:hint="default"/>
          <w:color w:val="auto"/>
          <w:highlight w:val="none"/>
        </w:rPr>
      </w:pPr>
      <w:r>
        <w:rPr>
          <w:rFonts w:hint="default"/>
          <w:color w:val="auto"/>
          <w:highlight w:val="none"/>
        </w:rPr>
        <w:t>①针对受断层影响严重的地方，通过施工预应力锚杆（锚索）或注浆锚杆将裂隙、破碎岩体固结成一个整体，锚固在深部稳定的岩体中；</w:t>
      </w:r>
    </w:p>
    <w:p w14:paraId="65E29A88">
      <w:pPr>
        <w:pStyle w:val="24"/>
        <w:bidi w:val="0"/>
        <w:rPr>
          <w:rFonts w:hint="default"/>
          <w:color w:val="auto"/>
          <w:highlight w:val="none"/>
        </w:rPr>
      </w:pPr>
      <w:r>
        <w:rPr>
          <w:rFonts w:hint="default"/>
          <w:color w:val="auto"/>
          <w:highlight w:val="none"/>
        </w:rPr>
        <w:t>②对局部高陡边坡和顺层节理进行削坡减荷，将台阶坡面角控制在合理范围内。</w:t>
      </w:r>
    </w:p>
    <w:p w14:paraId="7AE18697">
      <w:pPr>
        <w:pStyle w:val="24"/>
        <w:bidi w:val="0"/>
        <w:rPr>
          <w:rFonts w:hint="default"/>
          <w:color w:val="auto"/>
          <w:highlight w:val="none"/>
        </w:rPr>
      </w:pPr>
      <w:r>
        <w:rPr>
          <w:rFonts w:hint="default"/>
          <w:color w:val="auto"/>
          <w:highlight w:val="none"/>
        </w:rPr>
        <w:t>③在边坡坡底线位置设置挡墙，利用挡墙自身重量抵抗滑坡体的下滑力（填方压坡脚）。</w:t>
      </w:r>
    </w:p>
    <w:p w14:paraId="702BBE41">
      <w:pPr>
        <w:pStyle w:val="24"/>
        <w:bidi w:val="0"/>
        <w:rPr>
          <w:rFonts w:hint="default"/>
          <w:color w:val="auto"/>
          <w:highlight w:val="none"/>
        </w:rPr>
      </w:pPr>
      <w:r>
        <w:rPr>
          <w:rFonts w:hint="default"/>
          <w:color w:val="auto"/>
          <w:highlight w:val="none"/>
        </w:rPr>
        <w:t>④对边坡与断层相交的破碎带进行浆砌石铺盖，防止地表水对边坡的冲刷，对于被脉岩充填的断层加强巡查，必要时进行挂网混凝土防水铺盖，防止降雨和地表水从断层裂隙渗入。</w:t>
      </w:r>
    </w:p>
    <w:p w14:paraId="618CEAE3">
      <w:pPr>
        <w:pStyle w:val="24"/>
        <w:bidi w:val="0"/>
        <w:rPr>
          <w:rFonts w:hint="default"/>
          <w:color w:val="auto"/>
          <w:highlight w:val="none"/>
        </w:rPr>
      </w:pPr>
      <w:r>
        <w:rPr>
          <w:rFonts w:hint="default"/>
          <w:color w:val="auto"/>
          <w:highlight w:val="none"/>
        </w:rPr>
        <w:t>⑤合理的确定采矿方法，采矿工作面垂直断层走向布置，逐渐向最终境界推进。</w:t>
      </w:r>
    </w:p>
    <w:p w14:paraId="486A7DA1">
      <w:pPr>
        <w:pStyle w:val="24"/>
        <w:bidi w:val="0"/>
        <w:rPr>
          <w:rFonts w:hint="default"/>
          <w:color w:val="auto"/>
          <w:highlight w:val="none"/>
        </w:rPr>
      </w:pPr>
      <w:r>
        <w:rPr>
          <w:rFonts w:hint="eastAsia"/>
          <w:color w:val="auto"/>
          <w:highlight w:val="none"/>
          <w:lang w:val="en-US" w:eastAsia="zh-CN"/>
        </w:rPr>
        <w:t>2、</w:t>
      </w:r>
      <w:r>
        <w:rPr>
          <w:rFonts w:hint="default"/>
          <w:color w:val="auto"/>
          <w:highlight w:val="none"/>
          <w:lang w:val="en-GB" w:eastAsia="zh-CN"/>
        </w:rPr>
        <w:t>原有露天</w:t>
      </w:r>
      <w:r>
        <w:rPr>
          <w:rFonts w:hint="default"/>
          <w:color w:val="auto"/>
          <w:highlight w:val="none"/>
          <w:lang w:val="en-US" w:eastAsia="zh-CN"/>
        </w:rPr>
        <w:t>工程</w:t>
      </w:r>
      <w:r>
        <w:rPr>
          <w:rFonts w:hint="default"/>
          <w:color w:val="auto"/>
          <w:highlight w:val="none"/>
          <w:lang w:val="en-GB" w:eastAsia="zh-CN"/>
        </w:rPr>
        <w:t>对</w:t>
      </w:r>
      <w:r>
        <w:rPr>
          <w:rFonts w:hint="default"/>
          <w:color w:val="auto"/>
          <w:highlight w:val="none"/>
          <w:lang w:val="en-US" w:eastAsia="zh-CN"/>
        </w:rPr>
        <w:t>本次</w:t>
      </w:r>
      <w:r>
        <w:rPr>
          <w:rFonts w:hint="default"/>
          <w:color w:val="auto"/>
          <w:highlight w:val="none"/>
          <w:lang w:val="en-GB" w:eastAsia="zh-CN"/>
        </w:rPr>
        <w:t>露天开采影响分析</w:t>
      </w:r>
    </w:p>
    <w:p w14:paraId="2EB72FC3">
      <w:pPr>
        <w:pStyle w:val="24"/>
        <w:bidi w:val="0"/>
        <w:rPr>
          <w:rFonts w:hint="default"/>
          <w:color w:val="auto"/>
          <w:highlight w:val="none"/>
          <w:lang w:val="en-US" w:eastAsia="zh-CN"/>
        </w:rPr>
      </w:pPr>
      <w:r>
        <w:rPr>
          <w:rFonts w:hint="default"/>
          <w:color w:val="auto"/>
          <w:highlight w:val="none"/>
        </w:rPr>
        <w:t>《可研报告》</w:t>
      </w:r>
      <w:r>
        <w:rPr>
          <w:rFonts w:hint="eastAsia"/>
          <w:color w:val="auto"/>
          <w:highlight w:val="none"/>
          <w:lang w:val="en-US" w:eastAsia="zh-CN"/>
        </w:rPr>
        <w:t>明确</w:t>
      </w:r>
      <w:r>
        <w:rPr>
          <w:rFonts w:hint="default"/>
          <w:color w:val="auto"/>
          <w:highlight w:val="none"/>
          <w:lang w:val="en-US" w:eastAsia="zh-CN"/>
        </w:rPr>
        <w:t>目前在矿区平面范围内西南角有一处早先遗留的民采采场，该采场长约120m，宽约80 m，深11m，采场最高标高为121m，最低标高为110m，边坡角约为45°，为山坡式露天采坑，大气降水可自流排出。该采坑距离次设计采场最近距离为230m，对矿山开采无影响。</w:t>
      </w:r>
    </w:p>
    <w:p w14:paraId="17F11EA8">
      <w:pPr>
        <w:pStyle w:val="24"/>
        <w:bidi w:val="0"/>
        <w:rPr>
          <w:rFonts w:hint="eastAsia"/>
          <w:color w:val="auto"/>
          <w:highlight w:val="none"/>
          <w:lang w:val="en-US" w:eastAsia="zh-CN"/>
        </w:rPr>
      </w:pPr>
      <w:r>
        <w:rPr>
          <w:rFonts w:hint="eastAsia"/>
          <w:color w:val="auto"/>
          <w:highlight w:val="none"/>
          <w:lang w:val="en-US" w:eastAsia="zh-CN"/>
        </w:rPr>
        <w:t>（2）采用预先危险性分析法评价，见下表3.3-1。</w:t>
      </w:r>
    </w:p>
    <w:p w14:paraId="3469C68E">
      <w:pPr>
        <w:pStyle w:val="32"/>
        <w:bidi w:val="0"/>
        <w:rPr>
          <w:rFonts w:hint="default"/>
          <w:color w:val="auto"/>
          <w:highlight w:val="none"/>
        </w:rPr>
      </w:pPr>
      <w:r>
        <w:rPr>
          <w:rFonts w:hint="default"/>
          <w:color w:val="auto"/>
          <w:highlight w:val="none"/>
        </w:rPr>
        <w:t>表</w:t>
      </w:r>
      <w:r>
        <w:rPr>
          <w:rFonts w:hint="eastAsia"/>
          <w:color w:val="auto"/>
          <w:highlight w:val="none"/>
          <w:lang w:val="en-US" w:eastAsia="zh-CN"/>
        </w:rPr>
        <w:t xml:space="preserve">3.3-1 </w:t>
      </w:r>
      <w:r>
        <w:rPr>
          <w:rFonts w:hint="default"/>
          <w:color w:val="auto"/>
          <w:highlight w:val="none"/>
        </w:rPr>
        <w:t xml:space="preserve"> 边坡稳定性预先危险性分析检查表</w:t>
      </w:r>
    </w:p>
    <w:tbl>
      <w:tblPr>
        <w:tblStyle w:val="2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0"/>
        <w:gridCol w:w="2811"/>
        <w:gridCol w:w="2014"/>
        <w:gridCol w:w="602"/>
        <w:gridCol w:w="3104"/>
      </w:tblGrid>
      <w:tr w14:paraId="03B06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3" w:type="pct"/>
            <w:noWrap w:val="0"/>
            <w:vAlign w:val="center"/>
          </w:tcPr>
          <w:p w14:paraId="20572A75">
            <w:pPr>
              <w:pStyle w:val="33"/>
              <w:bidi w:val="0"/>
              <w:rPr>
                <w:rFonts w:hint="default"/>
                <w:color w:val="auto"/>
                <w:highlight w:val="none"/>
              </w:rPr>
            </w:pPr>
            <w:r>
              <w:rPr>
                <w:rFonts w:hint="default"/>
                <w:color w:val="auto"/>
                <w:highlight w:val="none"/>
              </w:rPr>
              <w:t>存在的危险</w:t>
            </w:r>
          </w:p>
        </w:tc>
        <w:tc>
          <w:tcPr>
            <w:tcW w:w="1495" w:type="pct"/>
            <w:noWrap w:val="0"/>
            <w:vAlign w:val="center"/>
          </w:tcPr>
          <w:p w14:paraId="784134D8">
            <w:pPr>
              <w:pStyle w:val="33"/>
              <w:bidi w:val="0"/>
              <w:rPr>
                <w:rFonts w:hint="default"/>
                <w:color w:val="auto"/>
                <w:highlight w:val="none"/>
              </w:rPr>
            </w:pPr>
            <w:r>
              <w:rPr>
                <w:rFonts w:hint="default"/>
                <w:color w:val="auto"/>
                <w:highlight w:val="none"/>
              </w:rPr>
              <w:t>引发事故的原因</w:t>
            </w:r>
          </w:p>
        </w:tc>
        <w:tc>
          <w:tcPr>
            <w:tcW w:w="1071" w:type="pct"/>
            <w:noWrap w:val="0"/>
            <w:vAlign w:val="center"/>
          </w:tcPr>
          <w:p w14:paraId="6D8433F3">
            <w:pPr>
              <w:pStyle w:val="33"/>
              <w:bidi w:val="0"/>
              <w:rPr>
                <w:rFonts w:hint="default"/>
                <w:color w:val="auto"/>
                <w:highlight w:val="none"/>
              </w:rPr>
            </w:pPr>
            <w:r>
              <w:rPr>
                <w:rFonts w:hint="default"/>
                <w:color w:val="auto"/>
                <w:highlight w:val="none"/>
              </w:rPr>
              <w:t>导致的事故后果</w:t>
            </w:r>
          </w:p>
        </w:tc>
        <w:tc>
          <w:tcPr>
            <w:tcW w:w="320" w:type="pct"/>
            <w:noWrap w:val="0"/>
            <w:vAlign w:val="center"/>
          </w:tcPr>
          <w:p w14:paraId="3B219834">
            <w:pPr>
              <w:pStyle w:val="33"/>
              <w:bidi w:val="0"/>
              <w:rPr>
                <w:rFonts w:hint="default"/>
                <w:color w:val="auto"/>
                <w:highlight w:val="none"/>
              </w:rPr>
            </w:pPr>
            <w:r>
              <w:rPr>
                <w:rFonts w:hint="default"/>
                <w:color w:val="auto"/>
                <w:highlight w:val="none"/>
              </w:rPr>
              <w:t>危险等级</w:t>
            </w:r>
          </w:p>
        </w:tc>
        <w:tc>
          <w:tcPr>
            <w:tcW w:w="1651" w:type="pct"/>
            <w:noWrap w:val="0"/>
            <w:vAlign w:val="center"/>
          </w:tcPr>
          <w:p w14:paraId="0AFA7581">
            <w:pPr>
              <w:pStyle w:val="33"/>
              <w:bidi w:val="0"/>
              <w:rPr>
                <w:rFonts w:hint="default"/>
                <w:color w:val="auto"/>
                <w:highlight w:val="none"/>
              </w:rPr>
            </w:pPr>
            <w:r>
              <w:rPr>
                <w:rFonts w:hint="default"/>
                <w:color w:val="auto"/>
                <w:highlight w:val="none"/>
              </w:rPr>
              <w:t>预防措施</w:t>
            </w:r>
          </w:p>
        </w:tc>
      </w:tr>
      <w:tr w14:paraId="58B00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2" w:hRule="atLeast"/>
        </w:trPr>
        <w:tc>
          <w:tcPr>
            <w:tcW w:w="463" w:type="pct"/>
            <w:noWrap w:val="0"/>
            <w:vAlign w:val="center"/>
          </w:tcPr>
          <w:p w14:paraId="71FF41E1">
            <w:pPr>
              <w:pStyle w:val="33"/>
              <w:bidi w:val="0"/>
              <w:rPr>
                <w:rFonts w:hint="default"/>
                <w:color w:val="auto"/>
                <w:highlight w:val="none"/>
              </w:rPr>
            </w:pPr>
            <w:r>
              <w:rPr>
                <w:rFonts w:hint="default"/>
                <w:color w:val="auto"/>
                <w:highlight w:val="none"/>
              </w:rPr>
              <w:t>滑坡</w:t>
            </w:r>
          </w:p>
        </w:tc>
        <w:tc>
          <w:tcPr>
            <w:tcW w:w="1495" w:type="pct"/>
            <w:noWrap w:val="0"/>
            <w:vAlign w:val="center"/>
          </w:tcPr>
          <w:p w14:paraId="7A0AA111">
            <w:pPr>
              <w:pStyle w:val="33"/>
              <w:bidi w:val="0"/>
              <w:ind w:left="0" w:leftChars="0" w:right="0" w:rightChars="0" w:firstLine="0" w:firstLineChars="0"/>
              <w:jc w:val="both"/>
              <w:rPr>
                <w:rFonts w:hint="default"/>
                <w:color w:val="auto"/>
                <w:highlight w:val="none"/>
              </w:rPr>
            </w:pPr>
            <w:r>
              <w:rPr>
                <w:rFonts w:hint="default"/>
                <w:color w:val="auto"/>
                <w:highlight w:val="none"/>
              </w:rPr>
              <w:t>1.实际生产中采矿方法变动或构成参数违背设计确定的正确数值。</w:t>
            </w:r>
          </w:p>
          <w:p w14:paraId="29E6D3DE">
            <w:pPr>
              <w:pStyle w:val="33"/>
              <w:bidi w:val="0"/>
              <w:ind w:left="0" w:leftChars="0" w:right="0" w:rightChars="0" w:firstLine="0" w:firstLineChars="0"/>
              <w:jc w:val="both"/>
              <w:rPr>
                <w:rFonts w:hint="default"/>
                <w:color w:val="auto"/>
                <w:highlight w:val="none"/>
              </w:rPr>
            </w:pPr>
            <w:r>
              <w:rPr>
                <w:rFonts w:hint="default"/>
                <w:color w:val="auto"/>
                <w:highlight w:val="none"/>
              </w:rPr>
              <w:t>2.对该项目开采范围内的构造对边坡的影响判断有误或未采取正确的预防措施。</w:t>
            </w:r>
          </w:p>
          <w:p w14:paraId="7B1BFC08">
            <w:pPr>
              <w:pStyle w:val="33"/>
              <w:bidi w:val="0"/>
              <w:ind w:left="0" w:leftChars="0" w:right="0" w:rightChars="0" w:firstLine="0" w:firstLineChars="0"/>
              <w:jc w:val="both"/>
              <w:rPr>
                <w:rFonts w:hint="default"/>
                <w:color w:val="auto"/>
                <w:highlight w:val="none"/>
              </w:rPr>
            </w:pPr>
            <w:r>
              <w:rPr>
                <w:rFonts w:hint="default"/>
                <w:color w:val="auto"/>
                <w:highlight w:val="none"/>
              </w:rPr>
              <w:t>3.爆破参数设计不合理；爆破施工时违章作业。</w:t>
            </w:r>
          </w:p>
          <w:p w14:paraId="4EB929B7">
            <w:pPr>
              <w:pStyle w:val="33"/>
              <w:bidi w:val="0"/>
              <w:ind w:left="0" w:leftChars="0" w:right="0" w:rightChars="0" w:firstLine="0" w:firstLineChars="0"/>
              <w:jc w:val="both"/>
              <w:rPr>
                <w:rFonts w:hint="default"/>
                <w:color w:val="auto"/>
                <w:highlight w:val="none"/>
              </w:rPr>
            </w:pPr>
            <w:r>
              <w:rPr>
                <w:rFonts w:hint="default"/>
                <w:color w:val="auto"/>
                <w:highlight w:val="none"/>
              </w:rPr>
              <w:t>4．邻近边坡的爆破未采取控制爆破措施。</w:t>
            </w:r>
          </w:p>
          <w:p w14:paraId="7E9E3931">
            <w:pPr>
              <w:pStyle w:val="33"/>
              <w:bidi w:val="0"/>
              <w:ind w:left="0" w:leftChars="0" w:right="0" w:rightChars="0" w:firstLine="0" w:firstLineChars="0"/>
              <w:jc w:val="both"/>
              <w:rPr>
                <w:rFonts w:hint="default"/>
                <w:color w:val="auto"/>
                <w:highlight w:val="none"/>
              </w:rPr>
            </w:pPr>
            <w:r>
              <w:rPr>
                <w:rFonts w:hint="default"/>
                <w:color w:val="auto"/>
                <w:highlight w:val="none"/>
              </w:rPr>
              <w:t>5.未采取有效的边坡地下水疏干措施或未采取有效的地表水防治措施。</w:t>
            </w:r>
          </w:p>
        </w:tc>
        <w:tc>
          <w:tcPr>
            <w:tcW w:w="1071" w:type="pct"/>
            <w:noWrap w:val="0"/>
            <w:vAlign w:val="center"/>
          </w:tcPr>
          <w:p w14:paraId="5890BA13">
            <w:pPr>
              <w:pStyle w:val="33"/>
              <w:bidi w:val="0"/>
              <w:ind w:left="0" w:leftChars="0" w:right="0" w:rightChars="0" w:firstLine="0" w:firstLineChars="0"/>
              <w:jc w:val="both"/>
              <w:rPr>
                <w:rFonts w:hint="default"/>
                <w:color w:val="auto"/>
                <w:highlight w:val="none"/>
              </w:rPr>
            </w:pPr>
            <w:r>
              <w:rPr>
                <w:rFonts w:hint="default"/>
                <w:color w:val="auto"/>
                <w:highlight w:val="none"/>
              </w:rPr>
              <w:t>1.剧烈滑坡，其影响区域内,作业人员严重伤亡，设备摧毁性破坏，并严重影响正常生产。</w:t>
            </w:r>
          </w:p>
          <w:p w14:paraId="246C77E9">
            <w:pPr>
              <w:pStyle w:val="33"/>
              <w:bidi w:val="0"/>
              <w:ind w:left="0" w:leftChars="0" w:right="0" w:rightChars="0" w:firstLine="0" w:firstLineChars="0"/>
              <w:jc w:val="both"/>
              <w:rPr>
                <w:rFonts w:hint="default"/>
                <w:color w:val="auto"/>
                <w:highlight w:val="none"/>
              </w:rPr>
            </w:pPr>
            <w:r>
              <w:rPr>
                <w:rFonts w:hint="default"/>
                <w:color w:val="auto"/>
                <w:highlight w:val="none"/>
              </w:rPr>
              <w:t>2.缓慢滑坡，“滑体”缓慢下滑，影响正常的开采作业，对采场内的人员和设备的安全构成威胁。</w:t>
            </w:r>
          </w:p>
        </w:tc>
        <w:tc>
          <w:tcPr>
            <w:tcW w:w="320" w:type="pct"/>
            <w:noWrap w:val="0"/>
            <w:vAlign w:val="center"/>
          </w:tcPr>
          <w:p w14:paraId="31ADD254">
            <w:pPr>
              <w:pStyle w:val="33"/>
              <w:bidi w:val="0"/>
              <w:rPr>
                <w:rFonts w:hint="default"/>
                <w:color w:val="auto"/>
                <w:highlight w:val="none"/>
              </w:rPr>
            </w:pPr>
            <w:r>
              <w:rPr>
                <w:rFonts w:hint="default"/>
                <w:color w:val="auto"/>
                <w:highlight w:val="none"/>
              </w:rPr>
              <w:t>Ⅲ</w:t>
            </w:r>
          </w:p>
        </w:tc>
        <w:tc>
          <w:tcPr>
            <w:tcW w:w="1651" w:type="pct"/>
            <w:noWrap w:val="0"/>
            <w:vAlign w:val="center"/>
          </w:tcPr>
          <w:p w14:paraId="3776ABEC">
            <w:pPr>
              <w:pStyle w:val="33"/>
              <w:bidi w:val="0"/>
              <w:jc w:val="both"/>
              <w:rPr>
                <w:rFonts w:hint="default"/>
                <w:color w:val="auto"/>
                <w:highlight w:val="none"/>
              </w:rPr>
            </w:pPr>
            <w:r>
              <w:rPr>
                <w:rFonts w:hint="default"/>
                <w:color w:val="auto"/>
                <w:highlight w:val="none"/>
              </w:rPr>
              <w:t>1.设计阶段要详尽地了解相关情况，做出正确的边坡参数设计；开采过程中严格按设计的要求作业。</w:t>
            </w:r>
          </w:p>
          <w:p w14:paraId="31D31C56">
            <w:pPr>
              <w:pStyle w:val="33"/>
              <w:bidi w:val="0"/>
              <w:jc w:val="both"/>
              <w:rPr>
                <w:rFonts w:hint="default"/>
                <w:color w:val="auto"/>
                <w:highlight w:val="none"/>
              </w:rPr>
            </w:pPr>
            <w:r>
              <w:rPr>
                <w:rFonts w:hint="default"/>
                <w:color w:val="auto"/>
                <w:highlight w:val="none"/>
              </w:rPr>
              <w:t>2.弄清地质构造对边坡稳定性的影响并采取合理的预防措施。</w:t>
            </w:r>
          </w:p>
          <w:p w14:paraId="643554EB">
            <w:pPr>
              <w:pStyle w:val="33"/>
              <w:bidi w:val="0"/>
              <w:jc w:val="both"/>
              <w:rPr>
                <w:rFonts w:hint="default"/>
                <w:color w:val="auto"/>
                <w:highlight w:val="none"/>
              </w:rPr>
            </w:pPr>
            <w:r>
              <w:rPr>
                <w:rFonts w:hint="default"/>
                <w:color w:val="auto"/>
                <w:highlight w:val="none"/>
              </w:rPr>
              <w:t>3.选择合理的爆破参数，编制能够保证安全的爆破设计，保证爆破施工按爆破设计执行。</w:t>
            </w:r>
          </w:p>
          <w:p w14:paraId="7E655769">
            <w:pPr>
              <w:pStyle w:val="33"/>
              <w:bidi w:val="0"/>
              <w:jc w:val="both"/>
              <w:rPr>
                <w:rFonts w:hint="default"/>
                <w:color w:val="auto"/>
                <w:highlight w:val="none"/>
              </w:rPr>
            </w:pPr>
            <w:r>
              <w:rPr>
                <w:rFonts w:hint="default"/>
                <w:color w:val="auto"/>
                <w:highlight w:val="none"/>
              </w:rPr>
              <w:t>4.邻近边坡的爆破采取控制爆破措施。</w:t>
            </w:r>
          </w:p>
          <w:p w14:paraId="17DC599F">
            <w:pPr>
              <w:pStyle w:val="33"/>
              <w:bidi w:val="0"/>
              <w:jc w:val="both"/>
              <w:rPr>
                <w:rFonts w:hint="default"/>
                <w:color w:val="auto"/>
                <w:highlight w:val="none"/>
              </w:rPr>
            </w:pPr>
            <w:r>
              <w:rPr>
                <w:rFonts w:hint="default"/>
                <w:color w:val="auto"/>
                <w:highlight w:val="none"/>
              </w:rPr>
              <w:t>5.采取合理的防治水措施，重点是边坡水的疏干措施。</w:t>
            </w:r>
          </w:p>
        </w:tc>
      </w:tr>
      <w:tr w14:paraId="491B3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7" w:hRule="atLeast"/>
        </w:trPr>
        <w:tc>
          <w:tcPr>
            <w:tcW w:w="463" w:type="pct"/>
            <w:noWrap w:val="0"/>
            <w:vAlign w:val="center"/>
          </w:tcPr>
          <w:p w14:paraId="650BC3D1">
            <w:pPr>
              <w:pStyle w:val="33"/>
              <w:bidi w:val="0"/>
              <w:rPr>
                <w:rFonts w:hint="default"/>
                <w:color w:val="auto"/>
                <w:highlight w:val="none"/>
              </w:rPr>
            </w:pPr>
            <w:r>
              <w:rPr>
                <w:rFonts w:hint="default"/>
                <w:color w:val="auto"/>
                <w:highlight w:val="none"/>
              </w:rPr>
              <w:t>坍塌</w:t>
            </w:r>
          </w:p>
        </w:tc>
        <w:tc>
          <w:tcPr>
            <w:tcW w:w="1495" w:type="pct"/>
            <w:noWrap w:val="0"/>
            <w:vAlign w:val="center"/>
          </w:tcPr>
          <w:p w14:paraId="1FBC075E">
            <w:pPr>
              <w:pStyle w:val="33"/>
              <w:bidi w:val="0"/>
              <w:ind w:left="0" w:leftChars="0" w:right="0" w:rightChars="0" w:firstLine="0" w:firstLineChars="0"/>
              <w:jc w:val="both"/>
              <w:rPr>
                <w:rFonts w:hint="default"/>
                <w:color w:val="auto"/>
                <w:highlight w:val="none"/>
              </w:rPr>
            </w:pPr>
            <w:r>
              <w:rPr>
                <w:rFonts w:hint="default"/>
                <w:color w:val="auto"/>
                <w:highlight w:val="none"/>
              </w:rPr>
              <w:t>1.露天采场的边坡与断裂构造交汇地点产生临空面。</w:t>
            </w:r>
          </w:p>
          <w:p w14:paraId="0032A810">
            <w:pPr>
              <w:pStyle w:val="33"/>
              <w:bidi w:val="0"/>
              <w:ind w:left="0" w:leftChars="0" w:right="0" w:rightChars="0" w:firstLine="0" w:firstLineChars="0"/>
              <w:jc w:val="both"/>
              <w:rPr>
                <w:rFonts w:hint="default"/>
                <w:color w:val="auto"/>
                <w:highlight w:val="none"/>
              </w:rPr>
            </w:pPr>
            <w:r>
              <w:rPr>
                <w:rFonts w:hint="default"/>
                <w:color w:val="auto"/>
                <w:highlight w:val="none"/>
              </w:rPr>
              <w:t>2.边坡局部高陡。</w:t>
            </w:r>
          </w:p>
        </w:tc>
        <w:tc>
          <w:tcPr>
            <w:tcW w:w="1071" w:type="pct"/>
            <w:noWrap w:val="0"/>
            <w:vAlign w:val="center"/>
          </w:tcPr>
          <w:p w14:paraId="6FBE16AD">
            <w:pPr>
              <w:pStyle w:val="33"/>
              <w:bidi w:val="0"/>
              <w:ind w:left="0" w:leftChars="0" w:right="0" w:rightChars="0" w:firstLine="0" w:firstLineChars="0"/>
              <w:jc w:val="both"/>
              <w:rPr>
                <w:rFonts w:hint="default"/>
                <w:color w:val="auto"/>
                <w:highlight w:val="none"/>
              </w:rPr>
            </w:pPr>
            <w:r>
              <w:rPr>
                <w:rFonts w:hint="default"/>
                <w:color w:val="auto"/>
                <w:highlight w:val="none"/>
              </w:rPr>
              <w:t>开采过程中局部发生坍塌，威胁其下部作业人员和设备的安全。</w:t>
            </w:r>
          </w:p>
        </w:tc>
        <w:tc>
          <w:tcPr>
            <w:tcW w:w="320" w:type="pct"/>
            <w:noWrap w:val="0"/>
            <w:vAlign w:val="center"/>
          </w:tcPr>
          <w:p w14:paraId="0E6C6834">
            <w:pPr>
              <w:pStyle w:val="33"/>
              <w:bidi w:val="0"/>
              <w:rPr>
                <w:rFonts w:hint="default"/>
                <w:color w:val="auto"/>
                <w:highlight w:val="none"/>
              </w:rPr>
            </w:pPr>
            <w:r>
              <w:rPr>
                <w:rFonts w:hint="default"/>
                <w:color w:val="auto"/>
                <w:highlight w:val="none"/>
              </w:rPr>
              <w:t>Ⅲ</w:t>
            </w:r>
          </w:p>
        </w:tc>
        <w:tc>
          <w:tcPr>
            <w:tcW w:w="1651" w:type="pct"/>
            <w:noWrap w:val="0"/>
            <w:vAlign w:val="center"/>
          </w:tcPr>
          <w:p w14:paraId="212334FD">
            <w:pPr>
              <w:pStyle w:val="33"/>
              <w:bidi w:val="0"/>
              <w:jc w:val="both"/>
              <w:rPr>
                <w:rFonts w:hint="default"/>
                <w:color w:val="auto"/>
                <w:highlight w:val="none"/>
              </w:rPr>
            </w:pPr>
            <w:r>
              <w:rPr>
                <w:rFonts w:hint="default"/>
                <w:color w:val="auto"/>
                <w:highlight w:val="none"/>
              </w:rPr>
              <w:t>1.及时处理露天采场的边坡与断裂构造交汇之处的危险岩（矿）体，并采取加固措施（如锚固）。</w:t>
            </w:r>
          </w:p>
          <w:p w14:paraId="679AEE4B">
            <w:pPr>
              <w:pStyle w:val="33"/>
              <w:bidi w:val="0"/>
              <w:jc w:val="both"/>
              <w:rPr>
                <w:rFonts w:hint="default"/>
                <w:color w:val="auto"/>
                <w:highlight w:val="none"/>
              </w:rPr>
            </w:pPr>
            <w:r>
              <w:rPr>
                <w:rFonts w:hint="default"/>
                <w:color w:val="auto"/>
                <w:highlight w:val="none"/>
              </w:rPr>
              <w:t>2.开采过程中严格按相关规程作业，边坡高陡处及时处理。</w:t>
            </w:r>
          </w:p>
        </w:tc>
      </w:tr>
      <w:tr w14:paraId="4FBF3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6" w:hRule="atLeast"/>
        </w:trPr>
        <w:tc>
          <w:tcPr>
            <w:tcW w:w="463" w:type="pct"/>
            <w:noWrap w:val="0"/>
            <w:vAlign w:val="center"/>
          </w:tcPr>
          <w:p w14:paraId="6483B96B">
            <w:pPr>
              <w:pStyle w:val="33"/>
              <w:bidi w:val="0"/>
              <w:rPr>
                <w:rFonts w:hint="default"/>
                <w:color w:val="auto"/>
                <w:highlight w:val="none"/>
              </w:rPr>
            </w:pPr>
            <w:r>
              <w:rPr>
                <w:rFonts w:hint="default"/>
                <w:color w:val="auto"/>
                <w:highlight w:val="none"/>
              </w:rPr>
              <w:t>滚石滑落</w:t>
            </w:r>
          </w:p>
        </w:tc>
        <w:tc>
          <w:tcPr>
            <w:tcW w:w="1495" w:type="pct"/>
            <w:noWrap w:val="0"/>
            <w:vAlign w:val="center"/>
          </w:tcPr>
          <w:p w14:paraId="5D3E7055">
            <w:pPr>
              <w:pStyle w:val="33"/>
              <w:bidi w:val="0"/>
              <w:ind w:left="0" w:leftChars="0" w:right="0" w:rightChars="0" w:firstLine="0" w:firstLineChars="0"/>
              <w:jc w:val="both"/>
              <w:rPr>
                <w:rFonts w:hint="default"/>
                <w:color w:val="auto"/>
                <w:highlight w:val="none"/>
              </w:rPr>
            </w:pPr>
            <w:r>
              <w:rPr>
                <w:rFonts w:hint="default"/>
                <w:color w:val="auto"/>
                <w:highlight w:val="none"/>
              </w:rPr>
              <w:t>未及时清理边坡危岩、浮石，或安全、清扫平台的浮石清扫不净。</w:t>
            </w:r>
          </w:p>
        </w:tc>
        <w:tc>
          <w:tcPr>
            <w:tcW w:w="1071" w:type="pct"/>
            <w:noWrap w:val="0"/>
            <w:vAlign w:val="center"/>
          </w:tcPr>
          <w:p w14:paraId="6E35E855">
            <w:pPr>
              <w:pStyle w:val="33"/>
              <w:bidi w:val="0"/>
              <w:ind w:left="0" w:leftChars="0" w:right="0" w:rightChars="0" w:firstLine="0" w:firstLineChars="0"/>
              <w:jc w:val="both"/>
              <w:rPr>
                <w:rFonts w:hint="default"/>
                <w:color w:val="auto"/>
                <w:highlight w:val="none"/>
              </w:rPr>
            </w:pPr>
            <w:r>
              <w:rPr>
                <w:rFonts w:hint="default"/>
                <w:color w:val="auto"/>
                <w:highlight w:val="none"/>
              </w:rPr>
              <w:t>滚石伤人或损坏设备。</w:t>
            </w:r>
          </w:p>
        </w:tc>
        <w:tc>
          <w:tcPr>
            <w:tcW w:w="320" w:type="pct"/>
            <w:noWrap w:val="0"/>
            <w:vAlign w:val="center"/>
          </w:tcPr>
          <w:p w14:paraId="75E12897">
            <w:pPr>
              <w:pStyle w:val="33"/>
              <w:bidi w:val="0"/>
              <w:rPr>
                <w:rFonts w:hint="default"/>
                <w:color w:val="auto"/>
                <w:highlight w:val="none"/>
              </w:rPr>
            </w:pPr>
            <w:r>
              <w:rPr>
                <w:rFonts w:hint="default"/>
                <w:color w:val="auto"/>
                <w:highlight w:val="none"/>
              </w:rPr>
              <w:t>Ⅱ</w:t>
            </w:r>
          </w:p>
        </w:tc>
        <w:tc>
          <w:tcPr>
            <w:tcW w:w="1651" w:type="pct"/>
            <w:noWrap w:val="0"/>
            <w:vAlign w:val="center"/>
          </w:tcPr>
          <w:p w14:paraId="2F86771A">
            <w:pPr>
              <w:pStyle w:val="33"/>
              <w:bidi w:val="0"/>
              <w:jc w:val="both"/>
              <w:rPr>
                <w:rFonts w:hint="default"/>
                <w:color w:val="auto"/>
                <w:highlight w:val="none"/>
              </w:rPr>
            </w:pPr>
            <w:r>
              <w:rPr>
                <w:rFonts w:hint="default"/>
                <w:color w:val="auto"/>
                <w:highlight w:val="none"/>
              </w:rPr>
              <w:t>及时清理（处理）边坡和安全清扫平台的危岩、浮石。</w:t>
            </w:r>
          </w:p>
        </w:tc>
      </w:tr>
    </w:tbl>
    <w:p w14:paraId="040BA897">
      <w:pPr>
        <w:pStyle w:val="24"/>
        <w:bidi w:val="0"/>
        <w:rPr>
          <w:rFonts w:hint="eastAsia"/>
          <w:color w:val="auto"/>
          <w:highlight w:val="none"/>
          <w:lang w:val="en-US" w:eastAsia="zh-CN"/>
        </w:rPr>
      </w:pPr>
      <w:r>
        <w:rPr>
          <w:rFonts w:hint="eastAsia"/>
          <w:color w:val="auto"/>
          <w:highlight w:val="none"/>
          <w:lang w:val="en-US" w:eastAsia="zh-CN"/>
        </w:rPr>
        <w:t>3.3.1.3评价结果</w:t>
      </w:r>
    </w:p>
    <w:p w14:paraId="1B41A5DD">
      <w:pPr>
        <w:pStyle w:val="24"/>
        <w:bidi w:val="0"/>
        <w:rPr>
          <w:rFonts w:hint="default"/>
          <w:color w:val="auto"/>
          <w:highlight w:val="none"/>
          <w:lang w:eastAsia="zh-CN"/>
        </w:rPr>
      </w:pPr>
      <w:r>
        <w:rPr>
          <w:rFonts w:hint="default"/>
          <w:color w:val="auto"/>
          <w:highlight w:val="none"/>
        </w:rPr>
        <w:t>建设单位只要严格按照设计布置采场结构参数；严格按照设计的采矿方法进行开采，杜绝掏采和超挖坡底；对易失稳产生滑坡的部位采取相应加固措施；露天开采每次爆破后应组织人员对露天开采采场、边坡进行检查，通过采取以上安全措施后，能够保证露天采场边坡的稳定</w:t>
      </w:r>
      <w:r>
        <w:rPr>
          <w:rFonts w:hint="default"/>
          <w:color w:val="auto"/>
          <w:highlight w:val="none"/>
          <w:lang w:eastAsia="zh-CN"/>
        </w:rPr>
        <w:t>。</w:t>
      </w:r>
    </w:p>
    <w:p w14:paraId="27A1C279">
      <w:pPr>
        <w:pStyle w:val="31"/>
        <w:bidi w:val="0"/>
        <w:rPr>
          <w:rFonts w:hint="default"/>
          <w:color w:val="auto"/>
          <w:highlight w:val="none"/>
          <w:lang w:val="en-US" w:eastAsia="zh-CN"/>
        </w:rPr>
      </w:pPr>
      <w:r>
        <w:rPr>
          <w:rFonts w:hint="eastAsia"/>
          <w:color w:val="auto"/>
          <w:highlight w:val="none"/>
          <w:lang w:val="en-US" w:eastAsia="zh-CN"/>
        </w:rPr>
        <w:t>叉装子单元</w:t>
      </w:r>
    </w:p>
    <w:p w14:paraId="30C32C0A">
      <w:pPr>
        <w:pStyle w:val="24"/>
        <w:rPr>
          <w:rFonts w:hint="default"/>
          <w:b/>
          <w:bCs/>
          <w:color w:val="auto"/>
          <w:highlight w:val="none"/>
          <w:lang w:val="en-US" w:eastAsia="zh-CN"/>
        </w:rPr>
      </w:pPr>
      <w:r>
        <w:rPr>
          <w:rFonts w:hint="eastAsia"/>
          <w:b/>
          <w:bCs/>
          <w:color w:val="auto"/>
          <w:highlight w:val="none"/>
          <w:lang w:val="en-US" w:eastAsia="zh-CN"/>
        </w:rPr>
        <w:t>3.3.2.1危险、有害因素的辨识和分析</w:t>
      </w:r>
    </w:p>
    <w:p w14:paraId="0EED7865">
      <w:pPr>
        <w:pStyle w:val="24"/>
        <w:bidi w:val="0"/>
        <w:rPr>
          <w:rFonts w:hint="default"/>
          <w:color w:val="auto"/>
          <w:highlight w:val="none"/>
        </w:rPr>
      </w:pPr>
      <w:r>
        <w:rPr>
          <w:rFonts w:hint="default"/>
          <w:color w:val="auto"/>
          <w:highlight w:val="none"/>
        </w:rPr>
        <w:t>该项目在</w:t>
      </w:r>
      <w:r>
        <w:rPr>
          <w:rFonts w:hint="eastAsia"/>
          <w:color w:val="auto"/>
          <w:highlight w:val="none"/>
          <w:lang w:val="en-US" w:eastAsia="zh-CN"/>
        </w:rPr>
        <w:t>叉</w:t>
      </w:r>
      <w:r>
        <w:rPr>
          <w:rFonts w:hint="default"/>
          <w:color w:val="auto"/>
          <w:highlight w:val="none"/>
        </w:rPr>
        <w:t>装</w:t>
      </w:r>
      <w:r>
        <w:rPr>
          <w:rFonts w:hint="eastAsia"/>
          <w:color w:val="auto"/>
          <w:highlight w:val="none"/>
          <w:lang w:val="en-US" w:eastAsia="zh-CN"/>
        </w:rPr>
        <w:t>作业</w:t>
      </w:r>
      <w:r>
        <w:rPr>
          <w:rFonts w:hint="default"/>
          <w:color w:val="auto"/>
          <w:highlight w:val="none"/>
        </w:rPr>
        <w:t>过程中将使用挖掘机、</w:t>
      </w:r>
      <w:r>
        <w:rPr>
          <w:rFonts w:hint="eastAsia"/>
          <w:color w:val="auto"/>
          <w:highlight w:val="none"/>
          <w:lang w:val="en-US" w:eastAsia="zh-CN"/>
        </w:rPr>
        <w:t>叉装机、平板车、</w:t>
      </w:r>
      <w:r>
        <w:rPr>
          <w:rFonts w:hint="default"/>
          <w:color w:val="auto"/>
          <w:highlight w:val="none"/>
        </w:rPr>
        <w:t>装载机等机械设备，在机械运行过程中，存在人员被机械伤害、高处坠落及物体打击的危险。机械伤害和其它事故一样，是由人的不安全行为或物的不安全状态造成的：</w:t>
      </w:r>
    </w:p>
    <w:p w14:paraId="6E68ED16">
      <w:pPr>
        <w:pStyle w:val="24"/>
        <w:bidi w:val="0"/>
        <w:rPr>
          <w:rFonts w:hint="default"/>
          <w:color w:val="auto"/>
          <w:highlight w:val="none"/>
        </w:rPr>
      </w:pPr>
      <w:r>
        <w:rPr>
          <w:rFonts w:hint="default"/>
          <w:color w:val="auto"/>
          <w:highlight w:val="none"/>
        </w:rPr>
        <w:t>（1）人的不安全行为</w:t>
      </w:r>
    </w:p>
    <w:p w14:paraId="4F40195A">
      <w:pPr>
        <w:pStyle w:val="24"/>
        <w:bidi w:val="0"/>
        <w:rPr>
          <w:rFonts w:hint="default"/>
          <w:color w:val="auto"/>
          <w:highlight w:val="none"/>
        </w:rPr>
      </w:pPr>
      <w:r>
        <w:rPr>
          <w:rFonts w:hint="eastAsia"/>
          <w:color w:val="auto"/>
          <w:highlight w:val="none"/>
          <w:lang w:val="en-US" w:eastAsia="zh-CN"/>
        </w:rPr>
        <w:t>1、</w:t>
      </w:r>
      <w:r>
        <w:rPr>
          <w:rFonts w:hint="default"/>
          <w:color w:val="auto"/>
          <w:highlight w:val="none"/>
        </w:rPr>
        <w:t>作业人员违反操作规程或者某些失误造成不安全的行为；没有穿戴合适的防护用品而得不到良好的保护；防护用品没有穿戴好，衣角、袖口、头发等被转动的机械拉卷进去；</w:t>
      </w:r>
    </w:p>
    <w:p w14:paraId="4E7B0435">
      <w:pPr>
        <w:pStyle w:val="24"/>
        <w:bidi w:val="0"/>
        <w:rPr>
          <w:rFonts w:hint="default"/>
          <w:color w:val="auto"/>
          <w:highlight w:val="none"/>
        </w:rPr>
      </w:pPr>
      <w:r>
        <w:rPr>
          <w:rFonts w:hint="eastAsia"/>
          <w:color w:val="auto"/>
          <w:highlight w:val="none"/>
          <w:lang w:val="en-US" w:eastAsia="zh-CN"/>
        </w:rPr>
        <w:t>2、</w:t>
      </w:r>
      <w:r>
        <w:rPr>
          <w:rFonts w:hint="default"/>
          <w:color w:val="auto"/>
          <w:highlight w:val="none"/>
        </w:rPr>
        <w:t>正在检修机器或者刚检修好尚未离开，因他人误开动而被机器伤害；</w:t>
      </w:r>
    </w:p>
    <w:p w14:paraId="325E92E1">
      <w:pPr>
        <w:pStyle w:val="24"/>
        <w:bidi w:val="0"/>
        <w:rPr>
          <w:rFonts w:hint="default"/>
          <w:color w:val="auto"/>
          <w:highlight w:val="none"/>
        </w:rPr>
      </w:pPr>
      <w:r>
        <w:rPr>
          <w:rFonts w:hint="eastAsia"/>
          <w:color w:val="auto"/>
          <w:highlight w:val="none"/>
          <w:lang w:val="en-US" w:eastAsia="zh-CN"/>
        </w:rPr>
        <w:t>3、</w:t>
      </w:r>
      <w:r>
        <w:rPr>
          <w:rFonts w:hint="default"/>
          <w:color w:val="auto"/>
          <w:highlight w:val="none"/>
        </w:rPr>
        <w:t>在机器运转时进行检查、保养或做其它工作，因误入某些危险区域和部位造成伤害，如人跌入机械内，手伸进皮带罩内等；</w:t>
      </w:r>
    </w:p>
    <w:p w14:paraId="3C72A52C">
      <w:pPr>
        <w:pStyle w:val="24"/>
        <w:bidi w:val="0"/>
        <w:rPr>
          <w:rFonts w:hint="default"/>
          <w:color w:val="auto"/>
          <w:highlight w:val="none"/>
        </w:rPr>
      </w:pPr>
      <w:r>
        <w:rPr>
          <w:rFonts w:hint="eastAsia"/>
          <w:color w:val="auto"/>
          <w:highlight w:val="none"/>
          <w:lang w:val="en-US" w:eastAsia="zh-CN"/>
        </w:rPr>
        <w:t>4、</w:t>
      </w:r>
      <w:r>
        <w:rPr>
          <w:rFonts w:hint="default"/>
          <w:color w:val="auto"/>
          <w:highlight w:val="none"/>
        </w:rPr>
        <w:t>操作方法不当或不慎造成事故。</w:t>
      </w:r>
    </w:p>
    <w:p w14:paraId="31A14C5F">
      <w:pPr>
        <w:pStyle w:val="24"/>
        <w:bidi w:val="0"/>
        <w:rPr>
          <w:rFonts w:hint="default"/>
          <w:color w:val="auto"/>
          <w:highlight w:val="none"/>
        </w:rPr>
      </w:pPr>
      <w:r>
        <w:rPr>
          <w:rFonts w:hint="default"/>
          <w:color w:val="auto"/>
          <w:highlight w:val="none"/>
        </w:rPr>
        <w:t>（2）设备的不安全状态</w:t>
      </w:r>
    </w:p>
    <w:p w14:paraId="036420AB">
      <w:pPr>
        <w:pStyle w:val="24"/>
        <w:bidi w:val="0"/>
        <w:rPr>
          <w:rFonts w:hint="default"/>
          <w:color w:val="auto"/>
          <w:highlight w:val="none"/>
        </w:rPr>
      </w:pPr>
      <w:r>
        <w:rPr>
          <w:rFonts w:hint="default"/>
          <w:color w:val="auto"/>
          <w:highlight w:val="none"/>
        </w:rPr>
        <w:t>机械设备先天不足，缺乏安全防护装置，结构不合理，强度达不到要求，或者设备安装维修不当，是导致机械伤害的主要原因之一。</w:t>
      </w:r>
    </w:p>
    <w:p w14:paraId="79460F0A">
      <w:pPr>
        <w:pStyle w:val="24"/>
        <w:bidi w:val="0"/>
        <w:rPr>
          <w:rFonts w:hint="default"/>
          <w:color w:val="auto"/>
          <w:highlight w:val="none"/>
        </w:rPr>
      </w:pPr>
      <w:r>
        <w:rPr>
          <w:rFonts w:hint="eastAsia"/>
          <w:color w:val="auto"/>
          <w:highlight w:val="none"/>
          <w:lang w:val="en-US" w:eastAsia="zh-CN"/>
        </w:rPr>
        <w:t>1、</w:t>
      </w:r>
      <w:r>
        <w:rPr>
          <w:rFonts w:hint="default"/>
          <w:color w:val="auto"/>
          <w:highlight w:val="none"/>
        </w:rPr>
        <w:t>机械传动部分没有防护罩而轧伤人员，或传动部件的螺丝松脱而飞出伤人；</w:t>
      </w:r>
    </w:p>
    <w:p w14:paraId="34461555">
      <w:pPr>
        <w:pStyle w:val="24"/>
        <w:bidi w:val="0"/>
        <w:rPr>
          <w:rFonts w:hint="default"/>
          <w:color w:val="auto"/>
          <w:highlight w:val="none"/>
        </w:rPr>
      </w:pPr>
      <w:r>
        <w:rPr>
          <w:rFonts w:hint="eastAsia"/>
          <w:color w:val="auto"/>
          <w:highlight w:val="none"/>
          <w:lang w:val="en-US" w:eastAsia="zh-CN"/>
        </w:rPr>
        <w:t>2、</w:t>
      </w:r>
      <w:r>
        <w:rPr>
          <w:rFonts w:hint="default"/>
          <w:color w:val="auto"/>
          <w:highlight w:val="none"/>
        </w:rPr>
        <w:t>机械某些零件强度不够或受损伤，突然断裂伤人；</w:t>
      </w:r>
    </w:p>
    <w:p w14:paraId="3D60B79F">
      <w:pPr>
        <w:pStyle w:val="24"/>
        <w:bidi w:val="0"/>
        <w:rPr>
          <w:rFonts w:hint="default"/>
          <w:color w:val="auto"/>
          <w:highlight w:val="none"/>
        </w:rPr>
      </w:pPr>
      <w:r>
        <w:rPr>
          <w:rFonts w:hint="eastAsia"/>
          <w:color w:val="auto"/>
          <w:highlight w:val="none"/>
          <w:lang w:val="en-US" w:eastAsia="zh-CN"/>
        </w:rPr>
        <w:t>3、</w:t>
      </w:r>
      <w:r>
        <w:rPr>
          <w:rFonts w:hint="default"/>
          <w:color w:val="auto"/>
          <w:highlight w:val="none"/>
        </w:rPr>
        <w:t>缺乏必要的安全保险装置，或其失灵而不能起到应有的作用。</w:t>
      </w:r>
    </w:p>
    <w:p w14:paraId="05E1B15B">
      <w:pPr>
        <w:pStyle w:val="24"/>
        <w:bidi w:val="0"/>
        <w:rPr>
          <w:rFonts w:hint="default"/>
          <w:color w:val="auto"/>
          <w:highlight w:val="none"/>
        </w:rPr>
      </w:pPr>
      <w:r>
        <w:rPr>
          <w:rFonts w:hint="default"/>
          <w:color w:val="auto"/>
          <w:highlight w:val="none"/>
        </w:rPr>
        <w:t>（3）工作场所环境不良</w:t>
      </w:r>
    </w:p>
    <w:p w14:paraId="6DEB77C3">
      <w:pPr>
        <w:pStyle w:val="24"/>
        <w:bidi w:val="0"/>
        <w:rPr>
          <w:rFonts w:hint="default"/>
          <w:color w:val="auto"/>
          <w:highlight w:val="none"/>
        </w:rPr>
      </w:pPr>
      <w:r>
        <w:rPr>
          <w:rFonts w:hint="default"/>
          <w:color w:val="auto"/>
          <w:highlight w:val="none"/>
        </w:rPr>
        <w:t>机械设备所处的环境条件不好，会妨碍作业人员的工作，容易引起人员操作失误，造成伤害。</w:t>
      </w:r>
    </w:p>
    <w:p w14:paraId="4521136F">
      <w:pPr>
        <w:pStyle w:val="24"/>
        <w:bidi w:val="0"/>
        <w:rPr>
          <w:rFonts w:hint="default"/>
          <w:color w:val="auto"/>
          <w:highlight w:val="none"/>
        </w:rPr>
      </w:pPr>
      <w:r>
        <w:rPr>
          <w:rFonts w:hint="default"/>
          <w:color w:val="auto"/>
          <w:highlight w:val="none"/>
        </w:rPr>
        <w:t>此外，运输车辆、作业人员临近边坡作业时，若防护设施欠缺，易造成高处坠落事故；</w:t>
      </w:r>
    </w:p>
    <w:p w14:paraId="75E9E3DF">
      <w:pPr>
        <w:pStyle w:val="24"/>
        <w:bidi w:val="0"/>
        <w:rPr>
          <w:rFonts w:hint="default"/>
          <w:color w:val="auto"/>
          <w:highlight w:val="none"/>
        </w:rPr>
      </w:pPr>
      <w:r>
        <w:rPr>
          <w:rFonts w:hint="default"/>
          <w:color w:val="auto"/>
          <w:highlight w:val="none"/>
        </w:rPr>
        <w:t>挖掘机在进行铲装作业时，操作失误或铲斗直接从车辆驾驶室上方通过易造成物体打击事故，这些事故多是由于人的不安全行为造成的。</w:t>
      </w:r>
    </w:p>
    <w:p w14:paraId="06C21414">
      <w:pPr>
        <w:pStyle w:val="24"/>
        <w:bidi w:val="0"/>
        <w:rPr>
          <w:rFonts w:hint="default"/>
          <w:color w:val="auto"/>
          <w:highlight w:val="none"/>
        </w:rPr>
      </w:pPr>
      <w:r>
        <w:rPr>
          <w:rFonts w:hint="default"/>
          <w:color w:val="auto"/>
          <w:highlight w:val="none"/>
        </w:rPr>
        <w:t>通过对铲装子单元存在的危险、有害因素进行辨识和分析，确定该单元存在的危险因素为“机械伤害”、“高处坠落”、“物体打击”。</w:t>
      </w:r>
    </w:p>
    <w:p w14:paraId="0727E66E">
      <w:pPr>
        <w:pStyle w:val="24"/>
        <w:bidi w:val="0"/>
        <w:rPr>
          <w:rFonts w:hint="default" w:eastAsia="宋体"/>
          <w:b/>
          <w:bCs/>
          <w:color w:val="auto"/>
          <w:highlight w:val="none"/>
          <w:lang w:val="en-US" w:eastAsia="zh-CN"/>
        </w:rPr>
      </w:pPr>
      <w:r>
        <w:rPr>
          <w:rFonts w:hint="eastAsia"/>
          <w:b/>
          <w:bCs/>
          <w:color w:val="auto"/>
          <w:highlight w:val="none"/>
          <w:lang w:val="en-US" w:eastAsia="zh-CN"/>
        </w:rPr>
        <w:t>3.3.2.2叉装子单元评价</w:t>
      </w:r>
    </w:p>
    <w:p w14:paraId="4827ADC1">
      <w:pPr>
        <w:pStyle w:val="24"/>
        <w:bidi w:val="0"/>
        <w:rPr>
          <w:rFonts w:hint="default"/>
          <w:color w:val="auto"/>
          <w:highlight w:val="none"/>
        </w:rPr>
      </w:pPr>
      <w:r>
        <w:rPr>
          <w:rFonts w:hint="default"/>
          <w:color w:val="auto"/>
          <w:highlight w:val="none"/>
        </w:rPr>
        <w:t>采用预先危险性分析法对</w:t>
      </w:r>
      <w:r>
        <w:rPr>
          <w:rFonts w:hint="eastAsia"/>
          <w:color w:val="auto"/>
          <w:highlight w:val="none"/>
          <w:lang w:val="en-US" w:eastAsia="zh-CN"/>
        </w:rPr>
        <w:t>叉装</w:t>
      </w:r>
      <w:r>
        <w:rPr>
          <w:rFonts w:hint="default"/>
          <w:color w:val="auto"/>
          <w:highlight w:val="none"/>
        </w:rPr>
        <w:t>子单元存在的危险、有害因素进行评价，见表</w:t>
      </w:r>
      <w:r>
        <w:rPr>
          <w:rFonts w:hint="eastAsia"/>
          <w:color w:val="auto"/>
          <w:highlight w:val="none"/>
          <w:lang w:val="en-US" w:eastAsia="zh-CN"/>
        </w:rPr>
        <w:t>3.3-2</w:t>
      </w:r>
      <w:r>
        <w:rPr>
          <w:rFonts w:hint="default"/>
          <w:color w:val="auto"/>
          <w:highlight w:val="none"/>
        </w:rPr>
        <w:t>。</w:t>
      </w:r>
    </w:p>
    <w:p w14:paraId="590C6910">
      <w:pPr>
        <w:pStyle w:val="32"/>
        <w:bidi w:val="0"/>
        <w:rPr>
          <w:rFonts w:hint="default"/>
          <w:color w:val="auto"/>
          <w:highlight w:val="none"/>
        </w:rPr>
      </w:pPr>
      <w:r>
        <w:rPr>
          <w:rFonts w:hint="default"/>
          <w:color w:val="auto"/>
          <w:highlight w:val="none"/>
        </w:rPr>
        <w:t>表</w:t>
      </w:r>
      <w:r>
        <w:rPr>
          <w:rFonts w:hint="eastAsia"/>
          <w:color w:val="auto"/>
          <w:highlight w:val="none"/>
          <w:lang w:val="en-US" w:eastAsia="zh-CN"/>
        </w:rPr>
        <w:t>3.3-2</w:t>
      </w:r>
      <w:r>
        <w:rPr>
          <w:rFonts w:hint="default"/>
          <w:color w:val="auto"/>
          <w:highlight w:val="none"/>
        </w:rPr>
        <w:t xml:space="preserve">  </w:t>
      </w:r>
      <w:r>
        <w:rPr>
          <w:rFonts w:hint="eastAsia"/>
          <w:color w:val="auto"/>
          <w:highlight w:val="none"/>
          <w:lang w:val="en-US" w:eastAsia="zh-CN"/>
        </w:rPr>
        <w:t>叉</w:t>
      </w:r>
      <w:r>
        <w:rPr>
          <w:rFonts w:hint="default"/>
          <w:color w:val="auto"/>
          <w:highlight w:val="none"/>
        </w:rPr>
        <w:t>装子单元预先危险性分析检查表</w:t>
      </w:r>
    </w:p>
    <w:tbl>
      <w:tblPr>
        <w:tblStyle w:val="2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0"/>
        <w:gridCol w:w="3497"/>
        <w:gridCol w:w="1414"/>
        <w:gridCol w:w="603"/>
        <w:gridCol w:w="3067"/>
      </w:tblGrid>
      <w:tr w14:paraId="09F01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0" w:type="auto"/>
            <w:noWrap w:val="0"/>
            <w:vAlign w:val="center"/>
          </w:tcPr>
          <w:p w14:paraId="2C00DAD6">
            <w:pPr>
              <w:pStyle w:val="33"/>
              <w:bidi w:val="0"/>
              <w:rPr>
                <w:rFonts w:hint="default"/>
                <w:color w:val="auto"/>
                <w:highlight w:val="none"/>
              </w:rPr>
            </w:pPr>
            <w:r>
              <w:rPr>
                <w:rFonts w:hint="default"/>
                <w:color w:val="auto"/>
                <w:highlight w:val="none"/>
              </w:rPr>
              <w:t>存在的危险因素</w:t>
            </w:r>
          </w:p>
        </w:tc>
        <w:tc>
          <w:tcPr>
            <w:tcW w:w="0" w:type="auto"/>
            <w:noWrap w:val="0"/>
            <w:vAlign w:val="center"/>
          </w:tcPr>
          <w:p w14:paraId="0FA46F9F">
            <w:pPr>
              <w:pStyle w:val="33"/>
              <w:bidi w:val="0"/>
              <w:rPr>
                <w:rFonts w:hint="default"/>
                <w:color w:val="auto"/>
                <w:highlight w:val="none"/>
              </w:rPr>
            </w:pPr>
            <w:r>
              <w:rPr>
                <w:rFonts w:hint="default"/>
                <w:color w:val="auto"/>
                <w:highlight w:val="none"/>
              </w:rPr>
              <w:t>引发事故的原因</w:t>
            </w:r>
          </w:p>
        </w:tc>
        <w:tc>
          <w:tcPr>
            <w:tcW w:w="0" w:type="auto"/>
            <w:noWrap w:val="0"/>
            <w:vAlign w:val="center"/>
          </w:tcPr>
          <w:p w14:paraId="13FB2D71">
            <w:pPr>
              <w:pStyle w:val="33"/>
              <w:bidi w:val="0"/>
              <w:rPr>
                <w:rFonts w:hint="default"/>
                <w:color w:val="auto"/>
                <w:highlight w:val="none"/>
              </w:rPr>
            </w:pPr>
            <w:r>
              <w:rPr>
                <w:rFonts w:hint="default"/>
                <w:color w:val="auto"/>
                <w:highlight w:val="none"/>
              </w:rPr>
              <w:t>导致的事故后果</w:t>
            </w:r>
          </w:p>
        </w:tc>
        <w:tc>
          <w:tcPr>
            <w:tcW w:w="0" w:type="auto"/>
            <w:noWrap w:val="0"/>
            <w:vAlign w:val="center"/>
          </w:tcPr>
          <w:p w14:paraId="5B4FAE20">
            <w:pPr>
              <w:pStyle w:val="33"/>
              <w:bidi w:val="0"/>
              <w:rPr>
                <w:rFonts w:hint="default"/>
                <w:color w:val="auto"/>
                <w:highlight w:val="none"/>
              </w:rPr>
            </w:pPr>
            <w:r>
              <w:rPr>
                <w:rFonts w:hint="default"/>
                <w:color w:val="auto"/>
                <w:highlight w:val="none"/>
              </w:rPr>
              <w:t>危险等级</w:t>
            </w:r>
          </w:p>
        </w:tc>
        <w:tc>
          <w:tcPr>
            <w:tcW w:w="0" w:type="auto"/>
            <w:noWrap w:val="0"/>
            <w:vAlign w:val="center"/>
          </w:tcPr>
          <w:p w14:paraId="23C18F1F">
            <w:pPr>
              <w:pStyle w:val="33"/>
              <w:bidi w:val="0"/>
              <w:rPr>
                <w:rFonts w:hint="default"/>
                <w:color w:val="auto"/>
                <w:highlight w:val="none"/>
              </w:rPr>
            </w:pPr>
            <w:r>
              <w:rPr>
                <w:rFonts w:hint="default"/>
                <w:color w:val="auto"/>
                <w:highlight w:val="none"/>
              </w:rPr>
              <w:t>预防措施</w:t>
            </w:r>
          </w:p>
        </w:tc>
      </w:tr>
      <w:tr w14:paraId="709B0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0" w:type="auto"/>
            <w:noWrap w:val="0"/>
            <w:textDirection w:val="tbRlV"/>
            <w:vAlign w:val="center"/>
          </w:tcPr>
          <w:p w14:paraId="1121326A">
            <w:pPr>
              <w:pStyle w:val="33"/>
              <w:bidi w:val="0"/>
              <w:rPr>
                <w:rFonts w:hint="default"/>
                <w:color w:val="auto"/>
                <w:highlight w:val="none"/>
              </w:rPr>
            </w:pPr>
            <w:r>
              <w:rPr>
                <w:rFonts w:hint="default"/>
                <w:color w:val="auto"/>
                <w:highlight w:val="none"/>
              </w:rPr>
              <w:t>机械伤害</w:t>
            </w:r>
          </w:p>
        </w:tc>
        <w:tc>
          <w:tcPr>
            <w:tcW w:w="0" w:type="auto"/>
            <w:noWrap w:val="0"/>
            <w:vAlign w:val="center"/>
          </w:tcPr>
          <w:p w14:paraId="39B6EEE8">
            <w:pPr>
              <w:pStyle w:val="33"/>
              <w:bidi w:val="0"/>
              <w:jc w:val="both"/>
              <w:rPr>
                <w:rFonts w:hint="default"/>
                <w:color w:val="auto"/>
                <w:highlight w:val="none"/>
              </w:rPr>
            </w:pPr>
            <w:r>
              <w:rPr>
                <w:rFonts w:hint="default"/>
                <w:color w:val="auto"/>
                <w:highlight w:val="none"/>
              </w:rPr>
              <w:t>1.挖掘机在移动前和移动时，有人员在其移动范围内。</w:t>
            </w:r>
          </w:p>
          <w:p w14:paraId="2076A681">
            <w:pPr>
              <w:pStyle w:val="33"/>
              <w:bidi w:val="0"/>
              <w:jc w:val="both"/>
              <w:rPr>
                <w:rFonts w:hint="default"/>
                <w:color w:val="auto"/>
                <w:highlight w:val="none"/>
              </w:rPr>
            </w:pPr>
            <w:r>
              <w:rPr>
                <w:rFonts w:hint="default"/>
                <w:color w:val="auto"/>
                <w:highlight w:val="none"/>
              </w:rPr>
              <w:t>2.挖掘机在进行各种操作时，出警告信号。</w:t>
            </w:r>
          </w:p>
          <w:p w14:paraId="6FAF76A7">
            <w:pPr>
              <w:pStyle w:val="33"/>
              <w:bidi w:val="0"/>
              <w:jc w:val="both"/>
              <w:rPr>
                <w:rFonts w:hint="default"/>
                <w:color w:val="auto"/>
                <w:highlight w:val="none"/>
              </w:rPr>
            </w:pPr>
            <w:r>
              <w:rPr>
                <w:rFonts w:hint="default"/>
                <w:color w:val="auto"/>
                <w:highlight w:val="none"/>
              </w:rPr>
              <w:t>3. 没有确认作业人员和设备是否在安全范围内就开动设备。</w:t>
            </w:r>
          </w:p>
          <w:p w14:paraId="6DEC9A85">
            <w:pPr>
              <w:pStyle w:val="33"/>
              <w:bidi w:val="0"/>
              <w:jc w:val="both"/>
              <w:rPr>
                <w:rFonts w:hint="default"/>
                <w:color w:val="auto"/>
                <w:highlight w:val="none"/>
              </w:rPr>
            </w:pPr>
            <w:r>
              <w:rPr>
                <w:rFonts w:hint="default"/>
                <w:color w:val="auto"/>
                <w:highlight w:val="none"/>
              </w:rPr>
              <w:t>4.挖掘机作业时，悬臂或铲斗下面、工作面附近有人停留。</w:t>
            </w:r>
          </w:p>
          <w:p w14:paraId="437080B1">
            <w:pPr>
              <w:pStyle w:val="33"/>
              <w:bidi w:val="0"/>
              <w:jc w:val="both"/>
              <w:rPr>
                <w:rFonts w:hint="default"/>
                <w:color w:val="auto"/>
                <w:highlight w:val="none"/>
              </w:rPr>
            </w:pPr>
            <w:r>
              <w:rPr>
                <w:rFonts w:hint="default"/>
                <w:color w:val="auto"/>
                <w:highlight w:val="none"/>
              </w:rPr>
              <w:t>5. 挖掘机</w:t>
            </w:r>
            <w:r>
              <w:rPr>
                <w:rFonts w:hint="eastAsia"/>
                <w:color w:val="auto"/>
                <w:highlight w:val="none"/>
                <w:lang w:val="en-US" w:eastAsia="zh-CN"/>
              </w:rPr>
              <w:t>叉</w:t>
            </w:r>
            <w:r>
              <w:rPr>
                <w:rFonts w:hint="default"/>
                <w:color w:val="auto"/>
                <w:highlight w:val="none"/>
              </w:rPr>
              <w:t>装作业时，铲斗从车辆驾驶室上方通过。</w:t>
            </w:r>
          </w:p>
          <w:p w14:paraId="5962CBFB">
            <w:pPr>
              <w:pStyle w:val="33"/>
              <w:bidi w:val="0"/>
              <w:jc w:val="both"/>
              <w:rPr>
                <w:rFonts w:hint="default"/>
                <w:color w:val="auto"/>
                <w:highlight w:val="none"/>
              </w:rPr>
            </w:pPr>
            <w:r>
              <w:rPr>
                <w:rFonts w:hint="default"/>
                <w:color w:val="auto"/>
                <w:highlight w:val="none"/>
              </w:rPr>
              <w:t>6. 两台以上的挖掘机在同一平台上作业时，挖掘机的间距不当；相邻两阶段同时作业的挖掘机未沿阶段方向错开一定的距离。</w:t>
            </w:r>
          </w:p>
          <w:p w14:paraId="1C56A4B9">
            <w:pPr>
              <w:pStyle w:val="33"/>
              <w:bidi w:val="0"/>
              <w:jc w:val="both"/>
              <w:rPr>
                <w:rFonts w:hint="default"/>
                <w:color w:val="auto"/>
                <w:highlight w:val="none"/>
              </w:rPr>
            </w:pPr>
            <w:r>
              <w:rPr>
                <w:rFonts w:hint="default"/>
                <w:color w:val="auto"/>
                <w:highlight w:val="none"/>
              </w:rPr>
              <w:t>7．在设备运转时处理故障和进行卫生清扫，多人作业时没有相互监护。</w:t>
            </w:r>
          </w:p>
          <w:p w14:paraId="43926600">
            <w:pPr>
              <w:pStyle w:val="33"/>
              <w:bidi w:val="0"/>
              <w:jc w:val="both"/>
              <w:rPr>
                <w:rFonts w:hint="default"/>
                <w:color w:val="auto"/>
                <w:highlight w:val="none"/>
              </w:rPr>
            </w:pPr>
            <w:r>
              <w:rPr>
                <w:rFonts w:hint="default"/>
                <w:color w:val="auto"/>
                <w:highlight w:val="none"/>
              </w:rPr>
              <w:t>8. 存在视觉盲角。</w:t>
            </w:r>
          </w:p>
          <w:p w14:paraId="29590D5B">
            <w:pPr>
              <w:pStyle w:val="33"/>
              <w:bidi w:val="0"/>
              <w:jc w:val="both"/>
              <w:rPr>
                <w:rFonts w:hint="default"/>
                <w:color w:val="auto"/>
                <w:highlight w:val="none"/>
              </w:rPr>
            </w:pPr>
            <w:r>
              <w:rPr>
                <w:rFonts w:hint="default"/>
                <w:color w:val="auto"/>
                <w:highlight w:val="none"/>
              </w:rPr>
              <w:t>9．使用工具，操作设备，没有严格按操作规程进行操作。</w:t>
            </w:r>
          </w:p>
          <w:p w14:paraId="4532973D">
            <w:pPr>
              <w:pStyle w:val="33"/>
              <w:bidi w:val="0"/>
              <w:jc w:val="both"/>
              <w:rPr>
                <w:rFonts w:hint="default"/>
                <w:color w:val="auto"/>
                <w:highlight w:val="none"/>
              </w:rPr>
            </w:pPr>
            <w:r>
              <w:rPr>
                <w:rFonts w:hint="default"/>
                <w:color w:val="auto"/>
                <w:highlight w:val="none"/>
              </w:rPr>
              <w:t>10.挖掘机设备“带病”作业。</w:t>
            </w:r>
          </w:p>
          <w:p w14:paraId="44BC6C61">
            <w:pPr>
              <w:pStyle w:val="33"/>
              <w:bidi w:val="0"/>
              <w:jc w:val="both"/>
              <w:rPr>
                <w:rFonts w:hint="default"/>
                <w:color w:val="auto"/>
                <w:highlight w:val="none"/>
              </w:rPr>
            </w:pPr>
            <w:r>
              <w:rPr>
                <w:rFonts w:hint="default"/>
                <w:color w:val="auto"/>
                <w:highlight w:val="none"/>
              </w:rPr>
              <w:t>11.自卸汽车进入工作面装车，未停留在挖掘机尾部回转范围0.5m以外，挖掘机回转撞击汽车。</w:t>
            </w:r>
          </w:p>
        </w:tc>
        <w:tc>
          <w:tcPr>
            <w:tcW w:w="0" w:type="auto"/>
            <w:noWrap w:val="0"/>
            <w:vAlign w:val="center"/>
          </w:tcPr>
          <w:p w14:paraId="7E844D85">
            <w:pPr>
              <w:pStyle w:val="33"/>
              <w:bidi w:val="0"/>
              <w:rPr>
                <w:rFonts w:hint="default"/>
                <w:color w:val="auto"/>
                <w:highlight w:val="none"/>
              </w:rPr>
            </w:pPr>
            <w:r>
              <w:rPr>
                <w:rFonts w:hint="default"/>
                <w:color w:val="auto"/>
                <w:highlight w:val="none"/>
              </w:rPr>
              <w:t>1.设备伤人（碾压、碰撞）。</w:t>
            </w:r>
          </w:p>
          <w:p w14:paraId="18BF390B">
            <w:pPr>
              <w:pStyle w:val="33"/>
              <w:bidi w:val="0"/>
              <w:rPr>
                <w:rFonts w:hint="default"/>
                <w:color w:val="auto"/>
                <w:highlight w:val="none"/>
              </w:rPr>
            </w:pPr>
            <w:r>
              <w:rPr>
                <w:rFonts w:hint="default"/>
                <w:color w:val="auto"/>
                <w:highlight w:val="none"/>
              </w:rPr>
              <w:t>2.设备倾倒。</w:t>
            </w:r>
          </w:p>
        </w:tc>
        <w:tc>
          <w:tcPr>
            <w:tcW w:w="0" w:type="auto"/>
            <w:noWrap w:val="0"/>
            <w:vAlign w:val="center"/>
          </w:tcPr>
          <w:p w14:paraId="15D77B46">
            <w:pPr>
              <w:pStyle w:val="33"/>
              <w:bidi w:val="0"/>
              <w:rPr>
                <w:rFonts w:hint="default"/>
                <w:color w:val="auto"/>
                <w:highlight w:val="none"/>
              </w:rPr>
            </w:pPr>
            <w:r>
              <w:rPr>
                <w:rFonts w:hint="default"/>
                <w:color w:val="auto"/>
                <w:highlight w:val="none"/>
              </w:rPr>
              <w:t>Ⅱ</w:t>
            </w:r>
          </w:p>
        </w:tc>
        <w:tc>
          <w:tcPr>
            <w:tcW w:w="0" w:type="auto"/>
            <w:noWrap w:val="0"/>
            <w:vAlign w:val="center"/>
          </w:tcPr>
          <w:p w14:paraId="1CAC8507">
            <w:pPr>
              <w:pStyle w:val="33"/>
              <w:bidi w:val="0"/>
              <w:jc w:val="both"/>
              <w:rPr>
                <w:rFonts w:hint="default"/>
                <w:color w:val="auto"/>
                <w:highlight w:val="none"/>
              </w:rPr>
            </w:pPr>
            <w:r>
              <w:rPr>
                <w:rFonts w:hint="default"/>
                <w:color w:val="auto"/>
                <w:highlight w:val="none"/>
              </w:rPr>
              <w:t>1.在开动挖掘机之前，应检查其移动范围内是否有人员。</w:t>
            </w:r>
          </w:p>
          <w:p w14:paraId="4E41E2DC">
            <w:pPr>
              <w:pStyle w:val="33"/>
              <w:bidi w:val="0"/>
              <w:jc w:val="both"/>
              <w:rPr>
                <w:rFonts w:hint="default"/>
                <w:color w:val="auto"/>
                <w:highlight w:val="none"/>
              </w:rPr>
            </w:pPr>
            <w:r>
              <w:rPr>
                <w:rFonts w:hint="default"/>
                <w:color w:val="auto"/>
                <w:highlight w:val="none"/>
              </w:rPr>
              <w:t>2.挖掘机在进行各种操作时，应先出警告信号。</w:t>
            </w:r>
          </w:p>
          <w:p w14:paraId="0C2EC171">
            <w:pPr>
              <w:pStyle w:val="33"/>
              <w:bidi w:val="0"/>
              <w:jc w:val="both"/>
              <w:rPr>
                <w:rFonts w:hint="default"/>
                <w:color w:val="auto"/>
                <w:highlight w:val="none"/>
              </w:rPr>
            </w:pPr>
            <w:r>
              <w:rPr>
                <w:rFonts w:hint="default"/>
                <w:color w:val="auto"/>
                <w:highlight w:val="none"/>
              </w:rPr>
              <w:t>3.确认作业人员和设备在安全范围内再开动设备。</w:t>
            </w:r>
          </w:p>
          <w:p w14:paraId="59FCA9E0">
            <w:pPr>
              <w:pStyle w:val="33"/>
              <w:bidi w:val="0"/>
              <w:jc w:val="both"/>
              <w:rPr>
                <w:rFonts w:hint="default"/>
                <w:color w:val="auto"/>
                <w:highlight w:val="none"/>
              </w:rPr>
            </w:pPr>
            <w:r>
              <w:rPr>
                <w:rFonts w:hint="default"/>
                <w:color w:val="auto"/>
                <w:highlight w:val="none"/>
              </w:rPr>
              <w:t>4.挖掘机作业时，悬臂或铲斗下面、工作面附近严禁人员停留。</w:t>
            </w:r>
          </w:p>
          <w:p w14:paraId="2BAB0AD6">
            <w:pPr>
              <w:pStyle w:val="33"/>
              <w:bidi w:val="0"/>
              <w:jc w:val="both"/>
              <w:rPr>
                <w:rFonts w:hint="default"/>
                <w:color w:val="auto"/>
                <w:highlight w:val="none"/>
              </w:rPr>
            </w:pPr>
            <w:r>
              <w:rPr>
                <w:rFonts w:hint="default"/>
                <w:color w:val="auto"/>
                <w:highlight w:val="none"/>
              </w:rPr>
              <w:t>5.严禁铲斗从车辆驾驶室上方通过。</w:t>
            </w:r>
          </w:p>
          <w:p w14:paraId="45305E0F">
            <w:pPr>
              <w:pStyle w:val="33"/>
              <w:bidi w:val="0"/>
              <w:jc w:val="both"/>
              <w:rPr>
                <w:rFonts w:hint="default"/>
                <w:color w:val="auto"/>
                <w:highlight w:val="none"/>
              </w:rPr>
            </w:pPr>
            <w:r>
              <w:rPr>
                <w:rFonts w:hint="default"/>
                <w:color w:val="auto"/>
                <w:highlight w:val="none"/>
              </w:rPr>
              <w:t>6. 两台以上的挖掘机同时作业时，合理确定其相对位置。</w:t>
            </w:r>
          </w:p>
          <w:p w14:paraId="15859113">
            <w:pPr>
              <w:pStyle w:val="33"/>
              <w:bidi w:val="0"/>
              <w:jc w:val="both"/>
              <w:rPr>
                <w:rFonts w:hint="default"/>
                <w:color w:val="auto"/>
                <w:highlight w:val="none"/>
              </w:rPr>
            </w:pPr>
            <w:r>
              <w:rPr>
                <w:rFonts w:hint="default"/>
                <w:color w:val="auto"/>
                <w:highlight w:val="none"/>
              </w:rPr>
              <w:t>7.在设备运转时不容许处理故障和进行卫生清扫。多人作业时要做好相互监护。</w:t>
            </w:r>
          </w:p>
          <w:p w14:paraId="6BFC445D">
            <w:pPr>
              <w:pStyle w:val="33"/>
              <w:bidi w:val="0"/>
              <w:jc w:val="both"/>
              <w:rPr>
                <w:rFonts w:hint="default"/>
                <w:color w:val="auto"/>
                <w:highlight w:val="none"/>
              </w:rPr>
            </w:pPr>
            <w:r>
              <w:rPr>
                <w:rFonts w:hint="default"/>
                <w:color w:val="auto"/>
                <w:highlight w:val="none"/>
              </w:rPr>
              <w:t>8.增加必要的观察设施，避免有视觉盲角。</w:t>
            </w:r>
          </w:p>
          <w:p w14:paraId="469C27B9">
            <w:pPr>
              <w:pStyle w:val="33"/>
              <w:bidi w:val="0"/>
              <w:jc w:val="both"/>
              <w:rPr>
                <w:rFonts w:hint="default"/>
                <w:color w:val="auto"/>
                <w:highlight w:val="none"/>
              </w:rPr>
            </w:pPr>
            <w:r>
              <w:rPr>
                <w:rFonts w:hint="default"/>
                <w:color w:val="auto"/>
                <w:highlight w:val="none"/>
              </w:rPr>
              <w:t>9.使用工具，操作设备，严格按操作规程进行操作。</w:t>
            </w:r>
          </w:p>
          <w:p w14:paraId="085FCCE9">
            <w:pPr>
              <w:pStyle w:val="33"/>
              <w:bidi w:val="0"/>
              <w:jc w:val="both"/>
              <w:rPr>
                <w:rFonts w:hint="default"/>
                <w:color w:val="auto"/>
                <w:highlight w:val="none"/>
              </w:rPr>
            </w:pPr>
            <w:r>
              <w:rPr>
                <w:rFonts w:hint="default"/>
                <w:color w:val="auto"/>
                <w:highlight w:val="none"/>
              </w:rPr>
              <w:t>10.严禁设备“带病”作业。</w:t>
            </w:r>
          </w:p>
          <w:p w14:paraId="03C9492D">
            <w:pPr>
              <w:pStyle w:val="33"/>
              <w:bidi w:val="0"/>
              <w:jc w:val="both"/>
              <w:rPr>
                <w:rFonts w:hint="default"/>
                <w:color w:val="auto"/>
                <w:highlight w:val="none"/>
              </w:rPr>
            </w:pPr>
            <w:r>
              <w:rPr>
                <w:rFonts w:hint="default"/>
                <w:color w:val="auto"/>
                <w:highlight w:val="none"/>
              </w:rPr>
              <w:t>11.自卸汽车进入工作面装车时，应停留在挖掘机尾部回转范围0.5m以外。</w:t>
            </w:r>
          </w:p>
        </w:tc>
      </w:tr>
      <w:tr w14:paraId="3EA34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0" w:type="auto"/>
            <w:noWrap w:val="0"/>
            <w:textDirection w:val="tbRlV"/>
            <w:vAlign w:val="center"/>
          </w:tcPr>
          <w:p w14:paraId="35F68BA6">
            <w:pPr>
              <w:pStyle w:val="33"/>
              <w:bidi w:val="0"/>
              <w:rPr>
                <w:rFonts w:hint="default"/>
                <w:color w:val="auto"/>
                <w:highlight w:val="none"/>
              </w:rPr>
            </w:pPr>
            <w:r>
              <w:rPr>
                <w:rFonts w:hint="default"/>
                <w:color w:val="auto"/>
                <w:highlight w:val="none"/>
              </w:rPr>
              <w:t>高处坠落</w:t>
            </w:r>
          </w:p>
        </w:tc>
        <w:tc>
          <w:tcPr>
            <w:tcW w:w="0" w:type="auto"/>
            <w:noWrap w:val="0"/>
            <w:vAlign w:val="center"/>
          </w:tcPr>
          <w:p w14:paraId="1543B80F">
            <w:pPr>
              <w:pStyle w:val="33"/>
              <w:bidi w:val="0"/>
              <w:jc w:val="both"/>
              <w:rPr>
                <w:rFonts w:hint="default"/>
                <w:color w:val="auto"/>
                <w:highlight w:val="none"/>
              </w:rPr>
            </w:pPr>
            <w:r>
              <w:rPr>
                <w:rFonts w:hint="default"/>
                <w:color w:val="auto"/>
                <w:highlight w:val="none"/>
              </w:rPr>
              <w:t>1.作业平台未设安全防护设施；作业人员从工作平台边缘行走、站位不当。</w:t>
            </w:r>
          </w:p>
          <w:p w14:paraId="4E0F1581">
            <w:pPr>
              <w:pStyle w:val="33"/>
              <w:bidi w:val="0"/>
              <w:jc w:val="both"/>
              <w:rPr>
                <w:rFonts w:hint="default"/>
                <w:color w:val="auto"/>
                <w:highlight w:val="none"/>
              </w:rPr>
            </w:pPr>
            <w:r>
              <w:rPr>
                <w:rFonts w:hint="default"/>
                <w:color w:val="auto"/>
                <w:highlight w:val="none"/>
              </w:rPr>
              <w:t>2.是运输车辆从工作平台边缘行走。</w:t>
            </w:r>
          </w:p>
          <w:p w14:paraId="16A23E75">
            <w:pPr>
              <w:pStyle w:val="33"/>
              <w:bidi w:val="0"/>
              <w:jc w:val="both"/>
              <w:rPr>
                <w:rFonts w:hint="default"/>
                <w:color w:val="auto"/>
                <w:highlight w:val="none"/>
              </w:rPr>
            </w:pPr>
            <w:r>
              <w:rPr>
                <w:rFonts w:hint="default"/>
                <w:color w:val="auto"/>
                <w:highlight w:val="none"/>
              </w:rPr>
              <w:t>3．挖掘机未在作业平台的稳定范围内行走。挖掘机上下坡时，驱动轴未始终处于下坡方向或铲斗未空载。</w:t>
            </w:r>
          </w:p>
        </w:tc>
        <w:tc>
          <w:tcPr>
            <w:tcW w:w="0" w:type="auto"/>
            <w:noWrap w:val="0"/>
            <w:vAlign w:val="center"/>
          </w:tcPr>
          <w:p w14:paraId="77EC9793">
            <w:pPr>
              <w:pStyle w:val="33"/>
              <w:bidi w:val="0"/>
              <w:rPr>
                <w:rFonts w:hint="default"/>
                <w:color w:val="auto"/>
                <w:highlight w:val="none"/>
              </w:rPr>
            </w:pPr>
            <w:r>
              <w:rPr>
                <w:rFonts w:hint="default"/>
                <w:color w:val="auto"/>
                <w:highlight w:val="none"/>
              </w:rPr>
              <w:t>人员伤亡，设备损坏。</w:t>
            </w:r>
          </w:p>
          <w:p w14:paraId="04E32DE5">
            <w:pPr>
              <w:pStyle w:val="33"/>
              <w:bidi w:val="0"/>
              <w:rPr>
                <w:rFonts w:hint="default"/>
                <w:color w:val="auto"/>
                <w:highlight w:val="none"/>
              </w:rPr>
            </w:pPr>
          </w:p>
        </w:tc>
        <w:tc>
          <w:tcPr>
            <w:tcW w:w="0" w:type="auto"/>
            <w:noWrap w:val="0"/>
            <w:vAlign w:val="center"/>
          </w:tcPr>
          <w:p w14:paraId="0BD1802B">
            <w:pPr>
              <w:pStyle w:val="33"/>
              <w:bidi w:val="0"/>
              <w:rPr>
                <w:rFonts w:hint="default"/>
                <w:color w:val="auto"/>
                <w:highlight w:val="none"/>
              </w:rPr>
            </w:pPr>
            <w:r>
              <w:rPr>
                <w:rFonts w:hint="default"/>
                <w:color w:val="auto"/>
                <w:highlight w:val="none"/>
              </w:rPr>
              <w:t>Ⅱ</w:t>
            </w:r>
          </w:p>
        </w:tc>
        <w:tc>
          <w:tcPr>
            <w:tcW w:w="0" w:type="auto"/>
            <w:noWrap w:val="0"/>
            <w:vAlign w:val="center"/>
          </w:tcPr>
          <w:p w14:paraId="794FCECE">
            <w:pPr>
              <w:pStyle w:val="33"/>
              <w:bidi w:val="0"/>
              <w:jc w:val="both"/>
              <w:rPr>
                <w:rFonts w:hint="default"/>
                <w:color w:val="auto"/>
                <w:highlight w:val="none"/>
              </w:rPr>
            </w:pPr>
            <w:r>
              <w:rPr>
                <w:rFonts w:hint="default"/>
                <w:color w:val="auto"/>
                <w:highlight w:val="none"/>
              </w:rPr>
              <w:t>1．</w:t>
            </w:r>
            <w:r>
              <w:rPr>
                <w:rFonts w:hint="eastAsia"/>
                <w:color w:val="auto"/>
                <w:highlight w:val="none"/>
                <w:lang w:val="en-US" w:eastAsia="zh-CN"/>
              </w:rPr>
              <w:t>叉</w:t>
            </w:r>
            <w:r>
              <w:rPr>
                <w:rFonts w:hint="default"/>
                <w:color w:val="auto"/>
                <w:highlight w:val="none"/>
              </w:rPr>
              <w:t>装作业平台设安全防护设施；作业人员严禁从工作平台边缘行走，合理站位。</w:t>
            </w:r>
          </w:p>
          <w:p w14:paraId="1251BB86">
            <w:pPr>
              <w:pStyle w:val="33"/>
              <w:bidi w:val="0"/>
              <w:jc w:val="both"/>
              <w:rPr>
                <w:rFonts w:hint="default"/>
                <w:color w:val="auto"/>
                <w:highlight w:val="none"/>
              </w:rPr>
            </w:pPr>
            <w:r>
              <w:rPr>
                <w:rFonts w:hint="default"/>
                <w:color w:val="auto"/>
                <w:highlight w:val="none"/>
              </w:rPr>
              <w:t>2.人员及车辆在操作过程中遵守规程，要站位合理。</w:t>
            </w:r>
          </w:p>
          <w:p w14:paraId="1CE88052">
            <w:pPr>
              <w:pStyle w:val="33"/>
              <w:bidi w:val="0"/>
              <w:jc w:val="both"/>
              <w:rPr>
                <w:rFonts w:hint="default"/>
                <w:color w:val="auto"/>
                <w:highlight w:val="none"/>
              </w:rPr>
            </w:pPr>
            <w:r>
              <w:rPr>
                <w:rFonts w:hint="default"/>
                <w:color w:val="auto"/>
                <w:highlight w:val="none"/>
              </w:rPr>
              <w:t>3. 挖掘机应在作业平台的稳定范围内行走。挖掘机上下坡时，驱动轴应始终处于下坡方向或</w:t>
            </w:r>
            <w:r>
              <w:rPr>
                <w:rFonts w:hint="default"/>
                <w:color w:val="auto"/>
                <w:highlight w:val="none"/>
                <w:lang w:eastAsia="zh-CN"/>
              </w:rPr>
              <w:t>与地面保持适当距离</w:t>
            </w:r>
            <w:r>
              <w:rPr>
                <w:rFonts w:hint="default"/>
                <w:color w:val="auto"/>
                <w:highlight w:val="none"/>
              </w:rPr>
              <w:t>。</w:t>
            </w:r>
          </w:p>
        </w:tc>
      </w:tr>
      <w:tr w14:paraId="03EAD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0" w:type="auto"/>
            <w:noWrap w:val="0"/>
            <w:textDirection w:val="tbRlV"/>
            <w:vAlign w:val="center"/>
          </w:tcPr>
          <w:p w14:paraId="1A60910A">
            <w:pPr>
              <w:pStyle w:val="33"/>
              <w:bidi w:val="0"/>
              <w:rPr>
                <w:rFonts w:hint="default"/>
                <w:color w:val="auto"/>
                <w:highlight w:val="none"/>
              </w:rPr>
            </w:pPr>
            <w:r>
              <w:rPr>
                <w:rFonts w:hint="default"/>
                <w:color w:val="auto"/>
                <w:highlight w:val="none"/>
              </w:rPr>
              <w:t>物体打击</w:t>
            </w:r>
          </w:p>
        </w:tc>
        <w:tc>
          <w:tcPr>
            <w:tcW w:w="0" w:type="auto"/>
            <w:noWrap w:val="0"/>
            <w:vAlign w:val="center"/>
          </w:tcPr>
          <w:p w14:paraId="29AF5481">
            <w:pPr>
              <w:pStyle w:val="33"/>
              <w:bidi w:val="0"/>
              <w:jc w:val="both"/>
              <w:rPr>
                <w:rFonts w:hint="default"/>
                <w:color w:val="auto"/>
                <w:highlight w:val="none"/>
              </w:rPr>
            </w:pPr>
            <w:r>
              <w:rPr>
                <w:rFonts w:hint="default"/>
                <w:color w:val="auto"/>
                <w:highlight w:val="none"/>
              </w:rPr>
              <w:t>1. 上一阶段存在浮石滚落。</w:t>
            </w:r>
          </w:p>
          <w:p w14:paraId="4CAB3E9D">
            <w:pPr>
              <w:pStyle w:val="33"/>
              <w:bidi w:val="0"/>
              <w:jc w:val="both"/>
              <w:rPr>
                <w:rFonts w:hint="default"/>
                <w:color w:val="auto"/>
                <w:highlight w:val="none"/>
              </w:rPr>
            </w:pPr>
            <w:r>
              <w:rPr>
                <w:rFonts w:hint="default"/>
                <w:color w:val="auto"/>
                <w:highlight w:val="none"/>
              </w:rPr>
              <w:t>2. 挖掘机司机操作失误，提前把铲斗内的矿（岩）放出。</w:t>
            </w:r>
          </w:p>
          <w:p w14:paraId="02AE9052">
            <w:pPr>
              <w:pStyle w:val="33"/>
              <w:bidi w:val="0"/>
              <w:jc w:val="both"/>
              <w:rPr>
                <w:rFonts w:hint="default"/>
                <w:color w:val="auto"/>
                <w:highlight w:val="none"/>
              </w:rPr>
            </w:pPr>
            <w:r>
              <w:rPr>
                <w:rFonts w:hint="default"/>
                <w:color w:val="auto"/>
                <w:highlight w:val="none"/>
              </w:rPr>
              <w:t>3. 挖掘机铲斗从车辆驾驶室上通过，矿（岩）石从铲斗内掉落。</w:t>
            </w:r>
          </w:p>
          <w:p w14:paraId="6417DD67">
            <w:pPr>
              <w:pStyle w:val="33"/>
              <w:bidi w:val="0"/>
              <w:jc w:val="both"/>
              <w:rPr>
                <w:rFonts w:hint="default"/>
                <w:color w:val="auto"/>
                <w:highlight w:val="none"/>
              </w:rPr>
            </w:pPr>
            <w:r>
              <w:rPr>
                <w:rFonts w:hint="default"/>
                <w:color w:val="auto"/>
                <w:highlight w:val="none"/>
              </w:rPr>
              <w:t>4．作业人员没戴安全帽。</w:t>
            </w:r>
          </w:p>
          <w:p w14:paraId="1D7B9C3A">
            <w:pPr>
              <w:pStyle w:val="33"/>
              <w:bidi w:val="0"/>
              <w:jc w:val="both"/>
              <w:rPr>
                <w:rFonts w:hint="default"/>
                <w:color w:val="auto"/>
                <w:highlight w:val="none"/>
              </w:rPr>
            </w:pPr>
            <w:r>
              <w:rPr>
                <w:rFonts w:hint="default"/>
                <w:color w:val="auto"/>
                <w:highlight w:val="none"/>
              </w:rPr>
              <w:t>5．挖掘机作业时，发现浮岩块或崩塌征兆未停止作业，未将挖掘机开到安全地带。</w:t>
            </w:r>
          </w:p>
          <w:p w14:paraId="425BCA46">
            <w:pPr>
              <w:pStyle w:val="33"/>
              <w:bidi w:val="0"/>
              <w:jc w:val="both"/>
              <w:rPr>
                <w:rFonts w:hint="default"/>
                <w:color w:val="auto"/>
                <w:highlight w:val="none"/>
              </w:rPr>
            </w:pPr>
            <w:r>
              <w:rPr>
                <w:rFonts w:hint="default"/>
                <w:color w:val="auto"/>
                <w:highlight w:val="none"/>
              </w:rPr>
              <w:t>6．装车时，汽车司机离开司机室，或将头、手臂伸至司机室外。</w:t>
            </w:r>
          </w:p>
          <w:p w14:paraId="3943AD14">
            <w:pPr>
              <w:pStyle w:val="33"/>
              <w:bidi w:val="0"/>
              <w:jc w:val="both"/>
              <w:rPr>
                <w:rFonts w:hint="default"/>
                <w:color w:val="auto"/>
                <w:highlight w:val="none"/>
              </w:rPr>
            </w:pPr>
            <w:r>
              <w:rPr>
                <w:rFonts w:hint="default"/>
                <w:color w:val="auto"/>
                <w:highlight w:val="none"/>
              </w:rPr>
              <w:t>7.装车时，检查、维护车辆、汽车司机停留在司机室跳板上或有落石危险的地方。</w:t>
            </w:r>
          </w:p>
        </w:tc>
        <w:tc>
          <w:tcPr>
            <w:tcW w:w="0" w:type="auto"/>
            <w:noWrap w:val="0"/>
            <w:vAlign w:val="center"/>
          </w:tcPr>
          <w:p w14:paraId="62CD41A7">
            <w:pPr>
              <w:pStyle w:val="33"/>
              <w:bidi w:val="0"/>
              <w:rPr>
                <w:rFonts w:hint="default"/>
                <w:color w:val="auto"/>
                <w:highlight w:val="none"/>
              </w:rPr>
            </w:pPr>
            <w:r>
              <w:rPr>
                <w:rFonts w:hint="default"/>
                <w:color w:val="auto"/>
                <w:highlight w:val="none"/>
              </w:rPr>
              <w:t>损坏设备，伤害人员</w:t>
            </w:r>
          </w:p>
        </w:tc>
        <w:tc>
          <w:tcPr>
            <w:tcW w:w="0" w:type="auto"/>
            <w:noWrap w:val="0"/>
            <w:vAlign w:val="center"/>
          </w:tcPr>
          <w:p w14:paraId="78016142">
            <w:pPr>
              <w:pStyle w:val="33"/>
              <w:bidi w:val="0"/>
              <w:rPr>
                <w:rFonts w:hint="default"/>
                <w:color w:val="auto"/>
                <w:highlight w:val="none"/>
              </w:rPr>
            </w:pPr>
            <w:r>
              <w:rPr>
                <w:rFonts w:hint="default"/>
                <w:color w:val="auto"/>
                <w:highlight w:val="none"/>
              </w:rPr>
              <w:t>Ⅱ</w:t>
            </w:r>
          </w:p>
        </w:tc>
        <w:tc>
          <w:tcPr>
            <w:tcW w:w="0" w:type="auto"/>
            <w:noWrap w:val="0"/>
            <w:vAlign w:val="center"/>
          </w:tcPr>
          <w:p w14:paraId="36B49D0E">
            <w:pPr>
              <w:pStyle w:val="33"/>
              <w:bidi w:val="0"/>
              <w:jc w:val="both"/>
              <w:rPr>
                <w:rFonts w:hint="default"/>
                <w:color w:val="auto"/>
                <w:highlight w:val="none"/>
              </w:rPr>
            </w:pPr>
            <w:r>
              <w:rPr>
                <w:rFonts w:hint="default"/>
                <w:color w:val="auto"/>
                <w:highlight w:val="none"/>
              </w:rPr>
              <w:t>1.及时处理上一阶段内的浮石。</w:t>
            </w:r>
          </w:p>
          <w:p w14:paraId="4D5E37DF">
            <w:pPr>
              <w:pStyle w:val="33"/>
              <w:bidi w:val="0"/>
              <w:jc w:val="both"/>
              <w:rPr>
                <w:rFonts w:hint="default"/>
                <w:color w:val="auto"/>
                <w:highlight w:val="none"/>
              </w:rPr>
            </w:pPr>
            <w:r>
              <w:rPr>
                <w:rFonts w:hint="default"/>
                <w:color w:val="auto"/>
                <w:highlight w:val="none"/>
              </w:rPr>
              <w:t>2.挖掘机司机必须经过培训后上岗，严格按照作业规程操作。</w:t>
            </w:r>
          </w:p>
          <w:p w14:paraId="2D1B2A42">
            <w:pPr>
              <w:pStyle w:val="33"/>
              <w:bidi w:val="0"/>
              <w:jc w:val="both"/>
              <w:rPr>
                <w:rFonts w:hint="default"/>
                <w:color w:val="auto"/>
                <w:highlight w:val="none"/>
              </w:rPr>
            </w:pPr>
            <w:r>
              <w:rPr>
                <w:rFonts w:hint="default"/>
                <w:color w:val="auto"/>
                <w:highlight w:val="none"/>
              </w:rPr>
              <w:t>3. 挖掘机铲斗不容许从车辆驾驶室上方通过。</w:t>
            </w:r>
          </w:p>
          <w:p w14:paraId="0315544C">
            <w:pPr>
              <w:pStyle w:val="33"/>
              <w:bidi w:val="0"/>
              <w:jc w:val="both"/>
              <w:rPr>
                <w:rFonts w:hint="default"/>
                <w:color w:val="auto"/>
                <w:highlight w:val="none"/>
              </w:rPr>
            </w:pPr>
            <w:r>
              <w:rPr>
                <w:rFonts w:hint="default"/>
                <w:color w:val="auto"/>
                <w:highlight w:val="none"/>
              </w:rPr>
              <w:t>4. 作业人员穿戴好安全帽。</w:t>
            </w:r>
          </w:p>
          <w:p w14:paraId="7B8B2A00">
            <w:pPr>
              <w:pStyle w:val="33"/>
              <w:bidi w:val="0"/>
              <w:jc w:val="both"/>
              <w:rPr>
                <w:rFonts w:hint="default"/>
                <w:color w:val="auto"/>
                <w:highlight w:val="none"/>
              </w:rPr>
            </w:pPr>
            <w:r>
              <w:rPr>
                <w:rFonts w:hint="default"/>
                <w:color w:val="auto"/>
                <w:highlight w:val="none"/>
              </w:rPr>
              <w:t>5．挖掘机作业时，发现浮岩块或崩塌征兆应立即停止作业，并将挖掘机开到安全地带。</w:t>
            </w:r>
          </w:p>
          <w:p w14:paraId="744B6C17">
            <w:pPr>
              <w:pStyle w:val="33"/>
              <w:bidi w:val="0"/>
              <w:jc w:val="both"/>
              <w:rPr>
                <w:rFonts w:hint="default"/>
                <w:color w:val="auto"/>
                <w:highlight w:val="none"/>
              </w:rPr>
            </w:pPr>
            <w:r>
              <w:rPr>
                <w:rFonts w:hint="default"/>
                <w:color w:val="auto"/>
                <w:highlight w:val="none"/>
              </w:rPr>
              <w:t>6．装车时，汽车司机不得离开司机室，或将头、手臂伸至司机室外。</w:t>
            </w:r>
          </w:p>
          <w:p w14:paraId="3BE8782A">
            <w:pPr>
              <w:pStyle w:val="33"/>
              <w:bidi w:val="0"/>
              <w:jc w:val="both"/>
              <w:rPr>
                <w:rFonts w:hint="default"/>
                <w:color w:val="auto"/>
                <w:highlight w:val="none"/>
              </w:rPr>
            </w:pPr>
            <w:r>
              <w:rPr>
                <w:rFonts w:hint="default"/>
                <w:color w:val="auto"/>
                <w:highlight w:val="none"/>
              </w:rPr>
              <w:t>7.装车时，不得检查、维护车辆；汽车司机不得停留在司机室跳板上或有落石危险的地方。</w:t>
            </w:r>
          </w:p>
        </w:tc>
      </w:tr>
    </w:tbl>
    <w:p w14:paraId="12043D7C">
      <w:pPr>
        <w:pStyle w:val="24"/>
        <w:bidi w:val="0"/>
        <w:rPr>
          <w:rFonts w:hint="eastAsia"/>
          <w:b/>
          <w:bCs/>
          <w:color w:val="auto"/>
          <w:highlight w:val="none"/>
          <w:lang w:val="en-US" w:eastAsia="zh-CN"/>
        </w:rPr>
      </w:pPr>
      <w:r>
        <w:rPr>
          <w:rFonts w:hint="eastAsia"/>
          <w:b/>
          <w:bCs/>
          <w:color w:val="auto"/>
          <w:highlight w:val="none"/>
          <w:lang w:val="en-US" w:eastAsia="zh-CN"/>
        </w:rPr>
        <w:t>3.3.2.3评价结果</w:t>
      </w:r>
    </w:p>
    <w:p w14:paraId="5778F1A3">
      <w:pPr>
        <w:pStyle w:val="24"/>
        <w:bidi w:val="0"/>
        <w:rPr>
          <w:rFonts w:hint="default"/>
          <w:color w:val="auto"/>
          <w:highlight w:val="none"/>
        </w:rPr>
      </w:pPr>
      <w:r>
        <w:rPr>
          <w:rFonts w:hint="eastAsia"/>
          <w:color w:val="auto"/>
          <w:highlight w:val="none"/>
          <w:lang w:val="en-US" w:eastAsia="zh-CN"/>
        </w:rPr>
        <w:t>叉</w:t>
      </w:r>
      <w:r>
        <w:rPr>
          <w:rFonts w:hint="default"/>
          <w:color w:val="auto"/>
          <w:highlight w:val="none"/>
        </w:rPr>
        <w:t>装作业是矿山生产的主要工艺之一，机械伤害、高处坠落、物体打击在矿山发生频率较高，因此本项目潜在的危险等级定为Ⅱ级。</w:t>
      </w:r>
    </w:p>
    <w:p w14:paraId="38F873ED">
      <w:pPr>
        <w:pStyle w:val="24"/>
        <w:bidi w:val="0"/>
        <w:rPr>
          <w:rFonts w:hint="default"/>
          <w:color w:val="auto"/>
          <w:highlight w:val="none"/>
          <w:lang w:val="en-US" w:eastAsia="zh-CN"/>
        </w:rPr>
      </w:pPr>
      <w:r>
        <w:rPr>
          <w:rFonts w:hint="default"/>
          <w:color w:val="auto"/>
          <w:highlight w:val="none"/>
        </w:rPr>
        <w:t>高处作业配备必要的劳动防护用品并杜绝上下多层垂直作业，禁止人员在坡根底停留，避免高处坠落和物体打击事故的发生。如果建设单位落实本预评价报告提出的以上安全措施，</w:t>
      </w:r>
      <w:r>
        <w:rPr>
          <w:rFonts w:hint="eastAsia"/>
          <w:color w:val="auto"/>
          <w:highlight w:val="none"/>
          <w:lang w:val="en-US" w:eastAsia="zh-CN"/>
        </w:rPr>
        <w:t>叉</w:t>
      </w:r>
      <w:r>
        <w:rPr>
          <w:rFonts w:hint="default"/>
          <w:color w:val="auto"/>
          <w:highlight w:val="none"/>
        </w:rPr>
        <w:t>装作业是安全可靠的，</w:t>
      </w:r>
      <w:r>
        <w:rPr>
          <w:rFonts w:hint="eastAsia"/>
          <w:color w:val="auto"/>
          <w:highlight w:val="none"/>
          <w:lang w:val="en-US" w:eastAsia="zh-CN"/>
        </w:rPr>
        <w:t>叉</w:t>
      </w:r>
      <w:r>
        <w:rPr>
          <w:rFonts w:hint="default"/>
          <w:color w:val="auto"/>
          <w:highlight w:val="none"/>
        </w:rPr>
        <w:t>装过程中造成危害是可控制的。</w:t>
      </w:r>
    </w:p>
    <w:p w14:paraId="66686504">
      <w:pPr>
        <w:pStyle w:val="30"/>
        <w:bidi w:val="0"/>
        <w:rPr>
          <w:rFonts w:hint="default"/>
          <w:color w:val="auto"/>
          <w:highlight w:val="none"/>
          <w:lang w:val="en-US" w:eastAsia="zh-CN"/>
        </w:rPr>
      </w:pPr>
      <w:bookmarkStart w:id="34" w:name="_Toc18576"/>
      <w:r>
        <w:rPr>
          <w:rFonts w:hint="eastAsia"/>
          <w:color w:val="auto"/>
          <w:highlight w:val="none"/>
          <w:lang w:val="en-US" w:eastAsia="zh-CN"/>
        </w:rPr>
        <w:t>矿山供配电设施评价</w:t>
      </w:r>
      <w:bookmarkEnd w:id="34"/>
    </w:p>
    <w:p w14:paraId="7B499C1E">
      <w:pPr>
        <w:pStyle w:val="31"/>
        <w:rPr>
          <w:rFonts w:hint="default"/>
          <w:color w:val="auto"/>
          <w:highlight w:val="none"/>
          <w:lang w:val="en-US" w:eastAsia="zh-CN"/>
        </w:rPr>
      </w:pPr>
      <w:r>
        <w:rPr>
          <w:rFonts w:hint="default"/>
          <w:color w:val="auto"/>
          <w:highlight w:val="none"/>
          <w:lang w:val="en-US" w:eastAsia="zh-CN"/>
        </w:rPr>
        <w:t>危险、有害因素</w:t>
      </w:r>
      <w:r>
        <w:rPr>
          <w:rFonts w:hint="eastAsia"/>
          <w:color w:val="auto"/>
          <w:highlight w:val="none"/>
          <w:lang w:val="en-US" w:eastAsia="zh-CN"/>
        </w:rPr>
        <w:t>的</w:t>
      </w:r>
      <w:r>
        <w:rPr>
          <w:rFonts w:hint="default"/>
          <w:color w:val="auto"/>
          <w:highlight w:val="none"/>
          <w:lang w:val="en-US" w:eastAsia="zh-CN"/>
        </w:rPr>
        <w:t>辨识</w:t>
      </w:r>
      <w:r>
        <w:rPr>
          <w:rFonts w:hint="eastAsia"/>
          <w:color w:val="auto"/>
          <w:highlight w:val="none"/>
          <w:lang w:val="en-US" w:eastAsia="zh-CN"/>
        </w:rPr>
        <w:t>和分析</w:t>
      </w:r>
    </w:p>
    <w:p w14:paraId="09902E1D">
      <w:pPr>
        <w:pStyle w:val="24"/>
        <w:keepNext w:val="0"/>
        <w:keepLines w:val="0"/>
        <w:pageBreakBefore w:val="0"/>
        <w:widowControl w:val="0"/>
        <w:kinsoku/>
        <w:wordWrap/>
        <w:overflowPunct/>
        <w:topLinePunct w:val="0"/>
        <w:autoSpaceDE/>
        <w:autoSpaceDN/>
        <w:bidi w:val="0"/>
        <w:adjustRightInd w:val="0"/>
        <w:snapToGrid w:val="0"/>
        <w:textAlignment w:val="auto"/>
        <w:rPr>
          <w:rFonts w:hint="eastAsia"/>
          <w:color w:val="auto"/>
          <w:highlight w:val="none"/>
        </w:rPr>
      </w:pPr>
      <w:r>
        <w:rPr>
          <w:rFonts w:hint="eastAsia"/>
          <w:color w:val="auto"/>
          <w:highlight w:val="none"/>
        </w:rPr>
        <w:t>矿山主要采掘设备均为柴油燃油设备，设备的大、中修全部外委，主要用电设备为矿山办公室照明、机修、露天采场照明等供电。与此相关，存在电气设备与输电线路漏电导致人员触电的可能。</w:t>
      </w:r>
    </w:p>
    <w:p w14:paraId="13A16B3C">
      <w:pPr>
        <w:pStyle w:val="24"/>
        <w:bidi w:val="0"/>
        <w:rPr>
          <w:rFonts w:hint="default"/>
          <w:color w:val="auto"/>
          <w:highlight w:val="none"/>
        </w:rPr>
      </w:pPr>
      <w:r>
        <w:rPr>
          <w:rFonts w:hint="default"/>
          <w:color w:val="auto"/>
          <w:highlight w:val="none"/>
        </w:rPr>
        <w:t>触电伤害有电击与电伤两种形式：电击是指电流通过人体内部的组织和器官，引起人体功能及组织损伤，破坏人的心脏、肺脏及神经系统的正常功能，导致人体痉挛、窒息，直至危及人的生命。电伤是通过电流的热效应、化学效应或机械效应对人体的伤害。</w:t>
      </w:r>
    </w:p>
    <w:p w14:paraId="29FF6954">
      <w:pPr>
        <w:pStyle w:val="24"/>
        <w:bidi w:val="0"/>
        <w:rPr>
          <w:rFonts w:hint="default"/>
          <w:color w:val="auto"/>
          <w:highlight w:val="none"/>
        </w:rPr>
      </w:pPr>
      <w:r>
        <w:rPr>
          <w:rFonts w:hint="default"/>
          <w:color w:val="auto"/>
          <w:highlight w:val="none"/>
        </w:rPr>
        <w:t>该项目发生触电伤害的主要原因如下：</w:t>
      </w:r>
    </w:p>
    <w:p w14:paraId="74466BEB">
      <w:pPr>
        <w:pStyle w:val="24"/>
        <w:bidi w:val="0"/>
        <w:rPr>
          <w:rFonts w:hint="default"/>
          <w:color w:val="auto"/>
          <w:highlight w:val="none"/>
        </w:rPr>
      </w:pPr>
      <w:r>
        <w:rPr>
          <w:rFonts w:hint="default"/>
          <w:color w:val="auto"/>
          <w:highlight w:val="none"/>
        </w:rPr>
        <w:t>（1）电气保护系统（短路、过负荷、过电压、接地保护）失灵。</w:t>
      </w:r>
    </w:p>
    <w:p w14:paraId="13A7D798">
      <w:pPr>
        <w:pStyle w:val="24"/>
        <w:bidi w:val="0"/>
        <w:rPr>
          <w:rFonts w:hint="default"/>
          <w:color w:val="auto"/>
          <w:highlight w:val="none"/>
        </w:rPr>
      </w:pPr>
      <w:r>
        <w:rPr>
          <w:rFonts w:hint="default"/>
          <w:color w:val="auto"/>
          <w:highlight w:val="none"/>
        </w:rPr>
        <w:t>（2）电工或机电设备操作人员的操作失误，或违章作业等。</w:t>
      </w:r>
    </w:p>
    <w:p w14:paraId="7016CDD4">
      <w:pPr>
        <w:pStyle w:val="24"/>
        <w:bidi w:val="0"/>
        <w:rPr>
          <w:rFonts w:hint="default"/>
          <w:color w:val="auto"/>
          <w:highlight w:val="none"/>
        </w:rPr>
      </w:pPr>
      <w:r>
        <w:rPr>
          <w:rFonts w:hint="default"/>
          <w:color w:val="auto"/>
          <w:highlight w:val="none"/>
        </w:rPr>
        <w:t>（3）输电线路绝缘老化或损坏，保护装置失灵。</w:t>
      </w:r>
    </w:p>
    <w:p w14:paraId="4A277BC0">
      <w:pPr>
        <w:pStyle w:val="24"/>
        <w:bidi w:val="0"/>
        <w:rPr>
          <w:rFonts w:hint="default"/>
          <w:color w:val="auto"/>
          <w:highlight w:val="none"/>
        </w:rPr>
      </w:pPr>
      <w:r>
        <w:rPr>
          <w:rFonts w:hint="default"/>
          <w:color w:val="auto"/>
          <w:highlight w:val="none"/>
        </w:rPr>
        <w:t>（4）电气设备可能被人触及的裸露带电部分未设置安全防护罩或遮栏及警示牌。</w:t>
      </w:r>
    </w:p>
    <w:p w14:paraId="025C95CF">
      <w:pPr>
        <w:pStyle w:val="24"/>
        <w:bidi w:val="0"/>
        <w:rPr>
          <w:rFonts w:hint="default"/>
          <w:color w:val="auto"/>
          <w:highlight w:val="none"/>
        </w:rPr>
      </w:pPr>
      <w:r>
        <w:rPr>
          <w:rFonts w:hint="default"/>
          <w:color w:val="auto"/>
          <w:highlight w:val="none"/>
        </w:rPr>
        <w:t>（5）电气设备绝缘失效，保护装置失灵。</w:t>
      </w:r>
    </w:p>
    <w:p w14:paraId="5571C63E">
      <w:pPr>
        <w:pStyle w:val="24"/>
        <w:bidi w:val="0"/>
        <w:rPr>
          <w:rFonts w:hint="default"/>
          <w:color w:val="auto"/>
          <w:highlight w:val="none"/>
        </w:rPr>
      </w:pPr>
      <w:r>
        <w:rPr>
          <w:rFonts w:hint="default"/>
          <w:color w:val="auto"/>
          <w:highlight w:val="none"/>
        </w:rPr>
        <w:t>（6）缺少个体防护装备。</w:t>
      </w:r>
    </w:p>
    <w:p w14:paraId="2ED5252D">
      <w:pPr>
        <w:pStyle w:val="24"/>
        <w:bidi w:val="0"/>
        <w:rPr>
          <w:rFonts w:hint="default"/>
          <w:color w:val="auto"/>
          <w:highlight w:val="none"/>
        </w:rPr>
      </w:pPr>
      <w:r>
        <w:rPr>
          <w:rFonts w:hint="default"/>
          <w:color w:val="auto"/>
          <w:highlight w:val="none"/>
        </w:rPr>
        <w:t>除此之外，若各种矿山采掘设备自带的电气设施防护不当或未能及时更换，造成线路老化，易形成短路，从而造成火灾事故，而大多数采掘设备均是燃油设备，若油类及燃油设备日常管理不善，则可能导致火灾乃至爆炸事故的发生。引起火灾事故的主要因素如下：</w:t>
      </w:r>
    </w:p>
    <w:p w14:paraId="20418D81">
      <w:pPr>
        <w:pStyle w:val="24"/>
        <w:bidi w:val="0"/>
        <w:rPr>
          <w:rFonts w:hint="default"/>
          <w:color w:val="auto"/>
          <w:highlight w:val="none"/>
        </w:rPr>
      </w:pPr>
      <w:r>
        <w:rPr>
          <w:rFonts w:hint="default"/>
          <w:color w:val="auto"/>
          <w:highlight w:val="none"/>
        </w:rPr>
        <w:t>（1）设备的原因。如不符合防火的要求，设备安装、使用、维护不当等。</w:t>
      </w:r>
    </w:p>
    <w:p w14:paraId="59423811">
      <w:pPr>
        <w:pStyle w:val="24"/>
        <w:bidi w:val="0"/>
        <w:rPr>
          <w:rFonts w:hint="default"/>
          <w:color w:val="auto"/>
          <w:highlight w:val="none"/>
        </w:rPr>
      </w:pPr>
      <w:r>
        <w:rPr>
          <w:rFonts w:hint="default"/>
          <w:color w:val="auto"/>
          <w:highlight w:val="none"/>
        </w:rPr>
        <w:t>（2）物料的原因。如可燃物质的自燃，机械摩擦及撞击生热，在运输装卸时受剧烈振动等。</w:t>
      </w:r>
    </w:p>
    <w:p w14:paraId="025845D1">
      <w:pPr>
        <w:pStyle w:val="24"/>
        <w:bidi w:val="0"/>
        <w:rPr>
          <w:rFonts w:hint="default"/>
          <w:color w:val="auto"/>
          <w:highlight w:val="none"/>
        </w:rPr>
      </w:pPr>
      <w:r>
        <w:rPr>
          <w:rFonts w:hint="default"/>
          <w:color w:val="auto"/>
          <w:highlight w:val="none"/>
        </w:rPr>
        <w:t>（3）环境的原因。如高温、雷击、静电、地震等自然因素。</w:t>
      </w:r>
    </w:p>
    <w:p w14:paraId="01FC570E">
      <w:pPr>
        <w:pStyle w:val="24"/>
        <w:bidi w:val="0"/>
        <w:rPr>
          <w:rFonts w:hint="default"/>
          <w:color w:val="auto"/>
          <w:highlight w:val="none"/>
        </w:rPr>
      </w:pPr>
      <w:r>
        <w:rPr>
          <w:rFonts w:hint="default"/>
          <w:color w:val="auto"/>
          <w:highlight w:val="none"/>
        </w:rPr>
        <w:t>（4）管理的原因。</w:t>
      </w:r>
    </w:p>
    <w:p w14:paraId="58CA80E5">
      <w:pPr>
        <w:pStyle w:val="24"/>
        <w:bidi w:val="0"/>
        <w:rPr>
          <w:rFonts w:hint="default"/>
          <w:color w:val="auto"/>
          <w:highlight w:val="none"/>
        </w:rPr>
      </w:pPr>
      <w:r>
        <w:rPr>
          <w:rFonts w:hint="default"/>
          <w:color w:val="auto"/>
          <w:highlight w:val="none"/>
        </w:rPr>
        <w:t>通过对供配电设施单元存在的危险、有害因素进行辨识和分析，确定该单元存在的危险因素为“触电”、“火灾”。</w:t>
      </w:r>
    </w:p>
    <w:p w14:paraId="7C0AB92B">
      <w:pPr>
        <w:pStyle w:val="31"/>
        <w:bidi w:val="0"/>
        <w:rPr>
          <w:rFonts w:hint="eastAsia"/>
          <w:color w:val="auto"/>
          <w:highlight w:val="none"/>
        </w:rPr>
      </w:pPr>
      <w:r>
        <w:rPr>
          <w:rFonts w:hint="default"/>
          <w:color w:val="auto"/>
          <w:highlight w:val="none"/>
        </w:rPr>
        <w:t>供配电设施预先危险性分析法</w:t>
      </w:r>
      <w:r>
        <w:rPr>
          <w:rFonts w:hint="eastAsia"/>
          <w:color w:val="auto"/>
          <w:highlight w:val="none"/>
          <w:lang w:val="en-US" w:eastAsia="zh-CN"/>
        </w:rPr>
        <w:t>评价</w:t>
      </w:r>
    </w:p>
    <w:p w14:paraId="23C47344">
      <w:pPr>
        <w:tabs>
          <w:tab w:val="left" w:pos="1080"/>
          <w:tab w:val="left" w:pos="1260"/>
        </w:tabs>
        <w:adjustRightInd w:val="0"/>
        <w:snapToGrid w:val="0"/>
        <w:spacing w:line="336" w:lineRule="auto"/>
        <w:ind w:firstLine="480" w:firstLineChars="200"/>
        <w:rPr>
          <w:rFonts w:hint="default" w:ascii="Times New Roman" w:hAnsi="Times New Roman" w:cs="Times New Roman"/>
          <w:snapToGrid w:val="0"/>
          <w:color w:val="auto"/>
          <w:kern w:val="0"/>
          <w:sz w:val="24"/>
          <w:highlight w:val="none"/>
        </w:rPr>
      </w:pPr>
      <w:r>
        <w:rPr>
          <w:rFonts w:hint="default" w:ascii="Times New Roman" w:hAnsi="Times New Roman" w:cs="Times New Roman"/>
          <w:snapToGrid w:val="0"/>
          <w:color w:val="auto"/>
          <w:kern w:val="0"/>
          <w:sz w:val="24"/>
          <w:highlight w:val="none"/>
        </w:rPr>
        <w:t>采用预先危险性分析法对供配电单元进行评价，见下表</w:t>
      </w:r>
      <w:r>
        <w:rPr>
          <w:rFonts w:hint="eastAsia" w:ascii="Times New Roman" w:hAnsi="Times New Roman" w:cs="Times New Roman"/>
          <w:snapToGrid w:val="0"/>
          <w:color w:val="auto"/>
          <w:kern w:val="0"/>
          <w:sz w:val="24"/>
          <w:highlight w:val="none"/>
          <w:lang w:val="en-US" w:eastAsia="zh-CN"/>
        </w:rPr>
        <w:t>3.4-1</w:t>
      </w:r>
      <w:r>
        <w:rPr>
          <w:rFonts w:hint="default" w:ascii="Times New Roman" w:hAnsi="Times New Roman" w:cs="Times New Roman"/>
          <w:snapToGrid w:val="0"/>
          <w:color w:val="auto"/>
          <w:kern w:val="0"/>
          <w:sz w:val="24"/>
          <w:highlight w:val="none"/>
        </w:rPr>
        <w:t>。</w:t>
      </w:r>
    </w:p>
    <w:p w14:paraId="30F1CD91">
      <w:pPr>
        <w:pStyle w:val="32"/>
        <w:bidi w:val="0"/>
        <w:rPr>
          <w:rFonts w:hint="default"/>
          <w:color w:val="auto"/>
          <w:highlight w:val="none"/>
        </w:rPr>
      </w:pPr>
      <w:r>
        <w:rPr>
          <w:rFonts w:hint="default"/>
          <w:color w:val="auto"/>
          <w:highlight w:val="none"/>
        </w:rPr>
        <w:t>表</w:t>
      </w:r>
      <w:r>
        <w:rPr>
          <w:rFonts w:hint="eastAsia"/>
          <w:color w:val="auto"/>
          <w:highlight w:val="none"/>
          <w:lang w:val="en-US" w:eastAsia="zh-CN"/>
        </w:rPr>
        <w:t>3.4-1</w:t>
      </w:r>
      <w:r>
        <w:rPr>
          <w:rFonts w:hint="default"/>
          <w:color w:val="auto"/>
          <w:highlight w:val="none"/>
        </w:rPr>
        <w:t xml:space="preserve">  供配电设施单元预先危险性分析检查表</w:t>
      </w:r>
    </w:p>
    <w:tbl>
      <w:tblPr>
        <w:tblStyle w:val="26"/>
        <w:tblW w:w="93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0"/>
        <w:gridCol w:w="3139"/>
        <w:gridCol w:w="978"/>
        <w:gridCol w:w="720"/>
        <w:gridCol w:w="3687"/>
      </w:tblGrid>
      <w:tr w14:paraId="21AB2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80" w:type="dxa"/>
            <w:tcBorders>
              <w:top w:val="single" w:color="auto" w:sz="4" w:space="0"/>
              <w:left w:val="single" w:color="auto" w:sz="4" w:space="0"/>
              <w:bottom w:val="single" w:color="auto" w:sz="4" w:space="0"/>
              <w:right w:val="single" w:color="auto" w:sz="4" w:space="0"/>
            </w:tcBorders>
            <w:noWrap w:val="0"/>
            <w:vAlign w:val="center"/>
          </w:tcPr>
          <w:p w14:paraId="02A6AAF5">
            <w:pPr>
              <w:pStyle w:val="33"/>
              <w:bidi w:val="0"/>
              <w:rPr>
                <w:rFonts w:hint="default"/>
                <w:color w:val="auto"/>
                <w:highlight w:val="none"/>
              </w:rPr>
            </w:pPr>
            <w:r>
              <w:rPr>
                <w:rFonts w:hint="default"/>
                <w:color w:val="auto"/>
                <w:highlight w:val="none"/>
              </w:rPr>
              <w:t>危险有害因素</w:t>
            </w:r>
          </w:p>
        </w:tc>
        <w:tc>
          <w:tcPr>
            <w:tcW w:w="3139" w:type="dxa"/>
            <w:tcBorders>
              <w:top w:val="single" w:color="auto" w:sz="4" w:space="0"/>
              <w:left w:val="single" w:color="auto" w:sz="4" w:space="0"/>
              <w:bottom w:val="single" w:color="auto" w:sz="4" w:space="0"/>
              <w:right w:val="single" w:color="auto" w:sz="4" w:space="0"/>
            </w:tcBorders>
            <w:noWrap w:val="0"/>
            <w:vAlign w:val="center"/>
          </w:tcPr>
          <w:p w14:paraId="4BB32DF5">
            <w:pPr>
              <w:pStyle w:val="33"/>
              <w:bidi w:val="0"/>
              <w:rPr>
                <w:rFonts w:hint="default"/>
                <w:color w:val="auto"/>
                <w:highlight w:val="none"/>
              </w:rPr>
            </w:pPr>
            <w:r>
              <w:rPr>
                <w:rFonts w:hint="default"/>
                <w:color w:val="auto"/>
                <w:highlight w:val="none"/>
              </w:rPr>
              <w:t>致因因素</w:t>
            </w:r>
          </w:p>
        </w:tc>
        <w:tc>
          <w:tcPr>
            <w:tcW w:w="978" w:type="dxa"/>
            <w:tcBorders>
              <w:top w:val="single" w:color="auto" w:sz="4" w:space="0"/>
              <w:left w:val="single" w:color="auto" w:sz="4" w:space="0"/>
              <w:bottom w:val="single" w:color="auto" w:sz="4" w:space="0"/>
              <w:right w:val="single" w:color="auto" w:sz="4" w:space="0"/>
            </w:tcBorders>
            <w:noWrap w:val="0"/>
            <w:vAlign w:val="center"/>
          </w:tcPr>
          <w:p w14:paraId="30137D1E">
            <w:pPr>
              <w:pStyle w:val="33"/>
              <w:bidi w:val="0"/>
              <w:rPr>
                <w:rFonts w:hint="default"/>
                <w:color w:val="auto"/>
                <w:highlight w:val="none"/>
              </w:rPr>
            </w:pPr>
            <w:r>
              <w:rPr>
                <w:rFonts w:hint="default"/>
                <w:color w:val="auto"/>
                <w:highlight w:val="none"/>
              </w:rPr>
              <w:t>事故后果</w:t>
            </w:r>
          </w:p>
        </w:tc>
        <w:tc>
          <w:tcPr>
            <w:tcW w:w="720" w:type="dxa"/>
            <w:tcBorders>
              <w:top w:val="single" w:color="auto" w:sz="4" w:space="0"/>
              <w:left w:val="single" w:color="auto" w:sz="4" w:space="0"/>
              <w:bottom w:val="single" w:color="auto" w:sz="4" w:space="0"/>
              <w:right w:val="single" w:color="auto" w:sz="4" w:space="0"/>
            </w:tcBorders>
            <w:noWrap w:val="0"/>
            <w:vAlign w:val="center"/>
          </w:tcPr>
          <w:p w14:paraId="67ECF3D7">
            <w:pPr>
              <w:pStyle w:val="33"/>
              <w:bidi w:val="0"/>
              <w:rPr>
                <w:rFonts w:hint="default"/>
                <w:color w:val="auto"/>
                <w:highlight w:val="none"/>
              </w:rPr>
            </w:pPr>
            <w:r>
              <w:rPr>
                <w:rFonts w:hint="default"/>
                <w:color w:val="auto"/>
                <w:highlight w:val="none"/>
              </w:rPr>
              <w:t>危险等级</w:t>
            </w:r>
          </w:p>
        </w:tc>
        <w:tc>
          <w:tcPr>
            <w:tcW w:w="3687" w:type="dxa"/>
            <w:tcBorders>
              <w:top w:val="single" w:color="auto" w:sz="4" w:space="0"/>
              <w:left w:val="single" w:color="auto" w:sz="4" w:space="0"/>
              <w:bottom w:val="single" w:color="auto" w:sz="4" w:space="0"/>
              <w:right w:val="single" w:color="auto" w:sz="4" w:space="0"/>
            </w:tcBorders>
            <w:noWrap w:val="0"/>
            <w:vAlign w:val="center"/>
          </w:tcPr>
          <w:p w14:paraId="4561BB89">
            <w:pPr>
              <w:pStyle w:val="33"/>
              <w:bidi w:val="0"/>
              <w:rPr>
                <w:rFonts w:hint="default"/>
                <w:color w:val="auto"/>
                <w:highlight w:val="none"/>
              </w:rPr>
            </w:pPr>
            <w:r>
              <w:rPr>
                <w:rFonts w:hint="default"/>
                <w:color w:val="auto"/>
                <w:highlight w:val="none"/>
              </w:rPr>
              <w:t>预防措施</w:t>
            </w:r>
          </w:p>
        </w:tc>
      </w:tr>
      <w:tr w14:paraId="36A3E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80" w:type="dxa"/>
            <w:tcBorders>
              <w:top w:val="single" w:color="auto" w:sz="4" w:space="0"/>
              <w:left w:val="single" w:color="auto" w:sz="4" w:space="0"/>
              <w:bottom w:val="single" w:color="auto" w:sz="4" w:space="0"/>
              <w:right w:val="single" w:color="auto" w:sz="4" w:space="0"/>
            </w:tcBorders>
            <w:noWrap w:val="0"/>
            <w:textDirection w:val="tbRlV"/>
            <w:vAlign w:val="center"/>
          </w:tcPr>
          <w:p w14:paraId="6A2E4CD0">
            <w:pPr>
              <w:pStyle w:val="33"/>
              <w:bidi w:val="0"/>
              <w:rPr>
                <w:rFonts w:hint="default"/>
                <w:color w:val="auto"/>
                <w:highlight w:val="none"/>
              </w:rPr>
            </w:pPr>
            <w:r>
              <w:rPr>
                <w:rFonts w:hint="default"/>
                <w:color w:val="auto"/>
                <w:highlight w:val="none"/>
              </w:rPr>
              <w:t>触电</w:t>
            </w:r>
          </w:p>
        </w:tc>
        <w:tc>
          <w:tcPr>
            <w:tcW w:w="3139" w:type="dxa"/>
            <w:tcBorders>
              <w:top w:val="single" w:color="auto" w:sz="4" w:space="0"/>
              <w:left w:val="single" w:color="auto" w:sz="4" w:space="0"/>
              <w:bottom w:val="single" w:color="auto" w:sz="4" w:space="0"/>
              <w:right w:val="single" w:color="auto" w:sz="4" w:space="0"/>
            </w:tcBorders>
            <w:noWrap w:val="0"/>
            <w:vAlign w:val="center"/>
          </w:tcPr>
          <w:p w14:paraId="01EDA42C">
            <w:pPr>
              <w:pStyle w:val="33"/>
              <w:bidi w:val="0"/>
              <w:jc w:val="both"/>
              <w:rPr>
                <w:rFonts w:hint="default"/>
                <w:color w:val="auto"/>
                <w:highlight w:val="none"/>
              </w:rPr>
            </w:pPr>
            <w:r>
              <w:rPr>
                <w:rFonts w:hint="default"/>
                <w:color w:val="auto"/>
                <w:highlight w:val="none"/>
              </w:rPr>
              <w:t>1.变压器、供电线路或用电设备漏电。</w:t>
            </w:r>
          </w:p>
          <w:p w14:paraId="7708CEA1">
            <w:pPr>
              <w:pStyle w:val="33"/>
              <w:bidi w:val="0"/>
              <w:jc w:val="both"/>
              <w:rPr>
                <w:rFonts w:hint="default"/>
                <w:color w:val="auto"/>
                <w:highlight w:val="none"/>
              </w:rPr>
            </w:pPr>
            <w:r>
              <w:rPr>
                <w:rFonts w:hint="default"/>
                <w:color w:val="auto"/>
                <w:highlight w:val="none"/>
              </w:rPr>
              <w:t>2.电气保护系统(短路、过负荷、过电压、接地保护)失灵。</w:t>
            </w:r>
          </w:p>
          <w:p w14:paraId="3E4D4C43">
            <w:pPr>
              <w:pStyle w:val="33"/>
              <w:bidi w:val="0"/>
              <w:jc w:val="both"/>
              <w:rPr>
                <w:rFonts w:hint="default"/>
                <w:color w:val="auto"/>
                <w:highlight w:val="none"/>
              </w:rPr>
            </w:pPr>
            <w:r>
              <w:rPr>
                <w:rFonts w:hint="default"/>
                <w:color w:val="auto"/>
                <w:highlight w:val="none"/>
              </w:rPr>
              <w:t>3. 电工或机电设备操作人员的操作失误，或违章作业等。</w:t>
            </w:r>
          </w:p>
          <w:p w14:paraId="71FCF0DF">
            <w:pPr>
              <w:pStyle w:val="33"/>
              <w:bidi w:val="0"/>
              <w:jc w:val="both"/>
              <w:rPr>
                <w:rFonts w:hint="default"/>
                <w:color w:val="auto"/>
                <w:highlight w:val="none"/>
              </w:rPr>
            </w:pPr>
            <w:r>
              <w:rPr>
                <w:rFonts w:hint="default"/>
                <w:color w:val="auto"/>
                <w:highlight w:val="none"/>
              </w:rPr>
              <w:t>4.输电线路绝缘老化或损坏。</w:t>
            </w:r>
          </w:p>
          <w:p w14:paraId="45C47C8D">
            <w:pPr>
              <w:pStyle w:val="33"/>
              <w:bidi w:val="0"/>
              <w:jc w:val="both"/>
              <w:rPr>
                <w:rFonts w:hint="default"/>
                <w:color w:val="auto"/>
                <w:highlight w:val="none"/>
              </w:rPr>
            </w:pPr>
            <w:r>
              <w:rPr>
                <w:rFonts w:hint="default"/>
                <w:color w:val="auto"/>
                <w:highlight w:val="none"/>
              </w:rPr>
              <w:t>5. 电气设备可能被人触及的裸露带电部分未设置安全防护罩或遮栏及警示牌。</w:t>
            </w:r>
          </w:p>
          <w:p w14:paraId="031C2473">
            <w:pPr>
              <w:pStyle w:val="33"/>
              <w:bidi w:val="0"/>
              <w:jc w:val="both"/>
              <w:rPr>
                <w:rFonts w:hint="default"/>
                <w:color w:val="auto"/>
                <w:highlight w:val="none"/>
              </w:rPr>
            </w:pPr>
            <w:r>
              <w:rPr>
                <w:rFonts w:hint="default"/>
                <w:color w:val="auto"/>
                <w:highlight w:val="none"/>
              </w:rPr>
              <w:t>6. 电气设备绝缘失效，保护装置失灵。</w:t>
            </w:r>
          </w:p>
        </w:tc>
        <w:tc>
          <w:tcPr>
            <w:tcW w:w="978" w:type="dxa"/>
            <w:tcBorders>
              <w:top w:val="single" w:color="auto" w:sz="4" w:space="0"/>
              <w:left w:val="single" w:color="auto" w:sz="4" w:space="0"/>
              <w:bottom w:val="single" w:color="auto" w:sz="4" w:space="0"/>
              <w:right w:val="single" w:color="auto" w:sz="4" w:space="0"/>
            </w:tcBorders>
            <w:noWrap w:val="0"/>
            <w:vAlign w:val="center"/>
          </w:tcPr>
          <w:p w14:paraId="7E745B0C">
            <w:pPr>
              <w:pStyle w:val="33"/>
              <w:bidi w:val="0"/>
              <w:jc w:val="both"/>
              <w:rPr>
                <w:rFonts w:hint="default"/>
                <w:color w:val="auto"/>
                <w:highlight w:val="none"/>
              </w:rPr>
            </w:pPr>
            <w:r>
              <w:rPr>
                <w:rFonts w:hint="default"/>
                <w:color w:val="auto"/>
                <w:highlight w:val="none"/>
              </w:rPr>
              <w:t>1.人员触电，造成伤亡；设备损坏。</w:t>
            </w:r>
          </w:p>
        </w:tc>
        <w:tc>
          <w:tcPr>
            <w:tcW w:w="720" w:type="dxa"/>
            <w:tcBorders>
              <w:top w:val="single" w:color="auto" w:sz="4" w:space="0"/>
              <w:left w:val="single" w:color="auto" w:sz="4" w:space="0"/>
              <w:bottom w:val="single" w:color="auto" w:sz="4" w:space="0"/>
              <w:right w:val="single" w:color="auto" w:sz="4" w:space="0"/>
            </w:tcBorders>
            <w:noWrap w:val="0"/>
            <w:vAlign w:val="center"/>
          </w:tcPr>
          <w:p w14:paraId="49B0C152">
            <w:pPr>
              <w:pStyle w:val="33"/>
              <w:bidi w:val="0"/>
              <w:rPr>
                <w:rFonts w:hint="default"/>
                <w:color w:val="auto"/>
                <w:highlight w:val="none"/>
              </w:rPr>
            </w:pPr>
            <w:r>
              <w:rPr>
                <w:rFonts w:hint="default"/>
                <w:color w:val="auto"/>
                <w:highlight w:val="none"/>
              </w:rPr>
              <w:t>Ⅱ</w:t>
            </w:r>
          </w:p>
        </w:tc>
        <w:tc>
          <w:tcPr>
            <w:tcW w:w="3687" w:type="dxa"/>
            <w:tcBorders>
              <w:top w:val="single" w:color="auto" w:sz="4" w:space="0"/>
              <w:left w:val="single" w:color="auto" w:sz="4" w:space="0"/>
              <w:bottom w:val="single" w:color="auto" w:sz="4" w:space="0"/>
              <w:right w:val="single" w:color="auto" w:sz="4" w:space="0"/>
            </w:tcBorders>
            <w:noWrap w:val="0"/>
            <w:vAlign w:val="center"/>
          </w:tcPr>
          <w:p w14:paraId="59BD7204">
            <w:pPr>
              <w:pStyle w:val="33"/>
              <w:bidi w:val="0"/>
              <w:jc w:val="both"/>
              <w:rPr>
                <w:rFonts w:hint="default"/>
                <w:color w:val="auto"/>
                <w:highlight w:val="none"/>
              </w:rPr>
            </w:pPr>
            <w:r>
              <w:rPr>
                <w:rFonts w:hint="default"/>
                <w:color w:val="auto"/>
                <w:highlight w:val="none"/>
              </w:rPr>
              <w:t>1.按要求设置合理的电气检漏等保护装置并及时检修。</w:t>
            </w:r>
          </w:p>
          <w:p w14:paraId="12B162F7">
            <w:pPr>
              <w:pStyle w:val="33"/>
              <w:bidi w:val="0"/>
              <w:jc w:val="both"/>
              <w:rPr>
                <w:rFonts w:hint="default"/>
                <w:color w:val="auto"/>
                <w:highlight w:val="none"/>
              </w:rPr>
            </w:pPr>
            <w:r>
              <w:rPr>
                <w:rFonts w:hint="default"/>
                <w:color w:val="auto"/>
                <w:highlight w:val="none"/>
              </w:rPr>
              <w:t>2.经常检查电气保护系统，并加强维护。</w:t>
            </w:r>
          </w:p>
          <w:p w14:paraId="4978A745">
            <w:pPr>
              <w:pStyle w:val="33"/>
              <w:bidi w:val="0"/>
              <w:jc w:val="both"/>
              <w:rPr>
                <w:rFonts w:hint="default"/>
                <w:color w:val="auto"/>
                <w:highlight w:val="none"/>
              </w:rPr>
            </w:pPr>
            <w:r>
              <w:rPr>
                <w:rFonts w:hint="default"/>
                <w:color w:val="auto"/>
                <w:highlight w:val="none"/>
              </w:rPr>
              <w:t>3.加强电工及机电设备操作人员的培训，严禁违章作业。</w:t>
            </w:r>
          </w:p>
          <w:p w14:paraId="619E4C06">
            <w:pPr>
              <w:pStyle w:val="33"/>
              <w:bidi w:val="0"/>
              <w:jc w:val="both"/>
              <w:rPr>
                <w:rFonts w:hint="default"/>
                <w:color w:val="auto"/>
                <w:highlight w:val="none"/>
              </w:rPr>
            </w:pPr>
            <w:r>
              <w:rPr>
                <w:rFonts w:hint="default"/>
                <w:color w:val="auto"/>
                <w:highlight w:val="none"/>
              </w:rPr>
              <w:t>4.及时检查供电线路，及时处理绝缘老化或损坏的缆线，合理地敷设电缆线。</w:t>
            </w:r>
          </w:p>
          <w:p w14:paraId="5BFF719B">
            <w:pPr>
              <w:pStyle w:val="33"/>
              <w:bidi w:val="0"/>
              <w:jc w:val="both"/>
              <w:rPr>
                <w:rFonts w:hint="default"/>
                <w:color w:val="auto"/>
                <w:highlight w:val="none"/>
              </w:rPr>
            </w:pPr>
            <w:r>
              <w:rPr>
                <w:rFonts w:hint="default"/>
                <w:color w:val="auto"/>
                <w:highlight w:val="none"/>
              </w:rPr>
              <w:t>5.加强供电系统的维护，对出现的故障要及时处理。</w:t>
            </w:r>
          </w:p>
          <w:p w14:paraId="35769F79">
            <w:pPr>
              <w:pStyle w:val="33"/>
              <w:bidi w:val="0"/>
              <w:jc w:val="both"/>
              <w:rPr>
                <w:rFonts w:hint="default"/>
                <w:color w:val="auto"/>
                <w:highlight w:val="none"/>
              </w:rPr>
            </w:pPr>
            <w:r>
              <w:rPr>
                <w:rFonts w:hint="default"/>
                <w:color w:val="auto"/>
                <w:highlight w:val="none"/>
              </w:rPr>
              <w:t>6.易发生火灾的设备配备泡沫灭火器。</w:t>
            </w:r>
          </w:p>
          <w:p w14:paraId="6B4880B0">
            <w:pPr>
              <w:pStyle w:val="33"/>
              <w:bidi w:val="0"/>
              <w:jc w:val="both"/>
              <w:rPr>
                <w:rFonts w:hint="default"/>
                <w:color w:val="auto"/>
                <w:highlight w:val="none"/>
              </w:rPr>
            </w:pPr>
            <w:r>
              <w:rPr>
                <w:rFonts w:hint="default"/>
                <w:color w:val="auto"/>
                <w:highlight w:val="none"/>
              </w:rPr>
              <w:t>7. 经常检查维护电气设备设施，确保保护装置完好。</w:t>
            </w:r>
          </w:p>
          <w:p w14:paraId="78B3BF37">
            <w:pPr>
              <w:pStyle w:val="33"/>
              <w:bidi w:val="0"/>
              <w:jc w:val="both"/>
              <w:rPr>
                <w:rFonts w:hint="default"/>
                <w:color w:val="auto"/>
                <w:highlight w:val="none"/>
              </w:rPr>
            </w:pPr>
            <w:r>
              <w:rPr>
                <w:rFonts w:hint="default"/>
                <w:color w:val="auto"/>
                <w:highlight w:val="none"/>
                <w:lang w:val="en-US" w:eastAsia="zh-CN"/>
              </w:rPr>
              <w:t>8</w:t>
            </w:r>
            <w:r>
              <w:rPr>
                <w:rFonts w:hint="default"/>
                <w:color w:val="auto"/>
                <w:highlight w:val="none"/>
              </w:rPr>
              <w:t>.完善供电系统及电气设备的避雷设施。</w:t>
            </w:r>
          </w:p>
        </w:tc>
      </w:tr>
      <w:tr w14:paraId="0BD3F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9" w:hRule="atLeast"/>
          <w:jc w:val="center"/>
        </w:trPr>
        <w:tc>
          <w:tcPr>
            <w:tcW w:w="780" w:type="dxa"/>
            <w:tcBorders>
              <w:top w:val="single" w:color="auto" w:sz="4" w:space="0"/>
              <w:left w:val="single" w:color="auto" w:sz="4" w:space="0"/>
              <w:bottom w:val="single" w:color="auto" w:sz="4" w:space="0"/>
              <w:right w:val="single" w:color="auto" w:sz="4" w:space="0"/>
            </w:tcBorders>
            <w:noWrap w:val="0"/>
            <w:textDirection w:val="tbRlV"/>
            <w:vAlign w:val="center"/>
          </w:tcPr>
          <w:p w14:paraId="33907031">
            <w:pPr>
              <w:pStyle w:val="33"/>
              <w:bidi w:val="0"/>
              <w:rPr>
                <w:rFonts w:hint="default"/>
                <w:color w:val="auto"/>
                <w:highlight w:val="none"/>
              </w:rPr>
            </w:pPr>
            <w:r>
              <w:rPr>
                <w:rFonts w:hint="default"/>
                <w:color w:val="auto"/>
                <w:highlight w:val="none"/>
              </w:rPr>
              <w:t>火灾</w:t>
            </w:r>
          </w:p>
        </w:tc>
        <w:tc>
          <w:tcPr>
            <w:tcW w:w="3139" w:type="dxa"/>
            <w:tcBorders>
              <w:top w:val="single" w:color="auto" w:sz="4" w:space="0"/>
              <w:left w:val="single" w:color="auto" w:sz="4" w:space="0"/>
              <w:bottom w:val="single" w:color="auto" w:sz="4" w:space="0"/>
              <w:right w:val="single" w:color="auto" w:sz="4" w:space="0"/>
            </w:tcBorders>
            <w:noWrap w:val="0"/>
            <w:vAlign w:val="center"/>
          </w:tcPr>
          <w:p w14:paraId="5B0BD3A3">
            <w:pPr>
              <w:pStyle w:val="33"/>
              <w:bidi w:val="0"/>
              <w:jc w:val="both"/>
              <w:rPr>
                <w:rFonts w:hint="default"/>
                <w:color w:val="auto"/>
                <w:highlight w:val="none"/>
              </w:rPr>
            </w:pPr>
            <w:r>
              <w:rPr>
                <w:rFonts w:hint="default"/>
                <w:color w:val="auto"/>
                <w:highlight w:val="none"/>
              </w:rPr>
              <w:t>1.电气设备短路。</w:t>
            </w:r>
          </w:p>
          <w:p w14:paraId="443A7233">
            <w:pPr>
              <w:pStyle w:val="33"/>
              <w:bidi w:val="0"/>
              <w:jc w:val="both"/>
              <w:rPr>
                <w:rFonts w:hint="default"/>
                <w:color w:val="auto"/>
                <w:highlight w:val="none"/>
              </w:rPr>
            </w:pPr>
            <w:r>
              <w:rPr>
                <w:rFonts w:hint="default"/>
                <w:color w:val="auto"/>
                <w:highlight w:val="none"/>
              </w:rPr>
              <w:t>2.设备摩擦产生火花。</w:t>
            </w:r>
          </w:p>
          <w:p w14:paraId="3D135652">
            <w:pPr>
              <w:pStyle w:val="33"/>
              <w:bidi w:val="0"/>
              <w:jc w:val="both"/>
              <w:rPr>
                <w:rFonts w:hint="default"/>
                <w:color w:val="auto"/>
                <w:highlight w:val="none"/>
              </w:rPr>
            </w:pPr>
            <w:r>
              <w:rPr>
                <w:rFonts w:hint="default"/>
                <w:color w:val="auto"/>
                <w:highlight w:val="none"/>
              </w:rPr>
              <w:t>3.设备长时间过负荷运行，会产生大量热量，导致内部绝缘损坏。</w:t>
            </w:r>
          </w:p>
          <w:p w14:paraId="7C26E152">
            <w:pPr>
              <w:pStyle w:val="33"/>
              <w:bidi w:val="0"/>
              <w:jc w:val="both"/>
              <w:rPr>
                <w:rFonts w:hint="default"/>
                <w:color w:val="auto"/>
                <w:highlight w:val="none"/>
              </w:rPr>
            </w:pPr>
            <w:r>
              <w:rPr>
                <w:rFonts w:hint="default"/>
                <w:color w:val="auto"/>
                <w:highlight w:val="none"/>
              </w:rPr>
              <w:t>4.供电线路绝缘损坏或老化，裸露部位接触可燃物。</w:t>
            </w:r>
          </w:p>
          <w:p w14:paraId="69257E98">
            <w:pPr>
              <w:pStyle w:val="33"/>
              <w:bidi w:val="0"/>
              <w:jc w:val="both"/>
              <w:rPr>
                <w:rFonts w:hint="default"/>
                <w:color w:val="auto"/>
                <w:highlight w:val="none"/>
              </w:rPr>
            </w:pPr>
            <w:r>
              <w:rPr>
                <w:rFonts w:hint="default"/>
                <w:color w:val="auto"/>
                <w:highlight w:val="none"/>
              </w:rPr>
              <w:t>5.燃油设备使用的油类管理不善。</w:t>
            </w:r>
          </w:p>
        </w:tc>
        <w:tc>
          <w:tcPr>
            <w:tcW w:w="978" w:type="dxa"/>
            <w:tcBorders>
              <w:top w:val="single" w:color="auto" w:sz="4" w:space="0"/>
              <w:left w:val="single" w:color="auto" w:sz="4" w:space="0"/>
              <w:bottom w:val="single" w:color="auto" w:sz="4" w:space="0"/>
              <w:right w:val="single" w:color="auto" w:sz="4" w:space="0"/>
            </w:tcBorders>
            <w:noWrap w:val="0"/>
            <w:vAlign w:val="center"/>
          </w:tcPr>
          <w:p w14:paraId="26F7FCD1">
            <w:pPr>
              <w:pStyle w:val="33"/>
              <w:bidi w:val="0"/>
              <w:jc w:val="both"/>
              <w:rPr>
                <w:rFonts w:hint="default"/>
                <w:color w:val="auto"/>
                <w:highlight w:val="none"/>
              </w:rPr>
            </w:pPr>
            <w:r>
              <w:rPr>
                <w:rFonts w:hint="default"/>
                <w:color w:val="auto"/>
                <w:highlight w:val="none"/>
              </w:rPr>
              <w:t>人员伤亡，设备损坏。</w:t>
            </w:r>
          </w:p>
        </w:tc>
        <w:tc>
          <w:tcPr>
            <w:tcW w:w="720" w:type="dxa"/>
            <w:tcBorders>
              <w:top w:val="single" w:color="auto" w:sz="4" w:space="0"/>
              <w:left w:val="single" w:color="auto" w:sz="4" w:space="0"/>
              <w:bottom w:val="single" w:color="auto" w:sz="4" w:space="0"/>
              <w:right w:val="single" w:color="auto" w:sz="4" w:space="0"/>
            </w:tcBorders>
            <w:noWrap w:val="0"/>
            <w:vAlign w:val="center"/>
          </w:tcPr>
          <w:p w14:paraId="46DC7955">
            <w:pPr>
              <w:pStyle w:val="33"/>
              <w:bidi w:val="0"/>
              <w:rPr>
                <w:rFonts w:hint="default"/>
                <w:color w:val="auto"/>
                <w:highlight w:val="none"/>
              </w:rPr>
            </w:pPr>
            <w:r>
              <w:rPr>
                <w:rFonts w:hint="default"/>
                <w:color w:val="auto"/>
                <w:highlight w:val="none"/>
              </w:rPr>
              <w:t>Ⅱ</w:t>
            </w:r>
          </w:p>
        </w:tc>
        <w:tc>
          <w:tcPr>
            <w:tcW w:w="3687" w:type="dxa"/>
            <w:tcBorders>
              <w:top w:val="single" w:color="auto" w:sz="4" w:space="0"/>
              <w:left w:val="single" w:color="auto" w:sz="4" w:space="0"/>
              <w:bottom w:val="single" w:color="auto" w:sz="4" w:space="0"/>
              <w:right w:val="single" w:color="auto" w:sz="4" w:space="0"/>
            </w:tcBorders>
            <w:noWrap w:val="0"/>
            <w:vAlign w:val="center"/>
          </w:tcPr>
          <w:p w14:paraId="62FE58FE">
            <w:pPr>
              <w:pStyle w:val="33"/>
              <w:bidi w:val="0"/>
              <w:jc w:val="both"/>
              <w:rPr>
                <w:rFonts w:hint="default"/>
                <w:color w:val="auto"/>
                <w:highlight w:val="none"/>
              </w:rPr>
            </w:pPr>
            <w:r>
              <w:rPr>
                <w:rFonts w:hint="default"/>
                <w:color w:val="auto"/>
                <w:highlight w:val="none"/>
              </w:rPr>
              <w:t>1. 安装完善的电气保护系统并经常检修。</w:t>
            </w:r>
          </w:p>
          <w:p w14:paraId="644B2DE9">
            <w:pPr>
              <w:pStyle w:val="33"/>
              <w:bidi w:val="0"/>
              <w:jc w:val="both"/>
              <w:rPr>
                <w:rFonts w:hint="default"/>
                <w:color w:val="auto"/>
                <w:highlight w:val="none"/>
              </w:rPr>
            </w:pPr>
            <w:r>
              <w:rPr>
                <w:rFonts w:hint="default"/>
                <w:color w:val="auto"/>
                <w:highlight w:val="none"/>
              </w:rPr>
              <w:t>2.减少设备摩擦。</w:t>
            </w:r>
          </w:p>
          <w:p w14:paraId="3E6560ED">
            <w:pPr>
              <w:pStyle w:val="33"/>
              <w:bidi w:val="0"/>
              <w:jc w:val="both"/>
              <w:rPr>
                <w:rFonts w:hint="default"/>
                <w:color w:val="auto"/>
                <w:highlight w:val="none"/>
              </w:rPr>
            </w:pPr>
            <w:r>
              <w:rPr>
                <w:rFonts w:hint="default"/>
                <w:color w:val="auto"/>
                <w:highlight w:val="none"/>
              </w:rPr>
              <w:t>3.严禁设备超负荷运行。</w:t>
            </w:r>
          </w:p>
          <w:p w14:paraId="1F64F80B">
            <w:pPr>
              <w:pStyle w:val="33"/>
              <w:bidi w:val="0"/>
              <w:jc w:val="both"/>
              <w:rPr>
                <w:rFonts w:hint="default"/>
                <w:color w:val="auto"/>
                <w:highlight w:val="none"/>
              </w:rPr>
            </w:pPr>
            <w:r>
              <w:rPr>
                <w:rFonts w:hint="default"/>
                <w:color w:val="auto"/>
                <w:highlight w:val="none"/>
              </w:rPr>
              <w:t>4.对输电线路进行保护，防止被刮碰、挤压，损坏或老化部位要及时修善。</w:t>
            </w:r>
          </w:p>
          <w:p w14:paraId="6A87FB40">
            <w:pPr>
              <w:pStyle w:val="33"/>
              <w:bidi w:val="0"/>
              <w:jc w:val="both"/>
              <w:rPr>
                <w:rFonts w:hint="default"/>
                <w:color w:val="auto"/>
                <w:highlight w:val="none"/>
              </w:rPr>
            </w:pPr>
            <w:r>
              <w:rPr>
                <w:rFonts w:hint="default"/>
                <w:color w:val="auto"/>
                <w:highlight w:val="none"/>
              </w:rPr>
              <w:t>5.严格管理燃油设备，油料附近杜绝明火。</w:t>
            </w:r>
          </w:p>
        </w:tc>
      </w:tr>
    </w:tbl>
    <w:p w14:paraId="1818F31A">
      <w:pPr>
        <w:pStyle w:val="31"/>
        <w:bidi w:val="0"/>
        <w:rPr>
          <w:rFonts w:hint="eastAsia"/>
          <w:color w:val="auto"/>
          <w:highlight w:val="none"/>
        </w:rPr>
      </w:pPr>
      <w:r>
        <w:rPr>
          <w:rFonts w:hint="eastAsia"/>
          <w:color w:val="auto"/>
          <w:highlight w:val="none"/>
          <w:lang w:val="en-US" w:eastAsia="zh-CN"/>
        </w:rPr>
        <w:t>经验分析法</w:t>
      </w:r>
    </w:p>
    <w:p w14:paraId="3A0BB949">
      <w:pPr>
        <w:pStyle w:val="24"/>
        <w:bidi w:val="0"/>
        <w:rPr>
          <w:rFonts w:hint="default"/>
          <w:color w:val="auto"/>
          <w:highlight w:val="none"/>
          <w:lang w:val="en-US" w:eastAsia="zh-CN"/>
        </w:rPr>
      </w:pPr>
      <w:bookmarkStart w:id="35" w:name="OLE_LINK1"/>
      <w:r>
        <w:rPr>
          <w:rFonts w:hint="default"/>
          <w:color w:val="auto"/>
          <w:highlight w:val="none"/>
          <w:lang w:val="en-US" w:eastAsia="zh-CN"/>
        </w:rPr>
        <w:t>《可研报告》</w:t>
      </w:r>
      <w:bookmarkEnd w:id="35"/>
      <w:r>
        <w:rPr>
          <w:rFonts w:hint="default"/>
          <w:color w:val="auto"/>
          <w:highlight w:val="none"/>
          <w:lang w:val="en-US" w:eastAsia="zh-CN"/>
        </w:rPr>
        <w:t>确定根据矿山生产建设规模，属于小型矿山，矿山由一路10kV电源供电，电源引自上级变电所。</w:t>
      </w:r>
    </w:p>
    <w:p w14:paraId="449EBB3C">
      <w:pPr>
        <w:pStyle w:val="24"/>
        <w:bidi w:val="0"/>
        <w:rPr>
          <w:color w:val="auto"/>
          <w:highlight w:val="none"/>
        </w:rPr>
      </w:pPr>
      <w:r>
        <w:rPr>
          <w:color w:val="auto"/>
          <w:highlight w:val="none"/>
        </w:rPr>
        <w:t>采矿场内用电设备采用半环形-横跨线供电。向移动式设备供电的低压配电系统接地形式采用IT系统。</w:t>
      </w:r>
    </w:p>
    <w:p w14:paraId="6C3DA02F">
      <w:pPr>
        <w:pStyle w:val="24"/>
        <w:bidi w:val="0"/>
        <w:rPr>
          <w:color w:val="auto"/>
          <w:highlight w:val="none"/>
        </w:rPr>
      </w:pPr>
      <w:r>
        <w:rPr>
          <w:color w:val="auto"/>
          <w:highlight w:val="none"/>
        </w:rPr>
        <w:t>采矿场内设1台400kVA矿用移动变电站，采用中性点绝缘系统，向露天采矿用电设备配电。</w:t>
      </w:r>
    </w:p>
    <w:p w14:paraId="18C00BDE">
      <w:pPr>
        <w:pStyle w:val="24"/>
        <w:bidi w:val="0"/>
        <w:rPr>
          <w:color w:val="auto"/>
          <w:highlight w:val="none"/>
        </w:rPr>
      </w:pPr>
      <w:r>
        <w:rPr>
          <w:color w:val="auto"/>
          <w:highlight w:val="none"/>
        </w:rPr>
        <w:t>横跨线采用混凝土电杆半固定式线路，线路采用钢芯铝绞线，型号及规格为: 3×LGJ-50。移动用电设备采用矿用橡套软电缆（铜芯）。采矿场高压矿用电缆采用UGF-10KV，低压矿用电缆采用YCW-450/750。</w:t>
      </w:r>
    </w:p>
    <w:p w14:paraId="2096DA0D">
      <w:pPr>
        <w:pStyle w:val="31"/>
        <w:bidi w:val="0"/>
        <w:rPr>
          <w:rFonts w:hint="eastAsia"/>
          <w:color w:val="auto"/>
          <w:highlight w:val="none"/>
        </w:rPr>
      </w:pPr>
      <w:r>
        <w:rPr>
          <w:rFonts w:hint="eastAsia"/>
          <w:color w:val="auto"/>
          <w:highlight w:val="none"/>
          <w:lang w:val="en-US" w:eastAsia="zh-CN"/>
        </w:rPr>
        <w:t>评价结果</w:t>
      </w:r>
    </w:p>
    <w:p w14:paraId="73E53171">
      <w:pPr>
        <w:pStyle w:val="24"/>
        <w:bidi w:val="0"/>
        <w:rPr>
          <w:rFonts w:hint="eastAsia"/>
          <w:color w:val="auto"/>
          <w:highlight w:val="none"/>
        </w:rPr>
      </w:pPr>
      <w:r>
        <w:rPr>
          <w:rFonts w:hint="default"/>
          <w:color w:val="auto"/>
          <w:highlight w:val="none"/>
        </w:rPr>
        <w:t>建设单位在施工及以后生产过程中，要严格按设计设置供电线路、配电室及变电所，并定期对电气线路及电气设备进行维护检修，电气作业人员应持有特种作业人员资格证，并且应严格按照电气作业操作规程进行，并杜绝违章作业，同时，作业时佩带必要的劳动防护用品，则能够保证供电系统的安全可靠。</w:t>
      </w:r>
    </w:p>
    <w:p w14:paraId="21D3672B">
      <w:pPr>
        <w:pStyle w:val="30"/>
        <w:bidi w:val="0"/>
        <w:rPr>
          <w:rFonts w:hint="default"/>
          <w:color w:val="auto"/>
          <w:highlight w:val="none"/>
          <w:lang w:val="en-US" w:eastAsia="zh-CN"/>
        </w:rPr>
      </w:pPr>
      <w:bookmarkStart w:id="36" w:name="_Toc22314"/>
      <w:r>
        <w:rPr>
          <w:rFonts w:hint="eastAsia"/>
          <w:color w:val="auto"/>
          <w:highlight w:val="none"/>
          <w:lang w:val="en-US" w:eastAsia="zh-CN"/>
        </w:rPr>
        <w:t>防排水与防灭火单元评价</w:t>
      </w:r>
      <w:bookmarkEnd w:id="36"/>
    </w:p>
    <w:p w14:paraId="4867C34E">
      <w:pPr>
        <w:pStyle w:val="31"/>
        <w:bidi w:val="0"/>
        <w:rPr>
          <w:color w:val="auto"/>
          <w:highlight w:val="none"/>
        </w:rPr>
      </w:pPr>
      <w:r>
        <w:rPr>
          <w:rFonts w:hint="eastAsia"/>
          <w:color w:val="auto"/>
          <w:highlight w:val="none"/>
          <w:lang w:val="en-US" w:eastAsia="zh-CN"/>
        </w:rPr>
        <w:t>防排水子单元</w:t>
      </w:r>
    </w:p>
    <w:p w14:paraId="17D2CE0E">
      <w:pPr>
        <w:pStyle w:val="24"/>
        <w:bidi w:val="0"/>
        <w:rPr>
          <w:rFonts w:hint="default"/>
          <w:color w:val="auto"/>
          <w:highlight w:val="none"/>
          <w:lang w:val="en-US"/>
        </w:rPr>
      </w:pPr>
      <w:r>
        <w:rPr>
          <w:rFonts w:hint="eastAsia"/>
          <w:color w:val="auto"/>
          <w:highlight w:val="none"/>
          <w:lang w:val="en-US" w:eastAsia="zh-CN"/>
        </w:rPr>
        <w:t>3.5.1.1</w:t>
      </w:r>
      <w:r>
        <w:rPr>
          <w:rFonts w:hint="default"/>
          <w:color w:val="auto"/>
          <w:highlight w:val="none"/>
        </w:rPr>
        <w:t>危险、有害因素的辨识和分析</w:t>
      </w:r>
    </w:p>
    <w:p w14:paraId="62834304">
      <w:pPr>
        <w:pStyle w:val="24"/>
        <w:bidi w:val="0"/>
        <w:rPr>
          <w:rFonts w:hint="default"/>
          <w:color w:val="auto"/>
          <w:highlight w:val="none"/>
          <w:lang w:val="en-US" w:eastAsia="zh-CN"/>
        </w:rPr>
      </w:pPr>
      <w:r>
        <w:rPr>
          <w:rFonts w:hint="eastAsia"/>
          <w:color w:val="auto"/>
          <w:highlight w:val="none"/>
          <w:lang w:val="en-US" w:eastAsia="zh-CN"/>
        </w:rPr>
        <w:t>（1）</w:t>
      </w:r>
      <w:r>
        <w:rPr>
          <w:rFonts w:hint="default"/>
          <w:color w:val="auto"/>
          <w:highlight w:val="none"/>
          <w:lang w:val="en-US" w:eastAsia="zh-CN"/>
        </w:rPr>
        <w:t>大气降水对矿床充水的影响</w:t>
      </w:r>
    </w:p>
    <w:p w14:paraId="4CD7D8DB">
      <w:pPr>
        <w:pStyle w:val="24"/>
        <w:bidi w:val="0"/>
        <w:rPr>
          <w:rFonts w:hint="eastAsia"/>
          <w:color w:val="auto"/>
          <w:highlight w:val="none"/>
        </w:rPr>
      </w:pPr>
      <w:r>
        <w:rPr>
          <w:rFonts w:hint="default" w:ascii="Times New Roman" w:hAnsi="Times New Roman" w:cs="Times New Roman"/>
          <w:snapToGrid w:val="0"/>
          <w:color w:val="auto"/>
          <w:highlight w:val="none"/>
        </w:rPr>
        <w:t>《可研报告》</w:t>
      </w:r>
      <w:r>
        <w:rPr>
          <w:rFonts w:hint="eastAsia" w:cs="Times New Roman"/>
          <w:snapToGrid w:val="0"/>
          <w:color w:val="auto"/>
          <w:highlight w:val="none"/>
          <w:lang w:val="en-US" w:eastAsia="zh-CN"/>
        </w:rPr>
        <w:t>明确</w:t>
      </w:r>
      <w:r>
        <w:rPr>
          <w:rFonts w:hint="eastAsia"/>
          <w:color w:val="auto"/>
          <w:highlight w:val="none"/>
        </w:rPr>
        <w:t>矿区内地下水补给来源主要为大气降水，补给方式为垂向补给。矿区所处位置地形起伏较大，地势有利于地下水径流，在接受大气降水以及区域径流补给后，依地势向西南方向发生径流，排泄于第四系含水层。</w:t>
      </w:r>
    </w:p>
    <w:p w14:paraId="29919B6E">
      <w:pPr>
        <w:pStyle w:val="24"/>
        <w:bidi w:val="0"/>
        <w:rPr>
          <w:rFonts w:hint="default" w:ascii="Times New Roman" w:hAnsi="Times New Roman" w:cs="Times New Roman"/>
          <w:snapToGrid w:val="0"/>
          <w:color w:val="auto"/>
          <w:highlight w:val="none"/>
        </w:rPr>
      </w:pPr>
      <w:r>
        <w:rPr>
          <w:rFonts w:hint="eastAsia"/>
          <w:color w:val="auto"/>
          <w:highlight w:val="none"/>
          <w:lang w:eastAsia="zh-CN"/>
        </w:rPr>
        <w:t>（</w:t>
      </w:r>
      <w:r>
        <w:rPr>
          <w:rFonts w:hint="eastAsia"/>
          <w:color w:val="auto"/>
          <w:highlight w:val="none"/>
          <w:lang w:val="en-US" w:eastAsia="zh-CN"/>
        </w:rPr>
        <w:t>2</w:t>
      </w:r>
      <w:r>
        <w:rPr>
          <w:rFonts w:hint="eastAsia"/>
          <w:color w:val="auto"/>
          <w:highlight w:val="none"/>
          <w:lang w:eastAsia="zh-CN"/>
        </w:rPr>
        <w:t>）</w:t>
      </w:r>
      <w:r>
        <w:rPr>
          <w:rFonts w:hint="default" w:ascii="Times New Roman" w:hAnsi="Times New Roman" w:cs="Times New Roman"/>
          <w:snapToGrid w:val="0"/>
          <w:color w:val="auto"/>
          <w:highlight w:val="none"/>
        </w:rPr>
        <w:t>地下水对矿床充水的影响</w:t>
      </w:r>
    </w:p>
    <w:p w14:paraId="2A202300">
      <w:pPr>
        <w:pStyle w:val="24"/>
        <w:bidi w:val="0"/>
        <w:rPr>
          <w:rFonts w:hint="default"/>
          <w:color w:val="auto"/>
          <w:highlight w:val="none"/>
          <w:lang w:val="en-US" w:eastAsia="zh-CN"/>
        </w:rPr>
      </w:pPr>
      <w:r>
        <w:rPr>
          <w:rFonts w:hint="default" w:ascii="Times New Roman" w:hAnsi="Times New Roman" w:cs="Times New Roman"/>
          <w:snapToGrid w:val="0"/>
          <w:color w:val="auto"/>
          <w:highlight w:val="none"/>
        </w:rPr>
        <w:t>《可研报告》</w:t>
      </w:r>
      <w:r>
        <w:rPr>
          <w:rFonts w:hint="eastAsia" w:cs="Times New Roman"/>
          <w:snapToGrid w:val="0"/>
          <w:color w:val="auto"/>
          <w:highlight w:val="none"/>
          <w:lang w:val="en-US" w:eastAsia="zh-CN"/>
        </w:rPr>
        <w:t>明确</w:t>
      </w:r>
      <w:r>
        <w:rPr>
          <w:rFonts w:hint="default"/>
          <w:color w:val="auto"/>
          <w:highlight w:val="none"/>
          <w:lang w:val="en-US" w:eastAsia="zh-CN"/>
        </w:rPr>
        <w:t>出露的地层主要为新生界第四系，主要分布在区内西南侧山间沟谷洼地，厚度为3-5m。对矿床开采充水影响不大</w:t>
      </w:r>
    </w:p>
    <w:p w14:paraId="3C15FA6A">
      <w:pPr>
        <w:pStyle w:val="24"/>
        <w:bidi w:val="0"/>
        <w:rPr>
          <w:color w:val="auto"/>
          <w:highlight w:val="none"/>
        </w:rPr>
      </w:pPr>
      <w:r>
        <w:rPr>
          <w:color w:val="auto"/>
          <w:highlight w:val="none"/>
        </w:rPr>
        <w:t>基岩裂隙水地下水主要赋存于花岗闪长岩裂隙中，岩石风化裂隙自地表向下发育程度逐渐减弱。含水介质富水性受岩石风化裂隙和构造裂隙的发育程度控制，地下水富水性空间分布不均，采坑内未发现涌漏水现象。矿床开采深度范围内基岩裂隙水富水性较弱。</w:t>
      </w:r>
    </w:p>
    <w:p w14:paraId="5B3388A0">
      <w:pPr>
        <w:pStyle w:val="24"/>
        <w:bidi w:val="0"/>
        <w:rPr>
          <w:rFonts w:hint="default"/>
          <w:b/>
          <w:bCs/>
          <w:color w:val="auto"/>
          <w:highlight w:val="none"/>
          <w:lang w:val="en-US" w:eastAsia="zh-CN"/>
        </w:rPr>
      </w:pPr>
      <w:bookmarkStart w:id="37" w:name="_Toc502929567"/>
      <w:bookmarkStart w:id="38" w:name="_Toc504369081"/>
      <w:bookmarkStart w:id="39" w:name="_Toc27784"/>
      <w:bookmarkStart w:id="40" w:name="_Toc502928924"/>
      <w:bookmarkStart w:id="41" w:name="_Toc504859933"/>
      <w:r>
        <w:rPr>
          <w:rFonts w:hint="default"/>
          <w:b/>
          <w:bCs/>
          <w:color w:val="auto"/>
          <w:highlight w:val="none"/>
          <w:lang w:val="en-US" w:eastAsia="zh-CN"/>
        </w:rPr>
        <w:t>3.5.1.2防排水单元评价</w:t>
      </w:r>
      <w:bookmarkEnd w:id="37"/>
      <w:bookmarkEnd w:id="38"/>
      <w:bookmarkEnd w:id="39"/>
      <w:bookmarkEnd w:id="40"/>
      <w:bookmarkEnd w:id="41"/>
    </w:p>
    <w:p w14:paraId="0951EAA2">
      <w:pPr>
        <w:pStyle w:val="24"/>
        <w:bidi w:val="0"/>
        <w:rPr>
          <w:rFonts w:hint="default"/>
          <w:color w:val="auto"/>
          <w:highlight w:val="none"/>
        </w:rPr>
      </w:pPr>
      <w:r>
        <w:rPr>
          <w:rFonts w:hint="default"/>
          <w:color w:val="auto"/>
          <w:highlight w:val="none"/>
        </w:rPr>
        <w:t>采用预先危险性分析法评价，见下表</w:t>
      </w:r>
      <w:r>
        <w:rPr>
          <w:rFonts w:hint="eastAsia"/>
          <w:color w:val="auto"/>
          <w:highlight w:val="none"/>
          <w:lang w:val="en-US" w:eastAsia="zh-CN"/>
        </w:rPr>
        <w:t>3.5-1</w:t>
      </w:r>
      <w:r>
        <w:rPr>
          <w:rFonts w:hint="default"/>
          <w:color w:val="auto"/>
          <w:highlight w:val="none"/>
        </w:rPr>
        <w:t>。</w:t>
      </w:r>
    </w:p>
    <w:p w14:paraId="18EE6FC8">
      <w:pPr>
        <w:pStyle w:val="32"/>
        <w:bidi w:val="0"/>
        <w:rPr>
          <w:rFonts w:hint="default"/>
          <w:color w:val="auto"/>
          <w:highlight w:val="none"/>
        </w:rPr>
      </w:pPr>
      <w:r>
        <w:rPr>
          <w:rFonts w:hint="default"/>
          <w:color w:val="auto"/>
          <w:highlight w:val="none"/>
        </w:rPr>
        <w:t>表</w:t>
      </w:r>
      <w:r>
        <w:rPr>
          <w:rFonts w:hint="eastAsia"/>
          <w:color w:val="auto"/>
          <w:highlight w:val="none"/>
          <w:lang w:val="en-US" w:eastAsia="zh-CN"/>
        </w:rPr>
        <w:t xml:space="preserve">3.5-1 </w:t>
      </w:r>
      <w:r>
        <w:rPr>
          <w:rFonts w:hint="default"/>
          <w:color w:val="auto"/>
          <w:highlight w:val="none"/>
        </w:rPr>
        <w:t xml:space="preserve"> 水灾单元预先危险性分析检查表</w:t>
      </w:r>
    </w:p>
    <w:tbl>
      <w:tblPr>
        <w:tblStyle w:val="2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48"/>
        <w:gridCol w:w="2739"/>
        <w:gridCol w:w="2439"/>
        <w:gridCol w:w="777"/>
        <w:gridCol w:w="2298"/>
      </w:tblGrid>
      <w:tr w14:paraId="08ED9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1" w:type="pct"/>
            <w:noWrap w:val="0"/>
            <w:vAlign w:val="center"/>
          </w:tcPr>
          <w:p w14:paraId="22CAE5C3">
            <w:pPr>
              <w:pStyle w:val="33"/>
              <w:bidi w:val="0"/>
              <w:rPr>
                <w:rFonts w:hint="default"/>
                <w:color w:val="auto"/>
                <w:highlight w:val="none"/>
              </w:rPr>
            </w:pPr>
            <w:r>
              <w:rPr>
                <w:rFonts w:hint="default"/>
                <w:color w:val="auto"/>
                <w:highlight w:val="none"/>
              </w:rPr>
              <w:t>危险有害因素</w:t>
            </w:r>
          </w:p>
        </w:tc>
        <w:tc>
          <w:tcPr>
            <w:tcW w:w="1457" w:type="pct"/>
            <w:noWrap w:val="0"/>
            <w:vAlign w:val="center"/>
          </w:tcPr>
          <w:p w14:paraId="464B36F1">
            <w:pPr>
              <w:pStyle w:val="33"/>
              <w:bidi w:val="0"/>
              <w:rPr>
                <w:rFonts w:hint="default"/>
                <w:color w:val="auto"/>
                <w:highlight w:val="none"/>
              </w:rPr>
            </w:pPr>
            <w:r>
              <w:rPr>
                <w:rFonts w:hint="default"/>
                <w:color w:val="auto"/>
                <w:highlight w:val="none"/>
              </w:rPr>
              <w:t>致因因素</w:t>
            </w:r>
          </w:p>
        </w:tc>
        <w:tc>
          <w:tcPr>
            <w:tcW w:w="1297" w:type="pct"/>
            <w:noWrap w:val="0"/>
            <w:vAlign w:val="center"/>
          </w:tcPr>
          <w:p w14:paraId="010A50AE">
            <w:pPr>
              <w:pStyle w:val="33"/>
              <w:bidi w:val="0"/>
              <w:rPr>
                <w:rFonts w:hint="default"/>
                <w:color w:val="auto"/>
                <w:highlight w:val="none"/>
              </w:rPr>
            </w:pPr>
            <w:r>
              <w:rPr>
                <w:rFonts w:hint="default"/>
                <w:color w:val="auto"/>
                <w:highlight w:val="none"/>
              </w:rPr>
              <w:t>事故后果</w:t>
            </w:r>
          </w:p>
        </w:tc>
        <w:tc>
          <w:tcPr>
            <w:tcW w:w="413" w:type="pct"/>
            <w:noWrap w:val="0"/>
            <w:vAlign w:val="center"/>
          </w:tcPr>
          <w:p w14:paraId="1BB0BA36">
            <w:pPr>
              <w:pStyle w:val="33"/>
              <w:bidi w:val="0"/>
              <w:rPr>
                <w:rFonts w:hint="default"/>
                <w:color w:val="auto"/>
                <w:highlight w:val="none"/>
              </w:rPr>
            </w:pPr>
            <w:r>
              <w:rPr>
                <w:rFonts w:hint="default"/>
                <w:color w:val="auto"/>
                <w:highlight w:val="none"/>
              </w:rPr>
              <w:t>危险等级</w:t>
            </w:r>
          </w:p>
        </w:tc>
        <w:tc>
          <w:tcPr>
            <w:tcW w:w="1222" w:type="pct"/>
            <w:noWrap w:val="0"/>
            <w:vAlign w:val="center"/>
          </w:tcPr>
          <w:p w14:paraId="360425E7">
            <w:pPr>
              <w:pStyle w:val="33"/>
              <w:bidi w:val="0"/>
              <w:rPr>
                <w:rFonts w:hint="default"/>
                <w:color w:val="auto"/>
                <w:highlight w:val="none"/>
              </w:rPr>
            </w:pPr>
            <w:r>
              <w:rPr>
                <w:rFonts w:hint="default"/>
                <w:color w:val="auto"/>
                <w:highlight w:val="none"/>
              </w:rPr>
              <w:t>预防措施</w:t>
            </w:r>
          </w:p>
        </w:tc>
      </w:tr>
      <w:tr w14:paraId="7B17F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89" w:hRule="atLeast"/>
        </w:trPr>
        <w:tc>
          <w:tcPr>
            <w:tcW w:w="611" w:type="pct"/>
            <w:noWrap w:val="0"/>
            <w:vAlign w:val="center"/>
          </w:tcPr>
          <w:p w14:paraId="598F7930">
            <w:pPr>
              <w:pStyle w:val="33"/>
              <w:bidi w:val="0"/>
              <w:rPr>
                <w:rFonts w:hint="default"/>
                <w:color w:val="auto"/>
                <w:highlight w:val="none"/>
              </w:rPr>
            </w:pPr>
            <w:r>
              <w:rPr>
                <w:rFonts w:hint="default"/>
                <w:color w:val="auto"/>
                <w:highlight w:val="none"/>
              </w:rPr>
              <w:t>水灾</w:t>
            </w:r>
          </w:p>
        </w:tc>
        <w:tc>
          <w:tcPr>
            <w:tcW w:w="1457" w:type="pct"/>
            <w:noWrap w:val="0"/>
            <w:vAlign w:val="center"/>
          </w:tcPr>
          <w:p w14:paraId="4B104705">
            <w:pPr>
              <w:pStyle w:val="33"/>
              <w:bidi w:val="0"/>
              <w:rPr>
                <w:rFonts w:hint="default"/>
                <w:color w:val="auto"/>
                <w:highlight w:val="none"/>
              </w:rPr>
            </w:pPr>
            <w:r>
              <w:rPr>
                <w:rFonts w:hint="default"/>
                <w:color w:val="auto"/>
                <w:highlight w:val="none"/>
              </w:rPr>
              <w:t>出现特大、罕见的暴雨。</w:t>
            </w:r>
          </w:p>
        </w:tc>
        <w:tc>
          <w:tcPr>
            <w:tcW w:w="1297" w:type="pct"/>
            <w:noWrap w:val="0"/>
            <w:vAlign w:val="center"/>
          </w:tcPr>
          <w:p w14:paraId="31E88CCF">
            <w:pPr>
              <w:pStyle w:val="33"/>
              <w:bidi w:val="0"/>
              <w:rPr>
                <w:rFonts w:hint="default"/>
                <w:color w:val="auto"/>
                <w:highlight w:val="none"/>
              </w:rPr>
            </w:pPr>
            <w:r>
              <w:rPr>
                <w:rFonts w:hint="default"/>
                <w:color w:val="auto"/>
                <w:highlight w:val="none"/>
              </w:rPr>
              <w:t>直接或间接造成泥石流或滑坡，造成人员伤亡或设备损坏。</w:t>
            </w:r>
          </w:p>
        </w:tc>
        <w:tc>
          <w:tcPr>
            <w:tcW w:w="413" w:type="pct"/>
            <w:noWrap w:val="0"/>
            <w:vAlign w:val="center"/>
          </w:tcPr>
          <w:p w14:paraId="3BA5402E">
            <w:pPr>
              <w:pStyle w:val="33"/>
              <w:bidi w:val="0"/>
              <w:rPr>
                <w:rFonts w:hint="default"/>
                <w:color w:val="auto"/>
                <w:highlight w:val="none"/>
              </w:rPr>
            </w:pPr>
            <w:r>
              <w:rPr>
                <w:rFonts w:hint="default"/>
                <w:color w:val="auto"/>
                <w:highlight w:val="none"/>
              </w:rPr>
              <w:t>Ⅱ</w:t>
            </w:r>
          </w:p>
        </w:tc>
        <w:tc>
          <w:tcPr>
            <w:tcW w:w="1222" w:type="pct"/>
            <w:noWrap w:val="0"/>
            <w:vAlign w:val="center"/>
          </w:tcPr>
          <w:p w14:paraId="056BE028">
            <w:pPr>
              <w:pStyle w:val="33"/>
              <w:bidi w:val="0"/>
              <w:rPr>
                <w:rFonts w:hint="default"/>
                <w:color w:val="auto"/>
                <w:highlight w:val="none"/>
              </w:rPr>
            </w:pPr>
            <w:r>
              <w:rPr>
                <w:rFonts w:hint="default"/>
                <w:color w:val="auto"/>
                <w:highlight w:val="none"/>
              </w:rPr>
              <w:t>出现特大、罕见的暴雨时，将下部台阶的人员和设备及时撤出，力求将损失降到最小。</w:t>
            </w:r>
          </w:p>
        </w:tc>
      </w:tr>
    </w:tbl>
    <w:p w14:paraId="232481A6">
      <w:pPr>
        <w:pStyle w:val="24"/>
        <w:bidi w:val="0"/>
        <w:rPr>
          <w:rFonts w:hint="default"/>
          <w:b/>
          <w:bCs/>
          <w:color w:val="auto"/>
          <w:highlight w:val="none"/>
          <w:lang w:val="en-US" w:eastAsia="zh-CN"/>
        </w:rPr>
      </w:pPr>
      <w:r>
        <w:rPr>
          <w:rFonts w:hint="default"/>
          <w:b/>
          <w:bCs/>
          <w:color w:val="auto"/>
          <w:highlight w:val="none"/>
          <w:lang w:val="en-US" w:eastAsia="zh-CN"/>
        </w:rPr>
        <w:t>3.5.1.3经验分析法</w:t>
      </w:r>
    </w:p>
    <w:p w14:paraId="3987855C">
      <w:pPr>
        <w:pStyle w:val="24"/>
        <w:bidi w:val="0"/>
        <w:rPr>
          <w:rFonts w:hint="default"/>
          <w:color w:val="auto"/>
          <w:highlight w:val="none"/>
          <w:lang w:val="en-US" w:eastAsia="zh-CN"/>
        </w:rPr>
      </w:pPr>
      <w:r>
        <w:rPr>
          <w:rFonts w:hint="default"/>
          <w:color w:val="auto"/>
          <w:highlight w:val="none"/>
          <w:lang w:val="en-US" w:eastAsia="zh-CN"/>
        </w:rPr>
        <w:t>《可研报告》确定</w:t>
      </w:r>
      <w:r>
        <w:rPr>
          <w:color w:val="auto"/>
          <w:highlight w:val="none"/>
        </w:rPr>
        <w:t>矿山正常涌水量为137.7m</w:t>
      </w:r>
      <w:r>
        <w:rPr>
          <w:color w:val="auto"/>
          <w:highlight w:val="none"/>
          <w:vertAlign w:val="superscript"/>
        </w:rPr>
        <w:t>3</w:t>
      </w:r>
      <w:r>
        <w:rPr>
          <w:color w:val="auto"/>
          <w:highlight w:val="none"/>
        </w:rPr>
        <w:t>/d，丰水期涌水量为358.1m</w:t>
      </w:r>
      <w:r>
        <w:rPr>
          <w:color w:val="auto"/>
          <w:highlight w:val="none"/>
          <w:vertAlign w:val="superscript"/>
        </w:rPr>
        <w:t>3</w:t>
      </w:r>
      <w:r>
        <w:rPr>
          <w:color w:val="auto"/>
          <w:highlight w:val="none"/>
        </w:rPr>
        <w:t>/d，本次设计最低开采标高为150m，为山坡露天开采，矿区最低侵蚀基准面为105m，大气降水能够自然排放，地表水通过自流的方式排出采场外</w:t>
      </w:r>
      <w:r>
        <w:rPr>
          <w:rFonts w:hAnsi="宋体"/>
          <w:color w:val="auto"/>
          <w:sz w:val="28"/>
          <w:szCs w:val="28"/>
          <w:highlight w:val="none"/>
        </w:rPr>
        <w:t>。</w:t>
      </w:r>
    </w:p>
    <w:p w14:paraId="6CDB4929">
      <w:pPr>
        <w:pStyle w:val="24"/>
        <w:bidi w:val="0"/>
        <w:rPr>
          <w:rFonts w:hint="default"/>
          <w:color w:val="auto"/>
          <w:highlight w:val="none"/>
          <w:lang w:val="en-US" w:eastAsia="zh-CN"/>
        </w:rPr>
      </w:pPr>
      <w:r>
        <w:rPr>
          <w:rFonts w:hint="default"/>
          <w:color w:val="auto"/>
          <w:highlight w:val="none"/>
          <w:lang w:val="en-US" w:eastAsia="zh-CN"/>
        </w:rPr>
        <w:t>大气降水是该露采矿山的主要充水水源，由于矿体围岩顶底板完整，矿床不含水，可以直接进入露天采坑。矿体位于山脊，地形陡立，地表地形有利于大气降水的自然排泄。设计采场为山坡露天矿，降水可自流出采场，不设机械排水设施。</w:t>
      </w:r>
    </w:p>
    <w:p w14:paraId="2766AD33">
      <w:pPr>
        <w:pStyle w:val="24"/>
        <w:bidi w:val="0"/>
        <w:rPr>
          <w:color w:val="auto"/>
          <w:highlight w:val="none"/>
        </w:rPr>
      </w:pPr>
      <w:r>
        <w:rPr>
          <w:rFonts w:hint="default"/>
          <w:color w:val="auto"/>
          <w:highlight w:val="none"/>
          <w:lang w:val="en-US" w:eastAsia="zh-CN"/>
        </w:rPr>
        <w:t>《可研报告》</w:t>
      </w:r>
      <w:r>
        <w:rPr>
          <w:rFonts w:hint="eastAsia"/>
          <w:color w:val="auto"/>
          <w:highlight w:val="none"/>
          <w:lang w:val="en-US" w:eastAsia="zh-CN"/>
        </w:rPr>
        <w:t>明确</w:t>
      </w:r>
      <w:r>
        <w:rPr>
          <w:color w:val="auto"/>
          <w:highlight w:val="none"/>
        </w:rPr>
        <w:t>矿床及其围岩均属</w:t>
      </w:r>
      <w:r>
        <w:rPr>
          <w:rFonts w:hint="eastAsia"/>
          <w:color w:val="auto"/>
          <w:highlight w:val="none"/>
        </w:rPr>
        <w:t>花岗岩</w:t>
      </w:r>
      <w:r>
        <w:rPr>
          <w:color w:val="auto"/>
          <w:highlight w:val="none"/>
        </w:rPr>
        <w:t>矿。开采标高高于当地最低侵蚀基准面，对大气降水有足够的排泄能力，因此地表水体对矿山充水不会造成影响。</w:t>
      </w:r>
    </w:p>
    <w:p w14:paraId="0910004A">
      <w:pPr>
        <w:pStyle w:val="24"/>
        <w:bidi w:val="0"/>
        <w:rPr>
          <w:rFonts w:hint="default"/>
          <w:color w:val="auto"/>
          <w:highlight w:val="none"/>
          <w:lang w:val="en-US" w:eastAsia="zh-CN"/>
        </w:rPr>
      </w:pPr>
      <w:r>
        <w:rPr>
          <w:rFonts w:hint="default"/>
          <w:color w:val="auto"/>
          <w:highlight w:val="none"/>
          <w:lang w:val="en-US" w:eastAsia="zh-CN"/>
        </w:rPr>
        <w:t>《可研报告》</w:t>
      </w:r>
      <w:r>
        <w:rPr>
          <w:rFonts w:hint="eastAsia"/>
          <w:color w:val="auto"/>
          <w:highlight w:val="none"/>
          <w:lang w:val="en-US" w:eastAsia="zh-CN"/>
        </w:rPr>
        <w:t>明确</w:t>
      </w:r>
      <w:r>
        <w:rPr>
          <w:color w:val="auto"/>
          <w:highlight w:val="none"/>
        </w:rPr>
        <w:t>露天采场东侧存在汇水面积，降雨后会形成地表径流进入露天采场，设计在露天采场外围设置截水沟，防止地表径流流入采场。</w:t>
      </w:r>
    </w:p>
    <w:p w14:paraId="714817EE">
      <w:pPr>
        <w:pStyle w:val="31"/>
        <w:bidi w:val="0"/>
        <w:rPr>
          <w:rFonts w:hint="default"/>
          <w:color w:val="auto"/>
          <w:highlight w:val="none"/>
          <w:lang w:val="en-US" w:eastAsia="zh-CN"/>
        </w:rPr>
      </w:pPr>
      <w:r>
        <w:rPr>
          <w:rFonts w:hint="eastAsia"/>
          <w:color w:val="auto"/>
          <w:highlight w:val="none"/>
          <w:lang w:val="en-US" w:eastAsia="zh-CN"/>
        </w:rPr>
        <w:t>防灭火子单元</w:t>
      </w:r>
    </w:p>
    <w:p w14:paraId="5AC63059">
      <w:pPr>
        <w:pStyle w:val="24"/>
        <w:bidi w:val="0"/>
        <w:rPr>
          <w:rFonts w:hint="default"/>
          <w:color w:val="auto"/>
          <w:highlight w:val="none"/>
        </w:rPr>
      </w:pPr>
      <w:r>
        <w:rPr>
          <w:rFonts w:hint="default"/>
          <w:color w:val="auto"/>
          <w:highlight w:val="none"/>
        </w:rPr>
        <w:t>预先危险性分析法预评价（见表</w:t>
      </w:r>
      <w:r>
        <w:rPr>
          <w:rFonts w:hint="eastAsia"/>
          <w:color w:val="auto"/>
          <w:highlight w:val="none"/>
          <w:lang w:val="en-US" w:eastAsia="zh-CN"/>
        </w:rPr>
        <w:t>3.5-2</w:t>
      </w:r>
      <w:r>
        <w:rPr>
          <w:rFonts w:hint="default"/>
          <w:color w:val="auto"/>
          <w:highlight w:val="none"/>
        </w:rPr>
        <w:t>）。</w:t>
      </w:r>
    </w:p>
    <w:p w14:paraId="5EC9F69E">
      <w:pPr>
        <w:pStyle w:val="32"/>
        <w:bidi w:val="0"/>
        <w:rPr>
          <w:rFonts w:hint="default"/>
          <w:color w:val="auto"/>
          <w:highlight w:val="none"/>
        </w:rPr>
      </w:pPr>
      <w:r>
        <w:rPr>
          <w:rFonts w:hint="default"/>
          <w:color w:val="auto"/>
          <w:highlight w:val="none"/>
        </w:rPr>
        <w:t>表</w:t>
      </w:r>
      <w:r>
        <w:rPr>
          <w:rFonts w:hint="eastAsia"/>
          <w:color w:val="auto"/>
          <w:highlight w:val="none"/>
          <w:lang w:val="en-US" w:eastAsia="zh-CN"/>
        </w:rPr>
        <w:t>3.5-2</w:t>
      </w:r>
      <w:r>
        <w:rPr>
          <w:rFonts w:hint="default"/>
          <w:color w:val="auto"/>
          <w:highlight w:val="none"/>
        </w:rPr>
        <w:t xml:space="preserve">  火灾预先危险性分析</w:t>
      </w:r>
    </w:p>
    <w:tbl>
      <w:tblPr>
        <w:tblStyle w:val="2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4"/>
        <w:gridCol w:w="3010"/>
        <w:gridCol w:w="1587"/>
        <w:gridCol w:w="795"/>
        <w:gridCol w:w="2535"/>
      </w:tblGrid>
      <w:tr w14:paraId="40DBE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784" w:type="pct"/>
            <w:noWrap w:val="0"/>
            <w:vAlign w:val="top"/>
          </w:tcPr>
          <w:p w14:paraId="6A3B5915">
            <w:pPr>
              <w:pStyle w:val="33"/>
              <w:bidi w:val="0"/>
              <w:rPr>
                <w:rFonts w:hint="default"/>
                <w:color w:val="auto"/>
                <w:highlight w:val="none"/>
              </w:rPr>
            </w:pPr>
            <w:r>
              <w:rPr>
                <w:rFonts w:hint="default"/>
                <w:color w:val="auto"/>
                <w:highlight w:val="none"/>
              </w:rPr>
              <w:t>存在的危险因素</w:t>
            </w:r>
          </w:p>
        </w:tc>
        <w:tc>
          <w:tcPr>
            <w:tcW w:w="1601" w:type="pct"/>
            <w:noWrap w:val="0"/>
            <w:vAlign w:val="center"/>
          </w:tcPr>
          <w:p w14:paraId="20D40F14">
            <w:pPr>
              <w:pStyle w:val="33"/>
              <w:bidi w:val="0"/>
              <w:rPr>
                <w:rFonts w:hint="default"/>
                <w:color w:val="auto"/>
                <w:highlight w:val="none"/>
              </w:rPr>
            </w:pPr>
            <w:r>
              <w:rPr>
                <w:rFonts w:hint="default"/>
                <w:color w:val="auto"/>
                <w:highlight w:val="none"/>
              </w:rPr>
              <w:t>引发事故的原因</w:t>
            </w:r>
          </w:p>
        </w:tc>
        <w:tc>
          <w:tcPr>
            <w:tcW w:w="844" w:type="pct"/>
            <w:noWrap w:val="0"/>
            <w:vAlign w:val="top"/>
          </w:tcPr>
          <w:p w14:paraId="4EE8538E">
            <w:pPr>
              <w:pStyle w:val="33"/>
              <w:bidi w:val="0"/>
              <w:rPr>
                <w:rFonts w:hint="default"/>
                <w:color w:val="auto"/>
                <w:highlight w:val="none"/>
              </w:rPr>
            </w:pPr>
            <w:r>
              <w:rPr>
                <w:rFonts w:hint="default"/>
                <w:color w:val="auto"/>
                <w:highlight w:val="none"/>
              </w:rPr>
              <w:t>导致的事故后果</w:t>
            </w:r>
          </w:p>
        </w:tc>
        <w:tc>
          <w:tcPr>
            <w:tcW w:w="423" w:type="pct"/>
            <w:noWrap w:val="0"/>
            <w:vAlign w:val="top"/>
          </w:tcPr>
          <w:p w14:paraId="77C63276">
            <w:pPr>
              <w:pStyle w:val="33"/>
              <w:bidi w:val="0"/>
              <w:rPr>
                <w:rFonts w:hint="default"/>
                <w:color w:val="auto"/>
                <w:highlight w:val="none"/>
              </w:rPr>
            </w:pPr>
            <w:r>
              <w:rPr>
                <w:rFonts w:hint="default"/>
                <w:color w:val="auto"/>
                <w:highlight w:val="none"/>
              </w:rPr>
              <w:t>危险等级</w:t>
            </w:r>
          </w:p>
        </w:tc>
        <w:tc>
          <w:tcPr>
            <w:tcW w:w="1348" w:type="pct"/>
            <w:noWrap w:val="0"/>
            <w:vAlign w:val="center"/>
          </w:tcPr>
          <w:p w14:paraId="56E1335B">
            <w:pPr>
              <w:pStyle w:val="33"/>
              <w:bidi w:val="0"/>
              <w:rPr>
                <w:rFonts w:hint="default"/>
                <w:color w:val="auto"/>
                <w:highlight w:val="none"/>
              </w:rPr>
            </w:pPr>
            <w:r>
              <w:rPr>
                <w:rFonts w:hint="default"/>
                <w:color w:val="auto"/>
                <w:highlight w:val="none"/>
              </w:rPr>
              <w:t>预防措施</w:t>
            </w:r>
          </w:p>
        </w:tc>
      </w:tr>
      <w:tr w14:paraId="661F0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4" w:type="pct"/>
            <w:noWrap w:val="0"/>
            <w:vAlign w:val="center"/>
          </w:tcPr>
          <w:p w14:paraId="701CA473">
            <w:pPr>
              <w:pStyle w:val="33"/>
              <w:bidi w:val="0"/>
              <w:rPr>
                <w:rFonts w:hint="default"/>
                <w:color w:val="auto"/>
                <w:highlight w:val="none"/>
              </w:rPr>
            </w:pPr>
            <w:r>
              <w:rPr>
                <w:rFonts w:hint="default"/>
                <w:color w:val="auto"/>
                <w:highlight w:val="none"/>
              </w:rPr>
              <w:t>火灾</w:t>
            </w:r>
          </w:p>
        </w:tc>
        <w:tc>
          <w:tcPr>
            <w:tcW w:w="1601" w:type="pct"/>
            <w:noWrap w:val="0"/>
            <w:vAlign w:val="top"/>
          </w:tcPr>
          <w:p w14:paraId="5D119AA1">
            <w:pPr>
              <w:pStyle w:val="33"/>
              <w:bidi w:val="0"/>
              <w:jc w:val="both"/>
              <w:rPr>
                <w:rFonts w:hint="default"/>
                <w:color w:val="auto"/>
                <w:highlight w:val="none"/>
              </w:rPr>
            </w:pPr>
            <w:r>
              <w:rPr>
                <w:rFonts w:hint="default"/>
                <w:color w:val="auto"/>
                <w:highlight w:val="none"/>
              </w:rPr>
              <w:t>1.该项目燃油设备较多，燃油设备和车辆使用的油类管理不善。</w:t>
            </w:r>
          </w:p>
          <w:p w14:paraId="2B38841A">
            <w:pPr>
              <w:pStyle w:val="33"/>
              <w:bidi w:val="0"/>
              <w:jc w:val="both"/>
              <w:rPr>
                <w:rFonts w:hint="default"/>
                <w:color w:val="auto"/>
                <w:highlight w:val="none"/>
              </w:rPr>
            </w:pPr>
            <w:r>
              <w:rPr>
                <w:rFonts w:hint="default"/>
                <w:color w:val="auto"/>
                <w:highlight w:val="none"/>
              </w:rPr>
              <w:t>2.地面工业场地消防设施未配备齐全或失效。</w:t>
            </w:r>
          </w:p>
        </w:tc>
        <w:tc>
          <w:tcPr>
            <w:tcW w:w="844" w:type="pct"/>
            <w:noWrap w:val="0"/>
            <w:vAlign w:val="top"/>
          </w:tcPr>
          <w:p w14:paraId="5FBA7CE3">
            <w:pPr>
              <w:pStyle w:val="33"/>
              <w:bidi w:val="0"/>
              <w:jc w:val="both"/>
              <w:rPr>
                <w:rFonts w:hint="default"/>
                <w:color w:val="auto"/>
                <w:highlight w:val="none"/>
              </w:rPr>
            </w:pPr>
            <w:r>
              <w:rPr>
                <w:rFonts w:hint="default"/>
                <w:color w:val="auto"/>
                <w:highlight w:val="none"/>
              </w:rPr>
              <w:t>1.烧毁设施、设备，造成人员伤亡。</w:t>
            </w:r>
          </w:p>
          <w:p w14:paraId="4E681A16">
            <w:pPr>
              <w:pStyle w:val="33"/>
              <w:bidi w:val="0"/>
              <w:jc w:val="both"/>
              <w:rPr>
                <w:rFonts w:hint="default"/>
                <w:color w:val="auto"/>
                <w:highlight w:val="none"/>
              </w:rPr>
            </w:pPr>
            <w:r>
              <w:rPr>
                <w:rFonts w:hint="default"/>
                <w:color w:val="auto"/>
                <w:highlight w:val="none"/>
              </w:rPr>
              <w:t>2.油类爆炸，导致人员伤亡。</w:t>
            </w:r>
          </w:p>
          <w:p w14:paraId="760C24C3">
            <w:pPr>
              <w:pStyle w:val="33"/>
              <w:bidi w:val="0"/>
              <w:jc w:val="both"/>
              <w:rPr>
                <w:rFonts w:hint="default"/>
                <w:color w:val="auto"/>
                <w:highlight w:val="none"/>
              </w:rPr>
            </w:pPr>
            <w:r>
              <w:rPr>
                <w:rFonts w:hint="default"/>
                <w:color w:val="auto"/>
                <w:highlight w:val="none"/>
              </w:rPr>
              <w:t>3.地面工业场地发生火灾。</w:t>
            </w:r>
          </w:p>
        </w:tc>
        <w:tc>
          <w:tcPr>
            <w:tcW w:w="423" w:type="pct"/>
            <w:noWrap w:val="0"/>
            <w:vAlign w:val="top"/>
          </w:tcPr>
          <w:p w14:paraId="25A0973E">
            <w:pPr>
              <w:pStyle w:val="33"/>
              <w:bidi w:val="0"/>
              <w:rPr>
                <w:rFonts w:hint="default"/>
                <w:color w:val="auto"/>
                <w:highlight w:val="none"/>
              </w:rPr>
            </w:pPr>
            <w:r>
              <w:rPr>
                <w:rFonts w:hint="default"/>
                <w:color w:val="auto"/>
                <w:highlight w:val="none"/>
              </w:rPr>
              <w:t>Ⅱ</w:t>
            </w:r>
          </w:p>
        </w:tc>
        <w:tc>
          <w:tcPr>
            <w:tcW w:w="1348" w:type="pct"/>
            <w:noWrap w:val="0"/>
            <w:vAlign w:val="top"/>
          </w:tcPr>
          <w:p w14:paraId="6AD4F325">
            <w:pPr>
              <w:pStyle w:val="33"/>
              <w:bidi w:val="0"/>
              <w:jc w:val="both"/>
              <w:rPr>
                <w:rFonts w:hint="default"/>
                <w:color w:val="auto"/>
                <w:highlight w:val="none"/>
              </w:rPr>
            </w:pPr>
            <w:r>
              <w:rPr>
                <w:rFonts w:hint="default"/>
                <w:color w:val="auto"/>
                <w:highlight w:val="none"/>
              </w:rPr>
              <w:t>1.严格管理燃油设备，油料附近杜绝明火。</w:t>
            </w:r>
          </w:p>
          <w:p w14:paraId="38DC5C37">
            <w:pPr>
              <w:pStyle w:val="33"/>
              <w:bidi w:val="0"/>
              <w:jc w:val="both"/>
              <w:rPr>
                <w:rFonts w:hint="default"/>
                <w:color w:val="auto"/>
                <w:highlight w:val="none"/>
              </w:rPr>
            </w:pPr>
            <w:r>
              <w:rPr>
                <w:rFonts w:hint="default"/>
                <w:color w:val="auto"/>
                <w:highlight w:val="none"/>
              </w:rPr>
              <w:t>2.严格按照规程要求配备地面工业场地的消防设施。</w:t>
            </w:r>
          </w:p>
        </w:tc>
      </w:tr>
    </w:tbl>
    <w:p w14:paraId="6AABBD3B">
      <w:pPr>
        <w:pStyle w:val="24"/>
        <w:bidi w:val="0"/>
        <w:rPr>
          <w:rFonts w:hint="default"/>
          <w:color w:val="auto"/>
          <w:highlight w:val="none"/>
        </w:rPr>
      </w:pPr>
      <w:r>
        <w:rPr>
          <w:rFonts w:hint="default"/>
          <w:color w:val="auto"/>
          <w:highlight w:val="none"/>
        </w:rPr>
        <w:t>由预先危险性分析可知，该项目防灭火系统中存在的火灾的危险级别均为Ⅱ级，属于“临界的”，处于事故边缘状态，暂时不会造成人员伤亡、系统损害或降低系统性能，但应予以排除或采取控制措施。</w:t>
      </w:r>
    </w:p>
    <w:p w14:paraId="21B7498E">
      <w:pPr>
        <w:pStyle w:val="31"/>
        <w:bidi w:val="0"/>
        <w:rPr>
          <w:rFonts w:hint="default"/>
          <w:color w:val="auto"/>
          <w:highlight w:val="none"/>
          <w:lang w:val="en-US" w:eastAsia="zh-CN"/>
        </w:rPr>
      </w:pPr>
      <w:r>
        <w:rPr>
          <w:rFonts w:hint="eastAsia"/>
          <w:color w:val="auto"/>
          <w:highlight w:val="none"/>
          <w:lang w:val="en-US" w:eastAsia="zh-CN"/>
        </w:rPr>
        <w:t>评价结果</w:t>
      </w:r>
    </w:p>
    <w:p w14:paraId="316AC14B">
      <w:pPr>
        <w:pStyle w:val="24"/>
        <w:bidi w:val="0"/>
        <w:rPr>
          <w:rFonts w:hint="default"/>
          <w:color w:val="auto"/>
          <w:highlight w:val="none"/>
        </w:rPr>
      </w:pPr>
      <w:r>
        <w:rPr>
          <w:rFonts w:hint="default"/>
          <w:color w:val="auto"/>
          <w:highlight w:val="none"/>
        </w:rPr>
        <w:t>对该项目而言，该项目发生水灾</w:t>
      </w:r>
      <w:r>
        <w:rPr>
          <w:rFonts w:hint="default"/>
          <w:color w:val="auto"/>
          <w:highlight w:val="none"/>
          <w:lang w:val="en-US" w:eastAsia="zh-CN"/>
        </w:rPr>
        <w:t>和火灾</w:t>
      </w:r>
      <w:r>
        <w:rPr>
          <w:rFonts w:hint="default"/>
          <w:color w:val="auto"/>
          <w:highlight w:val="none"/>
          <w:lang w:eastAsia="zh-CN"/>
        </w:rPr>
        <w:t>的可能性较小</w:t>
      </w:r>
      <w:r>
        <w:rPr>
          <w:rFonts w:hint="default"/>
          <w:color w:val="auto"/>
          <w:highlight w:val="none"/>
        </w:rPr>
        <w:t>，</w:t>
      </w:r>
      <w:r>
        <w:rPr>
          <w:rFonts w:hint="default"/>
          <w:color w:val="auto"/>
          <w:highlight w:val="none"/>
          <w:lang w:val="en-US" w:eastAsia="zh-CN"/>
        </w:rPr>
        <w:t>在</w:t>
      </w:r>
      <w:r>
        <w:rPr>
          <w:rFonts w:hint="default"/>
          <w:color w:val="auto"/>
          <w:highlight w:val="none"/>
        </w:rPr>
        <w:t>采取</w:t>
      </w:r>
      <w:r>
        <w:rPr>
          <w:rFonts w:hint="default"/>
          <w:color w:val="auto"/>
          <w:highlight w:val="none"/>
          <w:lang w:val="en-US" w:eastAsia="zh-CN"/>
        </w:rPr>
        <w:t>了</w:t>
      </w:r>
      <w:r>
        <w:rPr>
          <w:rFonts w:hint="default"/>
          <w:color w:val="auto"/>
          <w:highlight w:val="none"/>
        </w:rPr>
        <w:t>必要的安全措施后，可以将其控制在可接受范围之内。</w:t>
      </w:r>
    </w:p>
    <w:p w14:paraId="474A60BF">
      <w:pPr>
        <w:pStyle w:val="30"/>
        <w:bidi w:val="0"/>
        <w:rPr>
          <w:rFonts w:hint="default"/>
          <w:color w:val="auto"/>
          <w:highlight w:val="none"/>
          <w:lang w:val="en-US" w:eastAsia="zh-CN"/>
        </w:rPr>
      </w:pPr>
      <w:bookmarkStart w:id="42" w:name="_Toc17639"/>
      <w:r>
        <w:rPr>
          <w:rFonts w:hint="eastAsia"/>
          <w:color w:val="auto"/>
          <w:highlight w:val="none"/>
          <w:lang w:val="en-US" w:eastAsia="zh-CN"/>
        </w:rPr>
        <w:t>安全管理单元</w:t>
      </w:r>
      <w:bookmarkEnd w:id="42"/>
    </w:p>
    <w:p w14:paraId="0E53622C">
      <w:pPr>
        <w:pStyle w:val="24"/>
        <w:bidi w:val="0"/>
        <w:rPr>
          <w:color w:val="auto"/>
          <w:highlight w:val="none"/>
        </w:rPr>
      </w:pPr>
      <w:r>
        <w:rPr>
          <w:rFonts w:hint="default"/>
          <w:color w:val="auto"/>
          <w:highlight w:val="none"/>
        </w:rPr>
        <w:t>《可研报告》中提出</w:t>
      </w:r>
      <w:r>
        <w:rPr>
          <w:color w:val="auto"/>
          <w:highlight w:val="none"/>
        </w:rPr>
        <w:t>矿山设专职安全员，企业法人为安全责任人。责任落实到人，专职安全员负责各节点的安全管理和监督检查工作，及时处理采掘过程中出现的不安全因素和事故隐患，预防并协调、处理突发事故。</w:t>
      </w:r>
    </w:p>
    <w:p w14:paraId="5EE34020">
      <w:pPr>
        <w:pStyle w:val="24"/>
        <w:bidi w:val="0"/>
        <w:rPr>
          <w:rFonts w:hint="eastAsia"/>
          <w:color w:val="auto"/>
          <w:highlight w:val="none"/>
          <w:lang w:eastAsia="zh-CN"/>
        </w:rPr>
      </w:pPr>
      <w:r>
        <w:rPr>
          <w:color w:val="auto"/>
          <w:highlight w:val="none"/>
        </w:rPr>
        <w:t>制定安全管理条例和规定。制定各生产环节，尤其是特种岗位，如挖掘机司机、汽车司机的安全操作规程，对特种岗位操作工要定期培训</w:t>
      </w:r>
      <w:r>
        <w:rPr>
          <w:rFonts w:hint="eastAsia"/>
          <w:color w:val="auto"/>
          <w:highlight w:val="none"/>
          <w:lang w:eastAsia="zh-CN"/>
        </w:rPr>
        <w:t>。</w:t>
      </w:r>
    </w:p>
    <w:p w14:paraId="546ECD08">
      <w:pPr>
        <w:pStyle w:val="24"/>
        <w:bidi w:val="0"/>
        <w:rPr>
          <w:rFonts w:hint="default"/>
          <w:color w:val="auto"/>
          <w:highlight w:val="none"/>
        </w:rPr>
      </w:pPr>
      <w:r>
        <w:rPr>
          <w:rFonts w:hint="default"/>
          <w:color w:val="auto"/>
          <w:highlight w:val="none"/>
        </w:rPr>
        <w:t>评价结果：《可研报告》中对该项目提出的安全生产管理方面的对策措施尚不够完善，本预评价报告给予了补充。建设单位在以后的生产中，只要落实本报告在安全管理方面提出的措施，建立安全管理机构、安全管理制度、应急预案，并要对安全管理人员和特种作业人员进行培训，生产中要落实各项制度，以确保安全生产管理有效的运用于施工及生产的各个环节，就能够最大限度的确保本项目的安全生产。</w:t>
      </w:r>
    </w:p>
    <w:p w14:paraId="3879D038">
      <w:pPr>
        <w:pStyle w:val="30"/>
        <w:bidi w:val="0"/>
        <w:rPr>
          <w:color w:val="auto"/>
          <w:highlight w:val="none"/>
        </w:rPr>
      </w:pPr>
      <w:bookmarkStart w:id="43" w:name="_Toc24963"/>
      <w:r>
        <w:rPr>
          <w:rFonts w:hint="eastAsia"/>
          <w:color w:val="auto"/>
          <w:highlight w:val="none"/>
        </w:rPr>
        <w:t>重大危险源辨识单元</w:t>
      </w:r>
      <w:bookmarkEnd w:id="43"/>
    </w:p>
    <w:p w14:paraId="6CB3ADF8">
      <w:pPr>
        <w:pStyle w:val="24"/>
        <w:bidi w:val="0"/>
        <w:rPr>
          <w:rFonts w:hint="eastAsia"/>
          <w:color w:val="auto"/>
          <w:highlight w:val="none"/>
          <w:lang w:val="zh-CN"/>
        </w:rPr>
      </w:pPr>
      <w:r>
        <w:rPr>
          <w:rFonts w:hint="eastAsia"/>
          <w:color w:val="auto"/>
          <w:highlight w:val="none"/>
          <w:lang w:val="zh-CN"/>
        </w:rPr>
        <w:t>根据《国家安全监管总局关于宣布失效一批安全生产文件的通知》（安监总办〔2016〕13号），其中的第100条“国家安全生产监督管理局《关于开展重大危险源监督管理工作的指导意见》（安监管协调字〔2004〕56号”）已失效。</w:t>
      </w:r>
    </w:p>
    <w:p w14:paraId="4CF7A055">
      <w:pPr>
        <w:pStyle w:val="24"/>
        <w:bidi w:val="0"/>
        <w:rPr>
          <w:rFonts w:hint="eastAsia"/>
          <w:color w:val="auto"/>
          <w:highlight w:val="none"/>
          <w:lang w:val="zh-CN"/>
        </w:rPr>
      </w:pPr>
      <w:r>
        <w:rPr>
          <w:rFonts w:hint="eastAsia"/>
          <w:color w:val="auto"/>
          <w:highlight w:val="none"/>
          <w:lang w:val="zh-CN"/>
        </w:rPr>
        <w:t>根据《危险化学品重大危险源辨识》（GB18218-2018）进行辨识，该矿山不涉及危险化学品，因此，</w:t>
      </w:r>
      <w:r>
        <w:rPr>
          <w:rFonts w:hint="default" w:ascii="Times New Roman" w:hAnsi="Times New Roman" w:eastAsia="宋体" w:cs="Times New Roman"/>
          <w:color w:val="auto"/>
          <w:highlight w:val="none"/>
          <w:lang w:val="en-US" w:eastAsia="zh-CN"/>
        </w:rPr>
        <w:t>皇室啡矿业</w:t>
      </w:r>
      <w:r>
        <w:rPr>
          <w:rFonts w:hint="eastAsia"/>
          <w:color w:val="auto"/>
          <w:highlight w:val="none"/>
          <w:lang w:val="zh-CN"/>
        </w:rPr>
        <w:t>有限公司不涉及重大危险源。</w:t>
      </w:r>
    </w:p>
    <w:p w14:paraId="5A888342">
      <w:pPr>
        <w:pStyle w:val="24"/>
        <w:bidi w:val="0"/>
        <w:rPr>
          <w:rFonts w:hint="eastAsia"/>
          <w:color w:val="auto"/>
          <w:highlight w:val="none"/>
          <w:lang w:val="zh-CN"/>
        </w:rPr>
      </w:pPr>
    </w:p>
    <w:p w14:paraId="55489D51">
      <w:pPr>
        <w:pStyle w:val="24"/>
        <w:bidi w:val="0"/>
        <w:rPr>
          <w:rFonts w:hint="default"/>
          <w:color w:val="auto"/>
          <w:highlight w:val="none"/>
          <w:lang w:val="en-US" w:eastAsia="zh-CN"/>
        </w:rPr>
        <w:sectPr>
          <w:pgSz w:w="11906" w:h="16838"/>
          <w:pgMar w:top="1417" w:right="1134" w:bottom="1134" w:left="1587" w:header="851" w:footer="992" w:gutter="0"/>
          <w:pgBorders>
            <w:top w:val="none" w:sz="0" w:space="0"/>
            <w:left w:val="none" w:sz="0" w:space="0"/>
            <w:bottom w:val="none" w:sz="0" w:space="0"/>
            <w:right w:val="none" w:sz="0" w:space="0"/>
          </w:pgBorders>
          <w:pgNumType w:fmt="decimal"/>
          <w:cols w:space="0" w:num="1"/>
          <w:rtlGutter w:val="0"/>
          <w:docGrid w:type="lines" w:linePitch="312" w:charSpace="0"/>
        </w:sectPr>
      </w:pPr>
    </w:p>
    <w:p w14:paraId="13DEAE56">
      <w:pPr>
        <w:pStyle w:val="29"/>
        <w:bidi w:val="0"/>
        <w:rPr>
          <w:rFonts w:hint="default"/>
          <w:color w:val="auto"/>
          <w:highlight w:val="none"/>
          <w:lang w:val="en-US" w:eastAsia="zh-CN"/>
        </w:rPr>
      </w:pPr>
      <w:bookmarkStart w:id="44" w:name="_Toc742"/>
      <w:r>
        <w:rPr>
          <w:rFonts w:hint="default"/>
          <w:color w:val="auto"/>
          <w:highlight w:val="none"/>
          <w:lang w:val="en-US" w:eastAsia="zh-CN"/>
        </w:rPr>
        <w:t>安全对策措施建议</w:t>
      </w:r>
      <w:bookmarkEnd w:id="44"/>
    </w:p>
    <w:p w14:paraId="7E9FD9CB">
      <w:pPr>
        <w:pStyle w:val="30"/>
        <w:rPr>
          <w:rFonts w:hint="default"/>
          <w:color w:val="auto"/>
          <w:highlight w:val="none"/>
          <w:lang w:val="en-US" w:eastAsia="zh-CN"/>
        </w:rPr>
      </w:pPr>
      <w:bookmarkStart w:id="45" w:name="_Toc32515"/>
      <w:r>
        <w:rPr>
          <w:rFonts w:hint="default"/>
          <w:color w:val="auto"/>
          <w:highlight w:val="none"/>
          <w:lang w:val="en-US" w:eastAsia="zh-CN"/>
        </w:rPr>
        <w:t>本预评价补充的安全对策措施</w:t>
      </w:r>
      <w:bookmarkEnd w:id="45"/>
    </w:p>
    <w:p w14:paraId="3D173FF7">
      <w:pPr>
        <w:pStyle w:val="24"/>
        <w:bidi w:val="0"/>
        <w:rPr>
          <w:rFonts w:hint="default"/>
          <w:color w:val="auto"/>
          <w:highlight w:val="none"/>
          <w:lang w:val="en-US" w:eastAsia="zh-CN"/>
        </w:rPr>
      </w:pPr>
      <w:r>
        <w:rPr>
          <w:rFonts w:hint="default"/>
          <w:color w:val="auto"/>
          <w:highlight w:val="none"/>
          <w:lang w:val="en-US" w:eastAsia="zh-CN"/>
        </w:rPr>
        <w:t>《可研报告》提出的安全对策措施合理可行，但还存在一些不足，本安全预评价报告依据国家的相关安全标准、规范的要求，本着应具有针对性，可操作性和经济合理性原则，补充以下安全对策措施：</w:t>
      </w:r>
    </w:p>
    <w:p w14:paraId="189EC6A7">
      <w:pPr>
        <w:pStyle w:val="31"/>
        <w:bidi w:val="0"/>
        <w:rPr>
          <w:rFonts w:hint="eastAsia"/>
          <w:color w:val="auto"/>
          <w:highlight w:val="none"/>
        </w:rPr>
      </w:pPr>
      <w:bookmarkStart w:id="46" w:name="_Toc406688059"/>
      <w:bookmarkStart w:id="47" w:name="_Toc4865"/>
      <w:bookmarkStart w:id="48" w:name="_Toc294674107"/>
      <w:bookmarkStart w:id="49" w:name="_Toc28317"/>
      <w:bookmarkStart w:id="50" w:name="_Toc12196"/>
      <w:r>
        <w:rPr>
          <w:rFonts w:hint="eastAsia"/>
          <w:color w:val="auto"/>
          <w:highlight w:val="none"/>
        </w:rPr>
        <w:t>总平面布置</w:t>
      </w:r>
      <w:bookmarkEnd w:id="46"/>
      <w:bookmarkEnd w:id="47"/>
      <w:bookmarkEnd w:id="48"/>
      <w:bookmarkEnd w:id="49"/>
      <w:bookmarkEnd w:id="50"/>
    </w:p>
    <w:p w14:paraId="47D1C863">
      <w:pPr>
        <w:pStyle w:val="24"/>
        <w:bidi w:val="0"/>
        <w:rPr>
          <w:rFonts w:hint="eastAsia"/>
          <w:color w:val="auto"/>
          <w:highlight w:val="none"/>
        </w:rPr>
      </w:pPr>
      <w:r>
        <w:rPr>
          <w:rFonts w:hint="default"/>
          <w:color w:val="auto"/>
          <w:highlight w:val="none"/>
        </w:rPr>
        <w:t>露天矿边界应设可靠的围栏或醒目的警示标志，防止无关人员误入。露天矿边界外20m范围内，可能危及人员安全的不稳固材料和岩石等，应予以清除。露天矿边界上覆盖的松散岩土层厚度超过2m时，其倾角要小于自然安息角。</w:t>
      </w:r>
    </w:p>
    <w:p w14:paraId="4B8F4A68">
      <w:pPr>
        <w:pStyle w:val="31"/>
        <w:bidi w:val="0"/>
        <w:rPr>
          <w:rFonts w:hint="default"/>
          <w:color w:val="auto"/>
          <w:highlight w:val="none"/>
          <w:lang w:val="en-US" w:eastAsia="zh-CN"/>
        </w:rPr>
      </w:pPr>
      <w:r>
        <w:rPr>
          <w:rFonts w:hint="default"/>
          <w:color w:val="auto"/>
          <w:highlight w:val="none"/>
          <w:lang w:val="en-US" w:eastAsia="zh-CN"/>
        </w:rPr>
        <w:t>开拓</w:t>
      </w:r>
      <w:r>
        <w:rPr>
          <w:rFonts w:hint="eastAsia"/>
          <w:color w:val="auto"/>
          <w:highlight w:val="none"/>
          <w:lang w:val="en-US" w:eastAsia="zh-CN"/>
        </w:rPr>
        <w:t>运输</w:t>
      </w:r>
      <w:r>
        <w:rPr>
          <w:rFonts w:hint="default"/>
          <w:color w:val="auto"/>
          <w:highlight w:val="none"/>
          <w:lang w:val="en-US" w:eastAsia="zh-CN"/>
        </w:rPr>
        <w:t>系统</w:t>
      </w:r>
    </w:p>
    <w:p w14:paraId="6D6F51AD">
      <w:pPr>
        <w:pStyle w:val="24"/>
        <w:numPr>
          <w:ilvl w:val="0"/>
          <w:numId w:val="17"/>
        </w:numPr>
        <w:bidi w:val="0"/>
        <w:rPr>
          <w:rFonts w:hint="default"/>
          <w:color w:val="auto"/>
          <w:highlight w:val="none"/>
        </w:rPr>
      </w:pPr>
      <w:r>
        <w:rPr>
          <w:rFonts w:hint="default"/>
          <w:color w:val="auto"/>
          <w:highlight w:val="none"/>
        </w:rPr>
        <w:t>自卸汽车严禁运输易燃、易爆物品；驾驶室外平台、脚踏板及车斗不应载人。不应在运行中升降车斗。</w:t>
      </w:r>
    </w:p>
    <w:p w14:paraId="3546019B">
      <w:pPr>
        <w:pStyle w:val="24"/>
        <w:numPr>
          <w:ilvl w:val="0"/>
          <w:numId w:val="17"/>
        </w:numPr>
        <w:bidi w:val="0"/>
        <w:rPr>
          <w:rFonts w:hint="default"/>
          <w:color w:val="auto"/>
          <w:highlight w:val="none"/>
        </w:rPr>
      </w:pPr>
      <w:r>
        <w:rPr>
          <w:rFonts w:hint="default"/>
          <w:color w:val="auto"/>
          <w:highlight w:val="none"/>
        </w:rPr>
        <w:t>正常作业条件下，同类车不应超车，前后车距离应保持适当。生产干线、坡道上不应无故停车。</w:t>
      </w:r>
    </w:p>
    <w:p w14:paraId="54ADA752">
      <w:pPr>
        <w:pStyle w:val="24"/>
        <w:numPr>
          <w:ilvl w:val="0"/>
          <w:numId w:val="17"/>
        </w:numPr>
        <w:bidi w:val="0"/>
        <w:rPr>
          <w:rFonts w:hint="default"/>
          <w:color w:val="auto"/>
          <w:highlight w:val="none"/>
        </w:rPr>
      </w:pPr>
      <w:r>
        <w:rPr>
          <w:rFonts w:hint="default"/>
          <w:color w:val="auto"/>
          <w:highlight w:val="none"/>
        </w:rPr>
        <w:t>汽车在靠近边坡或危险路面行驶时，应谨慎通过，防止崩塌事故发生。</w:t>
      </w:r>
    </w:p>
    <w:p w14:paraId="194B3526">
      <w:pPr>
        <w:pStyle w:val="24"/>
        <w:numPr>
          <w:ilvl w:val="0"/>
          <w:numId w:val="17"/>
        </w:numPr>
        <w:bidi w:val="0"/>
        <w:rPr>
          <w:rFonts w:hint="default"/>
          <w:color w:val="auto"/>
          <w:highlight w:val="none"/>
        </w:rPr>
      </w:pPr>
      <w:r>
        <w:rPr>
          <w:rFonts w:hint="default"/>
          <w:color w:val="auto"/>
          <w:highlight w:val="none"/>
        </w:rPr>
        <w:t>禁止采用溜车方式发动车辆，下坡行驶严禁空挡滑行。在坡道上停车时，司机不能离开，必须使用停车制动并采取安全措施。</w:t>
      </w:r>
    </w:p>
    <w:p w14:paraId="6E17626B">
      <w:pPr>
        <w:pStyle w:val="24"/>
        <w:numPr>
          <w:ilvl w:val="0"/>
          <w:numId w:val="17"/>
        </w:numPr>
        <w:bidi w:val="0"/>
        <w:rPr>
          <w:rFonts w:hint="default"/>
          <w:color w:val="auto"/>
          <w:highlight w:val="none"/>
        </w:rPr>
      </w:pPr>
      <w:r>
        <w:rPr>
          <w:rFonts w:hint="default"/>
          <w:color w:val="auto"/>
          <w:highlight w:val="none"/>
        </w:rPr>
        <w:t>雾天或烟尘弥漫影响能见度时，应开亮车前黄灯与标志灯，并靠右侧减速行驶，前后车间距应不小于30m。视距不足20m时，应靠右暂停行驶，并不应熄灭车前、车后的警示灯。</w:t>
      </w:r>
    </w:p>
    <w:p w14:paraId="2EC99DD6">
      <w:pPr>
        <w:pStyle w:val="24"/>
        <w:numPr>
          <w:ilvl w:val="0"/>
          <w:numId w:val="17"/>
        </w:numPr>
        <w:bidi w:val="0"/>
        <w:rPr>
          <w:rFonts w:hint="default"/>
          <w:color w:val="auto"/>
          <w:highlight w:val="none"/>
        </w:rPr>
      </w:pPr>
      <w:r>
        <w:rPr>
          <w:rFonts w:hint="default"/>
          <w:color w:val="auto"/>
          <w:highlight w:val="none"/>
        </w:rPr>
        <w:t>冰雪或多雨季节道路较滑时，应有防滑措施并减速行驶；前后车距应不小于40m；拖挂其他车辆时，应采取有效的安全措施，并有专人指挥。</w:t>
      </w:r>
    </w:p>
    <w:p w14:paraId="3D25B083">
      <w:pPr>
        <w:pStyle w:val="24"/>
        <w:numPr>
          <w:ilvl w:val="0"/>
          <w:numId w:val="17"/>
        </w:numPr>
        <w:bidi w:val="0"/>
        <w:rPr>
          <w:rFonts w:hint="default"/>
          <w:color w:val="auto"/>
          <w:highlight w:val="none"/>
        </w:rPr>
      </w:pPr>
      <w:r>
        <w:rPr>
          <w:rFonts w:hint="default"/>
          <w:color w:val="auto"/>
          <w:highlight w:val="none"/>
        </w:rPr>
        <w:t>对主要运输道路的长大陡坡，应根据运行安全需要，设置汽车避让道。</w:t>
      </w:r>
    </w:p>
    <w:p w14:paraId="23B19F5D">
      <w:pPr>
        <w:pStyle w:val="24"/>
        <w:numPr>
          <w:ilvl w:val="0"/>
          <w:numId w:val="17"/>
        </w:numPr>
        <w:bidi w:val="0"/>
        <w:rPr>
          <w:rFonts w:hint="default"/>
          <w:color w:val="auto"/>
          <w:highlight w:val="none"/>
        </w:rPr>
      </w:pPr>
      <w:r>
        <w:rPr>
          <w:rFonts w:hint="default"/>
          <w:color w:val="auto"/>
          <w:highlight w:val="none"/>
        </w:rPr>
        <w:t>山坡填方的弯道、坡度较大的填方地段以及高陡地基路段，外侧应设置护栏、挡车墙等。</w:t>
      </w:r>
    </w:p>
    <w:p w14:paraId="3BFE36FB">
      <w:pPr>
        <w:pStyle w:val="24"/>
        <w:numPr>
          <w:ilvl w:val="0"/>
          <w:numId w:val="17"/>
        </w:numPr>
        <w:bidi w:val="0"/>
        <w:rPr>
          <w:rFonts w:hint="default"/>
          <w:color w:val="auto"/>
          <w:highlight w:val="none"/>
        </w:rPr>
      </w:pPr>
      <w:r>
        <w:rPr>
          <w:rFonts w:hint="default"/>
          <w:color w:val="auto"/>
          <w:highlight w:val="none"/>
        </w:rPr>
        <w:t>露天采场内汽车运输道路外侧应设置高度符合要求的挡车堆。</w:t>
      </w:r>
    </w:p>
    <w:p w14:paraId="634380C9">
      <w:pPr>
        <w:pStyle w:val="24"/>
        <w:numPr>
          <w:ilvl w:val="0"/>
          <w:numId w:val="17"/>
        </w:numPr>
        <w:bidi w:val="0"/>
        <w:rPr>
          <w:rFonts w:hint="default"/>
          <w:color w:val="auto"/>
          <w:highlight w:val="none"/>
        </w:rPr>
      </w:pPr>
      <w:r>
        <w:rPr>
          <w:rFonts w:hint="default"/>
          <w:color w:val="auto"/>
          <w:highlight w:val="none"/>
        </w:rPr>
        <w:t>汽车加油时，不应在有明火或其他不安全因素的地点加油。</w:t>
      </w:r>
    </w:p>
    <w:p w14:paraId="2AE4B59B">
      <w:pPr>
        <w:pStyle w:val="31"/>
        <w:bidi w:val="0"/>
        <w:rPr>
          <w:rFonts w:hint="default"/>
          <w:color w:val="auto"/>
          <w:highlight w:val="none"/>
          <w:lang w:val="en-US" w:eastAsia="zh-CN"/>
        </w:rPr>
      </w:pPr>
      <w:r>
        <w:rPr>
          <w:rFonts w:hint="eastAsia"/>
          <w:color w:val="auto"/>
          <w:highlight w:val="none"/>
          <w:lang w:val="en-US" w:eastAsia="zh-CN"/>
        </w:rPr>
        <w:t>采剥</w:t>
      </w:r>
    </w:p>
    <w:p w14:paraId="01430BB9">
      <w:pPr>
        <w:pStyle w:val="24"/>
        <w:rPr>
          <w:rFonts w:hint="eastAsia"/>
          <w:b/>
          <w:bCs/>
          <w:color w:val="auto"/>
          <w:highlight w:val="none"/>
          <w:lang w:val="en-US" w:eastAsia="zh-CN"/>
        </w:rPr>
      </w:pPr>
      <w:r>
        <w:rPr>
          <w:rFonts w:hint="eastAsia"/>
          <w:b/>
          <w:bCs/>
          <w:color w:val="auto"/>
          <w:highlight w:val="none"/>
          <w:lang w:val="en-US" w:eastAsia="zh-CN"/>
        </w:rPr>
        <w:t>4.1.3.1边坡稳定性</w:t>
      </w:r>
    </w:p>
    <w:p w14:paraId="572A46F8">
      <w:pPr>
        <w:pStyle w:val="24"/>
        <w:numPr>
          <w:ilvl w:val="0"/>
          <w:numId w:val="18"/>
        </w:numPr>
        <w:bidi w:val="0"/>
        <w:rPr>
          <w:rFonts w:hint="default"/>
          <w:color w:val="auto"/>
          <w:highlight w:val="none"/>
        </w:rPr>
      </w:pPr>
      <w:r>
        <w:rPr>
          <w:rFonts w:hint="default"/>
          <w:color w:val="auto"/>
          <w:highlight w:val="none"/>
        </w:rPr>
        <w:t>企业应及时剥离地表风化层，可能危及人员安全的树木及其他植物、不稳固材料和岩石等，应予清除；严格遵循自上而下的开采顺序。</w:t>
      </w:r>
    </w:p>
    <w:p w14:paraId="443D212E">
      <w:pPr>
        <w:pStyle w:val="24"/>
        <w:numPr>
          <w:ilvl w:val="0"/>
          <w:numId w:val="18"/>
        </w:numPr>
        <w:bidi w:val="0"/>
        <w:rPr>
          <w:rFonts w:hint="default"/>
          <w:color w:val="auto"/>
          <w:highlight w:val="none"/>
        </w:rPr>
      </w:pPr>
      <w:r>
        <w:rPr>
          <w:rFonts w:hint="default"/>
          <w:color w:val="auto"/>
          <w:highlight w:val="none"/>
        </w:rPr>
        <w:t>矿区工程地质条件有利于边坡稳定，但局部区段受断裂构造影响，需加强边坡维护。针对受断层影响严重的地方，通过施工预应力锚杆（锚索）或注浆锚杆将裂隙、破碎岩体固结成一个整体，锚固在深部稳定的岩体中。</w:t>
      </w:r>
    </w:p>
    <w:p w14:paraId="41F127CC">
      <w:pPr>
        <w:pStyle w:val="24"/>
        <w:numPr>
          <w:ilvl w:val="0"/>
          <w:numId w:val="18"/>
        </w:numPr>
        <w:bidi w:val="0"/>
        <w:rPr>
          <w:rFonts w:hint="default"/>
          <w:color w:val="auto"/>
          <w:highlight w:val="none"/>
        </w:rPr>
      </w:pPr>
      <w:r>
        <w:rPr>
          <w:rFonts w:hint="default"/>
          <w:color w:val="auto"/>
          <w:highlight w:val="none"/>
        </w:rPr>
        <w:t>对边坡与断层相交的破碎带进行浆砌石铺盖，防止地表水对边坡的冲刷。</w:t>
      </w:r>
    </w:p>
    <w:p w14:paraId="51F15083">
      <w:pPr>
        <w:pStyle w:val="24"/>
        <w:numPr>
          <w:ilvl w:val="0"/>
          <w:numId w:val="18"/>
        </w:numPr>
        <w:bidi w:val="0"/>
        <w:rPr>
          <w:rFonts w:hint="default"/>
          <w:color w:val="auto"/>
          <w:highlight w:val="none"/>
        </w:rPr>
      </w:pPr>
      <w:r>
        <w:rPr>
          <w:rFonts w:hint="default"/>
          <w:color w:val="auto"/>
          <w:highlight w:val="none"/>
        </w:rPr>
        <w:t>应按环境要求限制单段最大爆破药量，并采取必要的减振措施。</w:t>
      </w:r>
    </w:p>
    <w:p w14:paraId="618CE4EE">
      <w:pPr>
        <w:pStyle w:val="24"/>
        <w:numPr>
          <w:ilvl w:val="0"/>
          <w:numId w:val="18"/>
        </w:numPr>
        <w:bidi w:val="0"/>
        <w:rPr>
          <w:rFonts w:hint="default"/>
          <w:color w:val="auto"/>
          <w:highlight w:val="none"/>
        </w:rPr>
      </w:pPr>
      <w:r>
        <w:rPr>
          <w:rFonts w:hint="default"/>
          <w:color w:val="auto"/>
          <w:highlight w:val="none"/>
        </w:rPr>
        <w:t>对采场工作帮应每季度检查一次，不稳定区段在暴雨过后应及时检查，发现异常应立即处理。</w:t>
      </w:r>
    </w:p>
    <w:p w14:paraId="2339F43E">
      <w:pPr>
        <w:pStyle w:val="24"/>
        <w:numPr>
          <w:ilvl w:val="0"/>
          <w:numId w:val="18"/>
        </w:numPr>
        <w:bidi w:val="0"/>
        <w:rPr>
          <w:rFonts w:hint="default"/>
          <w:color w:val="auto"/>
          <w:highlight w:val="none"/>
        </w:rPr>
      </w:pPr>
      <w:r>
        <w:rPr>
          <w:rFonts w:hint="default"/>
          <w:color w:val="auto"/>
          <w:highlight w:val="none"/>
        </w:rPr>
        <w:t>对运输和行人的非工作帮，应定期进行安全稳定性检查（雨季应加强），发现坍塌与滑落征兆，应立即停止采剥作业，撤出人员与设备，查明原因，及时采取安全措施，并报告公司有关主管部门。</w:t>
      </w:r>
    </w:p>
    <w:p w14:paraId="5E7A8849">
      <w:pPr>
        <w:pStyle w:val="24"/>
        <w:numPr>
          <w:ilvl w:val="0"/>
          <w:numId w:val="18"/>
        </w:numPr>
        <w:bidi w:val="0"/>
        <w:rPr>
          <w:rFonts w:hint="default"/>
          <w:color w:val="auto"/>
          <w:highlight w:val="none"/>
          <w:lang w:val="en-US" w:eastAsia="zh-CN"/>
        </w:rPr>
      </w:pPr>
      <w:r>
        <w:rPr>
          <w:rFonts w:hint="default"/>
          <w:color w:val="auto"/>
          <w:highlight w:val="none"/>
        </w:rPr>
        <w:t>采场道路外侧设不小于车辆轮胎高度1/2的安全车挡</w:t>
      </w:r>
      <w:r>
        <w:rPr>
          <w:rFonts w:hint="default"/>
          <w:color w:val="auto"/>
          <w:highlight w:val="none"/>
          <w:lang w:eastAsia="zh-CN"/>
        </w:rPr>
        <w:t>。</w:t>
      </w:r>
    </w:p>
    <w:p w14:paraId="3986975D">
      <w:pPr>
        <w:pStyle w:val="24"/>
        <w:bidi w:val="0"/>
        <w:rPr>
          <w:rFonts w:hint="eastAsia"/>
          <w:color w:val="auto"/>
          <w:highlight w:val="none"/>
          <w:lang w:val="en-US" w:eastAsia="zh-CN"/>
        </w:rPr>
      </w:pPr>
      <w:r>
        <w:rPr>
          <w:rFonts w:hint="eastAsia"/>
          <w:color w:val="auto"/>
          <w:highlight w:val="none"/>
          <w:lang w:val="en-US" w:eastAsia="zh-CN"/>
        </w:rPr>
        <w:t>4.1.3.2叉装</w:t>
      </w:r>
    </w:p>
    <w:p w14:paraId="3B6B713E">
      <w:pPr>
        <w:pStyle w:val="24"/>
        <w:numPr>
          <w:ilvl w:val="0"/>
          <w:numId w:val="19"/>
        </w:numPr>
        <w:bidi w:val="0"/>
        <w:rPr>
          <w:rFonts w:hint="default"/>
          <w:color w:val="auto"/>
          <w:highlight w:val="none"/>
        </w:rPr>
      </w:pPr>
      <w:r>
        <w:rPr>
          <w:rFonts w:hint="default"/>
          <w:color w:val="auto"/>
          <w:highlight w:val="none"/>
        </w:rPr>
        <w:t>机械</w:t>
      </w:r>
      <w:r>
        <w:rPr>
          <w:rFonts w:hint="eastAsia"/>
          <w:color w:val="auto"/>
          <w:highlight w:val="none"/>
          <w:lang w:val="en-US" w:eastAsia="zh-CN"/>
        </w:rPr>
        <w:t>叉</w:t>
      </w:r>
      <w:r>
        <w:rPr>
          <w:rFonts w:hint="default"/>
          <w:color w:val="auto"/>
          <w:highlight w:val="none"/>
        </w:rPr>
        <w:t>装时，应</w:t>
      </w:r>
      <w:r>
        <w:rPr>
          <w:rFonts w:hint="eastAsia"/>
          <w:color w:val="auto"/>
          <w:highlight w:val="none"/>
          <w:lang w:val="en-US" w:eastAsia="zh-CN"/>
        </w:rPr>
        <w:t>确保</w:t>
      </w:r>
      <w:r>
        <w:rPr>
          <w:rFonts w:hint="default"/>
          <w:color w:val="auto"/>
          <w:highlight w:val="none"/>
        </w:rPr>
        <w:t>最终边坡的稳定性。</w:t>
      </w:r>
    </w:p>
    <w:p w14:paraId="5D4AA0D1">
      <w:pPr>
        <w:pStyle w:val="24"/>
        <w:numPr>
          <w:ilvl w:val="0"/>
          <w:numId w:val="19"/>
        </w:numPr>
        <w:bidi w:val="0"/>
        <w:rPr>
          <w:rFonts w:hint="default"/>
          <w:color w:val="auto"/>
          <w:highlight w:val="none"/>
        </w:rPr>
      </w:pPr>
      <w:r>
        <w:rPr>
          <w:rFonts w:hint="default"/>
          <w:color w:val="auto"/>
          <w:highlight w:val="none"/>
        </w:rPr>
        <w:t>挖掘机工作时，其平衡装置外型的垂直投影到阶段坡底的水平距离，应不小于1m。</w:t>
      </w:r>
    </w:p>
    <w:p w14:paraId="50286DF3">
      <w:pPr>
        <w:pStyle w:val="24"/>
        <w:numPr>
          <w:ilvl w:val="0"/>
          <w:numId w:val="19"/>
        </w:numPr>
        <w:bidi w:val="0"/>
        <w:rPr>
          <w:rFonts w:hint="default"/>
          <w:color w:val="auto"/>
          <w:highlight w:val="none"/>
        </w:rPr>
      </w:pPr>
      <w:r>
        <w:rPr>
          <w:rFonts w:hint="default"/>
          <w:color w:val="auto"/>
          <w:highlight w:val="none"/>
        </w:rPr>
        <w:t>挖掘机必须在作业平台的稳定范围内行走。挖掘机上下坡时，驱动轴应始终处于下坡方向；铲斗要空载，并下放与地面保持适当距离；悬臂轴应与行进方向一致。</w:t>
      </w:r>
    </w:p>
    <w:p w14:paraId="7F2F577B">
      <w:pPr>
        <w:pStyle w:val="24"/>
        <w:numPr>
          <w:ilvl w:val="0"/>
          <w:numId w:val="19"/>
        </w:numPr>
        <w:bidi w:val="0"/>
        <w:rPr>
          <w:rFonts w:hint="default"/>
          <w:color w:val="auto"/>
          <w:highlight w:val="none"/>
        </w:rPr>
      </w:pPr>
      <w:r>
        <w:rPr>
          <w:rFonts w:hint="default"/>
          <w:color w:val="auto"/>
          <w:highlight w:val="none"/>
        </w:rPr>
        <w:t>挖掘机通过电缆、风水管时，应采取保护电缆及风水管的措施；在松软或泥泞的道路上行走，应采取防止沉陷的措施；上下坡时应采取防滑措施。</w:t>
      </w:r>
    </w:p>
    <w:p w14:paraId="0C0ECAC7">
      <w:pPr>
        <w:pStyle w:val="24"/>
        <w:numPr>
          <w:ilvl w:val="0"/>
          <w:numId w:val="19"/>
        </w:numPr>
        <w:bidi w:val="0"/>
        <w:rPr>
          <w:rFonts w:hint="default"/>
          <w:color w:val="auto"/>
          <w:highlight w:val="none"/>
        </w:rPr>
      </w:pPr>
      <w:r>
        <w:rPr>
          <w:rFonts w:hint="default"/>
          <w:color w:val="auto"/>
          <w:highlight w:val="none"/>
        </w:rPr>
        <w:t>挖掘机汽笛与警报器应完好。进行各种操作时，均应发出警报信号。</w:t>
      </w:r>
    </w:p>
    <w:p w14:paraId="746048A1">
      <w:pPr>
        <w:pStyle w:val="24"/>
        <w:numPr>
          <w:ilvl w:val="0"/>
          <w:numId w:val="19"/>
        </w:numPr>
        <w:bidi w:val="0"/>
        <w:rPr>
          <w:rFonts w:hint="default"/>
          <w:color w:val="auto"/>
          <w:highlight w:val="none"/>
        </w:rPr>
      </w:pPr>
      <w:r>
        <w:rPr>
          <w:rFonts w:hint="default"/>
          <w:color w:val="auto"/>
          <w:highlight w:val="none"/>
        </w:rPr>
        <w:t>挖掘机铲装作业时，禁止铲斗从车辆驾驶室上方通过；挖掘机作业时，悬臂和铲斗下面及工作面附近，不应有人停留；装车时，汽车司机不应在司机室踏板上或有落石危险的地方停留。</w:t>
      </w:r>
    </w:p>
    <w:p w14:paraId="24742BC3">
      <w:pPr>
        <w:pStyle w:val="24"/>
        <w:numPr>
          <w:ilvl w:val="0"/>
          <w:numId w:val="19"/>
        </w:numPr>
        <w:bidi w:val="0"/>
        <w:rPr>
          <w:rFonts w:hint="default"/>
          <w:color w:val="auto"/>
          <w:highlight w:val="none"/>
        </w:rPr>
      </w:pPr>
      <w:r>
        <w:rPr>
          <w:rFonts w:hint="default"/>
          <w:color w:val="auto"/>
          <w:highlight w:val="none"/>
        </w:rPr>
        <w:t>挖掘机作业时，发现悬浮岩块或崩塌征兆、盲炮等情况，应立即停止作业，并将设备开到安全地带。</w:t>
      </w:r>
    </w:p>
    <w:p w14:paraId="06915E5D">
      <w:pPr>
        <w:pStyle w:val="24"/>
        <w:numPr>
          <w:ilvl w:val="0"/>
          <w:numId w:val="19"/>
        </w:numPr>
        <w:bidi w:val="0"/>
        <w:rPr>
          <w:rFonts w:hint="default"/>
          <w:color w:val="auto"/>
          <w:highlight w:val="none"/>
        </w:rPr>
      </w:pPr>
      <w:r>
        <w:rPr>
          <w:rFonts w:hint="default"/>
          <w:color w:val="auto"/>
          <w:highlight w:val="none"/>
        </w:rPr>
        <w:t>挖掘机在移动前和移动时，必须严格检查其移动范围内是否有人员。</w:t>
      </w:r>
    </w:p>
    <w:p w14:paraId="124022A8">
      <w:pPr>
        <w:pStyle w:val="24"/>
        <w:numPr>
          <w:ilvl w:val="0"/>
          <w:numId w:val="19"/>
        </w:numPr>
        <w:bidi w:val="0"/>
        <w:rPr>
          <w:rFonts w:hint="default"/>
          <w:color w:val="auto"/>
          <w:highlight w:val="none"/>
        </w:rPr>
      </w:pPr>
      <w:r>
        <w:rPr>
          <w:rFonts w:hint="default"/>
          <w:color w:val="auto"/>
          <w:highlight w:val="none"/>
        </w:rPr>
        <w:t>禁止在汽车装载时检查、维护车辆；驾驶员不得离开驾驶室，不得将头和手臂伸出驾驶室外。</w:t>
      </w:r>
    </w:p>
    <w:p w14:paraId="3B079A6F">
      <w:pPr>
        <w:pStyle w:val="24"/>
        <w:numPr>
          <w:ilvl w:val="0"/>
          <w:numId w:val="19"/>
        </w:numPr>
        <w:bidi w:val="0"/>
        <w:rPr>
          <w:rFonts w:hint="default"/>
          <w:color w:val="auto"/>
          <w:highlight w:val="none"/>
          <w:lang w:val="en-US" w:eastAsia="zh-CN"/>
        </w:rPr>
      </w:pPr>
      <w:r>
        <w:rPr>
          <w:rFonts w:hint="default"/>
          <w:color w:val="auto"/>
          <w:highlight w:val="none"/>
        </w:rPr>
        <w:t>不应用装载机铲斗处理粘厢车辆。</w:t>
      </w:r>
    </w:p>
    <w:p w14:paraId="48DE7C36">
      <w:pPr>
        <w:pStyle w:val="31"/>
        <w:bidi w:val="0"/>
        <w:rPr>
          <w:rFonts w:hint="default"/>
          <w:color w:val="auto"/>
          <w:highlight w:val="none"/>
        </w:rPr>
      </w:pPr>
      <w:r>
        <w:rPr>
          <w:rFonts w:hint="eastAsia"/>
          <w:color w:val="auto"/>
          <w:highlight w:val="none"/>
          <w:lang w:val="en-US" w:eastAsia="zh-CN"/>
        </w:rPr>
        <w:t>矿山</w:t>
      </w:r>
      <w:r>
        <w:rPr>
          <w:rFonts w:hint="default"/>
          <w:color w:val="auto"/>
          <w:highlight w:val="none"/>
        </w:rPr>
        <w:t>供配电</w:t>
      </w:r>
      <w:r>
        <w:rPr>
          <w:rFonts w:hint="eastAsia"/>
          <w:color w:val="auto"/>
          <w:highlight w:val="none"/>
          <w:lang w:val="en-US" w:eastAsia="zh-CN"/>
        </w:rPr>
        <w:t>设施</w:t>
      </w:r>
    </w:p>
    <w:p w14:paraId="28297AD8">
      <w:pPr>
        <w:pStyle w:val="24"/>
        <w:numPr>
          <w:ilvl w:val="0"/>
          <w:numId w:val="20"/>
        </w:numPr>
        <w:bidi w:val="0"/>
        <w:rPr>
          <w:rFonts w:hint="default"/>
          <w:color w:val="auto"/>
          <w:highlight w:val="none"/>
        </w:rPr>
      </w:pPr>
      <w:r>
        <w:rPr>
          <w:rFonts w:hint="default"/>
          <w:color w:val="auto"/>
          <w:highlight w:val="none"/>
        </w:rPr>
        <w:t>严禁雷雨天气作业。</w:t>
      </w:r>
    </w:p>
    <w:p w14:paraId="7EEA5298">
      <w:pPr>
        <w:pStyle w:val="24"/>
        <w:numPr>
          <w:ilvl w:val="0"/>
          <w:numId w:val="20"/>
        </w:numPr>
        <w:bidi w:val="0"/>
        <w:rPr>
          <w:rFonts w:hint="default"/>
          <w:color w:val="auto"/>
          <w:highlight w:val="none"/>
        </w:rPr>
      </w:pPr>
      <w:r>
        <w:rPr>
          <w:rFonts w:hint="default"/>
          <w:color w:val="auto"/>
          <w:highlight w:val="none"/>
          <w:lang w:val="en-US" w:eastAsia="zh-CN"/>
        </w:rPr>
        <w:t>工业场地</w:t>
      </w:r>
      <w:r>
        <w:rPr>
          <w:rFonts w:hint="default"/>
          <w:color w:val="auto"/>
          <w:highlight w:val="none"/>
        </w:rPr>
        <w:t>按照设计要求采取防雷击措施。</w:t>
      </w:r>
    </w:p>
    <w:p w14:paraId="5D9235AC">
      <w:pPr>
        <w:pStyle w:val="24"/>
        <w:numPr>
          <w:ilvl w:val="0"/>
          <w:numId w:val="20"/>
        </w:numPr>
        <w:bidi w:val="0"/>
        <w:rPr>
          <w:rFonts w:hint="default"/>
          <w:color w:val="auto"/>
          <w:highlight w:val="none"/>
        </w:rPr>
      </w:pPr>
      <w:r>
        <w:rPr>
          <w:rFonts w:hint="default"/>
          <w:color w:val="auto"/>
          <w:highlight w:val="none"/>
        </w:rPr>
        <w:t>电气设备可能被人触及的裸露带电部分，必须设置防护罩或遮栏及警示标志。</w:t>
      </w:r>
    </w:p>
    <w:p w14:paraId="1D99AA99">
      <w:pPr>
        <w:pStyle w:val="24"/>
        <w:numPr>
          <w:ilvl w:val="0"/>
          <w:numId w:val="20"/>
        </w:numPr>
        <w:bidi w:val="0"/>
        <w:rPr>
          <w:rFonts w:hint="default"/>
          <w:color w:val="auto"/>
          <w:highlight w:val="none"/>
        </w:rPr>
      </w:pPr>
      <w:r>
        <w:rPr>
          <w:rFonts w:hint="default"/>
          <w:color w:val="auto"/>
          <w:highlight w:val="none"/>
        </w:rPr>
        <w:t>在电源线路上断电作业时，该线路的电源开关把手，应加锁或设专人看护，并悬挂“有人作业，不准送电”的警示牌。</w:t>
      </w:r>
    </w:p>
    <w:p w14:paraId="6EA5D1A3">
      <w:pPr>
        <w:pStyle w:val="31"/>
        <w:bidi w:val="0"/>
        <w:rPr>
          <w:rFonts w:hint="default"/>
          <w:color w:val="auto"/>
          <w:highlight w:val="none"/>
        </w:rPr>
      </w:pPr>
      <w:r>
        <w:rPr>
          <w:rFonts w:hint="default"/>
          <w:color w:val="auto"/>
          <w:highlight w:val="none"/>
        </w:rPr>
        <w:t>防排水与防灭火</w:t>
      </w:r>
    </w:p>
    <w:p w14:paraId="632061F9">
      <w:pPr>
        <w:pStyle w:val="24"/>
        <w:numPr>
          <w:ilvl w:val="0"/>
          <w:numId w:val="21"/>
        </w:numPr>
        <w:bidi w:val="0"/>
        <w:rPr>
          <w:rFonts w:hint="default"/>
          <w:color w:val="auto"/>
          <w:highlight w:val="none"/>
          <w:lang w:val="en-US" w:eastAsia="zh-CN"/>
        </w:rPr>
      </w:pPr>
      <w:r>
        <w:rPr>
          <w:rFonts w:hint="default"/>
          <w:color w:val="auto"/>
          <w:highlight w:val="none"/>
        </w:rPr>
        <w:t>雷雨或暴雨天气停止生产，并撤离所有人员和设备。</w:t>
      </w:r>
    </w:p>
    <w:p w14:paraId="69BB203D">
      <w:pPr>
        <w:pStyle w:val="24"/>
        <w:numPr>
          <w:ilvl w:val="0"/>
          <w:numId w:val="21"/>
        </w:numPr>
        <w:bidi w:val="0"/>
        <w:rPr>
          <w:rFonts w:hint="default"/>
          <w:color w:val="auto"/>
          <w:highlight w:val="none"/>
        </w:rPr>
      </w:pPr>
      <w:r>
        <w:rPr>
          <w:rFonts w:hint="default"/>
          <w:color w:val="auto"/>
          <w:highlight w:val="none"/>
        </w:rPr>
        <w:t>矿山的建（构）筑物和大型设备，必须按国家发布的有关防火规定和当地消防机关的要求，设置消防设备和器材。</w:t>
      </w:r>
    </w:p>
    <w:p w14:paraId="3A87CF0C">
      <w:pPr>
        <w:pStyle w:val="24"/>
        <w:numPr>
          <w:ilvl w:val="0"/>
          <w:numId w:val="21"/>
        </w:numPr>
        <w:bidi w:val="0"/>
        <w:rPr>
          <w:rFonts w:hint="default"/>
          <w:color w:val="auto"/>
          <w:highlight w:val="none"/>
          <w:lang w:val="en-US" w:eastAsia="zh-CN"/>
        </w:rPr>
      </w:pPr>
      <w:r>
        <w:rPr>
          <w:rFonts w:hint="default"/>
          <w:color w:val="auto"/>
          <w:highlight w:val="none"/>
        </w:rPr>
        <w:t>重要采掘设备，应配备灭火器材。设备加注燃油时，严禁吸烟和明火照明。禁止在采掘设备上存放汽油和其它易燃易爆材料，禁止用汽油擦洗设备。使用过的油纱等易燃物，应妥善管理。</w:t>
      </w:r>
    </w:p>
    <w:p w14:paraId="7CAF5943">
      <w:pPr>
        <w:pStyle w:val="31"/>
        <w:bidi w:val="0"/>
        <w:rPr>
          <w:rFonts w:hint="default"/>
          <w:color w:val="auto"/>
          <w:highlight w:val="none"/>
        </w:rPr>
      </w:pPr>
      <w:r>
        <w:rPr>
          <w:rFonts w:hint="default"/>
          <w:color w:val="auto"/>
          <w:highlight w:val="none"/>
        </w:rPr>
        <w:t>安全生产管理</w:t>
      </w:r>
    </w:p>
    <w:p w14:paraId="5535240B">
      <w:pPr>
        <w:pStyle w:val="24"/>
        <w:numPr>
          <w:ilvl w:val="0"/>
          <w:numId w:val="22"/>
        </w:numPr>
        <w:bidi w:val="0"/>
        <w:rPr>
          <w:rFonts w:hint="default"/>
          <w:color w:val="auto"/>
          <w:highlight w:val="none"/>
          <w:lang w:eastAsia="zh-CN"/>
        </w:rPr>
      </w:pPr>
      <w:r>
        <w:rPr>
          <w:rFonts w:hint="default"/>
          <w:color w:val="auto"/>
          <w:highlight w:val="none"/>
        </w:rPr>
        <w:t>人员</w:t>
      </w:r>
      <w:r>
        <w:rPr>
          <w:rFonts w:hint="default"/>
          <w:color w:val="auto"/>
          <w:highlight w:val="none"/>
          <w:lang w:val="en-US" w:eastAsia="zh-CN"/>
        </w:rPr>
        <w:t>资格</w:t>
      </w:r>
    </w:p>
    <w:p w14:paraId="4D4FC14F">
      <w:pPr>
        <w:pStyle w:val="24"/>
        <w:bidi w:val="0"/>
        <w:rPr>
          <w:rFonts w:hint="default"/>
          <w:color w:val="auto"/>
          <w:highlight w:val="none"/>
        </w:rPr>
      </w:pPr>
      <w:r>
        <w:rPr>
          <w:rFonts w:hint="default"/>
          <w:color w:val="auto"/>
          <w:highlight w:val="none"/>
        </w:rPr>
        <w:t>主要负责人、安全管理人员</w:t>
      </w:r>
      <w:r>
        <w:rPr>
          <w:rFonts w:hint="default"/>
          <w:color w:val="auto"/>
          <w:highlight w:val="none"/>
          <w:lang w:eastAsia="zh-CN"/>
        </w:rPr>
        <w:t>、</w:t>
      </w:r>
      <w:r>
        <w:rPr>
          <w:rFonts w:hint="default"/>
          <w:color w:val="auto"/>
          <w:highlight w:val="none"/>
          <w:lang w:val="en-US" w:eastAsia="zh-CN"/>
        </w:rPr>
        <w:t>技术人员</w:t>
      </w:r>
      <w:r>
        <w:rPr>
          <w:rFonts w:hint="default"/>
          <w:color w:val="auto"/>
          <w:highlight w:val="none"/>
        </w:rPr>
        <w:t>应由具备</w:t>
      </w:r>
      <w:r>
        <w:rPr>
          <w:rFonts w:hint="default"/>
          <w:color w:val="auto"/>
          <w:highlight w:val="none"/>
          <w:lang w:val="en-US" w:eastAsia="zh-CN"/>
        </w:rPr>
        <w:t>相应</w:t>
      </w:r>
      <w:r>
        <w:rPr>
          <w:rFonts w:hint="default"/>
          <w:color w:val="auto"/>
          <w:highlight w:val="none"/>
        </w:rPr>
        <w:t>资格证者担任</w:t>
      </w:r>
      <w:r>
        <w:rPr>
          <w:rFonts w:hint="default"/>
          <w:color w:val="auto"/>
          <w:highlight w:val="none"/>
          <w:lang w:eastAsia="zh-CN"/>
        </w:rPr>
        <w:t>，</w:t>
      </w:r>
      <w:r>
        <w:rPr>
          <w:rFonts w:hint="default"/>
          <w:color w:val="auto"/>
          <w:highlight w:val="none"/>
        </w:rPr>
        <w:t>安全管理人员</w:t>
      </w:r>
      <w:r>
        <w:rPr>
          <w:rFonts w:hint="default"/>
          <w:color w:val="auto"/>
          <w:highlight w:val="none"/>
          <w:lang w:val="en-US" w:eastAsia="zh-CN"/>
        </w:rPr>
        <w:t>和技术人员数量应满足</w:t>
      </w:r>
      <w:r>
        <w:rPr>
          <w:rFonts w:hint="default"/>
          <w:color w:val="auto"/>
          <w:highlight w:val="none"/>
        </w:rPr>
        <w:t>矿安〔2022〕4号</w:t>
      </w:r>
      <w:r>
        <w:rPr>
          <w:rFonts w:hint="default"/>
          <w:color w:val="auto"/>
          <w:highlight w:val="none"/>
          <w:lang w:val="en-US" w:eastAsia="zh-CN"/>
        </w:rPr>
        <w:t>文要求</w:t>
      </w:r>
      <w:r>
        <w:rPr>
          <w:rFonts w:hint="default"/>
          <w:color w:val="auto"/>
          <w:highlight w:val="none"/>
        </w:rPr>
        <w:t>；电工、焊工等特种作业人员必须获得相应的特种作业人员操作证后，方准上岗作业。</w:t>
      </w:r>
    </w:p>
    <w:p w14:paraId="38E711B5">
      <w:pPr>
        <w:pStyle w:val="24"/>
        <w:numPr>
          <w:ilvl w:val="0"/>
          <w:numId w:val="22"/>
        </w:numPr>
        <w:bidi w:val="0"/>
        <w:rPr>
          <w:rFonts w:hint="default"/>
          <w:color w:val="auto"/>
          <w:highlight w:val="none"/>
        </w:rPr>
      </w:pPr>
      <w:r>
        <w:rPr>
          <w:rFonts w:hint="default"/>
          <w:color w:val="auto"/>
          <w:highlight w:val="none"/>
        </w:rPr>
        <w:t>安全生产责任制及安全管理制度</w:t>
      </w:r>
    </w:p>
    <w:p w14:paraId="279C433E">
      <w:pPr>
        <w:pStyle w:val="24"/>
        <w:bidi w:val="0"/>
        <w:rPr>
          <w:rFonts w:hint="default"/>
          <w:color w:val="auto"/>
          <w:highlight w:val="none"/>
        </w:rPr>
      </w:pPr>
      <w:r>
        <w:rPr>
          <w:rFonts w:hint="default"/>
          <w:color w:val="auto"/>
          <w:highlight w:val="none"/>
        </w:rPr>
        <w:t>建立并健全</w:t>
      </w:r>
      <w:r>
        <w:rPr>
          <w:rFonts w:hint="default"/>
          <w:color w:val="auto"/>
          <w:highlight w:val="none"/>
          <w:lang w:eastAsia="zh-CN"/>
        </w:rPr>
        <w:t>全员</w:t>
      </w:r>
      <w:r>
        <w:rPr>
          <w:rFonts w:hint="default"/>
          <w:color w:val="auto"/>
          <w:highlight w:val="none"/>
        </w:rPr>
        <w:t>安全生产责任制。此外，还必须建立健全岗位责任制，如经理（矿长）岗位责任制、安全员岗位责任制、各工种岗位责任制等。必须制定并不断完善安全检查制度、职业危害预防制度、安全教育培训制度、生产安全事故管理制度、事故调查与处理制度、重大隐患整改制度、设备安全管理制度、安全生产档案管理制度、安全生产奖惩制度等规章制度。</w:t>
      </w:r>
    </w:p>
    <w:p w14:paraId="4B40940C">
      <w:pPr>
        <w:pStyle w:val="24"/>
        <w:numPr>
          <w:ilvl w:val="0"/>
          <w:numId w:val="22"/>
        </w:numPr>
        <w:bidi w:val="0"/>
        <w:rPr>
          <w:rFonts w:hint="default"/>
          <w:color w:val="auto"/>
          <w:highlight w:val="none"/>
        </w:rPr>
      </w:pPr>
      <w:r>
        <w:rPr>
          <w:rFonts w:hint="default"/>
          <w:color w:val="auto"/>
          <w:highlight w:val="none"/>
        </w:rPr>
        <w:t>安全操作规程</w:t>
      </w:r>
    </w:p>
    <w:p w14:paraId="5DD84319">
      <w:pPr>
        <w:pStyle w:val="24"/>
        <w:bidi w:val="0"/>
        <w:rPr>
          <w:rFonts w:hint="default"/>
          <w:color w:val="auto"/>
          <w:highlight w:val="none"/>
        </w:rPr>
      </w:pPr>
      <w:r>
        <w:rPr>
          <w:rFonts w:hint="default"/>
          <w:color w:val="auto"/>
          <w:highlight w:val="none"/>
        </w:rPr>
        <w:t>为保证矿山建成后的安全生产，应针对具体生产过程中的各工序，制定并不断完善各岗位安全操作规程，并使其切实可行。</w:t>
      </w:r>
    </w:p>
    <w:p w14:paraId="4D7B3776">
      <w:pPr>
        <w:pStyle w:val="24"/>
        <w:bidi w:val="0"/>
        <w:rPr>
          <w:rFonts w:hint="default"/>
          <w:color w:val="auto"/>
          <w:highlight w:val="none"/>
        </w:rPr>
      </w:pPr>
      <w:r>
        <w:rPr>
          <w:rFonts w:hint="default"/>
          <w:color w:val="auto"/>
          <w:highlight w:val="none"/>
        </w:rPr>
        <w:t>另外，矿山穿孔、铲装、运输等设备，应制定相应维修保养制度。</w:t>
      </w:r>
    </w:p>
    <w:p w14:paraId="70F13438">
      <w:pPr>
        <w:pStyle w:val="24"/>
        <w:numPr>
          <w:ilvl w:val="0"/>
          <w:numId w:val="22"/>
        </w:numPr>
        <w:bidi w:val="0"/>
        <w:rPr>
          <w:rFonts w:hint="default"/>
          <w:color w:val="auto"/>
          <w:highlight w:val="none"/>
        </w:rPr>
      </w:pPr>
      <w:r>
        <w:rPr>
          <w:rFonts w:hint="default"/>
          <w:color w:val="auto"/>
          <w:highlight w:val="none"/>
        </w:rPr>
        <w:t>安全教育和培训</w:t>
      </w:r>
    </w:p>
    <w:p w14:paraId="7BE0F1FF">
      <w:pPr>
        <w:pStyle w:val="24"/>
        <w:bidi w:val="0"/>
        <w:rPr>
          <w:rFonts w:hint="default"/>
          <w:color w:val="auto"/>
          <w:highlight w:val="none"/>
        </w:rPr>
      </w:pPr>
      <w:r>
        <w:rPr>
          <w:rFonts w:hint="default"/>
          <w:color w:val="auto"/>
          <w:highlight w:val="none"/>
        </w:rPr>
        <w:t>对职工认真做好安全生产和劳动保护教育，普及安全知识和安全法规知识，进行技术和业务培训。职工经考试合格方准上岗。</w:t>
      </w:r>
    </w:p>
    <w:p w14:paraId="37C3175D">
      <w:pPr>
        <w:pStyle w:val="24"/>
        <w:numPr>
          <w:ilvl w:val="0"/>
          <w:numId w:val="22"/>
        </w:numPr>
        <w:bidi w:val="0"/>
        <w:rPr>
          <w:rFonts w:hint="default"/>
          <w:color w:val="auto"/>
          <w:highlight w:val="none"/>
        </w:rPr>
      </w:pPr>
      <w:r>
        <w:rPr>
          <w:rFonts w:hint="default"/>
          <w:color w:val="auto"/>
          <w:highlight w:val="none"/>
        </w:rPr>
        <w:t>必须按照有关规定提取安全技术措施专项经费，每年应制定安全技术措施专项经费提取计划。</w:t>
      </w:r>
    </w:p>
    <w:p w14:paraId="6B5E63E9">
      <w:pPr>
        <w:pStyle w:val="24"/>
        <w:numPr>
          <w:ilvl w:val="0"/>
          <w:numId w:val="22"/>
        </w:numPr>
        <w:bidi w:val="0"/>
        <w:rPr>
          <w:rFonts w:hint="default"/>
          <w:color w:val="auto"/>
          <w:highlight w:val="none"/>
        </w:rPr>
      </w:pPr>
      <w:r>
        <w:rPr>
          <w:rFonts w:hint="default"/>
          <w:color w:val="auto"/>
          <w:highlight w:val="none"/>
        </w:rPr>
        <w:t>必须依法参加工伤社会保险或安全生产责任保险，为从业人员足额缴纳保险费。</w:t>
      </w:r>
    </w:p>
    <w:p w14:paraId="2D135463">
      <w:pPr>
        <w:pStyle w:val="24"/>
        <w:numPr>
          <w:ilvl w:val="0"/>
          <w:numId w:val="22"/>
        </w:numPr>
        <w:bidi w:val="0"/>
        <w:rPr>
          <w:rFonts w:hint="default"/>
          <w:color w:val="auto"/>
          <w:highlight w:val="none"/>
        </w:rPr>
      </w:pPr>
      <w:r>
        <w:rPr>
          <w:rFonts w:hint="default"/>
          <w:color w:val="auto"/>
          <w:highlight w:val="none"/>
        </w:rPr>
        <w:t>必须按规定向职工发放符合行业标准的劳动保护用品，职工必须按规定穿戴和使用劳动保护用品与用具；进入露天采场的人员，必须戴安全帽。</w:t>
      </w:r>
    </w:p>
    <w:p w14:paraId="593B55A2">
      <w:pPr>
        <w:pStyle w:val="24"/>
        <w:numPr>
          <w:ilvl w:val="0"/>
          <w:numId w:val="22"/>
        </w:numPr>
        <w:bidi w:val="0"/>
        <w:rPr>
          <w:rFonts w:hint="default"/>
          <w:color w:val="auto"/>
          <w:highlight w:val="none"/>
        </w:rPr>
      </w:pPr>
      <w:r>
        <w:rPr>
          <w:rFonts w:hint="default"/>
          <w:color w:val="auto"/>
          <w:highlight w:val="none"/>
        </w:rPr>
        <w:t>应指定兼职的应急救援人员，并成立矿山应急救援组织或与邻近的事故应急救援组织签订救护协议。</w:t>
      </w:r>
    </w:p>
    <w:p w14:paraId="63631C31">
      <w:pPr>
        <w:pStyle w:val="24"/>
        <w:numPr>
          <w:ilvl w:val="0"/>
          <w:numId w:val="22"/>
        </w:numPr>
        <w:bidi w:val="0"/>
        <w:rPr>
          <w:rFonts w:hint="default"/>
          <w:color w:val="auto"/>
          <w:highlight w:val="none"/>
        </w:rPr>
      </w:pPr>
      <w:r>
        <w:rPr>
          <w:rFonts w:hint="default"/>
          <w:color w:val="auto"/>
          <w:highlight w:val="none"/>
        </w:rPr>
        <w:t>建立完善的事故应急救援预案并定期进行演练。</w:t>
      </w:r>
    </w:p>
    <w:p w14:paraId="3CCCDA69">
      <w:pPr>
        <w:pStyle w:val="24"/>
        <w:numPr>
          <w:ilvl w:val="0"/>
          <w:numId w:val="22"/>
        </w:numPr>
        <w:bidi w:val="0"/>
        <w:rPr>
          <w:rFonts w:hint="default"/>
          <w:color w:val="auto"/>
          <w:highlight w:val="none"/>
        </w:rPr>
      </w:pPr>
      <w:r>
        <w:rPr>
          <w:rFonts w:hint="default"/>
          <w:color w:val="auto"/>
          <w:highlight w:val="none"/>
        </w:rPr>
        <w:t>矿山应为职工派发对讲机、等通讯设备，并可在采场安全区域内设移动式电话，确保矿区通讯顺畅，保证管理层与基层沟通顺利。</w:t>
      </w:r>
    </w:p>
    <w:p w14:paraId="775283AE">
      <w:pPr>
        <w:pStyle w:val="24"/>
        <w:numPr>
          <w:ilvl w:val="0"/>
          <w:numId w:val="22"/>
        </w:numPr>
        <w:bidi w:val="0"/>
        <w:rPr>
          <w:rFonts w:hint="default"/>
          <w:color w:val="auto"/>
          <w:highlight w:val="none"/>
        </w:rPr>
      </w:pPr>
      <w:r>
        <w:rPr>
          <w:rFonts w:hint="default"/>
          <w:color w:val="auto"/>
          <w:highlight w:val="none"/>
        </w:rPr>
        <w:t>该项目新购及原有设备，必须具有安标证书，且经有资质部门（机构）检测检验合格后，方可使用。</w:t>
      </w:r>
    </w:p>
    <w:p w14:paraId="68E87E56">
      <w:pPr>
        <w:pStyle w:val="24"/>
        <w:numPr>
          <w:ilvl w:val="0"/>
          <w:numId w:val="22"/>
        </w:numPr>
        <w:bidi w:val="0"/>
        <w:rPr>
          <w:rFonts w:hint="default"/>
          <w:color w:val="auto"/>
          <w:highlight w:val="none"/>
        </w:rPr>
      </w:pPr>
      <w:r>
        <w:rPr>
          <w:rFonts w:hint="default"/>
          <w:color w:val="auto"/>
          <w:highlight w:val="none"/>
        </w:rPr>
        <w:t>主要负责人应当每月对照金属非金属矿山重大生产安全事故隐患判定标准，组织开展全面排查，形成重大事故隐患排查治理报告签字备查。</w:t>
      </w:r>
    </w:p>
    <w:p w14:paraId="40A4A222">
      <w:pPr>
        <w:pStyle w:val="24"/>
        <w:numPr>
          <w:ilvl w:val="0"/>
          <w:numId w:val="22"/>
        </w:numPr>
        <w:bidi w:val="0"/>
        <w:rPr>
          <w:rFonts w:hint="default"/>
          <w:color w:val="auto"/>
          <w:highlight w:val="none"/>
        </w:rPr>
      </w:pPr>
      <w:r>
        <w:rPr>
          <w:rFonts w:hint="default"/>
          <w:color w:val="auto"/>
          <w:highlight w:val="none"/>
        </w:rPr>
        <w:t>企业实际控制人每月在生产现场履行安全生产职责时间不得少于10个工作日；每月组织研究一次安全生产重大问题，形成会议纪要。</w:t>
      </w:r>
    </w:p>
    <w:p w14:paraId="6873C67B">
      <w:pPr>
        <w:pStyle w:val="24"/>
        <w:numPr>
          <w:ilvl w:val="0"/>
          <w:numId w:val="22"/>
        </w:numPr>
        <w:bidi w:val="0"/>
        <w:rPr>
          <w:rFonts w:hint="eastAsia"/>
          <w:color w:val="auto"/>
          <w:highlight w:val="none"/>
          <w:lang w:val="zh-CN"/>
        </w:rPr>
      </w:pPr>
      <w:r>
        <w:rPr>
          <w:rFonts w:hint="default"/>
          <w:color w:val="auto"/>
          <w:highlight w:val="none"/>
        </w:rPr>
        <w:t>非煤矿山企业应当依法加强安全生产标准化管理体系建设，建立健全安全风险分级管控和事故隐患排查治理双重预防机制，强化安全风险辨识管控，确定管控重点，落实管控责任，加强隐患排查治理，分析隐患成因，制定落实消除措施</w:t>
      </w:r>
      <w:r>
        <w:rPr>
          <w:rFonts w:hint="eastAsia"/>
          <w:color w:val="auto"/>
          <w:highlight w:val="none"/>
          <w:lang w:eastAsia="zh-CN"/>
        </w:rPr>
        <w:t>。</w:t>
      </w:r>
    </w:p>
    <w:p w14:paraId="70F1939F">
      <w:pPr>
        <w:pStyle w:val="30"/>
        <w:bidi w:val="0"/>
        <w:rPr>
          <w:rFonts w:hint="eastAsia" w:ascii="Times New Roman" w:hAnsi="Times New Roman" w:eastAsia="黑体"/>
          <w:caps w:val="0"/>
          <w:smallCaps w:val="0"/>
          <w:color w:val="auto"/>
          <w:sz w:val="30"/>
          <w:highlight w:val="none"/>
        </w:rPr>
      </w:pPr>
      <w:bookmarkStart w:id="51" w:name="_Toc22538"/>
      <w:bookmarkStart w:id="52" w:name="_Toc32323"/>
      <w:bookmarkStart w:id="53" w:name="_Toc294674111"/>
      <w:r>
        <w:rPr>
          <w:rFonts w:hint="eastAsia" w:ascii="Times New Roman" w:hAnsi="Times New Roman" w:eastAsia="黑体"/>
          <w:caps w:val="0"/>
          <w:smallCaps w:val="0"/>
          <w:color w:val="auto"/>
          <w:sz w:val="30"/>
          <w:highlight w:val="none"/>
        </w:rPr>
        <w:t>安全设施设计原则</w:t>
      </w:r>
      <w:bookmarkEnd w:id="51"/>
      <w:bookmarkEnd w:id="52"/>
      <w:bookmarkEnd w:id="53"/>
    </w:p>
    <w:p w14:paraId="2BCD690A">
      <w:pPr>
        <w:pStyle w:val="24"/>
        <w:numPr>
          <w:ilvl w:val="0"/>
          <w:numId w:val="23"/>
        </w:numPr>
        <w:bidi w:val="0"/>
        <w:rPr>
          <w:rFonts w:hint="eastAsia"/>
          <w:color w:val="auto"/>
          <w:highlight w:val="none"/>
          <w:lang w:val="zh-CN"/>
        </w:rPr>
      </w:pPr>
      <w:r>
        <w:rPr>
          <w:rFonts w:hint="eastAsia"/>
          <w:color w:val="auto"/>
          <w:highlight w:val="none"/>
          <w:lang w:val="zh-CN"/>
        </w:rPr>
        <w:t>《</w:t>
      </w:r>
      <w:r>
        <w:rPr>
          <w:rFonts w:hint="eastAsia"/>
          <w:color w:val="auto"/>
          <w:highlight w:val="none"/>
          <w:lang w:val="en-US" w:eastAsia="zh-CN"/>
        </w:rPr>
        <w:t>安全设施设计</w:t>
      </w:r>
      <w:r>
        <w:rPr>
          <w:rFonts w:hint="eastAsia"/>
          <w:color w:val="auto"/>
          <w:highlight w:val="none"/>
          <w:lang w:val="zh-CN"/>
        </w:rPr>
        <w:t>》</w:t>
      </w:r>
      <w:r>
        <w:rPr>
          <w:rFonts w:hint="eastAsia"/>
          <w:color w:val="auto"/>
          <w:highlight w:val="none"/>
          <w:lang w:val="en-US" w:eastAsia="zh-CN"/>
        </w:rPr>
        <w:t>阶段，补充露天采场边坡、道路边坡安全加固及防护措施。</w:t>
      </w:r>
    </w:p>
    <w:p w14:paraId="60B3AEAC">
      <w:pPr>
        <w:pStyle w:val="24"/>
        <w:numPr>
          <w:ilvl w:val="0"/>
          <w:numId w:val="23"/>
        </w:numPr>
        <w:bidi w:val="0"/>
        <w:rPr>
          <w:rFonts w:hint="eastAsia"/>
          <w:color w:val="auto"/>
          <w:highlight w:val="none"/>
          <w:lang w:val="zh-CN"/>
        </w:rPr>
      </w:pPr>
      <w:r>
        <w:rPr>
          <w:rFonts w:hint="eastAsia"/>
          <w:color w:val="auto"/>
          <w:highlight w:val="none"/>
          <w:lang w:val="zh-CN"/>
        </w:rPr>
        <w:t>《</w:t>
      </w:r>
      <w:r>
        <w:rPr>
          <w:rFonts w:hint="eastAsia"/>
          <w:color w:val="auto"/>
          <w:highlight w:val="none"/>
          <w:lang w:val="en-US" w:eastAsia="zh-CN"/>
        </w:rPr>
        <w:t>安全设施设计</w:t>
      </w:r>
      <w:r>
        <w:rPr>
          <w:rFonts w:hint="eastAsia"/>
          <w:color w:val="auto"/>
          <w:highlight w:val="none"/>
          <w:lang w:val="zh-CN"/>
        </w:rPr>
        <w:t>》</w:t>
      </w:r>
      <w:r>
        <w:rPr>
          <w:rFonts w:hint="eastAsia"/>
          <w:color w:val="auto"/>
          <w:highlight w:val="none"/>
          <w:lang w:val="en-US" w:eastAsia="zh-CN"/>
        </w:rPr>
        <w:t>阶段，应在图纸中明确</w:t>
      </w:r>
      <w:r>
        <w:rPr>
          <w:rFonts w:hAnsi="宋体"/>
          <w:color w:val="auto"/>
          <w:kern w:val="0"/>
          <w:highlight w:val="none"/>
        </w:rPr>
        <w:t>工业场地</w:t>
      </w:r>
      <w:r>
        <w:rPr>
          <w:rFonts w:hint="eastAsia" w:hAnsi="宋体"/>
          <w:color w:val="auto"/>
          <w:kern w:val="0"/>
          <w:highlight w:val="none"/>
          <w:lang w:val="en-US" w:eastAsia="zh-CN"/>
        </w:rPr>
        <w:t>中各建筑位置，并在报告中明确工业场地最低标高</w:t>
      </w:r>
      <w:r>
        <w:rPr>
          <w:rFonts w:hint="eastAsia"/>
          <w:color w:val="auto"/>
          <w:highlight w:val="none"/>
          <w:lang w:val="en-US" w:eastAsia="zh-CN"/>
        </w:rPr>
        <w:t>。</w:t>
      </w:r>
    </w:p>
    <w:p w14:paraId="023D8595">
      <w:pPr>
        <w:pStyle w:val="24"/>
        <w:numPr>
          <w:ilvl w:val="0"/>
          <w:numId w:val="23"/>
        </w:numPr>
        <w:bidi w:val="0"/>
        <w:rPr>
          <w:rFonts w:hint="eastAsia"/>
          <w:color w:val="auto"/>
          <w:highlight w:val="none"/>
          <w:lang w:val="zh-CN"/>
        </w:rPr>
      </w:pPr>
      <w:r>
        <w:rPr>
          <w:rFonts w:hint="eastAsia"/>
          <w:color w:val="auto"/>
          <w:highlight w:val="none"/>
          <w:lang w:val="zh-CN"/>
        </w:rPr>
        <w:t>《</w:t>
      </w:r>
      <w:r>
        <w:rPr>
          <w:rFonts w:hint="eastAsia"/>
          <w:color w:val="auto"/>
          <w:highlight w:val="none"/>
          <w:lang w:val="en-US" w:eastAsia="zh-CN"/>
        </w:rPr>
        <w:t>安全设施设计</w:t>
      </w:r>
      <w:r>
        <w:rPr>
          <w:rFonts w:hint="eastAsia"/>
          <w:color w:val="auto"/>
          <w:highlight w:val="none"/>
          <w:lang w:val="zh-CN"/>
        </w:rPr>
        <w:t>》</w:t>
      </w:r>
      <w:r>
        <w:rPr>
          <w:rFonts w:hint="eastAsia"/>
          <w:color w:val="auto"/>
          <w:highlight w:val="none"/>
          <w:lang w:val="en-US" w:eastAsia="zh-CN"/>
        </w:rPr>
        <w:t>阶段，应明确边界安全护栏和警示标志的设置。</w:t>
      </w:r>
    </w:p>
    <w:p w14:paraId="7DFB5511">
      <w:pPr>
        <w:pStyle w:val="24"/>
        <w:numPr>
          <w:ilvl w:val="0"/>
          <w:numId w:val="23"/>
        </w:numPr>
        <w:bidi w:val="0"/>
        <w:rPr>
          <w:rFonts w:hint="eastAsia"/>
          <w:color w:val="auto"/>
          <w:highlight w:val="none"/>
          <w:lang w:val="en-US" w:eastAsia="zh-CN"/>
        </w:rPr>
      </w:pPr>
      <w:r>
        <w:rPr>
          <w:rFonts w:hint="eastAsia"/>
          <w:color w:val="auto"/>
          <w:highlight w:val="none"/>
          <w:lang w:val="zh-CN"/>
        </w:rPr>
        <w:t>《</w:t>
      </w:r>
      <w:r>
        <w:rPr>
          <w:rFonts w:hint="eastAsia"/>
          <w:color w:val="auto"/>
          <w:highlight w:val="none"/>
          <w:lang w:val="en-US" w:eastAsia="zh-CN"/>
        </w:rPr>
        <w:t>安全设施设计</w:t>
      </w:r>
      <w:r>
        <w:rPr>
          <w:rFonts w:hint="eastAsia"/>
          <w:color w:val="auto"/>
          <w:highlight w:val="none"/>
          <w:lang w:val="zh-CN"/>
        </w:rPr>
        <w:t>》</w:t>
      </w:r>
      <w:r>
        <w:rPr>
          <w:rFonts w:hint="eastAsia"/>
          <w:color w:val="auto"/>
          <w:highlight w:val="none"/>
          <w:lang w:val="en-US" w:eastAsia="zh-CN"/>
        </w:rPr>
        <w:t>阶段，应根据《金属非金属矿山安全规程》GB16423-2020，第7.3.3条，论证最终边坡角是否满足安全稳定要求；</w:t>
      </w:r>
    </w:p>
    <w:p w14:paraId="77BFC596">
      <w:pPr>
        <w:pStyle w:val="24"/>
        <w:numPr>
          <w:ilvl w:val="0"/>
          <w:numId w:val="23"/>
        </w:numPr>
        <w:bidi w:val="0"/>
        <w:rPr>
          <w:rFonts w:hint="eastAsia"/>
          <w:color w:val="auto"/>
          <w:highlight w:val="none"/>
          <w:lang w:val="zh-CN"/>
        </w:rPr>
      </w:pPr>
      <w:r>
        <w:rPr>
          <w:rFonts w:hint="eastAsia"/>
          <w:color w:val="auto"/>
          <w:highlight w:val="none"/>
          <w:lang w:val="zh-CN"/>
        </w:rPr>
        <w:t>《</w:t>
      </w:r>
      <w:r>
        <w:rPr>
          <w:rFonts w:hint="eastAsia"/>
          <w:color w:val="auto"/>
          <w:highlight w:val="none"/>
          <w:lang w:val="en-US" w:eastAsia="zh-CN"/>
        </w:rPr>
        <w:t>安全设施设计</w:t>
      </w:r>
      <w:r>
        <w:rPr>
          <w:rFonts w:hint="eastAsia"/>
          <w:color w:val="auto"/>
          <w:highlight w:val="none"/>
          <w:lang w:val="zh-CN"/>
        </w:rPr>
        <w:t>》</w:t>
      </w:r>
      <w:r>
        <w:rPr>
          <w:rFonts w:hint="eastAsia"/>
          <w:color w:val="auto"/>
          <w:highlight w:val="none"/>
          <w:lang w:val="en-US" w:eastAsia="zh-CN"/>
        </w:rPr>
        <w:t>阶段，应明确</w:t>
      </w:r>
      <w:r>
        <w:rPr>
          <w:rFonts w:hint="default"/>
          <w:color w:val="auto"/>
          <w:highlight w:val="none"/>
          <w:lang w:val="en-US" w:eastAsia="zh-CN"/>
        </w:rPr>
        <w:t>最小工作平台宽度</w:t>
      </w:r>
      <w:r>
        <w:rPr>
          <w:rFonts w:hint="eastAsia"/>
          <w:color w:val="auto"/>
          <w:highlight w:val="none"/>
          <w:lang w:val="en-US" w:eastAsia="zh-CN"/>
        </w:rPr>
        <w:t>，且应</w:t>
      </w:r>
      <w:r>
        <w:rPr>
          <w:rFonts w:hint="default"/>
          <w:color w:val="auto"/>
          <w:highlight w:val="none"/>
          <w:lang w:val="en-US" w:eastAsia="zh-CN"/>
        </w:rPr>
        <w:t>满足长条块石翻倒、解体、整形、装运、清渣等工序的作业要求</w:t>
      </w:r>
      <w:r>
        <w:rPr>
          <w:rFonts w:hint="eastAsia"/>
          <w:color w:val="auto"/>
          <w:highlight w:val="none"/>
          <w:lang w:val="en-US" w:eastAsia="zh-CN"/>
        </w:rPr>
        <w:t>。</w:t>
      </w:r>
    </w:p>
    <w:p w14:paraId="6AEB9446">
      <w:pPr>
        <w:pStyle w:val="29"/>
        <w:bidi w:val="0"/>
        <w:rPr>
          <w:rFonts w:hint="default"/>
          <w:color w:val="auto"/>
          <w:highlight w:val="none"/>
          <w:lang w:val="en-US" w:eastAsia="zh-CN"/>
        </w:rPr>
      </w:pPr>
      <w:bookmarkStart w:id="54" w:name="_Toc23113"/>
      <w:r>
        <w:rPr>
          <w:rFonts w:hint="default"/>
          <w:color w:val="auto"/>
          <w:highlight w:val="none"/>
          <w:lang w:val="en-US" w:eastAsia="zh-CN"/>
        </w:rPr>
        <w:t>评价结论</w:t>
      </w:r>
      <w:bookmarkEnd w:id="54"/>
    </w:p>
    <w:p w14:paraId="584485AC">
      <w:pPr>
        <w:pStyle w:val="24"/>
        <w:bidi w:val="0"/>
        <w:rPr>
          <w:rFonts w:hint="default"/>
          <w:color w:val="auto"/>
          <w:highlight w:val="none"/>
          <w:lang w:val="en-US" w:eastAsia="zh-CN"/>
        </w:rPr>
      </w:pPr>
      <w:r>
        <w:rPr>
          <w:rFonts w:hint="default"/>
          <w:color w:val="auto"/>
          <w:highlight w:val="none"/>
          <w:lang w:val="en-US" w:eastAsia="zh-CN"/>
        </w:rPr>
        <w:t>按照《安全评价通则》、《安全预评价导则》的要求，依据国家及行业的相关法律、法规、规范、标准和规程，评价组对岫岩满族自治县皇室啡矿业有限公司露天矿山进行了安全预评价。本报告利用安全检查表法、预先危险性分析法、专家评议法等定性定量评价方法对项目建成后可能存在的有害因素进行分析和评价，提出了相应的对策措施，进而形成如下评价结论。</w:t>
      </w:r>
    </w:p>
    <w:p w14:paraId="573E54D7">
      <w:pPr>
        <w:pStyle w:val="24"/>
        <w:bidi w:val="0"/>
        <w:rPr>
          <w:rFonts w:hint="default"/>
          <w:b/>
          <w:bCs/>
          <w:color w:val="auto"/>
          <w:highlight w:val="none"/>
          <w:lang w:val="en-US" w:eastAsia="zh-CN"/>
        </w:rPr>
        <w:sectPr>
          <w:pgSz w:w="11906" w:h="16838"/>
          <w:pgMar w:top="1417" w:right="1134" w:bottom="1134" w:left="1587" w:header="851" w:footer="992" w:gutter="0"/>
          <w:pgBorders>
            <w:top w:val="none" w:sz="0" w:space="0"/>
            <w:left w:val="none" w:sz="0" w:space="0"/>
            <w:bottom w:val="none" w:sz="0" w:space="0"/>
            <w:right w:val="none" w:sz="0" w:space="0"/>
          </w:pgBorders>
          <w:pgNumType w:fmt="decimal"/>
          <w:cols w:space="0" w:num="1"/>
          <w:rtlGutter w:val="0"/>
          <w:docGrid w:type="lines" w:linePitch="312" w:charSpace="0"/>
        </w:sectPr>
      </w:pPr>
      <w:r>
        <w:rPr>
          <w:rFonts w:hint="default" w:ascii="Times New Roman" w:hAnsi="Times New Roman" w:eastAsia="宋体" w:cs="Times New Roman"/>
          <w:color w:val="auto"/>
          <w:highlight w:val="none"/>
          <w:lang w:val="en-US" w:eastAsia="zh-CN"/>
        </w:rPr>
        <w:t>岫岩满族自治县皇室啡矿业有限公司露天矿山</w:t>
      </w:r>
      <w:r>
        <w:rPr>
          <w:rFonts w:hint="default"/>
          <w:color w:val="auto"/>
          <w:highlight w:val="none"/>
          <w:lang w:val="en-US" w:eastAsia="zh-CN"/>
        </w:rPr>
        <w:t>安全预评价在评价时的条件下符合国家有关法律、法规、标准、规章、规范的要求，可行性研究报告提出的安全对策措施较完善，拟采取的预防危险因素和有害因素的各项技术措施和防范设施可行。</w:t>
      </w:r>
      <w:r>
        <w:rPr>
          <w:rFonts w:hint="default"/>
          <w:b/>
          <w:bCs/>
          <w:color w:val="auto"/>
          <w:highlight w:val="none"/>
          <w:lang w:val="en-US" w:eastAsia="zh-CN"/>
        </w:rPr>
        <w:t>建设单位如能按照可行性研究报告和本预评价报告提出的安全对策措施和建议实施，能够将该建设项目潜在的危险有害因素控制在可接受范围之内，该建设项目在安全上是可行的。</w:t>
      </w:r>
    </w:p>
    <w:p w14:paraId="73006D71">
      <w:pPr>
        <w:pStyle w:val="29"/>
        <w:bidi w:val="0"/>
        <w:rPr>
          <w:rFonts w:hint="eastAsia"/>
          <w:color w:val="auto"/>
          <w:highlight w:val="none"/>
        </w:rPr>
      </w:pPr>
      <w:bookmarkStart w:id="55" w:name="_Toc15118"/>
      <w:bookmarkStart w:id="56" w:name="_Toc2880"/>
      <w:r>
        <w:rPr>
          <w:rFonts w:hint="eastAsia"/>
          <w:color w:val="auto"/>
          <w:highlight w:val="none"/>
        </w:rPr>
        <w:t>附件</w:t>
      </w:r>
      <w:bookmarkEnd w:id="55"/>
      <w:bookmarkEnd w:id="56"/>
    </w:p>
    <w:p w14:paraId="2E21B5D8">
      <w:pPr>
        <w:pStyle w:val="24"/>
        <w:numPr>
          <w:ilvl w:val="0"/>
          <w:numId w:val="24"/>
        </w:numPr>
        <w:bidi w:val="0"/>
        <w:rPr>
          <w:rFonts w:hint="eastAsia"/>
          <w:color w:val="auto"/>
          <w:highlight w:val="none"/>
          <w:lang w:val="zh-CN" w:eastAsia="zh-CN"/>
        </w:rPr>
      </w:pPr>
      <w:r>
        <w:rPr>
          <w:rFonts w:hint="eastAsia"/>
          <w:color w:val="auto"/>
          <w:highlight w:val="none"/>
          <w:lang w:val="zh-CN" w:eastAsia="zh-CN"/>
        </w:rPr>
        <w:t>《营业执照》；</w:t>
      </w:r>
    </w:p>
    <w:p w14:paraId="3DFB3076">
      <w:pPr>
        <w:pStyle w:val="24"/>
        <w:numPr>
          <w:ilvl w:val="0"/>
          <w:numId w:val="24"/>
        </w:numPr>
        <w:bidi w:val="0"/>
        <w:rPr>
          <w:rFonts w:hint="eastAsia"/>
          <w:color w:val="auto"/>
          <w:highlight w:val="none"/>
          <w:lang w:val="zh-CN" w:eastAsia="zh-CN"/>
        </w:rPr>
      </w:pPr>
      <w:r>
        <w:rPr>
          <w:rFonts w:hint="eastAsia"/>
          <w:color w:val="auto"/>
          <w:highlight w:val="none"/>
          <w:lang w:val="zh-CN" w:eastAsia="zh-CN"/>
        </w:rPr>
        <w:t>《采矿许可证》；</w:t>
      </w:r>
    </w:p>
    <w:p w14:paraId="722BD8F1">
      <w:pPr>
        <w:pStyle w:val="24"/>
        <w:numPr>
          <w:ilvl w:val="0"/>
          <w:numId w:val="24"/>
        </w:numPr>
        <w:bidi w:val="0"/>
        <w:rPr>
          <w:rFonts w:hint="eastAsia"/>
          <w:color w:val="auto"/>
          <w:highlight w:val="none"/>
          <w:lang w:val="zh-CN" w:eastAsia="zh-CN"/>
        </w:rPr>
      </w:pPr>
      <w:r>
        <w:rPr>
          <w:rFonts w:hint="eastAsia"/>
          <w:color w:val="auto"/>
          <w:highlight w:val="none"/>
          <w:lang w:val="zh-CN" w:eastAsia="zh-CN"/>
        </w:rPr>
        <w:t>《〈辽宁省岫岩满族自治县朝阳乡沟门村马家滴子沟建筑用花岗岩矿资源储量核实报告〉评审备案证明》，鞍国土资储备字[2015]012号，鞍山市国土资源局，2016年1月11日；</w:t>
      </w:r>
    </w:p>
    <w:p w14:paraId="1E9FF183">
      <w:pPr>
        <w:pStyle w:val="24"/>
        <w:numPr>
          <w:ilvl w:val="0"/>
          <w:numId w:val="24"/>
        </w:numPr>
        <w:bidi w:val="0"/>
        <w:rPr>
          <w:rFonts w:hint="eastAsia"/>
          <w:color w:val="auto"/>
          <w:highlight w:val="none"/>
          <w:lang w:val="zh-CN" w:eastAsia="zh-CN"/>
        </w:rPr>
      </w:pPr>
      <w:r>
        <w:rPr>
          <w:rFonts w:hint="eastAsia"/>
          <w:color w:val="auto"/>
          <w:highlight w:val="none"/>
          <w:lang w:val="zh-CN" w:eastAsia="zh-CN"/>
        </w:rPr>
        <w:t>《〈辽宁省岫岩满族自治县朝阳乡沟门村马家滴子沟建筑用花岗岩矿资源储量核实报告〉评审意见书》，辽溪评（储）字鞍[2015]014号，辽宁溪源土地矿产资源评估有限公司，2015年11月25日；</w:t>
      </w:r>
    </w:p>
    <w:p w14:paraId="31318E8C">
      <w:pPr>
        <w:pStyle w:val="24"/>
        <w:numPr>
          <w:ilvl w:val="0"/>
          <w:numId w:val="24"/>
        </w:numPr>
        <w:bidi w:val="0"/>
        <w:rPr>
          <w:rFonts w:hint="eastAsia"/>
          <w:color w:val="auto"/>
          <w:highlight w:val="none"/>
          <w:lang w:val="zh-CN" w:eastAsia="zh-CN"/>
        </w:rPr>
      </w:pPr>
      <w:r>
        <w:rPr>
          <w:rFonts w:hint="eastAsia"/>
          <w:color w:val="auto"/>
          <w:highlight w:val="none"/>
          <w:lang w:val="zh-CN" w:eastAsia="zh-CN"/>
        </w:rPr>
        <w:t>《〈鞍山金和矿业有限公司北山桥铁矿等173份矿山储量年度报告（2018年度）〉审查验收备案证明》，鞍国土资年储备字[2019]031号，2019年3月15日；</w:t>
      </w:r>
    </w:p>
    <w:p w14:paraId="425B1922">
      <w:pPr>
        <w:rPr>
          <w:rFonts w:hint="default"/>
          <w:color w:val="auto"/>
          <w:highlight w:val="none"/>
          <w:lang w:val="en-US" w:eastAsia="zh-CN"/>
        </w:rPr>
      </w:pPr>
      <w:r>
        <w:rPr>
          <w:rFonts w:hint="default"/>
          <w:color w:val="auto"/>
          <w:highlight w:val="none"/>
          <w:lang w:val="en-US" w:eastAsia="zh-CN"/>
        </w:rPr>
        <w:br w:type="page"/>
      </w:r>
    </w:p>
    <w:p w14:paraId="2406CE48">
      <w:pPr>
        <w:pStyle w:val="29"/>
        <w:bidi w:val="0"/>
        <w:rPr>
          <w:rFonts w:hint="default"/>
          <w:color w:val="auto"/>
          <w:highlight w:val="none"/>
          <w:lang w:val="en-US" w:eastAsia="zh-CN"/>
        </w:rPr>
      </w:pPr>
      <w:bookmarkStart w:id="57" w:name="_Toc29234"/>
      <w:r>
        <w:rPr>
          <w:rFonts w:hint="eastAsia"/>
          <w:color w:val="auto"/>
          <w:highlight w:val="none"/>
          <w:lang w:val="en-US" w:eastAsia="zh-CN"/>
        </w:rPr>
        <w:t>附图</w:t>
      </w:r>
      <w:bookmarkEnd w:id="57"/>
    </w:p>
    <w:p w14:paraId="0772F598">
      <w:pPr>
        <w:pStyle w:val="24"/>
        <w:bidi w:val="0"/>
        <w:rPr>
          <w:rFonts w:hint="eastAsia" w:ascii="Times New Roman" w:hAnsi="Times New Roman" w:cs="宋体"/>
          <w:caps w:val="0"/>
          <w:smallCaps w:val="0"/>
          <w:color w:val="auto"/>
          <w:sz w:val="28"/>
          <w:szCs w:val="28"/>
          <w:highlight w:val="none"/>
        </w:rPr>
      </w:pPr>
      <w:r>
        <w:rPr>
          <w:rFonts w:hint="eastAsia" w:ascii="Times New Roman" w:hAnsi="Times New Roman" w:cs="宋体"/>
          <w:caps w:val="0"/>
          <w:smallCaps w:val="0"/>
          <w:color w:val="auto"/>
          <w:sz w:val="28"/>
          <w:szCs w:val="28"/>
          <w:highlight w:val="none"/>
        </w:rPr>
        <w:t>（1）</w:t>
      </w:r>
      <w:r>
        <w:rPr>
          <w:rFonts w:hAnsi="宋体"/>
          <w:color w:val="auto"/>
          <w:sz w:val="28"/>
          <w:szCs w:val="28"/>
          <w:highlight w:val="none"/>
        </w:rPr>
        <w:t>地形地质及矿区范围图</w:t>
      </w:r>
    </w:p>
    <w:p w14:paraId="21524E40">
      <w:pPr>
        <w:pStyle w:val="24"/>
        <w:bidi w:val="0"/>
        <w:rPr>
          <w:rFonts w:hint="eastAsia" w:ascii="Times New Roman" w:hAnsi="Times New Roman" w:cs="宋体"/>
          <w:caps w:val="0"/>
          <w:smallCaps w:val="0"/>
          <w:color w:val="auto"/>
          <w:sz w:val="28"/>
          <w:szCs w:val="28"/>
          <w:highlight w:val="none"/>
        </w:rPr>
      </w:pPr>
      <w:r>
        <w:rPr>
          <w:rFonts w:hint="eastAsia" w:ascii="Times New Roman" w:hAnsi="Times New Roman" w:cs="宋体"/>
          <w:caps w:val="0"/>
          <w:smallCaps w:val="0"/>
          <w:color w:val="auto"/>
          <w:sz w:val="28"/>
          <w:szCs w:val="28"/>
          <w:highlight w:val="none"/>
        </w:rPr>
        <w:t>（2）</w:t>
      </w:r>
      <w:r>
        <w:rPr>
          <w:rFonts w:ascii="宋体" w:hAnsi="宋体"/>
          <w:color w:val="auto"/>
          <w:sz w:val="28"/>
          <w:szCs w:val="28"/>
          <w:highlight w:val="none"/>
        </w:rPr>
        <w:t>Ⅰ</w:t>
      </w:r>
      <w:r>
        <w:rPr>
          <w:rFonts w:hAnsi="宋体"/>
          <w:color w:val="auto"/>
          <w:sz w:val="28"/>
          <w:szCs w:val="28"/>
          <w:highlight w:val="none"/>
        </w:rPr>
        <w:t>线地质剖面图</w:t>
      </w:r>
    </w:p>
    <w:p w14:paraId="75A82CBB">
      <w:pPr>
        <w:pStyle w:val="24"/>
        <w:bidi w:val="0"/>
        <w:rPr>
          <w:rFonts w:hint="eastAsia" w:ascii="Times New Roman" w:hAnsi="Times New Roman" w:cs="宋体"/>
          <w:caps w:val="0"/>
          <w:smallCaps w:val="0"/>
          <w:color w:val="auto"/>
          <w:sz w:val="28"/>
          <w:szCs w:val="28"/>
          <w:highlight w:val="none"/>
        </w:rPr>
      </w:pPr>
      <w:r>
        <w:rPr>
          <w:rFonts w:hint="eastAsia" w:ascii="Times New Roman" w:hAnsi="Times New Roman" w:cs="宋体"/>
          <w:caps w:val="0"/>
          <w:smallCaps w:val="0"/>
          <w:color w:val="auto"/>
          <w:sz w:val="28"/>
          <w:szCs w:val="28"/>
          <w:highlight w:val="none"/>
        </w:rPr>
        <w:t>（3）</w:t>
      </w:r>
      <w:r>
        <w:rPr>
          <w:rFonts w:hAnsi="宋体"/>
          <w:color w:val="auto"/>
          <w:sz w:val="28"/>
          <w:szCs w:val="28"/>
          <w:highlight w:val="none"/>
        </w:rPr>
        <w:t>露天采场</w:t>
      </w:r>
      <w:r>
        <w:rPr>
          <w:color w:val="auto"/>
          <w:sz w:val="28"/>
          <w:szCs w:val="28"/>
          <w:highlight w:val="none"/>
        </w:rPr>
        <w:t>A-A'</w:t>
      </w:r>
      <w:r>
        <w:rPr>
          <w:rFonts w:hAnsi="宋体"/>
          <w:color w:val="auto"/>
          <w:sz w:val="28"/>
          <w:szCs w:val="28"/>
          <w:highlight w:val="none"/>
        </w:rPr>
        <w:t>、</w:t>
      </w:r>
      <w:r>
        <w:rPr>
          <w:color w:val="auto"/>
          <w:sz w:val="28"/>
          <w:szCs w:val="28"/>
          <w:highlight w:val="none"/>
        </w:rPr>
        <w:t>B-B'</w:t>
      </w:r>
      <w:r>
        <w:rPr>
          <w:rFonts w:hAnsi="宋体"/>
          <w:color w:val="auto"/>
          <w:sz w:val="28"/>
          <w:szCs w:val="28"/>
          <w:highlight w:val="none"/>
        </w:rPr>
        <w:t>剖面图</w:t>
      </w:r>
    </w:p>
    <w:p w14:paraId="59C1B534">
      <w:pPr>
        <w:pStyle w:val="24"/>
        <w:bidi w:val="0"/>
        <w:rPr>
          <w:rFonts w:hint="eastAsia" w:ascii="Times New Roman" w:hAnsi="Times New Roman" w:cs="宋体"/>
          <w:caps w:val="0"/>
          <w:smallCaps w:val="0"/>
          <w:color w:val="auto"/>
          <w:sz w:val="28"/>
          <w:szCs w:val="28"/>
          <w:highlight w:val="none"/>
        </w:rPr>
      </w:pPr>
      <w:r>
        <w:rPr>
          <w:rFonts w:hint="eastAsia" w:ascii="Times New Roman" w:hAnsi="Times New Roman" w:cs="宋体"/>
          <w:caps w:val="0"/>
          <w:smallCaps w:val="0"/>
          <w:color w:val="auto"/>
          <w:sz w:val="28"/>
          <w:szCs w:val="28"/>
          <w:highlight w:val="none"/>
        </w:rPr>
        <w:t>（4）</w:t>
      </w:r>
      <w:r>
        <w:rPr>
          <w:rFonts w:hAnsi="宋体"/>
          <w:color w:val="auto"/>
          <w:sz w:val="28"/>
          <w:szCs w:val="28"/>
          <w:highlight w:val="none"/>
        </w:rPr>
        <w:t>露天开采终了境界平面图</w:t>
      </w:r>
    </w:p>
    <w:p w14:paraId="48CCF9E1">
      <w:pPr>
        <w:pStyle w:val="24"/>
        <w:bidi w:val="0"/>
        <w:rPr>
          <w:rFonts w:hint="eastAsia" w:ascii="Times New Roman" w:hAnsi="Times New Roman" w:cs="宋体"/>
          <w:caps w:val="0"/>
          <w:smallCaps w:val="0"/>
          <w:color w:val="auto"/>
          <w:sz w:val="28"/>
          <w:szCs w:val="28"/>
          <w:highlight w:val="none"/>
        </w:rPr>
      </w:pPr>
      <w:r>
        <w:rPr>
          <w:rFonts w:hint="eastAsia" w:ascii="Times New Roman" w:hAnsi="Times New Roman" w:cs="宋体"/>
          <w:caps w:val="0"/>
          <w:smallCaps w:val="0"/>
          <w:color w:val="auto"/>
          <w:sz w:val="28"/>
          <w:szCs w:val="28"/>
          <w:highlight w:val="none"/>
        </w:rPr>
        <w:t>（5）</w:t>
      </w:r>
      <w:r>
        <w:rPr>
          <w:rFonts w:hAnsi="宋体"/>
          <w:color w:val="auto"/>
          <w:sz w:val="28"/>
          <w:szCs w:val="28"/>
          <w:highlight w:val="none"/>
        </w:rPr>
        <w:t>总平面布置图</w:t>
      </w:r>
    </w:p>
    <w:p w14:paraId="5D1EFB43">
      <w:pPr>
        <w:pStyle w:val="24"/>
        <w:bidi w:val="0"/>
        <w:rPr>
          <w:rFonts w:hint="eastAsia" w:ascii="Times New Roman" w:hAnsi="Times New Roman" w:cs="宋体"/>
          <w:caps w:val="0"/>
          <w:smallCaps w:val="0"/>
          <w:color w:val="auto"/>
          <w:sz w:val="28"/>
          <w:szCs w:val="28"/>
          <w:highlight w:val="none"/>
        </w:rPr>
      </w:pPr>
      <w:r>
        <w:rPr>
          <w:rFonts w:hint="eastAsia" w:ascii="Times New Roman" w:hAnsi="Times New Roman" w:cs="宋体"/>
          <w:caps w:val="0"/>
          <w:smallCaps w:val="0"/>
          <w:color w:val="auto"/>
          <w:sz w:val="28"/>
          <w:szCs w:val="28"/>
          <w:highlight w:val="none"/>
        </w:rPr>
        <w:t>（6）</w:t>
      </w:r>
      <w:r>
        <w:rPr>
          <w:rFonts w:hAnsi="宋体"/>
          <w:bCs/>
          <w:color w:val="auto"/>
          <w:sz w:val="28"/>
          <w:szCs w:val="28"/>
          <w:highlight w:val="none"/>
        </w:rPr>
        <w:t>基建终了平面图</w:t>
      </w:r>
    </w:p>
    <w:p w14:paraId="637B2898">
      <w:pPr>
        <w:pStyle w:val="24"/>
        <w:bidi w:val="0"/>
        <w:rPr>
          <w:rFonts w:hint="eastAsia" w:ascii="Times New Roman" w:hAnsi="Times New Roman" w:cs="宋体"/>
          <w:caps w:val="0"/>
          <w:smallCaps w:val="0"/>
          <w:color w:val="auto"/>
          <w:sz w:val="28"/>
          <w:szCs w:val="28"/>
          <w:highlight w:val="none"/>
        </w:rPr>
      </w:pPr>
      <w:r>
        <w:rPr>
          <w:rFonts w:hint="eastAsia" w:ascii="Times New Roman" w:hAnsi="Times New Roman" w:cs="宋体"/>
          <w:caps w:val="0"/>
          <w:smallCaps w:val="0"/>
          <w:color w:val="auto"/>
          <w:sz w:val="28"/>
          <w:szCs w:val="28"/>
          <w:highlight w:val="none"/>
        </w:rPr>
        <w:t>（7）</w:t>
      </w:r>
      <w:r>
        <w:rPr>
          <w:rFonts w:hAnsi="宋体"/>
          <w:color w:val="auto"/>
          <w:sz w:val="28"/>
          <w:szCs w:val="28"/>
          <w:highlight w:val="none"/>
        </w:rPr>
        <w:t>供电系统图</w:t>
      </w:r>
    </w:p>
    <w:p w14:paraId="54F828F8">
      <w:pPr>
        <w:pStyle w:val="24"/>
        <w:bidi w:val="0"/>
        <w:rPr>
          <w:rFonts w:hint="default"/>
          <w:color w:val="auto"/>
          <w:highlight w:val="none"/>
          <w:lang w:val="en-US" w:eastAsia="zh-CN"/>
        </w:rPr>
      </w:pPr>
    </w:p>
    <w:sectPr>
      <w:pgSz w:w="11906" w:h="16838"/>
      <w:pgMar w:top="1417" w:right="1134" w:bottom="1134" w:left="1587" w:header="851" w:footer="992" w:gutter="0"/>
      <w:pgBorders>
        <w:top w:val="none" w:sz="0" w:space="0"/>
        <w:left w:val="none" w:sz="0" w:space="0"/>
        <w:bottom w:val="none" w:sz="0" w:space="0"/>
        <w:right w:val="none" w:sz="0" w:space="0"/>
      </w:pgBorders>
      <w:pgNumType w:fmt="decimal"/>
      <w:cols w:space="0" w:num="1"/>
      <w:rtlGutter w:val="0"/>
      <w:docGrid w:type="lines" w:linePitch="312" w:charSpace="0"/>
    </w:sectPr>
  </w:body>
</w:document>
</file>

<file path=word/customizations.xml><?xml version="1.0" encoding="utf-8"?>
<wne:tcg xmlns:r="http://schemas.openxmlformats.org/officeDocument/2006/relationships" xmlns:wne="http://schemas.microsoft.com/office/word/2006/wordml">
  <wne:keymaps>
    <wne:keymap wne:kcmPrimary="0070">
      <wne:acd wne:acdName="acd0"/>
    </wne:keymap>
    <wne:keymap wne:kcmPrimary="0072">
      <wne:acd wne:acdName="acd1"/>
    </wne:keymap>
    <wne:keymap wne:kcmPrimary="0071">
      <wne:acd wne:acdName="acd2"/>
    </wne:keymap>
    <wne:keymap wne:kcmPrimary="0074">
      <wne:acd wne:acdName="acd3"/>
    </wne:keymap>
    <wne:keymap wne:kcmPrimary="0073">
      <wne:acd wne:acdName="acd4"/>
    </wne:keymap>
  </wne:keymaps>
  <wne:acds>
    <wne:acd wne:argValue="AgAATqd+B2iYmA==" wne:acdName="acd0" wne:fciIndexBasedOn="0065"/>
    <wne:acd wne:argValue="AgAJTqd+B2iYmA==" wne:acdName="acd1" wne:fciIndexBasedOn="0065"/>
    <wne:acd wne:argValue="AgCMTqd+B2iYmA==" wne:acdName="acd2" wne:fciIndexBasedOn="0065"/>
    <wne:acd wne:argValue="AgD+VmiIDVTweQ==" wne:acdName="acd3" wne:fciIndexBasedOn="0065"/>
    <wne:acd wne:argValue="AgCHZSxn" wne:acdName="acd4" wne:fciIndexBasedOn="0065"/>
  </wne:acds>
</wne:tcg>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swiss"/>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Plotter">
    <w:altName w:val="Lucida Console"/>
    <w:panose1 w:val="00000000000000000000"/>
    <w:charset w:val="00"/>
    <w:family w:val="modern"/>
    <w:pitch w:val="default"/>
    <w:sig w:usb0="00000000" w:usb1="00000000" w:usb2="00000000" w:usb3="00000000" w:csb0="00000001" w:csb1="00000000"/>
  </w:font>
  <w:font w:name="Lucida Console">
    <w:panose1 w:val="020B0609040504020204"/>
    <w:charset w:val="00"/>
    <w:family w:val="auto"/>
    <w:pitch w:val="default"/>
    <w:sig w:usb0="8000028F" w:usb1="00001800" w:usb2="00000000" w:usb3="00000000" w:csb0="0000001F" w:csb1="D7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A290E4">
    <w:pPr>
      <w:pStyle w:val="20"/>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5E2FCA">
                          <w:pPr>
                            <w:pStyle w:val="20"/>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4D5E2FCA">
                    <w:pPr>
                      <w:pStyle w:val="20"/>
                    </w:pPr>
                    <w:r>
                      <w:fldChar w:fldCharType="begin"/>
                    </w:r>
                    <w:r>
                      <w:instrText xml:space="preserve"> PAGE  \* MERGEFORMAT </w:instrText>
                    </w:r>
                    <w:r>
                      <w:fldChar w:fldCharType="separate"/>
                    </w:r>
                    <w:r>
                      <w:t>3</w:t>
                    </w:r>
                    <w:r>
                      <w:fldChar w:fldCharType="end"/>
                    </w:r>
                  </w:p>
                </w:txbxContent>
              </v:textbox>
            </v:shape>
          </w:pict>
        </mc:Fallback>
      </mc:AlternateContent>
    </w:r>
    <w:r>
      <w:rPr>
        <w:rFonts w:hint="eastAsia"/>
      </w:rPr>
      <w:drawing>
        <wp:inline distT="0" distB="0" distL="114300" distR="114300">
          <wp:extent cx="361315" cy="136525"/>
          <wp:effectExtent l="0" t="0" r="0" b="15875"/>
          <wp:docPr id="3" name="图片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hint="eastAsia" w:ascii="楷体" w:hAnsi="楷体" w:eastAsia="楷体" w:cs="楷体"/>
        <w:sz w:val="21"/>
        <w:szCs w:val="21"/>
        <w:lang w:eastAsia="zh-CN"/>
      </w:rPr>
      <w:t>辽宁诺诚安全科技有限公司</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874FB0">
    <w:pPr>
      <w:pStyle w:val="21"/>
      <w:pBdr>
        <w:bottom w:val="single" w:color="auto" w:sz="4" w:space="1"/>
      </w:pBdr>
      <w:jc w:val="center"/>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岫岩满族自治县皇室啡矿业有限公司露天矿山安全预评价报告</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8A7C63"/>
    <w:multiLevelType w:val="singleLevel"/>
    <w:tmpl w:val="868A7C63"/>
    <w:lvl w:ilvl="0" w:tentative="0">
      <w:start w:val="1"/>
      <w:numFmt w:val="decimal"/>
      <w:suff w:val="nothing"/>
      <w:lvlText w:val="（%1）"/>
      <w:lvlJc w:val="left"/>
    </w:lvl>
  </w:abstractNum>
  <w:abstractNum w:abstractNumId="1">
    <w:nsid w:val="88192468"/>
    <w:multiLevelType w:val="singleLevel"/>
    <w:tmpl w:val="88192468"/>
    <w:lvl w:ilvl="0" w:tentative="0">
      <w:start w:val="1"/>
      <w:numFmt w:val="decimal"/>
      <w:suff w:val="nothing"/>
      <w:lvlText w:val="（%1）"/>
      <w:lvlJc w:val="left"/>
    </w:lvl>
  </w:abstractNum>
  <w:abstractNum w:abstractNumId="2">
    <w:nsid w:val="A4DA50B0"/>
    <w:multiLevelType w:val="multilevel"/>
    <w:tmpl w:val="A4DA50B0"/>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B8177E2D"/>
    <w:multiLevelType w:val="multilevel"/>
    <w:tmpl w:val="B8177E2D"/>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C12E2EA4"/>
    <w:multiLevelType w:val="multilevel"/>
    <w:tmpl w:val="C12E2EA4"/>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DE61973D"/>
    <w:multiLevelType w:val="singleLevel"/>
    <w:tmpl w:val="DE61973D"/>
    <w:lvl w:ilvl="0" w:tentative="0">
      <w:start w:val="1"/>
      <w:numFmt w:val="decimal"/>
      <w:suff w:val="nothing"/>
      <w:lvlText w:val="（%1）"/>
      <w:lvlJc w:val="left"/>
    </w:lvl>
  </w:abstractNum>
  <w:abstractNum w:abstractNumId="6">
    <w:nsid w:val="E1CABFF6"/>
    <w:multiLevelType w:val="singleLevel"/>
    <w:tmpl w:val="E1CABFF6"/>
    <w:lvl w:ilvl="0" w:tentative="0">
      <w:start w:val="1"/>
      <w:numFmt w:val="decimal"/>
      <w:suff w:val="nothing"/>
      <w:lvlText w:val="（%1）"/>
      <w:lvlJc w:val="left"/>
    </w:lvl>
  </w:abstractNum>
  <w:abstractNum w:abstractNumId="7">
    <w:nsid w:val="E5C73C8B"/>
    <w:multiLevelType w:val="multilevel"/>
    <w:tmpl w:val="E5C73C8B"/>
    <w:lvl w:ilvl="0" w:tentative="0">
      <w:start w:val="1"/>
      <w:numFmt w:val="decimal"/>
      <w:suff w:val="space"/>
      <w:lvlText w:val="%1."/>
      <w:lvlJc w:val="center"/>
      <w:pPr>
        <w:tabs>
          <w:tab w:val="left" w:pos="0"/>
        </w:tabs>
        <w:ind w:left="0" w:leftChars="0" w:firstLine="0" w:firstLineChars="0"/>
      </w:pPr>
      <w:rPr>
        <w:rFonts w:hint="default"/>
      </w:rPr>
    </w:lvl>
    <w:lvl w:ilvl="1" w:tentative="0">
      <w:start w:val="1"/>
      <w:numFmt w:val="decimal"/>
      <w:suff w:val="space"/>
      <w:lvlText w:val="%1.%2."/>
      <w:lvlJc w:val="center"/>
      <w:pPr>
        <w:tabs>
          <w:tab w:val="left" w:pos="0"/>
        </w:tabs>
        <w:ind w:left="0" w:leftChars="0" w:firstLine="0" w:firstLineChars="0"/>
      </w:pPr>
      <w:rPr>
        <w:rFonts w:hint="default"/>
      </w:rPr>
    </w:lvl>
    <w:lvl w:ilvl="2" w:tentative="0">
      <w:start w:val="1"/>
      <w:numFmt w:val="decimal"/>
      <w:pStyle w:val="6"/>
      <w:suff w:val="nothing"/>
      <w:lvlText w:val="%1.%2.%3."/>
      <w:lvlJc w:val="left"/>
      <w:pPr>
        <w:tabs>
          <w:tab w:val="left" w:pos="0"/>
        </w:tabs>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8">
    <w:nsid w:val="E87CA995"/>
    <w:multiLevelType w:val="multilevel"/>
    <w:tmpl w:val="E87CA995"/>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F7A90633"/>
    <w:multiLevelType w:val="multilevel"/>
    <w:tmpl w:val="F7A90633"/>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065399A8"/>
    <w:multiLevelType w:val="multilevel"/>
    <w:tmpl w:val="065399A8"/>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1">
    <w:nsid w:val="0EC5EB82"/>
    <w:multiLevelType w:val="multilevel"/>
    <w:tmpl w:val="0EC5EB82"/>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2">
    <w:nsid w:val="12C3F796"/>
    <w:multiLevelType w:val="multilevel"/>
    <w:tmpl w:val="12C3F796"/>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3">
    <w:nsid w:val="257798C1"/>
    <w:multiLevelType w:val="singleLevel"/>
    <w:tmpl w:val="257798C1"/>
    <w:lvl w:ilvl="0" w:tentative="0">
      <w:start w:val="1"/>
      <w:numFmt w:val="decimal"/>
      <w:suff w:val="nothing"/>
      <w:lvlText w:val="（%1）"/>
      <w:lvlJc w:val="left"/>
    </w:lvl>
  </w:abstractNum>
  <w:abstractNum w:abstractNumId="14">
    <w:nsid w:val="37E41C98"/>
    <w:multiLevelType w:val="multilevel"/>
    <w:tmpl w:val="37E41C98"/>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5">
    <w:nsid w:val="43CD6AD7"/>
    <w:multiLevelType w:val="multilevel"/>
    <w:tmpl w:val="43CD6AD7"/>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6">
    <w:nsid w:val="44E532D6"/>
    <w:multiLevelType w:val="multilevel"/>
    <w:tmpl w:val="44E532D6"/>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7">
    <w:nsid w:val="552E9823"/>
    <w:multiLevelType w:val="singleLevel"/>
    <w:tmpl w:val="552E9823"/>
    <w:lvl w:ilvl="0" w:tentative="0">
      <w:start w:val="1"/>
      <w:numFmt w:val="decimal"/>
      <w:suff w:val="nothing"/>
      <w:lvlText w:val="（%1）"/>
      <w:lvlJc w:val="left"/>
    </w:lvl>
  </w:abstractNum>
  <w:abstractNum w:abstractNumId="18">
    <w:nsid w:val="5DDE0AC3"/>
    <w:multiLevelType w:val="singleLevel"/>
    <w:tmpl w:val="5DDE0AC3"/>
    <w:lvl w:ilvl="0" w:tentative="0">
      <w:start w:val="1"/>
      <w:numFmt w:val="decimal"/>
      <w:suff w:val="nothing"/>
      <w:lvlText w:val="（%1）"/>
      <w:lvlJc w:val="left"/>
    </w:lvl>
  </w:abstractNum>
  <w:abstractNum w:abstractNumId="19">
    <w:nsid w:val="5E79A901"/>
    <w:multiLevelType w:val="multilevel"/>
    <w:tmpl w:val="5E79A901"/>
    <w:lvl w:ilvl="0" w:tentative="0">
      <w:start w:val="1"/>
      <w:numFmt w:val="decimal"/>
      <w:pStyle w:val="29"/>
      <w:suff w:val="space"/>
      <w:lvlText w:val="%1"/>
      <w:lvlJc w:val="center"/>
      <w:pPr>
        <w:tabs>
          <w:tab w:val="left" w:pos="0"/>
        </w:tabs>
        <w:ind w:left="0" w:leftChars="0" w:firstLine="0" w:firstLineChars="0"/>
      </w:pPr>
      <w:rPr>
        <w:rFonts w:hint="default"/>
      </w:rPr>
    </w:lvl>
    <w:lvl w:ilvl="1" w:tentative="0">
      <w:start w:val="1"/>
      <w:numFmt w:val="decimal"/>
      <w:pStyle w:val="30"/>
      <w:suff w:val="space"/>
      <w:lvlText w:val="%1.%2"/>
      <w:lvlJc w:val="center"/>
      <w:pPr>
        <w:tabs>
          <w:tab w:val="left" w:pos="420"/>
        </w:tabs>
        <w:ind w:left="0" w:leftChars="0" w:firstLine="0" w:firstLineChars="0"/>
      </w:pPr>
      <w:rPr>
        <w:rFonts w:hint="default"/>
      </w:rPr>
    </w:lvl>
    <w:lvl w:ilvl="2" w:tentative="0">
      <w:start w:val="1"/>
      <w:numFmt w:val="decimal"/>
      <w:pStyle w:val="31"/>
      <w:suff w:val="nothing"/>
      <w:lvlText w:val="%1.%2.%3"/>
      <w:lvlJc w:val="left"/>
      <w:pPr>
        <w:tabs>
          <w:tab w:val="left" w:pos="0"/>
        </w:tabs>
        <w:ind w:left="720" w:hanging="720"/>
      </w:pPr>
      <w:rPr>
        <w:rFonts w:hint="default"/>
      </w:rPr>
    </w:lvl>
    <w:lvl w:ilvl="3" w:tentative="0">
      <w:start w:val="1"/>
      <w:numFmt w:val="decimal"/>
      <w:pStyle w:val="7"/>
      <w:lvlText w:val="%1.%2.%3.%4."/>
      <w:lvlJc w:val="left"/>
      <w:pPr>
        <w:ind w:left="864" w:hanging="864"/>
      </w:pPr>
      <w:rPr>
        <w:rFonts w:hint="default"/>
      </w:rPr>
    </w:lvl>
    <w:lvl w:ilvl="4" w:tentative="0">
      <w:start w:val="1"/>
      <w:numFmt w:val="decimal"/>
      <w:pStyle w:val="8"/>
      <w:lvlText w:val="%1.%2.%3.%4.%5."/>
      <w:lvlJc w:val="left"/>
      <w:pPr>
        <w:ind w:left="1008" w:hanging="1008"/>
      </w:pPr>
      <w:rPr>
        <w:rFonts w:hint="default"/>
      </w:rPr>
    </w:lvl>
    <w:lvl w:ilvl="5" w:tentative="0">
      <w:start w:val="1"/>
      <w:numFmt w:val="decimal"/>
      <w:pStyle w:val="9"/>
      <w:lvlText w:val="%1.%2.%3.%4.%5.%6."/>
      <w:lvlJc w:val="left"/>
      <w:pPr>
        <w:ind w:left="1151" w:hanging="1151"/>
      </w:pPr>
      <w:rPr>
        <w:rFonts w:hint="default"/>
      </w:rPr>
    </w:lvl>
    <w:lvl w:ilvl="6" w:tentative="0">
      <w:start w:val="1"/>
      <w:numFmt w:val="decimal"/>
      <w:pStyle w:val="10"/>
      <w:lvlText w:val="%1.%2.%3.%4.%5.%6.%7."/>
      <w:lvlJc w:val="left"/>
      <w:pPr>
        <w:ind w:left="1296" w:hanging="1296"/>
      </w:pPr>
      <w:rPr>
        <w:rFonts w:hint="default"/>
      </w:rPr>
    </w:lvl>
    <w:lvl w:ilvl="7" w:tentative="0">
      <w:start w:val="1"/>
      <w:numFmt w:val="decimal"/>
      <w:pStyle w:val="11"/>
      <w:lvlText w:val="%1.%2.%3.%4.%5.%6.%7.%8."/>
      <w:lvlJc w:val="left"/>
      <w:pPr>
        <w:ind w:left="1440" w:hanging="1440"/>
      </w:pPr>
      <w:rPr>
        <w:rFonts w:hint="default"/>
      </w:rPr>
    </w:lvl>
    <w:lvl w:ilvl="8" w:tentative="0">
      <w:start w:val="1"/>
      <w:numFmt w:val="decimal"/>
      <w:pStyle w:val="12"/>
      <w:lvlText w:val="%1.%2.%3.%4.%5.%6.%7.%8.%9."/>
      <w:lvlJc w:val="left"/>
      <w:pPr>
        <w:ind w:left="1583" w:hanging="1583"/>
      </w:pPr>
      <w:rPr>
        <w:rFonts w:hint="default"/>
      </w:rPr>
    </w:lvl>
  </w:abstractNum>
  <w:abstractNum w:abstractNumId="20">
    <w:nsid w:val="641C0DFB"/>
    <w:multiLevelType w:val="singleLevel"/>
    <w:tmpl w:val="641C0DFB"/>
    <w:lvl w:ilvl="0" w:tentative="0">
      <w:start w:val="1"/>
      <w:numFmt w:val="decimal"/>
      <w:suff w:val="nothing"/>
      <w:lvlText w:val="（%1）"/>
      <w:lvlJc w:val="left"/>
    </w:lvl>
  </w:abstractNum>
  <w:abstractNum w:abstractNumId="21">
    <w:nsid w:val="684046AB"/>
    <w:multiLevelType w:val="multilevel"/>
    <w:tmpl w:val="684046AB"/>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75BC12FD"/>
    <w:multiLevelType w:val="multilevel"/>
    <w:tmpl w:val="75BC12FD"/>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3">
    <w:nsid w:val="77F1FD4F"/>
    <w:multiLevelType w:val="multilevel"/>
    <w:tmpl w:val="77F1FD4F"/>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7"/>
  </w:num>
  <w:num w:numId="2">
    <w:abstractNumId w:val="19"/>
  </w:num>
  <w:num w:numId="3">
    <w:abstractNumId w:val="12"/>
  </w:num>
  <w:num w:numId="4">
    <w:abstractNumId w:val="21"/>
  </w:num>
  <w:num w:numId="5">
    <w:abstractNumId w:val="11"/>
  </w:num>
  <w:num w:numId="6">
    <w:abstractNumId w:val="3"/>
  </w:num>
  <w:num w:numId="7">
    <w:abstractNumId w:val="23"/>
  </w:num>
  <w:num w:numId="8">
    <w:abstractNumId w:val="22"/>
  </w:num>
  <w:num w:numId="9">
    <w:abstractNumId w:val="10"/>
  </w:num>
  <w:num w:numId="10">
    <w:abstractNumId w:val="8"/>
  </w:num>
  <w:num w:numId="11">
    <w:abstractNumId w:val="9"/>
  </w:num>
  <w:num w:numId="12">
    <w:abstractNumId w:val="14"/>
  </w:num>
  <w:num w:numId="13">
    <w:abstractNumId w:val="2"/>
  </w:num>
  <w:num w:numId="14">
    <w:abstractNumId w:val="4"/>
  </w:num>
  <w:num w:numId="15">
    <w:abstractNumId w:val="15"/>
  </w:num>
  <w:num w:numId="16">
    <w:abstractNumId w:val="16"/>
  </w:num>
  <w:num w:numId="17">
    <w:abstractNumId w:val="18"/>
  </w:num>
  <w:num w:numId="18">
    <w:abstractNumId w:val="13"/>
  </w:num>
  <w:num w:numId="19">
    <w:abstractNumId w:val="1"/>
  </w:num>
  <w:num w:numId="20">
    <w:abstractNumId w:val="20"/>
  </w:num>
  <w:num w:numId="21">
    <w:abstractNumId w:val="0"/>
  </w:num>
  <w:num w:numId="22">
    <w:abstractNumId w:val="6"/>
  </w:num>
  <w:num w:numId="23">
    <w:abstractNumId w:val="17"/>
  </w:num>
  <w:num w:numId="2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mirrorMargin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M4OGUzYTM5YjlkYzliZGNjMWZlNTUxMmJkYmIzZDYifQ=="/>
  </w:docVars>
  <w:rsids>
    <w:rsidRoot w:val="00000000"/>
    <w:rsid w:val="00052A18"/>
    <w:rsid w:val="0009075B"/>
    <w:rsid w:val="00092509"/>
    <w:rsid w:val="000C024B"/>
    <w:rsid w:val="00164F47"/>
    <w:rsid w:val="00346B8D"/>
    <w:rsid w:val="00377076"/>
    <w:rsid w:val="004874D5"/>
    <w:rsid w:val="004D4AEB"/>
    <w:rsid w:val="00593490"/>
    <w:rsid w:val="005F45CD"/>
    <w:rsid w:val="006F69AF"/>
    <w:rsid w:val="00702588"/>
    <w:rsid w:val="007535B9"/>
    <w:rsid w:val="00854A7B"/>
    <w:rsid w:val="008D093D"/>
    <w:rsid w:val="00977B14"/>
    <w:rsid w:val="00B71F65"/>
    <w:rsid w:val="00B871F7"/>
    <w:rsid w:val="00BA7CA7"/>
    <w:rsid w:val="00C621A8"/>
    <w:rsid w:val="00CB77BE"/>
    <w:rsid w:val="00CD3536"/>
    <w:rsid w:val="00D56B5D"/>
    <w:rsid w:val="00D72607"/>
    <w:rsid w:val="00D91EDB"/>
    <w:rsid w:val="00EB60B2"/>
    <w:rsid w:val="0103164E"/>
    <w:rsid w:val="01042CD0"/>
    <w:rsid w:val="01213882"/>
    <w:rsid w:val="01323CE1"/>
    <w:rsid w:val="0132783D"/>
    <w:rsid w:val="014C6B51"/>
    <w:rsid w:val="01527EDF"/>
    <w:rsid w:val="015B4120"/>
    <w:rsid w:val="015E4AD6"/>
    <w:rsid w:val="016245C6"/>
    <w:rsid w:val="01722330"/>
    <w:rsid w:val="017E64C1"/>
    <w:rsid w:val="018856AF"/>
    <w:rsid w:val="01916C5A"/>
    <w:rsid w:val="01B34E22"/>
    <w:rsid w:val="01BB5A85"/>
    <w:rsid w:val="01CB01B3"/>
    <w:rsid w:val="01CC0E66"/>
    <w:rsid w:val="01CF1530"/>
    <w:rsid w:val="01E46D89"/>
    <w:rsid w:val="01E943A0"/>
    <w:rsid w:val="01F176F8"/>
    <w:rsid w:val="01F9035B"/>
    <w:rsid w:val="01FD0759"/>
    <w:rsid w:val="020531A4"/>
    <w:rsid w:val="020E2058"/>
    <w:rsid w:val="021138F7"/>
    <w:rsid w:val="021179FE"/>
    <w:rsid w:val="02140B55"/>
    <w:rsid w:val="021533E7"/>
    <w:rsid w:val="02290C40"/>
    <w:rsid w:val="023613C7"/>
    <w:rsid w:val="02391278"/>
    <w:rsid w:val="025C7268"/>
    <w:rsid w:val="026305F6"/>
    <w:rsid w:val="02685C0C"/>
    <w:rsid w:val="026B74AB"/>
    <w:rsid w:val="028E6DDF"/>
    <w:rsid w:val="02936A01"/>
    <w:rsid w:val="029C3B08"/>
    <w:rsid w:val="029C58B6"/>
    <w:rsid w:val="02A4298F"/>
    <w:rsid w:val="02AE55E9"/>
    <w:rsid w:val="02B80216"/>
    <w:rsid w:val="02BF15A4"/>
    <w:rsid w:val="02C57005"/>
    <w:rsid w:val="02CE3596"/>
    <w:rsid w:val="02D037B2"/>
    <w:rsid w:val="02D05560"/>
    <w:rsid w:val="02F456F2"/>
    <w:rsid w:val="02F53218"/>
    <w:rsid w:val="02F70D3E"/>
    <w:rsid w:val="02F72AEC"/>
    <w:rsid w:val="03035935"/>
    <w:rsid w:val="030516AD"/>
    <w:rsid w:val="0305345B"/>
    <w:rsid w:val="03084CFA"/>
    <w:rsid w:val="03086AA8"/>
    <w:rsid w:val="03092820"/>
    <w:rsid w:val="03280EF8"/>
    <w:rsid w:val="03411FB9"/>
    <w:rsid w:val="035B751F"/>
    <w:rsid w:val="03681C3C"/>
    <w:rsid w:val="03A644DC"/>
    <w:rsid w:val="03A72764"/>
    <w:rsid w:val="03B10EED"/>
    <w:rsid w:val="03B60BF9"/>
    <w:rsid w:val="03C2759E"/>
    <w:rsid w:val="03C74BB5"/>
    <w:rsid w:val="03C9092D"/>
    <w:rsid w:val="03CF75C5"/>
    <w:rsid w:val="03D472D2"/>
    <w:rsid w:val="03D746CC"/>
    <w:rsid w:val="03DE5A5A"/>
    <w:rsid w:val="03F35447"/>
    <w:rsid w:val="03FA6D38"/>
    <w:rsid w:val="040C25C7"/>
    <w:rsid w:val="04333FF8"/>
    <w:rsid w:val="04387860"/>
    <w:rsid w:val="043A35D9"/>
    <w:rsid w:val="043B4C5B"/>
    <w:rsid w:val="04446205"/>
    <w:rsid w:val="04504BAA"/>
    <w:rsid w:val="04510922"/>
    <w:rsid w:val="045C354F"/>
    <w:rsid w:val="046E3282"/>
    <w:rsid w:val="04842AA6"/>
    <w:rsid w:val="04912ACD"/>
    <w:rsid w:val="04BF763A"/>
    <w:rsid w:val="04C23FCE"/>
    <w:rsid w:val="04C2712A"/>
    <w:rsid w:val="04C870EF"/>
    <w:rsid w:val="04CF70C9"/>
    <w:rsid w:val="04DA0918"/>
    <w:rsid w:val="04E377CC"/>
    <w:rsid w:val="04EF43C3"/>
    <w:rsid w:val="04FF3EDA"/>
    <w:rsid w:val="05143E2A"/>
    <w:rsid w:val="051554AC"/>
    <w:rsid w:val="05165F64"/>
    <w:rsid w:val="051B02AC"/>
    <w:rsid w:val="053578FC"/>
    <w:rsid w:val="053C6A9B"/>
    <w:rsid w:val="05404C1F"/>
    <w:rsid w:val="05453FE3"/>
    <w:rsid w:val="05461B09"/>
    <w:rsid w:val="055378B1"/>
    <w:rsid w:val="05600E1D"/>
    <w:rsid w:val="056326BB"/>
    <w:rsid w:val="05726DA2"/>
    <w:rsid w:val="05746676"/>
    <w:rsid w:val="05924D4E"/>
    <w:rsid w:val="059C797B"/>
    <w:rsid w:val="05AC4062"/>
    <w:rsid w:val="05BB42A5"/>
    <w:rsid w:val="05BE78F1"/>
    <w:rsid w:val="05C0366A"/>
    <w:rsid w:val="05C25634"/>
    <w:rsid w:val="05D5449F"/>
    <w:rsid w:val="05DE0AE0"/>
    <w:rsid w:val="05EE467B"/>
    <w:rsid w:val="05FE0636"/>
    <w:rsid w:val="06007F0A"/>
    <w:rsid w:val="06094867"/>
    <w:rsid w:val="06141C07"/>
    <w:rsid w:val="0627193B"/>
    <w:rsid w:val="062C0CFF"/>
    <w:rsid w:val="06532730"/>
    <w:rsid w:val="06620BC5"/>
    <w:rsid w:val="06664059"/>
    <w:rsid w:val="06677F89"/>
    <w:rsid w:val="066E7569"/>
    <w:rsid w:val="068943A3"/>
    <w:rsid w:val="069025ED"/>
    <w:rsid w:val="06915006"/>
    <w:rsid w:val="06965CA6"/>
    <w:rsid w:val="06A25465"/>
    <w:rsid w:val="06B05B29"/>
    <w:rsid w:val="06B70F10"/>
    <w:rsid w:val="06BB2083"/>
    <w:rsid w:val="06C54CB0"/>
    <w:rsid w:val="06C90C44"/>
    <w:rsid w:val="06D86211"/>
    <w:rsid w:val="06E4782C"/>
    <w:rsid w:val="06F51A39"/>
    <w:rsid w:val="06F75D79"/>
    <w:rsid w:val="06FE6B3F"/>
    <w:rsid w:val="06FF6413"/>
    <w:rsid w:val="070659F4"/>
    <w:rsid w:val="07245E7A"/>
    <w:rsid w:val="07247C28"/>
    <w:rsid w:val="073360BD"/>
    <w:rsid w:val="073700BD"/>
    <w:rsid w:val="074309F6"/>
    <w:rsid w:val="074A1D85"/>
    <w:rsid w:val="07591FC8"/>
    <w:rsid w:val="076A5F83"/>
    <w:rsid w:val="0777244E"/>
    <w:rsid w:val="077961C6"/>
    <w:rsid w:val="077B6BA6"/>
    <w:rsid w:val="078801B7"/>
    <w:rsid w:val="078B5D81"/>
    <w:rsid w:val="079713BB"/>
    <w:rsid w:val="0797275A"/>
    <w:rsid w:val="07AD2313"/>
    <w:rsid w:val="07BE1E2B"/>
    <w:rsid w:val="07C35693"/>
    <w:rsid w:val="07D17DB0"/>
    <w:rsid w:val="07E51AAD"/>
    <w:rsid w:val="07EC20C2"/>
    <w:rsid w:val="07EF0236"/>
    <w:rsid w:val="07F414F5"/>
    <w:rsid w:val="07FC54FA"/>
    <w:rsid w:val="080812F8"/>
    <w:rsid w:val="08090966"/>
    <w:rsid w:val="080A32C2"/>
    <w:rsid w:val="08114650"/>
    <w:rsid w:val="081B102B"/>
    <w:rsid w:val="082D6FB0"/>
    <w:rsid w:val="082E5202"/>
    <w:rsid w:val="08590C95"/>
    <w:rsid w:val="085D5AE7"/>
    <w:rsid w:val="086147A3"/>
    <w:rsid w:val="0869448C"/>
    <w:rsid w:val="086F75C9"/>
    <w:rsid w:val="0878647D"/>
    <w:rsid w:val="088405DA"/>
    <w:rsid w:val="0889068B"/>
    <w:rsid w:val="0892558C"/>
    <w:rsid w:val="08986B20"/>
    <w:rsid w:val="089D7C92"/>
    <w:rsid w:val="089F7EAE"/>
    <w:rsid w:val="08B80F70"/>
    <w:rsid w:val="08BF22FE"/>
    <w:rsid w:val="08C23B9D"/>
    <w:rsid w:val="08CC0577"/>
    <w:rsid w:val="08CC67C9"/>
    <w:rsid w:val="08F16230"/>
    <w:rsid w:val="08F301FA"/>
    <w:rsid w:val="08FF6B9F"/>
    <w:rsid w:val="091066B6"/>
    <w:rsid w:val="091837BC"/>
    <w:rsid w:val="09187C60"/>
    <w:rsid w:val="091D7025"/>
    <w:rsid w:val="091F2D9D"/>
    <w:rsid w:val="092108C3"/>
    <w:rsid w:val="092A3C3E"/>
    <w:rsid w:val="09306D58"/>
    <w:rsid w:val="0958005D"/>
    <w:rsid w:val="095F13EB"/>
    <w:rsid w:val="096F6562"/>
    <w:rsid w:val="09746495"/>
    <w:rsid w:val="09750C0F"/>
    <w:rsid w:val="09842C00"/>
    <w:rsid w:val="098F678F"/>
    <w:rsid w:val="099B68C7"/>
    <w:rsid w:val="099B6B50"/>
    <w:rsid w:val="09A45050"/>
    <w:rsid w:val="09B47989"/>
    <w:rsid w:val="09B5725D"/>
    <w:rsid w:val="09BC683E"/>
    <w:rsid w:val="09DA6CC4"/>
    <w:rsid w:val="09F2400E"/>
    <w:rsid w:val="09FE6E56"/>
    <w:rsid w:val="0A011480"/>
    <w:rsid w:val="0A096DD5"/>
    <w:rsid w:val="0A0C1573"/>
    <w:rsid w:val="0A0D52EB"/>
    <w:rsid w:val="0A122902"/>
    <w:rsid w:val="0A173A74"/>
    <w:rsid w:val="0A1C108A"/>
    <w:rsid w:val="0A2D14EA"/>
    <w:rsid w:val="0A397E8E"/>
    <w:rsid w:val="0A3B7763"/>
    <w:rsid w:val="0A3C64F5"/>
    <w:rsid w:val="0A434869"/>
    <w:rsid w:val="0A6C3DC0"/>
    <w:rsid w:val="0A6F1B02"/>
    <w:rsid w:val="0A6F38B0"/>
    <w:rsid w:val="0A762E91"/>
    <w:rsid w:val="0A992510"/>
    <w:rsid w:val="0A9B28F7"/>
    <w:rsid w:val="0A9B6453"/>
    <w:rsid w:val="0AA25292"/>
    <w:rsid w:val="0AA2576C"/>
    <w:rsid w:val="0AC57974"/>
    <w:rsid w:val="0AC97464"/>
    <w:rsid w:val="0AE0030A"/>
    <w:rsid w:val="0AEE0C79"/>
    <w:rsid w:val="0AFD2C6A"/>
    <w:rsid w:val="0B0A5387"/>
    <w:rsid w:val="0B106E41"/>
    <w:rsid w:val="0B116715"/>
    <w:rsid w:val="0B1B1342"/>
    <w:rsid w:val="0B27418B"/>
    <w:rsid w:val="0B293A5F"/>
    <w:rsid w:val="0B3A7FBD"/>
    <w:rsid w:val="0B3C19E4"/>
    <w:rsid w:val="0B3F14D4"/>
    <w:rsid w:val="0B422D73"/>
    <w:rsid w:val="0B4B60CB"/>
    <w:rsid w:val="0B5D7BAD"/>
    <w:rsid w:val="0B774EE9"/>
    <w:rsid w:val="0B907F82"/>
    <w:rsid w:val="0B9C2483"/>
    <w:rsid w:val="0B9C5955"/>
    <w:rsid w:val="0B9F01C5"/>
    <w:rsid w:val="0BA457DB"/>
    <w:rsid w:val="0BB53545"/>
    <w:rsid w:val="0BB73761"/>
    <w:rsid w:val="0BC1013B"/>
    <w:rsid w:val="0BC4514F"/>
    <w:rsid w:val="0BD240F7"/>
    <w:rsid w:val="0BDF6813"/>
    <w:rsid w:val="0BEE1523"/>
    <w:rsid w:val="0C061FF2"/>
    <w:rsid w:val="0C0B7609"/>
    <w:rsid w:val="0C1607C9"/>
    <w:rsid w:val="0C1C35C4"/>
    <w:rsid w:val="0C201306"/>
    <w:rsid w:val="0C2A5CE1"/>
    <w:rsid w:val="0C2D57D1"/>
    <w:rsid w:val="0C3866BC"/>
    <w:rsid w:val="0C3923C8"/>
    <w:rsid w:val="0C3959AE"/>
    <w:rsid w:val="0C3E353A"/>
    <w:rsid w:val="0C476893"/>
    <w:rsid w:val="0C5745FC"/>
    <w:rsid w:val="0C6433BC"/>
    <w:rsid w:val="0C662A91"/>
    <w:rsid w:val="0C676F35"/>
    <w:rsid w:val="0C6A07D3"/>
    <w:rsid w:val="0C7B29E0"/>
    <w:rsid w:val="0C851169"/>
    <w:rsid w:val="0C8925FB"/>
    <w:rsid w:val="0C8D626F"/>
    <w:rsid w:val="0CAA0BCF"/>
    <w:rsid w:val="0CB21806"/>
    <w:rsid w:val="0CB41A4E"/>
    <w:rsid w:val="0CBE467B"/>
    <w:rsid w:val="0CC55A09"/>
    <w:rsid w:val="0CCC6D98"/>
    <w:rsid w:val="0CDE52DC"/>
    <w:rsid w:val="0CDF2F6F"/>
    <w:rsid w:val="0CE045F1"/>
    <w:rsid w:val="0CE51C08"/>
    <w:rsid w:val="0CE95B9C"/>
    <w:rsid w:val="0CF54541"/>
    <w:rsid w:val="0CF87B8D"/>
    <w:rsid w:val="0D004C93"/>
    <w:rsid w:val="0D1179FA"/>
    <w:rsid w:val="0D136775"/>
    <w:rsid w:val="0D162709"/>
    <w:rsid w:val="0D305579"/>
    <w:rsid w:val="0D466B4A"/>
    <w:rsid w:val="0D4923B3"/>
    <w:rsid w:val="0D5F19BA"/>
    <w:rsid w:val="0D7511DD"/>
    <w:rsid w:val="0D7613D0"/>
    <w:rsid w:val="0D7D62E4"/>
    <w:rsid w:val="0D9378B6"/>
    <w:rsid w:val="0D9517B9"/>
    <w:rsid w:val="0DA27AF9"/>
    <w:rsid w:val="0DA87805"/>
    <w:rsid w:val="0DC67C8B"/>
    <w:rsid w:val="0DE10621"/>
    <w:rsid w:val="0DE87C01"/>
    <w:rsid w:val="0DEB76F2"/>
    <w:rsid w:val="0DF04D08"/>
    <w:rsid w:val="0DF3417F"/>
    <w:rsid w:val="0E0D58BA"/>
    <w:rsid w:val="0E166A6E"/>
    <w:rsid w:val="0E176739"/>
    <w:rsid w:val="0E1C5AFD"/>
    <w:rsid w:val="0E203083"/>
    <w:rsid w:val="0E2F3A82"/>
    <w:rsid w:val="0E3177FA"/>
    <w:rsid w:val="0E4F1A2E"/>
    <w:rsid w:val="0E593927"/>
    <w:rsid w:val="0E5E1C72"/>
    <w:rsid w:val="0E653000"/>
    <w:rsid w:val="0E796AAB"/>
    <w:rsid w:val="0E813BB2"/>
    <w:rsid w:val="0E8611C8"/>
    <w:rsid w:val="0E8F4521"/>
    <w:rsid w:val="0E9E6512"/>
    <w:rsid w:val="0EA7186A"/>
    <w:rsid w:val="0EBE0962"/>
    <w:rsid w:val="0ECF491D"/>
    <w:rsid w:val="0ED308B1"/>
    <w:rsid w:val="0ED32660"/>
    <w:rsid w:val="0EE3661B"/>
    <w:rsid w:val="0EE533A3"/>
    <w:rsid w:val="0EF44384"/>
    <w:rsid w:val="0EF83E74"/>
    <w:rsid w:val="0F00541F"/>
    <w:rsid w:val="0F056591"/>
    <w:rsid w:val="0F0E18EA"/>
    <w:rsid w:val="0F0F11BE"/>
    <w:rsid w:val="0F1669F0"/>
    <w:rsid w:val="0F2509E1"/>
    <w:rsid w:val="0F256C33"/>
    <w:rsid w:val="0F3550C8"/>
    <w:rsid w:val="0F4C41C0"/>
    <w:rsid w:val="0F655282"/>
    <w:rsid w:val="0F6B109E"/>
    <w:rsid w:val="0F753717"/>
    <w:rsid w:val="0F781459"/>
    <w:rsid w:val="0F7B6853"/>
    <w:rsid w:val="0F8B2F3A"/>
    <w:rsid w:val="0FA67D74"/>
    <w:rsid w:val="0FA94FA9"/>
    <w:rsid w:val="0FCD3553"/>
    <w:rsid w:val="0FDD12BC"/>
    <w:rsid w:val="0FDD4840"/>
    <w:rsid w:val="0FF14A76"/>
    <w:rsid w:val="0FFF266D"/>
    <w:rsid w:val="101A606C"/>
    <w:rsid w:val="101F18D4"/>
    <w:rsid w:val="104E5D16"/>
    <w:rsid w:val="10501A8E"/>
    <w:rsid w:val="10534DBE"/>
    <w:rsid w:val="1057106E"/>
    <w:rsid w:val="106043C7"/>
    <w:rsid w:val="10615A49"/>
    <w:rsid w:val="10727C56"/>
    <w:rsid w:val="107439CE"/>
    <w:rsid w:val="10790FE5"/>
    <w:rsid w:val="107B5820"/>
    <w:rsid w:val="10953945"/>
    <w:rsid w:val="10A51DDA"/>
    <w:rsid w:val="10AA0ABF"/>
    <w:rsid w:val="10AB3168"/>
    <w:rsid w:val="10B431F2"/>
    <w:rsid w:val="10BE733F"/>
    <w:rsid w:val="10DE21A7"/>
    <w:rsid w:val="10F16DCD"/>
    <w:rsid w:val="10F51BD2"/>
    <w:rsid w:val="11082369"/>
    <w:rsid w:val="11107C6D"/>
    <w:rsid w:val="113B0990"/>
    <w:rsid w:val="114E2471"/>
    <w:rsid w:val="115E23ED"/>
    <w:rsid w:val="11665A0D"/>
    <w:rsid w:val="119B18B2"/>
    <w:rsid w:val="11A32AB7"/>
    <w:rsid w:val="11AE1162"/>
    <w:rsid w:val="11B5604C"/>
    <w:rsid w:val="11BC387F"/>
    <w:rsid w:val="11C336ED"/>
    <w:rsid w:val="11CC783A"/>
    <w:rsid w:val="11D53F94"/>
    <w:rsid w:val="11E20E0C"/>
    <w:rsid w:val="11ED1C8A"/>
    <w:rsid w:val="11F10F3E"/>
    <w:rsid w:val="11F12DFD"/>
    <w:rsid w:val="120A0293"/>
    <w:rsid w:val="12107727"/>
    <w:rsid w:val="12117DB8"/>
    <w:rsid w:val="121216F1"/>
    <w:rsid w:val="12176D07"/>
    <w:rsid w:val="12217C9B"/>
    <w:rsid w:val="123125F3"/>
    <w:rsid w:val="12331667"/>
    <w:rsid w:val="123C676E"/>
    <w:rsid w:val="12435D4E"/>
    <w:rsid w:val="124473D0"/>
    <w:rsid w:val="12555A81"/>
    <w:rsid w:val="1256746E"/>
    <w:rsid w:val="12614426"/>
    <w:rsid w:val="126D5F2F"/>
    <w:rsid w:val="126D6927"/>
    <w:rsid w:val="12744159"/>
    <w:rsid w:val="12980B5D"/>
    <w:rsid w:val="12A85BB1"/>
    <w:rsid w:val="12C47AD5"/>
    <w:rsid w:val="12D1335A"/>
    <w:rsid w:val="12F232D0"/>
    <w:rsid w:val="12FC7CAB"/>
    <w:rsid w:val="13001549"/>
    <w:rsid w:val="130508BC"/>
    <w:rsid w:val="130D1EB8"/>
    <w:rsid w:val="130F3E82"/>
    <w:rsid w:val="1332191F"/>
    <w:rsid w:val="133A2B6A"/>
    <w:rsid w:val="133B4F65"/>
    <w:rsid w:val="1340403C"/>
    <w:rsid w:val="13427DB4"/>
    <w:rsid w:val="1367781A"/>
    <w:rsid w:val="136F4921"/>
    <w:rsid w:val="137E4841"/>
    <w:rsid w:val="137F2DB6"/>
    <w:rsid w:val="13806B2E"/>
    <w:rsid w:val="139E0D62"/>
    <w:rsid w:val="13A50343"/>
    <w:rsid w:val="13A75E69"/>
    <w:rsid w:val="13B63079"/>
    <w:rsid w:val="13B80076"/>
    <w:rsid w:val="13C63668"/>
    <w:rsid w:val="13C91FE9"/>
    <w:rsid w:val="13D34EB0"/>
    <w:rsid w:val="13D6674E"/>
    <w:rsid w:val="13E0137B"/>
    <w:rsid w:val="13E75FB2"/>
    <w:rsid w:val="13E86A02"/>
    <w:rsid w:val="13F015BE"/>
    <w:rsid w:val="13F54E26"/>
    <w:rsid w:val="13F56BD4"/>
    <w:rsid w:val="13F60B9E"/>
    <w:rsid w:val="14045069"/>
    <w:rsid w:val="14101C60"/>
    <w:rsid w:val="14164D9C"/>
    <w:rsid w:val="14174580"/>
    <w:rsid w:val="14185F29"/>
    <w:rsid w:val="14215C1B"/>
    <w:rsid w:val="14292D22"/>
    <w:rsid w:val="14302302"/>
    <w:rsid w:val="143139C1"/>
    <w:rsid w:val="143D057B"/>
    <w:rsid w:val="144B2C98"/>
    <w:rsid w:val="14624D93"/>
    <w:rsid w:val="1472490D"/>
    <w:rsid w:val="14B53B35"/>
    <w:rsid w:val="14C64A14"/>
    <w:rsid w:val="14DE1D5E"/>
    <w:rsid w:val="14E46C49"/>
    <w:rsid w:val="14E6501B"/>
    <w:rsid w:val="14FB46BE"/>
    <w:rsid w:val="15047114"/>
    <w:rsid w:val="15107A3E"/>
    <w:rsid w:val="15146C09"/>
    <w:rsid w:val="151E65FF"/>
    <w:rsid w:val="152534E9"/>
    <w:rsid w:val="15396F94"/>
    <w:rsid w:val="15610299"/>
    <w:rsid w:val="156A1844"/>
    <w:rsid w:val="156C1118"/>
    <w:rsid w:val="156C2EC6"/>
    <w:rsid w:val="156D6C3E"/>
    <w:rsid w:val="156F6E5A"/>
    <w:rsid w:val="15712BD2"/>
    <w:rsid w:val="15791A87"/>
    <w:rsid w:val="15866F2A"/>
    <w:rsid w:val="15877D00"/>
    <w:rsid w:val="15A22D8C"/>
    <w:rsid w:val="15A765F4"/>
    <w:rsid w:val="15AB60E4"/>
    <w:rsid w:val="15B7753C"/>
    <w:rsid w:val="15D31197"/>
    <w:rsid w:val="15D53161"/>
    <w:rsid w:val="15DE18EA"/>
    <w:rsid w:val="15E92769"/>
    <w:rsid w:val="15F07F9B"/>
    <w:rsid w:val="1606331B"/>
    <w:rsid w:val="160E0624"/>
    <w:rsid w:val="162714E3"/>
    <w:rsid w:val="162B0FD3"/>
    <w:rsid w:val="162C08A7"/>
    <w:rsid w:val="1635775C"/>
    <w:rsid w:val="16467BBB"/>
    <w:rsid w:val="164E4CC1"/>
    <w:rsid w:val="1658169C"/>
    <w:rsid w:val="165A18B8"/>
    <w:rsid w:val="16726F3A"/>
    <w:rsid w:val="169A6994"/>
    <w:rsid w:val="16A74423"/>
    <w:rsid w:val="16B72867"/>
    <w:rsid w:val="16CF7BB0"/>
    <w:rsid w:val="16D451C7"/>
    <w:rsid w:val="16D46256"/>
    <w:rsid w:val="16DD59CE"/>
    <w:rsid w:val="16E573D4"/>
    <w:rsid w:val="16EA49EA"/>
    <w:rsid w:val="16F412D7"/>
    <w:rsid w:val="170535D2"/>
    <w:rsid w:val="17095180"/>
    <w:rsid w:val="170B670F"/>
    <w:rsid w:val="17127A9D"/>
    <w:rsid w:val="1715758D"/>
    <w:rsid w:val="171833A6"/>
    <w:rsid w:val="172A3039"/>
    <w:rsid w:val="173043C7"/>
    <w:rsid w:val="176127D3"/>
    <w:rsid w:val="17680005"/>
    <w:rsid w:val="176E561B"/>
    <w:rsid w:val="177C760C"/>
    <w:rsid w:val="1781202E"/>
    <w:rsid w:val="17836BED"/>
    <w:rsid w:val="178A7F7B"/>
    <w:rsid w:val="178C784F"/>
    <w:rsid w:val="178D35C8"/>
    <w:rsid w:val="179761F4"/>
    <w:rsid w:val="17A902B1"/>
    <w:rsid w:val="17BD20FF"/>
    <w:rsid w:val="17BD5C5B"/>
    <w:rsid w:val="17C0399D"/>
    <w:rsid w:val="17F43647"/>
    <w:rsid w:val="17F94589"/>
    <w:rsid w:val="18075128"/>
    <w:rsid w:val="180F2490"/>
    <w:rsid w:val="182757CA"/>
    <w:rsid w:val="182A0E16"/>
    <w:rsid w:val="183B7D55"/>
    <w:rsid w:val="18661881"/>
    <w:rsid w:val="186D58D3"/>
    <w:rsid w:val="18730A0F"/>
    <w:rsid w:val="1881312C"/>
    <w:rsid w:val="188E5849"/>
    <w:rsid w:val="189664AC"/>
    <w:rsid w:val="189A5F9C"/>
    <w:rsid w:val="18B057C0"/>
    <w:rsid w:val="18C354F3"/>
    <w:rsid w:val="18C54E6D"/>
    <w:rsid w:val="18C82B09"/>
    <w:rsid w:val="18D07C10"/>
    <w:rsid w:val="18D53478"/>
    <w:rsid w:val="18FE477D"/>
    <w:rsid w:val="18FE652B"/>
    <w:rsid w:val="19081158"/>
    <w:rsid w:val="19151713"/>
    <w:rsid w:val="191D58FB"/>
    <w:rsid w:val="19263CD4"/>
    <w:rsid w:val="19550115"/>
    <w:rsid w:val="197457D0"/>
    <w:rsid w:val="19762565"/>
    <w:rsid w:val="19834C82"/>
    <w:rsid w:val="19AF3CC9"/>
    <w:rsid w:val="19B968F6"/>
    <w:rsid w:val="19C04EA2"/>
    <w:rsid w:val="19C534ED"/>
    <w:rsid w:val="19C71013"/>
    <w:rsid w:val="19CA465F"/>
    <w:rsid w:val="19CE23A1"/>
    <w:rsid w:val="19CF1C75"/>
    <w:rsid w:val="19E03E83"/>
    <w:rsid w:val="1A007C3E"/>
    <w:rsid w:val="1A1A55E6"/>
    <w:rsid w:val="1A393593"/>
    <w:rsid w:val="1A4E34E2"/>
    <w:rsid w:val="1A562397"/>
    <w:rsid w:val="1A564145"/>
    <w:rsid w:val="1A633C55"/>
    <w:rsid w:val="1A642D06"/>
    <w:rsid w:val="1A6C5716"/>
    <w:rsid w:val="1A6C61D4"/>
    <w:rsid w:val="1A8C5DB8"/>
    <w:rsid w:val="1A9A04D5"/>
    <w:rsid w:val="1A9B5311"/>
    <w:rsid w:val="1AA11864"/>
    <w:rsid w:val="1AA72BF2"/>
    <w:rsid w:val="1AB4014A"/>
    <w:rsid w:val="1ABA7CDE"/>
    <w:rsid w:val="1ABE4E06"/>
    <w:rsid w:val="1AC15A62"/>
    <w:rsid w:val="1AC60B16"/>
    <w:rsid w:val="1ACD2659"/>
    <w:rsid w:val="1AD27C6F"/>
    <w:rsid w:val="1AD75285"/>
    <w:rsid w:val="1AEB2ADF"/>
    <w:rsid w:val="1AEC292D"/>
    <w:rsid w:val="1AED589C"/>
    <w:rsid w:val="1AF5570C"/>
    <w:rsid w:val="1B1F6C2C"/>
    <w:rsid w:val="1B22439C"/>
    <w:rsid w:val="1B293607"/>
    <w:rsid w:val="1B2D30F7"/>
    <w:rsid w:val="1B3E3557"/>
    <w:rsid w:val="1B4F7512"/>
    <w:rsid w:val="1B750E0A"/>
    <w:rsid w:val="1B770817"/>
    <w:rsid w:val="1B7B0307"/>
    <w:rsid w:val="1B862808"/>
    <w:rsid w:val="1B9A62B3"/>
    <w:rsid w:val="1B9C550B"/>
    <w:rsid w:val="1BB05AD7"/>
    <w:rsid w:val="1BB43819"/>
    <w:rsid w:val="1BB67591"/>
    <w:rsid w:val="1BC31CAE"/>
    <w:rsid w:val="1BC32313"/>
    <w:rsid w:val="1BC872C4"/>
    <w:rsid w:val="1BCC2910"/>
    <w:rsid w:val="1BD9502D"/>
    <w:rsid w:val="1BF27E9D"/>
    <w:rsid w:val="1BF6798D"/>
    <w:rsid w:val="1BFC2ACA"/>
    <w:rsid w:val="1C055E22"/>
    <w:rsid w:val="1C071B9A"/>
    <w:rsid w:val="1C200EAE"/>
    <w:rsid w:val="1C252021"/>
    <w:rsid w:val="1C3243D6"/>
    <w:rsid w:val="1C326E0B"/>
    <w:rsid w:val="1C3D736A"/>
    <w:rsid w:val="1C4F709D"/>
    <w:rsid w:val="1C556DAA"/>
    <w:rsid w:val="1C5A616E"/>
    <w:rsid w:val="1C850D11"/>
    <w:rsid w:val="1C8C20A0"/>
    <w:rsid w:val="1CA218C3"/>
    <w:rsid w:val="1CBD289F"/>
    <w:rsid w:val="1CC01D49"/>
    <w:rsid w:val="1CC052B0"/>
    <w:rsid w:val="1CCC6940"/>
    <w:rsid w:val="1CD221A8"/>
    <w:rsid w:val="1CE160CB"/>
    <w:rsid w:val="1CF57C45"/>
    <w:rsid w:val="1CF75960"/>
    <w:rsid w:val="1CF77E61"/>
    <w:rsid w:val="1CFF6D16"/>
    <w:rsid w:val="1D0D31E0"/>
    <w:rsid w:val="1D183933"/>
    <w:rsid w:val="1D1A0F0A"/>
    <w:rsid w:val="1D3E783E"/>
    <w:rsid w:val="1D4B1F5B"/>
    <w:rsid w:val="1D5F5A06"/>
    <w:rsid w:val="1D900EE0"/>
    <w:rsid w:val="1D927B8A"/>
    <w:rsid w:val="1DA022A7"/>
    <w:rsid w:val="1DA13929"/>
    <w:rsid w:val="1DA90ACE"/>
    <w:rsid w:val="1DB24206"/>
    <w:rsid w:val="1DDE4B7D"/>
    <w:rsid w:val="1DF47EFC"/>
    <w:rsid w:val="1DFC3255"/>
    <w:rsid w:val="1E002D45"/>
    <w:rsid w:val="1E0F4D36"/>
    <w:rsid w:val="1E197963"/>
    <w:rsid w:val="1E205195"/>
    <w:rsid w:val="1E2A7DC2"/>
    <w:rsid w:val="1E2D0F85"/>
    <w:rsid w:val="1E2F362A"/>
    <w:rsid w:val="1E3D7AF5"/>
    <w:rsid w:val="1E472722"/>
    <w:rsid w:val="1E4D585F"/>
    <w:rsid w:val="1E594203"/>
    <w:rsid w:val="1E761259"/>
    <w:rsid w:val="1E8079E2"/>
    <w:rsid w:val="1E8A2924"/>
    <w:rsid w:val="1E8F40C9"/>
    <w:rsid w:val="1E9D2342"/>
    <w:rsid w:val="1EAD4FD5"/>
    <w:rsid w:val="1EBC3110"/>
    <w:rsid w:val="1ECA6EAF"/>
    <w:rsid w:val="1EDA17E8"/>
    <w:rsid w:val="1EDE1A0F"/>
    <w:rsid w:val="1EF5217E"/>
    <w:rsid w:val="1EFF124F"/>
    <w:rsid w:val="1F152820"/>
    <w:rsid w:val="1F1935E7"/>
    <w:rsid w:val="1F325180"/>
    <w:rsid w:val="1F3A2287"/>
    <w:rsid w:val="1F4D1FBA"/>
    <w:rsid w:val="1F576995"/>
    <w:rsid w:val="1F5A6485"/>
    <w:rsid w:val="1F5F3A9B"/>
    <w:rsid w:val="1F617814"/>
    <w:rsid w:val="1F6E4A4F"/>
    <w:rsid w:val="1F777037"/>
    <w:rsid w:val="1F7F5EEC"/>
    <w:rsid w:val="1FB738D7"/>
    <w:rsid w:val="1FC27595"/>
    <w:rsid w:val="1FC4505B"/>
    <w:rsid w:val="1FCA5A5B"/>
    <w:rsid w:val="1FD43BB2"/>
    <w:rsid w:val="1FDB6619"/>
    <w:rsid w:val="1FDE0E64"/>
    <w:rsid w:val="1FE10954"/>
    <w:rsid w:val="1FEA15B7"/>
    <w:rsid w:val="1FF349E3"/>
    <w:rsid w:val="1FFC0079"/>
    <w:rsid w:val="20016901"/>
    <w:rsid w:val="200E038C"/>
    <w:rsid w:val="201C373B"/>
    <w:rsid w:val="2027280B"/>
    <w:rsid w:val="202C7E22"/>
    <w:rsid w:val="202D76F6"/>
    <w:rsid w:val="20427645"/>
    <w:rsid w:val="204809D3"/>
    <w:rsid w:val="204F26A2"/>
    <w:rsid w:val="205B4263"/>
    <w:rsid w:val="20607ACB"/>
    <w:rsid w:val="206155F1"/>
    <w:rsid w:val="2063580D"/>
    <w:rsid w:val="207672EF"/>
    <w:rsid w:val="208732AA"/>
    <w:rsid w:val="208F03B0"/>
    <w:rsid w:val="20A0611A"/>
    <w:rsid w:val="20A774A8"/>
    <w:rsid w:val="20B00A53"/>
    <w:rsid w:val="20B83463"/>
    <w:rsid w:val="20BB2F53"/>
    <w:rsid w:val="20D02EA3"/>
    <w:rsid w:val="20E80162"/>
    <w:rsid w:val="210963B5"/>
    <w:rsid w:val="212B00D9"/>
    <w:rsid w:val="21445A0C"/>
    <w:rsid w:val="21505D92"/>
    <w:rsid w:val="21537630"/>
    <w:rsid w:val="215D225D"/>
    <w:rsid w:val="216830DB"/>
    <w:rsid w:val="21771570"/>
    <w:rsid w:val="217C0935"/>
    <w:rsid w:val="2186530F"/>
    <w:rsid w:val="219043E0"/>
    <w:rsid w:val="21933ED0"/>
    <w:rsid w:val="21937A2C"/>
    <w:rsid w:val="21AB2FC8"/>
    <w:rsid w:val="21AF5D06"/>
    <w:rsid w:val="21BE0F4D"/>
    <w:rsid w:val="21C46C8E"/>
    <w:rsid w:val="21D50045"/>
    <w:rsid w:val="21DA1AFF"/>
    <w:rsid w:val="21F91F85"/>
    <w:rsid w:val="220628F4"/>
    <w:rsid w:val="22124DF5"/>
    <w:rsid w:val="221F7512"/>
    <w:rsid w:val="222D60D3"/>
    <w:rsid w:val="223C6316"/>
    <w:rsid w:val="223E7B13"/>
    <w:rsid w:val="225C42C2"/>
    <w:rsid w:val="225E44DE"/>
    <w:rsid w:val="228A36C0"/>
    <w:rsid w:val="22941CAE"/>
    <w:rsid w:val="22A068A5"/>
    <w:rsid w:val="22B20386"/>
    <w:rsid w:val="22BE5497"/>
    <w:rsid w:val="22CD2012"/>
    <w:rsid w:val="22E744D4"/>
    <w:rsid w:val="23076924"/>
    <w:rsid w:val="231D6147"/>
    <w:rsid w:val="2333705F"/>
    <w:rsid w:val="23476D20"/>
    <w:rsid w:val="23566043"/>
    <w:rsid w:val="235A6A54"/>
    <w:rsid w:val="235F22BC"/>
    <w:rsid w:val="23600585"/>
    <w:rsid w:val="236478D2"/>
    <w:rsid w:val="2367592D"/>
    <w:rsid w:val="238166D6"/>
    <w:rsid w:val="2389558B"/>
    <w:rsid w:val="238F61D4"/>
    <w:rsid w:val="23953F30"/>
    <w:rsid w:val="23977CA8"/>
    <w:rsid w:val="239D4B92"/>
    <w:rsid w:val="23AD1279"/>
    <w:rsid w:val="23B1063E"/>
    <w:rsid w:val="23BD6FE3"/>
    <w:rsid w:val="23C10881"/>
    <w:rsid w:val="23C91223"/>
    <w:rsid w:val="23E66539"/>
    <w:rsid w:val="23EB3B50"/>
    <w:rsid w:val="23EE3640"/>
    <w:rsid w:val="23F724F4"/>
    <w:rsid w:val="240A66CC"/>
    <w:rsid w:val="241F1A4B"/>
    <w:rsid w:val="243F5C4A"/>
    <w:rsid w:val="2443398C"/>
    <w:rsid w:val="244A09D9"/>
    <w:rsid w:val="244D65B8"/>
    <w:rsid w:val="24575689"/>
    <w:rsid w:val="245C67FB"/>
    <w:rsid w:val="24616C60"/>
    <w:rsid w:val="249A152D"/>
    <w:rsid w:val="249B7324"/>
    <w:rsid w:val="24BC54EC"/>
    <w:rsid w:val="24C7636B"/>
    <w:rsid w:val="24DC16EA"/>
    <w:rsid w:val="24DE36B4"/>
    <w:rsid w:val="24E46F1D"/>
    <w:rsid w:val="24EC5DD1"/>
    <w:rsid w:val="24EF141E"/>
    <w:rsid w:val="24F32234"/>
    <w:rsid w:val="24F44C86"/>
    <w:rsid w:val="24F829C8"/>
    <w:rsid w:val="24FA6740"/>
    <w:rsid w:val="24FB7DC2"/>
    <w:rsid w:val="25007ACF"/>
    <w:rsid w:val="2504136D"/>
    <w:rsid w:val="25164BFC"/>
    <w:rsid w:val="251915B4"/>
    <w:rsid w:val="251A0B90"/>
    <w:rsid w:val="251F7F55"/>
    <w:rsid w:val="25290DD3"/>
    <w:rsid w:val="2551032A"/>
    <w:rsid w:val="255C2942"/>
    <w:rsid w:val="255E0351"/>
    <w:rsid w:val="2560231B"/>
    <w:rsid w:val="25665B84"/>
    <w:rsid w:val="25777D91"/>
    <w:rsid w:val="257A33DD"/>
    <w:rsid w:val="257D111F"/>
    <w:rsid w:val="258C4EBE"/>
    <w:rsid w:val="25987D07"/>
    <w:rsid w:val="25A15886"/>
    <w:rsid w:val="25A17491"/>
    <w:rsid w:val="25A77F4A"/>
    <w:rsid w:val="25CA6E09"/>
    <w:rsid w:val="25CD04F4"/>
    <w:rsid w:val="25D074A1"/>
    <w:rsid w:val="25E90563"/>
    <w:rsid w:val="25EB42DB"/>
    <w:rsid w:val="260158AC"/>
    <w:rsid w:val="26143832"/>
    <w:rsid w:val="26176E7E"/>
    <w:rsid w:val="26202AAD"/>
    <w:rsid w:val="26213859"/>
    <w:rsid w:val="2629095F"/>
    <w:rsid w:val="26301CEE"/>
    <w:rsid w:val="264B2FCC"/>
    <w:rsid w:val="2679051E"/>
    <w:rsid w:val="268F3122"/>
    <w:rsid w:val="26C4386A"/>
    <w:rsid w:val="26CD306C"/>
    <w:rsid w:val="26D0702D"/>
    <w:rsid w:val="26E56F7C"/>
    <w:rsid w:val="26F7280B"/>
    <w:rsid w:val="26FE1DEC"/>
    <w:rsid w:val="270A69E3"/>
    <w:rsid w:val="27160EE4"/>
    <w:rsid w:val="271E5FEA"/>
    <w:rsid w:val="27207FB4"/>
    <w:rsid w:val="2725381D"/>
    <w:rsid w:val="27604855"/>
    <w:rsid w:val="276854B7"/>
    <w:rsid w:val="276A7481"/>
    <w:rsid w:val="27706D61"/>
    <w:rsid w:val="27711F42"/>
    <w:rsid w:val="277327DA"/>
    <w:rsid w:val="277B51EB"/>
    <w:rsid w:val="27814EF7"/>
    <w:rsid w:val="278247CB"/>
    <w:rsid w:val="27930786"/>
    <w:rsid w:val="27960276"/>
    <w:rsid w:val="279A1B15"/>
    <w:rsid w:val="279B3ADF"/>
    <w:rsid w:val="27A74232"/>
    <w:rsid w:val="27B23302"/>
    <w:rsid w:val="27BF3329"/>
    <w:rsid w:val="27C070A1"/>
    <w:rsid w:val="27CE17BE"/>
    <w:rsid w:val="27DD7C53"/>
    <w:rsid w:val="27FC27CF"/>
    <w:rsid w:val="27FF5E1C"/>
    <w:rsid w:val="280B2A12"/>
    <w:rsid w:val="28100029"/>
    <w:rsid w:val="28125B4F"/>
    <w:rsid w:val="2815563F"/>
    <w:rsid w:val="281A4A03"/>
    <w:rsid w:val="28351EB4"/>
    <w:rsid w:val="283C0E1E"/>
    <w:rsid w:val="28414686"/>
    <w:rsid w:val="284321AC"/>
    <w:rsid w:val="28447CD2"/>
    <w:rsid w:val="284952E9"/>
    <w:rsid w:val="284A35A6"/>
    <w:rsid w:val="284C59E2"/>
    <w:rsid w:val="28546167"/>
    <w:rsid w:val="2858552C"/>
    <w:rsid w:val="28620159"/>
    <w:rsid w:val="2862422F"/>
    <w:rsid w:val="287E0F5C"/>
    <w:rsid w:val="288F53F1"/>
    <w:rsid w:val="289C7B0E"/>
    <w:rsid w:val="289E3886"/>
    <w:rsid w:val="28AB1AFF"/>
    <w:rsid w:val="28AC5FA3"/>
    <w:rsid w:val="28B9421C"/>
    <w:rsid w:val="28BC3D0D"/>
    <w:rsid w:val="28CF1C92"/>
    <w:rsid w:val="28E82D54"/>
    <w:rsid w:val="28EA6ACC"/>
    <w:rsid w:val="28EC45F2"/>
    <w:rsid w:val="28F840FE"/>
    <w:rsid w:val="28FC52BC"/>
    <w:rsid w:val="29053906"/>
    <w:rsid w:val="290D27BA"/>
    <w:rsid w:val="292B70D0"/>
    <w:rsid w:val="292C2C40"/>
    <w:rsid w:val="292F024E"/>
    <w:rsid w:val="29477A7A"/>
    <w:rsid w:val="2953641F"/>
    <w:rsid w:val="2956167E"/>
    <w:rsid w:val="2964062C"/>
    <w:rsid w:val="2964687E"/>
    <w:rsid w:val="296A3769"/>
    <w:rsid w:val="2984482A"/>
    <w:rsid w:val="2987256D"/>
    <w:rsid w:val="298F31CF"/>
    <w:rsid w:val="29906C50"/>
    <w:rsid w:val="2996630C"/>
    <w:rsid w:val="299F78B6"/>
    <w:rsid w:val="29A24A5E"/>
    <w:rsid w:val="29AC1FD3"/>
    <w:rsid w:val="29BD1AEA"/>
    <w:rsid w:val="29C4731D"/>
    <w:rsid w:val="29E7300B"/>
    <w:rsid w:val="29F11140"/>
    <w:rsid w:val="29F5184A"/>
    <w:rsid w:val="29F85218"/>
    <w:rsid w:val="29FB2613"/>
    <w:rsid w:val="29FF0355"/>
    <w:rsid w:val="29FF6A30"/>
    <w:rsid w:val="2A021BF3"/>
    <w:rsid w:val="2A0239A1"/>
    <w:rsid w:val="2A067935"/>
    <w:rsid w:val="2A10297A"/>
    <w:rsid w:val="2A1C0F07"/>
    <w:rsid w:val="2A2953D2"/>
    <w:rsid w:val="2A2B739C"/>
    <w:rsid w:val="2A3A313B"/>
    <w:rsid w:val="2A3D0E7D"/>
    <w:rsid w:val="2A3E70CF"/>
    <w:rsid w:val="2A420242"/>
    <w:rsid w:val="2A482AAB"/>
    <w:rsid w:val="2A497822"/>
    <w:rsid w:val="2A4E4E38"/>
    <w:rsid w:val="2A630895"/>
    <w:rsid w:val="2A662182"/>
    <w:rsid w:val="2A746625"/>
    <w:rsid w:val="2A750617"/>
    <w:rsid w:val="2A7F4FF2"/>
    <w:rsid w:val="2A862824"/>
    <w:rsid w:val="2A900FAD"/>
    <w:rsid w:val="2A9071FF"/>
    <w:rsid w:val="2A954815"/>
    <w:rsid w:val="2A97233B"/>
    <w:rsid w:val="2A997F7C"/>
    <w:rsid w:val="2A9D5262"/>
    <w:rsid w:val="2AAD1B5F"/>
    <w:rsid w:val="2AB915BA"/>
    <w:rsid w:val="2AC60E73"/>
    <w:rsid w:val="2AD510B6"/>
    <w:rsid w:val="2AE337D3"/>
    <w:rsid w:val="2AF53506"/>
    <w:rsid w:val="2AF61758"/>
    <w:rsid w:val="2AFE685E"/>
    <w:rsid w:val="2B0100FD"/>
    <w:rsid w:val="2B0105CC"/>
    <w:rsid w:val="2B0C0F7B"/>
    <w:rsid w:val="2B1D30F2"/>
    <w:rsid w:val="2B2C33CC"/>
    <w:rsid w:val="2B345DDC"/>
    <w:rsid w:val="2B346B23"/>
    <w:rsid w:val="2B391645"/>
    <w:rsid w:val="2B3A5713"/>
    <w:rsid w:val="2B3B716B"/>
    <w:rsid w:val="2B430715"/>
    <w:rsid w:val="2B44397F"/>
    <w:rsid w:val="2B4A1AA4"/>
    <w:rsid w:val="2B522706"/>
    <w:rsid w:val="2B563FA5"/>
    <w:rsid w:val="2B595843"/>
    <w:rsid w:val="2B603075"/>
    <w:rsid w:val="2B626DED"/>
    <w:rsid w:val="2B6366C1"/>
    <w:rsid w:val="2B69017C"/>
    <w:rsid w:val="2B6A7A50"/>
    <w:rsid w:val="2B7164D1"/>
    <w:rsid w:val="2B98280F"/>
    <w:rsid w:val="2BA2368E"/>
    <w:rsid w:val="2BB46F1D"/>
    <w:rsid w:val="2BC01D66"/>
    <w:rsid w:val="2BC03B14"/>
    <w:rsid w:val="2BC317AE"/>
    <w:rsid w:val="2BC76C50"/>
    <w:rsid w:val="2BCB145B"/>
    <w:rsid w:val="2BFB4B4C"/>
    <w:rsid w:val="2BFF463C"/>
    <w:rsid w:val="2C2E4F21"/>
    <w:rsid w:val="2C45390A"/>
    <w:rsid w:val="2C493B09"/>
    <w:rsid w:val="2C5B55EB"/>
    <w:rsid w:val="2C607287"/>
    <w:rsid w:val="2C70553A"/>
    <w:rsid w:val="2C7B1B7F"/>
    <w:rsid w:val="2C7F39CF"/>
    <w:rsid w:val="2C844B41"/>
    <w:rsid w:val="2C90798A"/>
    <w:rsid w:val="2CA13945"/>
    <w:rsid w:val="2CAD4098"/>
    <w:rsid w:val="2CAD5026"/>
    <w:rsid w:val="2CAE7E10"/>
    <w:rsid w:val="2CB03B88"/>
    <w:rsid w:val="2CB25B52"/>
    <w:rsid w:val="2CBA67B5"/>
    <w:rsid w:val="2CC80ED2"/>
    <w:rsid w:val="2CE33F5E"/>
    <w:rsid w:val="2CEE645F"/>
    <w:rsid w:val="2CEF46B1"/>
    <w:rsid w:val="2CF73565"/>
    <w:rsid w:val="2CFC6DCE"/>
    <w:rsid w:val="2D0068BE"/>
    <w:rsid w:val="2D0A3299"/>
    <w:rsid w:val="2D0B5263"/>
    <w:rsid w:val="2D0F6B01"/>
    <w:rsid w:val="2D2F0F51"/>
    <w:rsid w:val="2D314E05"/>
    <w:rsid w:val="2D3447B9"/>
    <w:rsid w:val="2D74105A"/>
    <w:rsid w:val="2D746964"/>
    <w:rsid w:val="2D9B2143"/>
    <w:rsid w:val="2DAD00C8"/>
    <w:rsid w:val="2DC518B5"/>
    <w:rsid w:val="2DCF6290"/>
    <w:rsid w:val="2DD13DB6"/>
    <w:rsid w:val="2DE47F8D"/>
    <w:rsid w:val="2DEA30CA"/>
    <w:rsid w:val="2DEB6A75"/>
    <w:rsid w:val="2DFD104F"/>
    <w:rsid w:val="2E0C3040"/>
    <w:rsid w:val="2E13467B"/>
    <w:rsid w:val="2E1C36A2"/>
    <w:rsid w:val="2E24038A"/>
    <w:rsid w:val="2E304F81"/>
    <w:rsid w:val="2E3A7BAD"/>
    <w:rsid w:val="2E4F162E"/>
    <w:rsid w:val="2E5A0250"/>
    <w:rsid w:val="2E5F13C2"/>
    <w:rsid w:val="2E5F5866"/>
    <w:rsid w:val="2E5F7614"/>
    <w:rsid w:val="2E6A7D67"/>
    <w:rsid w:val="2EA66FF1"/>
    <w:rsid w:val="2EAA78F3"/>
    <w:rsid w:val="2EB84F76"/>
    <w:rsid w:val="2EC102CF"/>
    <w:rsid w:val="2EC8145A"/>
    <w:rsid w:val="2EE23DA1"/>
    <w:rsid w:val="2EE355AD"/>
    <w:rsid w:val="2EE61AE3"/>
    <w:rsid w:val="2EE711B5"/>
    <w:rsid w:val="2F087CAC"/>
    <w:rsid w:val="2F120B2A"/>
    <w:rsid w:val="2F146650"/>
    <w:rsid w:val="2F193C67"/>
    <w:rsid w:val="2F1E5661"/>
    <w:rsid w:val="2F25260C"/>
    <w:rsid w:val="2F3C1703"/>
    <w:rsid w:val="2F452CAE"/>
    <w:rsid w:val="2F57653D"/>
    <w:rsid w:val="2F651F62"/>
    <w:rsid w:val="2F7C41F6"/>
    <w:rsid w:val="2F7E1D1C"/>
    <w:rsid w:val="2F827A5E"/>
    <w:rsid w:val="2F911A4F"/>
    <w:rsid w:val="2F9B467C"/>
    <w:rsid w:val="2FA21EAE"/>
    <w:rsid w:val="2FB35E69"/>
    <w:rsid w:val="2FB83480"/>
    <w:rsid w:val="2FD656B4"/>
    <w:rsid w:val="300C557A"/>
    <w:rsid w:val="300E4E84"/>
    <w:rsid w:val="300F6E18"/>
    <w:rsid w:val="304940D8"/>
    <w:rsid w:val="304B42F4"/>
    <w:rsid w:val="306058C5"/>
    <w:rsid w:val="306233EC"/>
    <w:rsid w:val="30645ED2"/>
    <w:rsid w:val="30647164"/>
    <w:rsid w:val="308710A4"/>
    <w:rsid w:val="308C2216"/>
    <w:rsid w:val="30B10DD9"/>
    <w:rsid w:val="30B73737"/>
    <w:rsid w:val="30CC6AB7"/>
    <w:rsid w:val="30E3277E"/>
    <w:rsid w:val="30EB1633"/>
    <w:rsid w:val="30F5600E"/>
    <w:rsid w:val="30F93D50"/>
    <w:rsid w:val="30FC500D"/>
    <w:rsid w:val="310B6BF3"/>
    <w:rsid w:val="31102E48"/>
    <w:rsid w:val="31122E9F"/>
    <w:rsid w:val="31267258"/>
    <w:rsid w:val="312B5ED3"/>
    <w:rsid w:val="316513E5"/>
    <w:rsid w:val="3175714F"/>
    <w:rsid w:val="318A2BFA"/>
    <w:rsid w:val="318B6972"/>
    <w:rsid w:val="318D6246"/>
    <w:rsid w:val="31921AAF"/>
    <w:rsid w:val="31927D00"/>
    <w:rsid w:val="31943A79"/>
    <w:rsid w:val="319B4E07"/>
    <w:rsid w:val="31A87524"/>
    <w:rsid w:val="31B41A25"/>
    <w:rsid w:val="31B62952"/>
    <w:rsid w:val="31CA749A"/>
    <w:rsid w:val="31D04385"/>
    <w:rsid w:val="31D420C7"/>
    <w:rsid w:val="31D52E88"/>
    <w:rsid w:val="31D65E3F"/>
    <w:rsid w:val="31DF1C69"/>
    <w:rsid w:val="31E247E4"/>
    <w:rsid w:val="31E35351"/>
    <w:rsid w:val="31E83DC4"/>
    <w:rsid w:val="31F14A27"/>
    <w:rsid w:val="31F6028F"/>
    <w:rsid w:val="31FC517A"/>
    <w:rsid w:val="32002EBC"/>
    <w:rsid w:val="32036508"/>
    <w:rsid w:val="32042FF1"/>
    <w:rsid w:val="320504D2"/>
    <w:rsid w:val="32097FFD"/>
    <w:rsid w:val="321A0F82"/>
    <w:rsid w:val="322C3CB1"/>
    <w:rsid w:val="32335B68"/>
    <w:rsid w:val="3281224F"/>
    <w:rsid w:val="32843AED"/>
    <w:rsid w:val="32892EB1"/>
    <w:rsid w:val="32AB107A"/>
    <w:rsid w:val="32D22AAA"/>
    <w:rsid w:val="32E4633A"/>
    <w:rsid w:val="32FD11AA"/>
    <w:rsid w:val="3301513E"/>
    <w:rsid w:val="33072028"/>
    <w:rsid w:val="33134E71"/>
    <w:rsid w:val="33136C1F"/>
    <w:rsid w:val="332826CA"/>
    <w:rsid w:val="333A41AC"/>
    <w:rsid w:val="33492641"/>
    <w:rsid w:val="334D0383"/>
    <w:rsid w:val="334E24EC"/>
    <w:rsid w:val="33501C21"/>
    <w:rsid w:val="335419DE"/>
    <w:rsid w:val="33550FE6"/>
    <w:rsid w:val="33582884"/>
    <w:rsid w:val="336D632F"/>
    <w:rsid w:val="33857B1D"/>
    <w:rsid w:val="338813BB"/>
    <w:rsid w:val="33A930DF"/>
    <w:rsid w:val="33BB353F"/>
    <w:rsid w:val="33C00B55"/>
    <w:rsid w:val="33CB12A8"/>
    <w:rsid w:val="33CF2B46"/>
    <w:rsid w:val="33D04B10"/>
    <w:rsid w:val="33D53ED4"/>
    <w:rsid w:val="33E81E5A"/>
    <w:rsid w:val="33F56325"/>
    <w:rsid w:val="33F702EF"/>
    <w:rsid w:val="33FB7DDF"/>
    <w:rsid w:val="34030A42"/>
    <w:rsid w:val="3411315F"/>
    <w:rsid w:val="341963CA"/>
    <w:rsid w:val="342B2C5D"/>
    <w:rsid w:val="342C7F98"/>
    <w:rsid w:val="342E2857"/>
    <w:rsid w:val="3445105A"/>
    <w:rsid w:val="345179FF"/>
    <w:rsid w:val="345614B9"/>
    <w:rsid w:val="345B6AD0"/>
    <w:rsid w:val="345D1245"/>
    <w:rsid w:val="34862E6B"/>
    <w:rsid w:val="348A1163"/>
    <w:rsid w:val="34CC52D7"/>
    <w:rsid w:val="34CF6B76"/>
    <w:rsid w:val="34E02B31"/>
    <w:rsid w:val="34E46AC5"/>
    <w:rsid w:val="34F43DE1"/>
    <w:rsid w:val="34F52A80"/>
    <w:rsid w:val="34F605A6"/>
    <w:rsid w:val="34FD7B87"/>
    <w:rsid w:val="350A469D"/>
    <w:rsid w:val="351372E2"/>
    <w:rsid w:val="351A24E7"/>
    <w:rsid w:val="35337105"/>
    <w:rsid w:val="3538471B"/>
    <w:rsid w:val="353D61D5"/>
    <w:rsid w:val="35441312"/>
    <w:rsid w:val="355C48AD"/>
    <w:rsid w:val="3566572C"/>
    <w:rsid w:val="35725E7F"/>
    <w:rsid w:val="357339A5"/>
    <w:rsid w:val="35831E3A"/>
    <w:rsid w:val="3586192A"/>
    <w:rsid w:val="359F0C3E"/>
    <w:rsid w:val="35A10512"/>
    <w:rsid w:val="35A27F45"/>
    <w:rsid w:val="35A324DC"/>
    <w:rsid w:val="35A3428A"/>
    <w:rsid w:val="35A65B28"/>
    <w:rsid w:val="35B2271F"/>
    <w:rsid w:val="35B446E9"/>
    <w:rsid w:val="35C83CF1"/>
    <w:rsid w:val="35D5640E"/>
    <w:rsid w:val="35F44AE6"/>
    <w:rsid w:val="36017203"/>
    <w:rsid w:val="36034D29"/>
    <w:rsid w:val="360E2FFA"/>
    <w:rsid w:val="36140CE4"/>
    <w:rsid w:val="361433DA"/>
    <w:rsid w:val="36160F00"/>
    <w:rsid w:val="36174C78"/>
    <w:rsid w:val="363B2F66"/>
    <w:rsid w:val="36471CFB"/>
    <w:rsid w:val="364F61C0"/>
    <w:rsid w:val="36631C6B"/>
    <w:rsid w:val="36783969"/>
    <w:rsid w:val="36802C75"/>
    <w:rsid w:val="368340BC"/>
    <w:rsid w:val="36981915"/>
    <w:rsid w:val="36AA33F6"/>
    <w:rsid w:val="36AC53C0"/>
    <w:rsid w:val="36C46BAE"/>
    <w:rsid w:val="36CD3586"/>
    <w:rsid w:val="36D6243D"/>
    <w:rsid w:val="36DD1A1E"/>
    <w:rsid w:val="36E0150E"/>
    <w:rsid w:val="36EE55DD"/>
    <w:rsid w:val="36F6663C"/>
    <w:rsid w:val="36F9612C"/>
    <w:rsid w:val="37021484"/>
    <w:rsid w:val="37221C49"/>
    <w:rsid w:val="37225683"/>
    <w:rsid w:val="373A29CC"/>
    <w:rsid w:val="37492C0F"/>
    <w:rsid w:val="374E6478"/>
    <w:rsid w:val="375259EE"/>
    <w:rsid w:val="37691503"/>
    <w:rsid w:val="376A384F"/>
    <w:rsid w:val="377528DC"/>
    <w:rsid w:val="377D0B0B"/>
    <w:rsid w:val="378E2D18"/>
    <w:rsid w:val="379245B6"/>
    <w:rsid w:val="37AB38CA"/>
    <w:rsid w:val="37AC319E"/>
    <w:rsid w:val="37AD7642"/>
    <w:rsid w:val="37B3452D"/>
    <w:rsid w:val="37BF1123"/>
    <w:rsid w:val="37D44BCF"/>
    <w:rsid w:val="37E10029"/>
    <w:rsid w:val="37F232A7"/>
    <w:rsid w:val="37F816EF"/>
    <w:rsid w:val="38076DB3"/>
    <w:rsid w:val="381A150A"/>
    <w:rsid w:val="38211DDE"/>
    <w:rsid w:val="382236EC"/>
    <w:rsid w:val="38327B47"/>
    <w:rsid w:val="38367638"/>
    <w:rsid w:val="383C4522"/>
    <w:rsid w:val="38417D8A"/>
    <w:rsid w:val="38481119"/>
    <w:rsid w:val="38511CCE"/>
    <w:rsid w:val="38565A55"/>
    <w:rsid w:val="385E6B8E"/>
    <w:rsid w:val="38613F89"/>
    <w:rsid w:val="38683569"/>
    <w:rsid w:val="38776C02"/>
    <w:rsid w:val="38871C41"/>
    <w:rsid w:val="388A34DF"/>
    <w:rsid w:val="388D1222"/>
    <w:rsid w:val="38A26A7B"/>
    <w:rsid w:val="38BB0BB3"/>
    <w:rsid w:val="38C8225A"/>
    <w:rsid w:val="38E70932"/>
    <w:rsid w:val="38E76B84"/>
    <w:rsid w:val="38F848ED"/>
    <w:rsid w:val="390A4620"/>
    <w:rsid w:val="390D2369"/>
    <w:rsid w:val="392C0A3B"/>
    <w:rsid w:val="393A3157"/>
    <w:rsid w:val="3942025E"/>
    <w:rsid w:val="39635BC8"/>
    <w:rsid w:val="39781027"/>
    <w:rsid w:val="39812B34"/>
    <w:rsid w:val="39830783"/>
    <w:rsid w:val="398E0DAD"/>
    <w:rsid w:val="399565E0"/>
    <w:rsid w:val="399C13FB"/>
    <w:rsid w:val="39AB7BB1"/>
    <w:rsid w:val="39B50A30"/>
    <w:rsid w:val="39BC591B"/>
    <w:rsid w:val="39BD3D6E"/>
    <w:rsid w:val="39E62997"/>
    <w:rsid w:val="39E92488"/>
    <w:rsid w:val="39ED01CA"/>
    <w:rsid w:val="39F6132E"/>
    <w:rsid w:val="3A127C30"/>
    <w:rsid w:val="3A175247"/>
    <w:rsid w:val="3A1A6AE5"/>
    <w:rsid w:val="3A1F40FB"/>
    <w:rsid w:val="3A451310"/>
    <w:rsid w:val="3A485400"/>
    <w:rsid w:val="3A4D2A17"/>
    <w:rsid w:val="3A52002D"/>
    <w:rsid w:val="3A5B13FF"/>
    <w:rsid w:val="3A6A7A6C"/>
    <w:rsid w:val="3A7461F5"/>
    <w:rsid w:val="3A7C154E"/>
    <w:rsid w:val="3A852B7B"/>
    <w:rsid w:val="3A8B353F"/>
    <w:rsid w:val="3A903A88"/>
    <w:rsid w:val="3A992100"/>
    <w:rsid w:val="3A9B336A"/>
    <w:rsid w:val="3AA1137B"/>
    <w:rsid w:val="3AB17449"/>
    <w:rsid w:val="3ABE55CD"/>
    <w:rsid w:val="3AC151B3"/>
    <w:rsid w:val="3ACD3B57"/>
    <w:rsid w:val="3ADB2718"/>
    <w:rsid w:val="3ADB44C6"/>
    <w:rsid w:val="3AE63920"/>
    <w:rsid w:val="3AEF1D20"/>
    <w:rsid w:val="3AF45588"/>
    <w:rsid w:val="3AF47336"/>
    <w:rsid w:val="3B0674C9"/>
    <w:rsid w:val="3B0F23C2"/>
    <w:rsid w:val="3B1654FE"/>
    <w:rsid w:val="3B2220F5"/>
    <w:rsid w:val="3B3D3C2D"/>
    <w:rsid w:val="3B4173DE"/>
    <w:rsid w:val="3B424545"/>
    <w:rsid w:val="3B44206B"/>
    <w:rsid w:val="3B4E6A46"/>
    <w:rsid w:val="3B547DD5"/>
    <w:rsid w:val="3B5B73B5"/>
    <w:rsid w:val="3B632A29"/>
    <w:rsid w:val="3B8D5E0F"/>
    <w:rsid w:val="3B934DA1"/>
    <w:rsid w:val="3B963F49"/>
    <w:rsid w:val="3BA45464"/>
    <w:rsid w:val="3BB80364"/>
    <w:rsid w:val="3BB83F2C"/>
    <w:rsid w:val="3BBB7E54"/>
    <w:rsid w:val="3BC35686"/>
    <w:rsid w:val="3BC46D08"/>
    <w:rsid w:val="3BC5686C"/>
    <w:rsid w:val="3BCB0097"/>
    <w:rsid w:val="3BCC2061"/>
    <w:rsid w:val="3BD5563E"/>
    <w:rsid w:val="3BD56390"/>
    <w:rsid w:val="3BD66A3C"/>
    <w:rsid w:val="3BD94643"/>
    <w:rsid w:val="3BDC6712"/>
    <w:rsid w:val="3BF84C04"/>
    <w:rsid w:val="3BFA4E20"/>
    <w:rsid w:val="3C067321"/>
    <w:rsid w:val="3C243C4B"/>
    <w:rsid w:val="3C2854E9"/>
    <w:rsid w:val="3C2D0D52"/>
    <w:rsid w:val="3C3976F6"/>
    <w:rsid w:val="3C3A521C"/>
    <w:rsid w:val="3C487939"/>
    <w:rsid w:val="3C522566"/>
    <w:rsid w:val="3C597D99"/>
    <w:rsid w:val="3C6109FB"/>
    <w:rsid w:val="3C676202"/>
    <w:rsid w:val="3C6D114E"/>
    <w:rsid w:val="3C6E4EC6"/>
    <w:rsid w:val="3C7060DA"/>
    <w:rsid w:val="3C75203E"/>
    <w:rsid w:val="3C7C3A87"/>
    <w:rsid w:val="3C7C5835"/>
    <w:rsid w:val="3C7F70D3"/>
    <w:rsid w:val="3C860462"/>
    <w:rsid w:val="3C8D359E"/>
    <w:rsid w:val="3C97242F"/>
    <w:rsid w:val="3C9A5EEE"/>
    <w:rsid w:val="3CA628B2"/>
    <w:rsid w:val="3CAF79B9"/>
    <w:rsid w:val="3CBB635D"/>
    <w:rsid w:val="3CC17E21"/>
    <w:rsid w:val="3CCD7E3F"/>
    <w:rsid w:val="3CCF005B"/>
    <w:rsid w:val="3CDB1237"/>
    <w:rsid w:val="3CDB69FF"/>
    <w:rsid w:val="3CDC7C6A"/>
    <w:rsid w:val="3CF950D8"/>
    <w:rsid w:val="3D0575D8"/>
    <w:rsid w:val="3D0A1093"/>
    <w:rsid w:val="3D0D46DF"/>
    <w:rsid w:val="3D0F66A9"/>
    <w:rsid w:val="3D1006A2"/>
    <w:rsid w:val="3D127DBE"/>
    <w:rsid w:val="3D18555E"/>
    <w:rsid w:val="3D303093"/>
    <w:rsid w:val="3D3F6F8E"/>
    <w:rsid w:val="3D4A148F"/>
    <w:rsid w:val="3D4A5E08"/>
    <w:rsid w:val="3D5F318D"/>
    <w:rsid w:val="3D623B40"/>
    <w:rsid w:val="3D6C7658"/>
    <w:rsid w:val="3D6D7401"/>
    <w:rsid w:val="3D74475E"/>
    <w:rsid w:val="3D7804FA"/>
    <w:rsid w:val="3D7D3613"/>
    <w:rsid w:val="3D8A5D30"/>
    <w:rsid w:val="3D8E5820"/>
    <w:rsid w:val="3D98669F"/>
    <w:rsid w:val="3DAD7631"/>
    <w:rsid w:val="3DC47494"/>
    <w:rsid w:val="3DCB25D0"/>
    <w:rsid w:val="3DDC2A2F"/>
    <w:rsid w:val="3DE93535"/>
    <w:rsid w:val="3DE96EFA"/>
    <w:rsid w:val="3DF31B27"/>
    <w:rsid w:val="3DF8538F"/>
    <w:rsid w:val="3DFE0FBD"/>
    <w:rsid w:val="3DFF04CC"/>
    <w:rsid w:val="3E015FF2"/>
    <w:rsid w:val="3E027FBC"/>
    <w:rsid w:val="3E0E070F"/>
    <w:rsid w:val="3E0E38C3"/>
    <w:rsid w:val="3E171CB9"/>
    <w:rsid w:val="3E18333B"/>
    <w:rsid w:val="3E317A42"/>
    <w:rsid w:val="3E33045B"/>
    <w:rsid w:val="3E375EB7"/>
    <w:rsid w:val="3E3F2B1B"/>
    <w:rsid w:val="3E500D27"/>
    <w:rsid w:val="3E661B42"/>
    <w:rsid w:val="3E6C3FB1"/>
    <w:rsid w:val="3E7316AE"/>
    <w:rsid w:val="3E740EBA"/>
    <w:rsid w:val="3E746C35"/>
    <w:rsid w:val="3E7A2248"/>
    <w:rsid w:val="3E817133"/>
    <w:rsid w:val="3E8B53C9"/>
    <w:rsid w:val="3E93265B"/>
    <w:rsid w:val="3E9B5F83"/>
    <w:rsid w:val="3EA177D5"/>
    <w:rsid w:val="3EAA6689"/>
    <w:rsid w:val="3EB75EA1"/>
    <w:rsid w:val="3EC314F9"/>
    <w:rsid w:val="3EC3774B"/>
    <w:rsid w:val="3ED23E32"/>
    <w:rsid w:val="3EDE747D"/>
    <w:rsid w:val="3EE651E8"/>
    <w:rsid w:val="3EF66B94"/>
    <w:rsid w:val="3EF913BF"/>
    <w:rsid w:val="3F0C0417"/>
    <w:rsid w:val="3F11495A"/>
    <w:rsid w:val="3F122481"/>
    <w:rsid w:val="3F19736B"/>
    <w:rsid w:val="3F3E3276"/>
    <w:rsid w:val="3F4058C2"/>
    <w:rsid w:val="3F43263A"/>
    <w:rsid w:val="3F4940F4"/>
    <w:rsid w:val="3F4F492A"/>
    <w:rsid w:val="3F554220"/>
    <w:rsid w:val="3F5B3E28"/>
    <w:rsid w:val="3F5E56C6"/>
    <w:rsid w:val="3F6525B0"/>
    <w:rsid w:val="3F724CCD"/>
    <w:rsid w:val="3F870779"/>
    <w:rsid w:val="3F8A2017"/>
    <w:rsid w:val="3F9133A5"/>
    <w:rsid w:val="3F9335C1"/>
    <w:rsid w:val="3F966C0E"/>
    <w:rsid w:val="3FA4132B"/>
    <w:rsid w:val="3FB6105E"/>
    <w:rsid w:val="3FC224AA"/>
    <w:rsid w:val="3FCA4B09"/>
    <w:rsid w:val="3FCF2120"/>
    <w:rsid w:val="3FEA0D08"/>
    <w:rsid w:val="3FFA53EF"/>
    <w:rsid w:val="400224F5"/>
    <w:rsid w:val="40291830"/>
    <w:rsid w:val="40381A73"/>
    <w:rsid w:val="40552625"/>
    <w:rsid w:val="40642868"/>
    <w:rsid w:val="406D3FE9"/>
    <w:rsid w:val="406E1939"/>
    <w:rsid w:val="40736F4F"/>
    <w:rsid w:val="407451A1"/>
    <w:rsid w:val="408D0011"/>
    <w:rsid w:val="40A81B60"/>
    <w:rsid w:val="40AF61D9"/>
    <w:rsid w:val="40B03CFF"/>
    <w:rsid w:val="40B51316"/>
    <w:rsid w:val="40B732E0"/>
    <w:rsid w:val="40C854ED"/>
    <w:rsid w:val="40D45C40"/>
    <w:rsid w:val="40D55514"/>
    <w:rsid w:val="40DB5220"/>
    <w:rsid w:val="40E63BC5"/>
    <w:rsid w:val="410D1152"/>
    <w:rsid w:val="411249BA"/>
    <w:rsid w:val="41175B2C"/>
    <w:rsid w:val="411B386E"/>
    <w:rsid w:val="41200E85"/>
    <w:rsid w:val="412A5860"/>
    <w:rsid w:val="41320CFA"/>
    <w:rsid w:val="41377F7D"/>
    <w:rsid w:val="413C46BC"/>
    <w:rsid w:val="41452699"/>
    <w:rsid w:val="414B08D8"/>
    <w:rsid w:val="415149D7"/>
    <w:rsid w:val="4162324B"/>
    <w:rsid w:val="41944E05"/>
    <w:rsid w:val="419453CF"/>
    <w:rsid w:val="419844BE"/>
    <w:rsid w:val="41AC44C7"/>
    <w:rsid w:val="41AC7E24"/>
    <w:rsid w:val="41AE46E3"/>
    <w:rsid w:val="41BA505D"/>
    <w:rsid w:val="41BE41FA"/>
    <w:rsid w:val="41C23CEA"/>
    <w:rsid w:val="41CE08E1"/>
    <w:rsid w:val="41E974C9"/>
    <w:rsid w:val="41EC520B"/>
    <w:rsid w:val="422E137F"/>
    <w:rsid w:val="42470693"/>
    <w:rsid w:val="424741EF"/>
    <w:rsid w:val="42576B28"/>
    <w:rsid w:val="425A3F23"/>
    <w:rsid w:val="425F778B"/>
    <w:rsid w:val="42621029"/>
    <w:rsid w:val="42674891"/>
    <w:rsid w:val="426B4382"/>
    <w:rsid w:val="42750D5C"/>
    <w:rsid w:val="428471F1"/>
    <w:rsid w:val="429733C9"/>
    <w:rsid w:val="429D02B3"/>
    <w:rsid w:val="42C228FD"/>
    <w:rsid w:val="42CD2946"/>
    <w:rsid w:val="42D27F5D"/>
    <w:rsid w:val="42D309FB"/>
    <w:rsid w:val="42D31F27"/>
    <w:rsid w:val="42EF6D61"/>
    <w:rsid w:val="430622FC"/>
    <w:rsid w:val="43302ED5"/>
    <w:rsid w:val="43307E70"/>
    <w:rsid w:val="43486471"/>
    <w:rsid w:val="434C41B3"/>
    <w:rsid w:val="4355293C"/>
    <w:rsid w:val="4356791A"/>
    <w:rsid w:val="436C03B1"/>
    <w:rsid w:val="43790D20"/>
    <w:rsid w:val="43811A9E"/>
    <w:rsid w:val="438374A9"/>
    <w:rsid w:val="43884ABF"/>
    <w:rsid w:val="43994F1E"/>
    <w:rsid w:val="43996CCD"/>
    <w:rsid w:val="439B47F3"/>
    <w:rsid w:val="439D20BD"/>
    <w:rsid w:val="43AC5B43"/>
    <w:rsid w:val="43B81849"/>
    <w:rsid w:val="43CD6976"/>
    <w:rsid w:val="43D877F5"/>
    <w:rsid w:val="43DB1093"/>
    <w:rsid w:val="43E133CB"/>
    <w:rsid w:val="43EF4B3E"/>
    <w:rsid w:val="43F87E97"/>
    <w:rsid w:val="441427F7"/>
    <w:rsid w:val="441B1DD7"/>
    <w:rsid w:val="442519AA"/>
    <w:rsid w:val="442962A2"/>
    <w:rsid w:val="44316F05"/>
    <w:rsid w:val="44332C7D"/>
    <w:rsid w:val="44352E99"/>
    <w:rsid w:val="443A6B7D"/>
    <w:rsid w:val="443D58AA"/>
    <w:rsid w:val="445C3C7C"/>
    <w:rsid w:val="4484172B"/>
    <w:rsid w:val="448B5125"/>
    <w:rsid w:val="44B1564F"/>
    <w:rsid w:val="44B5224F"/>
    <w:rsid w:val="44BD4C3D"/>
    <w:rsid w:val="44C1472D"/>
    <w:rsid w:val="44C63AF1"/>
    <w:rsid w:val="44D206E8"/>
    <w:rsid w:val="44DD564F"/>
    <w:rsid w:val="44E707EA"/>
    <w:rsid w:val="4504461A"/>
    <w:rsid w:val="45132AAF"/>
    <w:rsid w:val="45156827"/>
    <w:rsid w:val="4521341D"/>
    <w:rsid w:val="452A22D2"/>
    <w:rsid w:val="45322F35"/>
    <w:rsid w:val="45374186"/>
    <w:rsid w:val="453E7B2C"/>
    <w:rsid w:val="45462E84"/>
    <w:rsid w:val="45464C32"/>
    <w:rsid w:val="455A06DD"/>
    <w:rsid w:val="456357E4"/>
    <w:rsid w:val="45723C79"/>
    <w:rsid w:val="457A48DC"/>
    <w:rsid w:val="457B4FF5"/>
    <w:rsid w:val="45801017"/>
    <w:rsid w:val="458319E2"/>
    <w:rsid w:val="4584426D"/>
    <w:rsid w:val="458F3751"/>
    <w:rsid w:val="45B778DE"/>
    <w:rsid w:val="45B84329"/>
    <w:rsid w:val="45B93656"/>
    <w:rsid w:val="45C05B04"/>
    <w:rsid w:val="45C676B7"/>
    <w:rsid w:val="45CB49F3"/>
    <w:rsid w:val="45D71D2E"/>
    <w:rsid w:val="45E2495B"/>
    <w:rsid w:val="45FD1795"/>
    <w:rsid w:val="46024FFD"/>
    <w:rsid w:val="46026DAB"/>
    <w:rsid w:val="46032B23"/>
    <w:rsid w:val="460743C1"/>
    <w:rsid w:val="460D5750"/>
    <w:rsid w:val="460F771A"/>
    <w:rsid w:val="461A0599"/>
    <w:rsid w:val="46222FA9"/>
    <w:rsid w:val="462C5BD6"/>
    <w:rsid w:val="4642364B"/>
    <w:rsid w:val="46537607"/>
    <w:rsid w:val="466054DD"/>
    <w:rsid w:val="4677499D"/>
    <w:rsid w:val="468974CC"/>
    <w:rsid w:val="46932567"/>
    <w:rsid w:val="46A55988"/>
    <w:rsid w:val="46A9191C"/>
    <w:rsid w:val="46AF1094"/>
    <w:rsid w:val="46B1257F"/>
    <w:rsid w:val="46BA7FB1"/>
    <w:rsid w:val="46C71DA3"/>
    <w:rsid w:val="46DA1AD6"/>
    <w:rsid w:val="46DD5122"/>
    <w:rsid w:val="46EE732F"/>
    <w:rsid w:val="46FA2178"/>
    <w:rsid w:val="46FC1A4C"/>
    <w:rsid w:val="46FF32EA"/>
    <w:rsid w:val="47022DDB"/>
    <w:rsid w:val="47086643"/>
    <w:rsid w:val="471C20EE"/>
    <w:rsid w:val="471C5C4A"/>
    <w:rsid w:val="473B3B1F"/>
    <w:rsid w:val="473B51AB"/>
    <w:rsid w:val="4740402F"/>
    <w:rsid w:val="47503B46"/>
    <w:rsid w:val="47523D62"/>
    <w:rsid w:val="476615BC"/>
    <w:rsid w:val="4779309D"/>
    <w:rsid w:val="478B2DD0"/>
    <w:rsid w:val="478D3956"/>
    <w:rsid w:val="478F466E"/>
    <w:rsid w:val="4791488A"/>
    <w:rsid w:val="47925F0D"/>
    <w:rsid w:val="479B1265"/>
    <w:rsid w:val="479C322F"/>
    <w:rsid w:val="47B916EB"/>
    <w:rsid w:val="47CF0F0F"/>
    <w:rsid w:val="47D14C87"/>
    <w:rsid w:val="47D169E5"/>
    <w:rsid w:val="47D429C9"/>
    <w:rsid w:val="47E30DFE"/>
    <w:rsid w:val="47E30E5E"/>
    <w:rsid w:val="47E56984"/>
    <w:rsid w:val="47EC1AC1"/>
    <w:rsid w:val="481132D5"/>
    <w:rsid w:val="48147269"/>
    <w:rsid w:val="481D7831"/>
    <w:rsid w:val="4828061F"/>
    <w:rsid w:val="482A4397"/>
    <w:rsid w:val="482F5E51"/>
    <w:rsid w:val="484A2E33"/>
    <w:rsid w:val="48537D92"/>
    <w:rsid w:val="485458B8"/>
    <w:rsid w:val="48552B21"/>
    <w:rsid w:val="485D4EFD"/>
    <w:rsid w:val="486F26F2"/>
    <w:rsid w:val="488E4926"/>
    <w:rsid w:val="488F68F0"/>
    <w:rsid w:val="48931F3C"/>
    <w:rsid w:val="48934632"/>
    <w:rsid w:val="48965ED0"/>
    <w:rsid w:val="48AC2FFE"/>
    <w:rsid w:val="48B87932"/>
    <w:rsid w:val="48BB76E5"/>
    <w:rsid w:val="48BF0F83"/>
    <w:rsid w:val="48C04CFB"/>
    <w:rsid w:val="48D6451F"/>
    <w:rsid w:val="48DD571A"/>
    <w:rsid w:val="48E374F8"/>
    <w:rsid w:val="48EC789E"/>
    <w:rsid w:val="48FC3F85"/>
    <w:rsid w:val="48FE2C52"/>
    <w:rsid w:val="490948F4"/>
    <w:rsid w:val="49096929"/>
    <w:rsid w:val="490C607A"/>
    <w:rsid w:val="490D6193"/>
    <w:rsid w:val="49100E4E"/>
    <w:rsid w:val="49177011"/>
    <w:rsid w:val="493C57C4"/>
    <w:rsid w:val="49423962"/>
    <w:rsid w:val="49494CF1"/>
    <w:rsid w:val="494E2307"/>
    <w:rsid w:val="497125DE"/>
    <w:rsid w:val="497D4ABA"/>
    <w:rsid w:val="497F3C13"/>
    <w:rsid w:val="499C3073"/>
    <w:rsid w:val="49C63CB5"/>
    <w:rsid w:val="49CA7BE0"/>
    <w:rsid w:val="49F64E79"/>
    <w:rsid w:val="4A076836"/>
    <w:rsid w:val="4A0A26D2"/>
    <w:rsid w:val="4A0C0D60"/>
    <w:rsid w:val="4A3414FD"/>
    <w:rsid w:val="4A4831FA"/>
    <w:rsid w:val="4A4A2ACF"/>
    <w:rsid w:val="4A4A6F73"/>
    <w:rsid w:val="4A5B4CDC"/>
    <w:rsid w:val="4A653B05"/>
    <w:rsid w:val="4A6873F9"/>
    <w:rsid w:val="4A691AF4"/>
    <w:rsid w:val="4A6C0C97"/>
    <w:rsid w:val="4A6C6EE9"/>
    <w:rsid w:val="4A783AE0"/>
    <w:rsid w:val="4A844EF3"/>
    <w:rsid w:val="4A8A6194"/>
    <w:rsid w:val="4A8F0E29"/>
    <w:rsid w:val="4A914BA1"/>
    <w:rsid w:val="4A9F6F2A"/>
    <w:rsid w:val="4AA246B9"/>
    <w:rsid w:val="4AC77F1B"/>
    <w:rsid w:val="4ACC1859"/>
    <w:rsid w:val="4AD32B7C"/>
    <w:rsid w:val="4ADD7DE7"/>
    <w:rsid w:val="4AE72A13"/>
    <w:rsid w:val="4AF34F14"/>
    <w:rsid w:val="4AF3760A"/>
    <w:rsid w:val="4AFA62A3"/>
    <w:rsid w:val="4B0435C5"/>
    <w:rsid w:val="4B0C5FD6"/>
    <w:rsid w:val="4B131B6F"/>
    <w:rsid w:val="4B166E55"/>
    <w:rsid w:val="4B2C0D79"/>
    <w:rsid w:val="4B2E23F0"/>
    <w:rsid w:val="4B367AD7"/>
    <w:rsid w:val="4B481704"/>
    <w:rsid w:val="4B614574"/>
    <w:rsid w:val="4B616322"/>
    <w:rsid w:val="4B702A09"/>
    <w:rsid w:val="4B840262"/>
    <w:rsid w:val="4B8F7333"/>
    <w:rsid w:val="4B9002A1"/>
    <w:rsid w:val="4B982148"/>
    <w:rsid w:val="4BA157E9"/>
    <w:rsid w:val="4BA92BA5"/>
    <w:rsid w:val="4BAD7C0A"/>
    <w:rsid w:val="4BB5041C"/>
    <w:rsid w:val="4BB74194"/>
    <w:rsid w:val="4BC02B8A"/>
    <w:rsid w:val="4BC92119"/>
    <w:rsid w:val="4BCB5E91"/>
    <w:rsid w:val="4BDA60D4"/>
    <w:rsid w:val="4C26737A"/>
    <w:rsid w:val="4C325F10"/>
    <w:rsid w:val="4C4338BA"/>
    <w:rsid w:val="4C4874E2"/>
    <w:rsid w:val="4C4C3B78"/>
    <w:rsid w:val="4C4D4AF8"/>
    <w:rsid w:val="4C51324C"/>
    <w:rsid w:val="4C583BC9"/>
    <w:rsid w:val="4C675BBA"/>
    <w:rsid w:val="4C742085"/>
    <w:rsid w:val="4C79760A"/>
    <w:rsid w:val="4C8C5620"/>
    <w:rsid w:val="4C8F6EBF"/>
    <w:rsid w:val="4C9A3242"/>
    <w:rsid w:val="4C9B1D07"/>
    <w:rsid w:val="4C9E35A6"/>
    <w:rsid w:val="4CA254C8"/>
    <w:rsid w:val="4CC0176E"/>
    <w:rsid w:val="4CCF375F"/>
    <w:rsid w:val="4CD6689C"/>
    <w:rsid w:val="4D057181"/>
    <w:rsid w:val="4D0C49B3"/>
    <w:rsid w:val="4D111FCA"/>
    <w:rsid w:val="4D1D096E"/>
    <w:rsid w:val="4D2E0486"/>
    <w:rsid w:val="4D3C1030"/>
    <w:rsid w:val="4D4128AF"/>
    <w:rsid w:val="4D56487E"/>
    <w:rsid w:val="4D583754"/>
    <w:rsid w:val="4D595308"/>
    <w:rsid w:val="4D602609"/>
    <w:rsid w:val="4D783DF7"/>
    <w:rsid w:val="4DA42E3E"/>
    <w:rsid w:val="4DB56DF9"/>
    <w:rsid w:val="4DB766CD"/>
    <w:rsid w:val="4DB841F3"/>
    <w:rsid w:val="4DC112FA"/>
    <w:rsid w:val="4DD252B5"/>
    <w:rsid w:val="4DDA060D"/>
    <w:rsid w:val="4DDD3C5A"/>
    <w:rsid w:val="4DDE1EAC"/>
    <w:rsid w:val="4DDF3E76"/>
    <w:rsid w:val="4DE02688"/>
    <w:rsid w:val="4DE67084"/>
    <w:rsid w:val="4DF70E68"/>
    <w:rsid w:val="4DFC0584"/>
    <w:rsid w:val="4E061402"/>
    <w:rsid w:val="4E067654"/>
    <w:rsid w:val="4E222111"/>
    <w:rsid w:val="4E287F63"/>
    <w:rsid w:val="4E351802"/>
    <w:rsid w:val="4E37780E"/>
    <w:rsid w:val="4E3C4E24"/>
    <w:rsid w:val="4E402B66"/>
    <w:rsid w:val="4E45017D"/>
    <w:rsid w:val="4E52289A"/>
    <w:rsid w:val="4E6525CD"/>
    <w:rsid w:val="4E8F13F8"/>
    <w:rsid w:val="4E9026C9"/>
    <w:rsid w:val="4EB57700"/>
    <w:rsid w:val="4EC617D0"/>
    <w:rsid w:val="4ED67313"/>
    <w:rsid w:val="4ED84B4D"/>
    <w:rsid w:val="4EDB463D"/>
    <w:rsid w:val="4EDE412D"/>
    <w:rsid w:val="4EE95DB8"/>
    <w:rsid w:val="4EEA4880"/>
    <w:rsid w:val="4EEF633A"/>
    <w:rsid w:val="4EF474AD"/>
    <w:rsid w:val="4EF94AC3"/>
    <w:rsid w:val="4F10078B"/>
    <w:rsid w:val="4F1A33B7"/>
    <w:rsid w:val="4F1D07B2"/>
    <w:rsid w:val="4F1D4C56"/>
    <w:rsid w:val="4F483E30"/>
    <w:rsid w:val="4F55619D"/>
    <w:rsid w:val="4F585C8E"/>
    <w:rsid w:val="4F7C7BCE"/>
    <w:rsid w:val="4F822D0B"/>
    <w:rsid w:val="4FAB400F"/>
    <w:rsid w:val="4FBA24A4"/>
    <w:rsid w:val="4FC6709B"/>
    <w:rsid w:val="4FD04988"/>
    <w:rsid w:val="4FD64330"/>
    <w:rsid w:val="4FDC066D"/>
    <w:rsid w:val="4FDF1F0B"/>
    <w:rsid w:val="4FE94B38"/>
    <w:rsid w:val="4FEE65F2"/>
    <w:rsid w:val="4FF97471"/>
    <w:rsid w:val="50067498"/>
    <w:rsid w:val="500C13FE"/>
    <w:rsid w:val="500D0826"/>
    <w:rsid w:val="500D6A78"/>
    <w:rsid w:val="503009B9"/>
    <w:rsid w:val="50361381"/>
    <w:rsid w:val="504A4CD4"/>
    <w:rsid w:val="506D5166"/>
    <w:rsid w:val="50720FD1"/>
    <w:rsid w:val="507B7E86"/>
    <w:rsid w:val="507E38BC"/>
    <w:rsid w:val="50827466"/>
    <w:rsid w:val="50843944"/>
    <w:rsid w:val="50850D04"/>
    <w:rsid w:val="50AD2009"/>
    <w:rsid w:val="50B213CE"/>
    <w:rsid w:val="50C6264E"/>
    <w:rsid w:val="50CE4E56"/>
    <w:rsid w:val="50E13A61"/>
    <w:rsid w:val="50E52B3B"/>
    <w:rsid w:val="50E81293"/>
    <w:rsid w:val="50EE68AA"/>
    <w:rsid w:val="50F6750C"/>
    <w:rsid w:val="50FD6AED"/>
    <w:rsid w:val="50FE2865"/>
    <w:rsid w:val="510936E3"/>
    <w:rsid w:val="510A745C"/>
    <w:rsid w:val="510C4F82"/>
    <w:rsid w:val="510F6820"/>
    <w:rsid w:val="51124655"/>
    <w:rsid w:val="51145BE4"/>
    <w:rsid w:val="5117340D"/>
    <w:rsid w:val="511917E7"/>
    <w:rsid w:val="511F2F07"/>
    <w:rsid w:val="51217A74"/>
    <w:rsid w:val="51220301"/>
    <w:rsid w:val="51275918"/>
    <w:rsid w:val="512C2F2E"/>
    <w:rsid w:val="51530621"/>
    <w:rsid w:val="51621046"/>
    <w:rsid w:val="516C77CE"/>
    <w:rsid w:val="516E3547"/>
    <w:rsid w:val="51705511"/>
    <w:rsid w:val="51713037"/>
    <w:rsid w:val="517D3840"/>
    <w:rsid w:val="51842D6A"/>
    <w:rsid w:val="51870AAC"/>
    <w:rsid w:val="518B234A"/>
    <w:rsid w:val="519C236E"/>
    <w:rsid w:val="51A4340C"/>
    <w:rsid w:val="51B00003"/>
    <w:rsid w:val="51B03B5F"/>
    <w:rsid w:val="51D6733E"/>
    <w:rsid w:val="51DC0DF8"/>
    <w:rsid w:val="51F37EF0"/>
    <w:rsid w:val="5201085F"/>
    <w:rsid w:val="5209326F"/>
    <w:rsid w:val="522D3402"/>
    <w:rsid w:val="522E1E73"/>
    <w:rsid w:val="523A5B1F"/>
    <w:rsid w:val="523B6791"/>
    <w:rsid w:val="52416EAD"/>
    <w:rsid w:val="524A3FB4"/>
    <w:rsid w:val="524F07B7"/>
    <w:rsid w:val="5268443A"/>
    <w:rsid w:val="52903990"/>
    <w:rsid w:val="529F7B67"/>
    <w:rsid w:val="52A1794C"/>
    <w:rsid w:val="52BB6C5F"/>
    <w:rsid w:val="52CD0741"/>
    <w:rsid w:val="52D715BF"/>
    <w:rsid w:val="52E15F7C"/>
    <w:rsid w:val="52FE4D9E"/>
    <w:rsid w:val="53034162"/>
    <w:rsid w:val="53083527"/>
    <w:rsid w:val="53095C1D"/>
    <w:rsid w:val="530A729F"/>
    <w:rsid w:val="531D5224"/>
    <w:rsid w:val="531E0F9C"/>
    <w:rsid w:val="532E7431"/>
    <w:rsid w:val="532F6D06"/>
    <w:rsid w:val="53334A48"/>
    <w:rsid w:val="533662E6"/>
    <w:rsid w:val="5349426B"/>
    <w:rsid w:val="535D7D17"/>
    <w:rsid w:val="53607807"/>
    <w:rsid w:val="53670B95"/>
    <w:rsid w:val="53715570"/>
    <w:rsid w:val="537961D3"/>
    <w:rsid w:val="538928BA"/>
    <w:rsid w:val="538E0A92"/>
    <w:rsid w:val="539227A8"/>
    <w:rsid w:val="5394300C"/>
    <w:rsid w:val="53A56FC8"/>
    <w:rsid w:val="53B316E5"/>
    <w:rsid w:val="53B8319F"/>
    <w:rsid w:val="53DA1367"/>
    <w:rsid w:val="53DB0C3B"/>
    <w:rsid w:val="53DC50DF"/>
    <w:rsid w:val="53E75832"/>
    <w:rsid w:val="53F1045F"/>
    <w:rsid w:val="53F561A1"/>
    <w:rsid w:val="54000993"/>
    <w:rsid w:val="54023290"/>
    <w:rsid w:val="54040192"/>
    <w:rsid w:val="54071A30"/>
    <w:rsid w:val="54133FC5"/>
    <w:rsid w:val="541A1764"/>
    <w:rsid w:val="541C372E"/>
    <w:rsid w:val="542A3355"/>
    <w:rsid w:val="542C5C75"/>
    <w:rsid w:val="543C5B7E"/>
    <w:rsid w:val="545666FE"/>
    <w:rsid w:val="54576514"/>
    <w:rsid w:val="545C7FCE"/>
    <w:rsid w:val="54646E83"/>
    <w:rsid w:val="54660E4D"/>
    <w:rsid w:val="546B6463"/>
    <w:rsid w:val="547075D6"/>
    <w:rsid w:val="547C241E"/>
    <w:rsid w:val="547C41CC"/>
    <w:rsid w:val="547F5A6B"/>
    <w:rsid w:val="548B08B3"/>
    <w:rsid w:val="54926564"/>
    <w:rsid w:val="54A92AE8"/>
    <w:rsid w:val="54B43966"/>
    <w:rsid w:val="54C55B73"/>
    <w:rsid w:val="54CB6F02"/>
    <w:rsid w:val="54D67D81"/>
    <w:rsid w:val="54EC5B9C"/>
    <w:rsid w:val="55180399"/>
    <w:rsid w:val="55264138"/>
    <w:rsid w:val="553700F3"/>
    <w:rsid w:val="55434CEA"/>
    <w:rsid w:val="55455E89"/>
    <w:rsid w:val="554C3B9F"/>
    <w:rsid w:val="554E136B"/>
    <w:rsid w:val="55517407"/>
    <w:rsid w:val="555C0C14"/>
    <w:rsid w:val="55676C2B"/>
    <w:rsid w:val="556C4241"/>
    <w:rsid w:val="557E5D22"/>
    <w:rsid w:val="558E065B"/>
    <w:rsid w:val="559317CE"/>
    <w:rsid w:val="55986DE4"/>
    <w:rsid w:val="559A7000"/>
    <w:rsid w:val="55A51501"/>
    <w:rsid w:val="55A734CB"/>
    <w:rsid w:val="55AA4D69"/>
    <w:rsid w:val="55B300C2"/>
    <w:rsid w:val="55BE25C3"/>
    <w:rsid w:val="55C93441"/>
    <w:rsid w:val="55D1679A"/>
    <w:rsid w:val="55E16B3B"/>
    <w:rsid w:val="55E53FF3"/>
    <w:rsid w:val="55E55DA1"/>
    <w:rsid w:val="55F61D5C"/>
    <w:rsid w:val="55F66200"/>
    <w:rsid w:val="560826E9"/>
    <w:rsid w:val="56116B96"/>
    <w:rsid w:val="561346BC"/>
    <w:rsid w:val="56135CC8"/>
    <w:rsid w:val="56446F6C"/>
    <w:rsid w:val="56521689"/>
    <w:rsid w:val="56535401"/>
    <w:rsid w:val="565465FE"/>
    <w:rsid w:val="56582A17"/>
    <w:rsid w:val="565C42B5"/>
    <w:rsid w:val="565C6063"/>
    <w:rsid w:val="5666172C"/>
    <w:rsid w:val="56890E23"/>
    <w:rsid w:val="5689497F"/>
    <w:rsid w:val="56981066"/>
    <w:rsid w:val="569D042A"/>
    <w:rsid w:val="56A63783"/>
    <w:rsid w:val="56A93273"/>
    <w:rsid w:val="56B300CA"/>
    <w:rsid w:val="56BA0FDC"/>
    <w:rsid w:val="56C36721"/>
    <w:rsid w:val="56C8194B"/>
    <w:rsid w:val="56C854A7"/>
    <w:rsid w:val="56CE08B4"/>
    <w:rsid w:val="56D402F0"/>
    <w:rsid w:val="56DA167E"/>
    <w:rsid w:val="56E55706"/>
    <w:rsid w:val="56EA08C7"/>
    <w:rsid w:val="56F664B8"/>
    <w:rsid w:val="56F72230"/>
    <w:rsid w:val="57082318"/>
    <w:rsid w:val="570A1F63"/>
    <w:rsid w:val="570A2CF2"/>
    <w:rsid w:val="571B7CCD"/>
    <w:rsid w:val="573568B4"/>
    <w:rsid w:val="573963A5"/>
    <w:rsid w:val="573A3649"/>
    <w:rsid w:val="574B1C86"/>
    <w:rsid w:val="57611783"/>
    <w:rsid w:val="57692728"/>
    <w:rsid w:val="57787490"/>
    <w:rsid w:val="57956B74"/>
    <w:rsid w:val="57981DED"/>
    <w:rsid w:val="57993370"/>
    <w:rsid w:val="57A44166"/>
    <w:rsid w:val="57AD76A5"/>
    <w:rsid w:val="57AE6D93"/>
    <w:rsid w:val="57B679F5"/>
    <w:rsid w:val="57D434CE"/>
    <w:rsid w:val="57D460CD"/>
    <w:rsid w:val="57D95558"/>
    <w:rsid w:val="57E44562"/>
    <w:rsid w:val="58075A05"/>
    <w:rsid w:val="58170F85"/>
    <w:rsid w:val="5822508B"/>
    <w:rsid w:val="582310F2"/>
    <w:rsid w:val="582726A1"/>
    <w:rsid w:val="5827444F"/>
    <w:rsid w:val="583C439E"/>
    <w:rsid w:val="5842572D"/>
    <w:rsid w:val="584A6390"/>
    <w:rsid w:val="584C2108"/>
    <w:rsid w:val="585B2DA9"/>
    <w:rsid w:val="58682C37"/>
    <w:rsid w:val="586C27AA"/>
    <w:rsid w:val="58920462"/>
    <w:rsid w:val="58A14202"/>
    <w:rsid w:val="58A7169E"/>
    <w:rsid w:val="58AC2BA6"/>
    <w:rsid w:val="58B63D97"/>
    <w:rsid w:val="58B8154B"/>
    <w:rsid w:val="58C60A56"/>
    <w:rsid w:val="58CF47FC"/>
    <w:rsid w:val="58DC7930"/>
    <w:rsid w:val="58E10AA2"/>
    <w:rsid w:val="58E6255C"/>
    <w:rsid w:val="58F702C5"/>
    <w:rsid w:val="590E560F"/>
    <w:rsid w:val="591936AB"/>
    <w:rsid w:val="591E5852"/>
    <w:rsid w:val="592310BA"/>
    <w:rsid w:val="593E7CA2"/>
    <w:rsid w:val="593F3A1A"/>
    <w:rsid w:val="59411541"/>
    <w:rsid w:val="59417793"/>
    <w:rsid w:val="5960560A"/>
    <w:rsid w:val="59632FD1"/>
    <w:rsid w:val="5963595B"/>
    <w:rsid w:val="59741916"/>
    <w:rsid w:val="597731B4"/>
    <w:rsid w:val="597D4C6F"/>
    <w:rsid w:val="5987789B"/>
    <w:rsid w:val="598D4786"/>
    <w:rsid w:val="59941FB8"/>
    <w:rsid w:val="59967ADE"/>
    <w:rsid w:val="59981AA8"/>
    <w:rsid w:val="599C0E6D"/>
    <w:rsid w:val="59A0270B"/>
    <w:rsid w:val="59AD6BD6"/>
    <w:rsid w:val="59C75185"/>
    <w:rsid w:val="59DF76D7"/>
    <w:rsid w:val="59E12724"/>
    <w:rsid w:val="59E3084A"/>
    <w:rsid w:val="59E36A9C"/>
    <w:rsid w:val="59F42A57"/>
    <w:rsid w:val="59F478F2"/>
    <w:rsid w:val="59F91E1B"/>
    <w:rsid w:val="5A086C57"/>
    <w:rsid w:val="5A236E98"/>
    <w:rsid w:val="5A3B0686"/>
    <w:rsid w:val="5A4412E8"/>
    <w:rsid w:val="5A551748"/>
    <w:rsid w:val="5A6462E6"/>
    <w:rsid w:val="5A6A4AC7"/>
    <w:rsid w:val="5A6C6FE1"/>
    <w:rsid w:val="5A737E20"/>
    <w:rsid w:val="5A7871E4"/>
    <w:rsid w:val="5A8262B5"/>
    <w:rsid w:val="5A8A2DEF"/>
    <w:rsid w:val="5A8E07B6"/>
    <w:rsid w:val="5A902780"/>
    <w:rsid w:val="5A971D60"/>
    <w:rsid w:val="5A9F0C15"/>
    <w:rsid w:val="5AD00DCE"/>
    <w:rsid w:val="5AE12FDB"/>
    <w:rsid w:val="5AE44879"/>
    <w:rsid w:val="5AE623A0"/>
    <w:rsid w:val="5AE76118"/>
    <w:rsid w:val="5AED7BD2"/>
    <w:rsid w:val="5B054F4B"/>
    <w:rsid w:val="5B0A3312"/>
    <w:rsid w:val="5B0A6C79"/>
    <w:rsid w:val="5B1433B1"/>
    <w:rsid w:val="5B1E12B7"/>
    <w:rsid w:val="5B215ACE"/>
    <w:rsid w:val="5B2829B8"/>
    <w:rsid w:val="5B2A2BD4"/>
    <w:rsid w:val="5B321A89"/>
    <w:rsid w:val="5B323837"/>
    <w:rsid w:val="5B4041A6"/>
    <w:rsid w:val="5B417F1E"/>
    <w:rsid w:val="5B463D7C"/>
    <w:rsid w:val="5B557525"/>
    <w:rsid w:val="5B5E63DA"/>
    <w:rsid w:val="5B61411C"/>
    <w:rsid w:val="5B624B6B"/>
    <w:rsid w:val="5B637E94"/>
    <w:rsid w:val="5B6D2AC1"/>
    <w:rsid w:val="5B6D486F"/>
    <w:rsid w:val="5B743E4F"/>
    <w:rsid w:val="5B765E19"/>
    <w:rsid w:val="5B8816A9"/>
    <w:rsid w:val="5B8D6CBF"/>
    <w:rsid w:val="5BC87CF7"/>
    <w:rsid w:val="5BD1221B"/>
    <w:rsid w:val="5BDB3ECE"/>
    <w:rsid w:val="5BDC684B"/>
    <w:rsid w:val="5BEF7366"/>
    <w:rsid w:val="5C0547DD"/>
    <w:rsid w:val="5C07081F"/>
    <w:rsid w:val="5C0F3B78"/>
    <w:rsid w:val="5C2238AB"/>
    <w:rsid w:val="5C2A6C04"/>
    <w:rsid w:val="5C401F83"/>
    <w:rsid w:val="5C425CFC"/>
    <w:rsid w:val="5C533A65"/>
    <w:rsid w:val="5C553C81"/>
    <w:rsid w:val="5C5617A7"/>
    <w:rsid w:val="5C6043D4"/>
    <w:rsid w:val="5C6E089F"/>
    <w:rsid w:val="5C7B2FBB"/>
    <w:rsid w:val="5C967DF5"/>
    <w:rsid w:val="5C9A5B38"/>
    <w:rsid w:val="5CA731F3"/>
    <w:rsid w:val="5CAA4A7B"/>
    <w:rsid w:val="5CAF2C65"/>
    <w:rsid w:val="5CBE543E"/>
    <w:rsid w:val="5CC42BB4"/>
    <w:rsid w:val="5CC901CB"/>
    <w:rsid w:val="5CC90DBE"/>
    <w:rsid w:val="5CD728E8"/>
    <w:rsid w:val="5D066D29"/>
    <w:rsid w:val="5D271EAF"/>
    <w:rsid w:val="5D2C42B6"/>
    <w:rsid w:val="5D327B1E"/>
    <w:rsid w:val="5D331AE8"/>
    <w:rsid w:val="5D423AD9"/>
    <w:rsid w:val="5D4358E5"/>
    <w:rsid w:val="5D5177E6"/>
    <w:rsid w:val="5D59154F"/>
    <w:rsid w:val="5D5932FD"/>
    <w:rsid w:val="5D5A7075"/>
    <w:rsid w:val="5D5C2DED"/>
    <w:rsid w:val="5D5F28DD"/>
    <w:rsid w:val="5D641CA2"/>
    <w:rsid w:val="5D655039"/>
    <w:rsid w:val="5D6B1282"/>
    <w:rsid w:val="5D6E2740"/>
    <w:rsid w:val="5D746389"/>
    <w:rsid w:val="5D7719D5"/>
    <w:rsid w:val="5D77374D"/>
    <w:rsid w:val="5D8B722E"/>
    <w:rsid w:val="5D924A61"/>
    <w:rsid w:val="5DA16A52"/>
    <w:rsid w:val="5DAF116F"/>
    <w:rsid w:val="5DB72D9E"/>
    <w:rsid w:val="5DFE20F6"/>
    <w:rsid w:val="5E006E0E"/>
    <w:rsid w:val="5E0C7162"/>
    <w:rsid w:val="5E11747C"/>
    <w:rsid w:val="5E2E29DB"/>
    <w:rsid w:val="5E3653EC"/>
    <w:rsid w:val="5E387121"/>
    <w:rsid w:val="5E3C43B8"/>
    <w:rsid w:val="5E3E0586"/>
    <w:rsid w:val="5E4044BD"/>
    <w:rsid w:val="5E423B66"/>
    <w:rsid w:val="5E48511F"/>
    <w:rsid w:val="5E543AC4"/>
    <w:rsid w:val="5E565A8E"/>
    <w:rsid w:val="5E5B12F6"/>
    <w:rsid w:val="5E5F0DE7"/>
    <w:rsid w:val="5E6964AE"/>
    <w:rsid w:val="5E7303EE"/>
    <w:rsid w:val="5E826883"/>
    <w:rsid w:val="5E8A10C2"/>
    <w:rsid w:val="5E8C001D"/>
    <w:rsid w:val="5E8C7702"/>
    <w:rsid w:val="5E9D546B"/>
    <w:rsid w:val="5EAA360D"/>
    <w:rsid w:val="5EAB402C"/>
    <w:rsid w:val="5EB36A3D"/>
    <w:rsid w:val="5EBD5B0D"/>
    <w:rsid w:val="5EC073AC"/>
    <w:rsid w:val="5ECB647C"/>
    <w:rsid w:val="5ED05841"/>
    <w:rsid w:val="5ED52E57"/>
    <w:rsid w:val="5ED82947"/>
    <w:rsid w:val="5EE27322"/>
    <w:rsid w:val="5EF3152F"/>
    <w:rsid w:val="5F0E45BB"/>
    <w:rsid w:val="5F180EE5"/>
    <w:rsid w:val="5F337B7D"/>
    <w:rsid w:val="5F3C4C84"/>
    <w:rsid w:val="5F3F6522"/>
    <w:rsid w:val="5F465B03"/>
    <w:rsid w:val="5F4C0C3F"/>
    <w:rsid w:val="5F4E49B7"/>
    <w:rsid w:val="5F5875E4"/>
    <w:rsid w:val="5F5C70D4"/>
    <w:rsid w:val="5F5D4BFA"/>
    <w:rsid w:val="5F622211"/>
    <w:rsid w:val="5F630463"/>
    <w:rsid w:val="5F6D7533"/>
    <w:rsid w:val="5F772160"/>
    <w:rsid w:val="5F893C41"/>
    <w:rsid w:val="5F8C464F"/>
    <w:rsid w:val="5F93061C"/>
    <w:rsid w:val="5FAD16DE"/>
    <w:rsid w:val="5FAE5456"/>
    <w:rsid w:val="5FB951A6"/>
    <w:rsid w:val="5FBE38EB"/>
    <w:rsid w:val="5FC23040"/>
    <w:rsid w:val="5FCD1D80"/>
    <w:rsid w:val="5FCF3FEF"/>
    <w:rsid w:val="5FD314FE"/>
    <w:rsid w:val="5FD72BFF"/>
    <w:rsid w:val="5FD87942"/>
    <w:rsid w:val="5FDC0215"/>
    <w:rsid w:val="5FF53085"/>
    <w:rsid w:val="60174CA1"/>
    <w:rsid w:val="60234096"/>
    <w:rsid w:val="602F6597"/>
    <w:rsid w:val="60343BAD"/>
    <w:rsid w:val="604C0EF7"/>
    <w:rsid w:val="605B155E"/>
    <w:rsid w:val="605E0C2A"/>
    <w:rsid w:val="606A3A73"/>
    <w:rsid w:val="606F1089"/>
    <w:rsid w:val="60787F3E"/>
    <w:rsid w:val="607D37A6"/>
    <w:rsid w:val="60803296"/>
    <w:rsid w:val="60822B6A"/>
    <w:rsid w:val="60824919"/>
    <w:rsid w:val="60966616"/>
    <w:rsid w:val="60B46A9C"/>
    <w:rsid w:val="60B82A30"/>
    <w:rsid w:val="60C2740B"/>
    <w:rsid w:val="60C72C73"/>
    <w:rsid w:val="60D4713E"/>
    <w:rsid w:val="60E94998"/>
    <w:rsid w:val="60EE6452"/>
    <w:rsid w:val="60F15F42"/>
    <w:rsid w:val="60FB0B6F"/>
    <w:rsid w:val="61073070"/>
    <w:rsid w:val="612754C0"/>
    <w:rsid w:val="61306A6A"/>
    <w:rsid w:val="613D2F35"/>
    <w:rsid w:val="613F6CAD"/>
    <w:rsid w:val="61614E76"/>
    <w:rsid w:val="6166248C"/>
    <w:rsid w:val="61707F91"/>
    <w:rsid w:val="618172C6"/>
    <w:rsid w:val="61923281"/>
    <w:rsid w:val="6192502F"/>
    <w:rsid w:val="61A134C4"/>
    <w:rsid w:val="61B2122D"/>
    <w:rsid w:val="61B34FA6"/>
    <w:rsid w:val="61B41449"/>
    <w:rsid w:val="61E15FB7"/>
    <w:rsid w:val="61E433B1"/>
    <w:rsid w:val="61E82EA1"/>
    <w:rsid w:val="61EB06EE"/>
    <w:rsid w:val="61F555BE"/>
    <w:rsid w:val="61FB0AE1"/>
    <w:rsid w:val="620C3034"/>
    <w:rsid w:val="621A5025"/>
    <w:rsid w:val="62210161"/>
    <w:rsid w:val="623205C0"/>
    <w:rsid w:val="62326812"/>
    <w:rsid w:val="62353C0D"/>
    <w:rsid w:val="623954AB"/>
    <w:rsid w:val="623A7152"/>
    <w:rsid w:val="624327CD"/>
    <w:rsid w:val="625F6BB9"/>
    <w:rsid w:val="62726C0F"/>
    <w:rsid w:val="627604AD"/>
    <w:rsid w:val="627666FF"/>
    <w:rsid w:val="627B5AC3"/>
    <w:rsid w:val="62810F0E"/>
    <w:rsid w:val="628277E3"/>
    <w:rsid w:val="628506F0"/>
    <w:rsid w:val="6291178B"/>
    <w:rsid w:val="62A25746"/>
    <w:rsid w:val="62A274F4"/>
    <w:rsid w:val="62A414BE"/>
    <w:rsid w:val="62AC0373"/>
    <w:rsid w:val="62AF39BF"/>
    <w:rsid w:val="62B62F9F"/>
    <w:rsid w:val="62BC7E8A"/>
    <w:rsid w:val="62C76F5B"/>
    <w:rsid w:val="62D117C8"/>
    <w:rsid w:val="62F048E9"/>
    <w:rsid w:val="62F12229"/>
    <w:rsid w:val="62F35FA1"/>
    <w:rsid w:val="62F51D1A"/>
    <w:rsid w:val="62F84464"/>
    <w:rsid w:val="630C0E11"/>
    <w:rsid w:val="631A352E"/>
    <w:rsid w:val="63275C4B"/>
    <w:rsid w:val="63387E58"/>
    <w:rsid w:val="633D546F"/>
    <w:rsid w:val="634560D1"/>
    <w:rsid w:val="634C56B2"/>
    <w:rsid w:val="63730E90"/>
    <w:rsid w:val="637349EC"/>
    <w:rsid w:val="63745D72"/>
    <w:rsid w:val="637644DD"/>
    <w:rsid w:val="637A3FCD"/>
    <w:rsid w:val="638B7F88"/>
    <w:rsid w:val="639C058F"/>
    <w:rsid w:val="639D1436"/>
    <w:rsid w:val="63C45248"/>
    <w:rsid w:val="63CB2A7A"/>
    <w:rsid w:val="63DD630A"/>
    <w:rsid w:val="63E1404C"/>
    <w:rsid w:val="63EC712E"/>
    <w:rsid w:val="63FB2FA9"/>
    <w:rsid w:val="63FC0E86"/>
    <w:rsid w:val="64061D04"/>
    <w:rsid w:val="640D3093"/>
    <w:rsid w:val="64116879"/>
    <w:rsid w:val="641C3A32"/>
    <w:rsid w:val="641E2BAA"/>
    <w:rsid w:val="6421269A"/>
    <w:rsid w:val="64216B3E"/>
    <w:rsid w:val="6424539D"/>
    <w:rsid w:val="64281364"/>
    <w:rsid w:val="642F3009"/>
    <w:rsid w:val="64340620"/>
    <w:rsid w:val="64373C6C"/>
    <w:rsid w:val="643C1282"/>
    <w:rsid w:val="645760BC"/>
    <w:rsid w:val="6461518D"/>
    <w:rsid w:val="646A5FF4"/>
    <w:rsid w:val="646D3B32"/>
    <w:rsid w:val="647C1FC7"/>
    <w:rsid w:val="64836EB1"/>
    <w:rsid w:val="648D7D30"/>
    <w:rsid w:val="64964E36"/>
    <w:rsid w:val="64A852AD"/>
    <w:rsid w:val="64AC6408"/>
    <w:rsid w:val="64AD3F2E"/>
    <w:rsid w:val="64C37BF6"/>
    <w:rsid w:val="64CE2822"/>
    <w:rsid w:val="64D43BB1"/>
    <w:rsid w:val="64F04C2B"/>
    <w:rsid w:val="64F1206D"/>
    <w:rsid w:val="65046244"/>
    <w:rsid w:val="65051FBC"/>
    <w:rsid w:val="65077657"/>
    <w:rsid w:val="65110712"/>
    <w:rsid w:val="6522491C"/>
    <w:rsid w:val="65257F68"/>
    <w:rsid w:val="6535464F"/>
    <w:rsid w:val="65362175"/>
    <w:rsid w:val="6545060B"/>
    <w:rsid w:val="654A79CF"/>
    <w:rsid w:val="654B3C55"/>
    <w:rsid w:val="65534AD5"/>
    <w:rsid w:val="655D5954"/>
    <w:rsid w:val="65766A16"/>
    <w:rsid w:val="658D448B"/>
    <w:rsid w:val="65956E9C"/>
    <w:rsid w:val="65A2617E"/>
    <w:rsid w:val="65A2780B"/>
    <w:rsid w:val="65B03CD6"/>
    <w:rsid w:val="65B65064"/>
    <w:rsid w:val="65C94D98"/>
    <w:rsid w:val="65D33E68"/>
    <w:rsid w:val="65D976D1"/>
    <w:rsid w:val="65E3160A"/>
    <w:rsid w:val="65F1102F"/>
    <w:rsid w:val="65F30067"/>
    <w:rsid w:val="65FA13F5"/>
    <w:rsid w:val="65FB3157"/>
    <w:rsid w:val="660109D5"/>
    <w:rsid w:val="66214BD4"/>
    <w:rsid w:val="66236B9E"/>
    <w:rsid w:val="6635242D"/>
    <w:rsid w:val="663A5C95"/>
    <w:rsid w:val="663E5786"/>
    <w:rsid w:val="664B7EA3"/>
    <w:rsid w:val="664F7993"/>
    <w:rsid w:val="66630D48"/>
    <w:rsid w:val="66664368"/>
    <w:rsid w:val="666D606B"/>
    <w:rsid w:val="66763171"/>
    <w:rsid w:val="66886A01"/>
    <w:rsid w:val="669C24AC"/>
    <w:rsid w:val="66A17AC3"/>
    <w:rsid w:val="66A31BBE"/>
    <w:rsid w:val="66AA6977"/>
    <w:rsid w:val="66BE0674"/>
    <w:rsid w:val="66C11F13"/>
    <w:rsid w:val="66C20165"/>
    <w:rsid w:val="66E53E53"/>
    <w:rsid w:val="66EC6F90"/>
    <w:rsid w:val="66F26570"/>
    <w:rsid w:val="66F95B50"/>
    <w:rsid w:val="66FE3167"/>
    <w:rsid w:val="671958AB"/>
    <w:rsid w:val="671D35ED"/>
    <w:rsid w:val="672E75A8"/>
    <w:rsid w:val="67351044"/>
    <w:rsid w:val="673B3A73"/>
    <w:rsid w:val="673D5A3D"/>
    <w:rsid w:val="674072DB"/>
    <w:rsid w:val="674A015A"/>
    <w:rsid w:val="674C7A2E"/>
    <w:rsid w:val="67530DBD"/>
    <w:rsid w:val="6760797E"/>
    <w:rsid w:val="67627252"/>
    <w:rsid w:val="676C00D0"/>
    <w:rsid w:val="676F7BC1"/>
    <w:rsid w:val="677D22DE"/>
    <w:rsid w:val="677D408C"/>
    <w:rsid w:val="6784541A"/>
    <w:rsid w:val="67903D65"/>
    <w:rsid w:val="67915D89"/>
    <w:rsid w:val="67B13D35"/>
    <w:rsid w:val="67C43A69"/>
    <w:rsid w:val="67D971F6"/>
    <w:rsid w:val="67D9743A"/>
    <w:rsid w:val="67E81E4D"/>
    <w:rsid w:val="67EB7247"/>
    <w:rsid w:val="67EC2FBF"/>
    <w:rsid w:val="67F105D6"/>
    <w:rsid w:val="67F12B70"/>
    <w:rsid w:val="67FD143E"/>
    <w:rsid w:val="68077DF9"/>
    <w:rsid w:val="680D3662"/>
    <w:rsid w:val="680D5952"/>
    <w:rsid w:val="68283C8B"/>
    <w:rsid w:val="683E1A6D"/>
    <w:rsid w:val="68437083"/>
    <w:rsid w:val="68466B73"/>
    <w:rsid w:val="684B418A"/>
    <w:rsid w:val="68716F70"/>
    <w:rsid w:val="688D02FE"/>
    <w:rsid w:val="68AD6BF3"/>
    <w:rsid w:val="68B43ADD"/>
    <w:rsid w:val="68BA4E6C"/>
    <w:rsid w:val="68C1444C"/>
    <w:rsid w:val="68D20A01"/>
    <w:rsid w:val="68D777CC"/>
    <w:rsid w:val="68DB5F16"/>
    <w:rsid w:val="69006D22"/>
    <w:rsid w:val="6909452C"/>
    <w:rsid w:val="6922313D"/>
    <w:rsid w:val="69256789"/>
    <w:rsid w:val="692C7B17"/>
    <w:rsid w:val="69407A67"/>
    <w:rsid w:val="694A2693"/>
    <w:rsid w:val="694E3F32"/>
    <w:rsid w:val="69615031"/>
    <w:rsid w:val="69623539"/>
    <w:rsid w:val="697F058F"/>
    <w:rsid w:val="69855479"/>
    <w:rsid w:val="6990454A"/>
    <w:rsid w:val="6994390F"/>
    <w:rsid w:val="69AC0C58"/>
    <w:rsid w:val="69AC6EAA"/>
    <w:rsid w:val="69B875FD"/>
    <w:rsid w:val="69BE2739"/>
    <w:rsid w:val="69D044D3"/>
    <w:rsid w:val="69E228CC"/>
    <w:rsid w:val="69E62DFD"/>
    <w:rsid w:val="69EB1780"/>
    <w:rsid w:val="69FE3D41"/>
    <w:rsid w:val="6A0665BA"/>
    <w:rsid w:val="6A1E618D"/>
    <w:rsid w:val="6A2021EE"/>
    <w:rsid w:val="6A2133F4"/>
    <w:rsid w:val="6A333127"/>
    <w:rsid w:val="6A38073E"/>
    <w:rsid w:val="6A3C74A8"/>
    <w:rsid w:val="6A42336B"/>
    <w:rsid w:val="6A4610AD"/>
    <w:rsid w:val="6A4B0471"/>
    <w:rsid w:val="6A4E1D0F"/>
    <w:rsid w:val="6A611A43"/>
    <w:rsid w:val="6A6D4EFC"/>
    <w:rsid w:val="6A7259FE"/>
    <w:rsid w:val="6A843983"/>
    <w:rsid w:val="6A9736B6"/>
    <w:rsid w:val="6AA656A7"/>
    <w:rsid w:val="6AB57FE0"/>
    <w:rsid w:val="6AC02C0D"/>
    <w:rsid w:val="6ACF2E50"/>
    <w:rsid w:val="6AD541DF"/>
    <w:rsid w:val="6AD93CCF"/>
    <w:rsid w:val="6AD95A7D"/>
    <w:rsid w:val="6AFF300A"/>
    <w:rsid w:val="6B0074AE"/>
    <w:rsid w:val="6B014FD4"/>
    <w:rsid w:val="6B0625EA"/>
    <w:rsid w:val="6B0A032C"/>
    <w:rsid w:val="6B2A452A"/>
    <w:rsid w:val="6B2C180E"/>
    <w:rsid w:val="6B2C2051"/>
    <w:rsid w:val="6B43739A"/>
    <w:rsid w:val="6B44611A"/>
    <w:rsid w:val="6B5E41D4"/>
    <w:rsid w:val="6B637A3C"/>
    <w:rsid w:val="6B6B60E4"/>
    <w:rsid w:val="6B737C7F"/>
    <w:rsid w:val="6B76151E"/>
    <w:rsid w:val="6BA20565"/>
    <w:rsid w:val="6BA351CB"/>
    <w:rsid w:val="6BAC3782"/>
    <w:rsid w:val="6BBB3287"/>
    <w:rsid w:val="6BC4672D"/>
    <w:rsid w:val="6BCB7ABB"/>
    <w:rsid w:val="6BD529F8"/>
    <w:rsid w:val="6BDD77EF"/>
    <w:rsid w:val="6BEC6217"/>
    <w:rsid w:val="6BEF4FFD"/>
    <w:rsid w:val="6BFD1C3F"/>
    <w:rsid w:val="6C0134DD"/>
    <w:rsid w:val="6C0F54CE"/>
    <w:rsid w:val="6C133210"/>
    <w:rsid w:val="6C1825D5"/>
    <w:rsid w:val="6C315445"/>
    <w:rsid w:val="6C3870FA"/>
    <w:rsid w:val="6C4D6722"/>
    <w:rsid w:val="6C515AE7"/>
    <w:rsid w:val="6C553829"/>
    <w:rsid w:val="6C57134F"/>
    <w:rsid w:val="6C5A499B"/>
    <w:rsid w:val="6C635F46"/>
    <w:rsid w:val="6C7517D5"/>
    <w:rsid w:val="6C861C34"/>
    <w:rsid w:val="6C8B2DA7"/>
    <w:rsid w:val="6C9B45C8"/>
    <w:rsid w:val="6CA0380F"/>
    <w:rsid w:val="6CC339C8"/>
    <w:rsid w:val="6CC664D5"/>
    <w:rsid w:val="6CC85DA9"/>
    <w:rsid w:val="6CD429A0"/>
    <w:rsid w:val="6CDA4C16"/>
    <w:rsid w:val="6CDE1D45"/>
    <w:rsid w:val="6CDE55CC"/>
    <w:rsid w:val="6CE81FA7"/>
    <w:rsid w:val="6CEA00F9"/>
    <w:rsid w:val="6CEF77DA"/>
    <w:rsid w:val="6CF50B68"/>
    <w:rsid w:val="6CF7668E"/>
    <w:rsid w:val="6CF941B4"/>
    <w:rsid w:val="6CFC61C3"/>
    <w:rsid w:val="6D0D4104"/>
    <w:rsid w:val="6D17288C"/>
    <w:rsid w:val="6D4D62AE"/>
    <w:rsid w:val="6D54588F"/>
    <w:rsid w:val="6D605FE2"/>
    <w:rsid w:val="6D7E46BA"/>
    <w:rsid w:val="6D8A5CBE"/>
    <w:rsid w:val="6DA265FA"/>
    <w:rsid w:val="6DA4203B"/>
    <w:rsid w:val="6DA57E98"/>
    <w:rsid w:val="6DB9718A"/>
    <w:rsid w:val="6DD54C21"/>
    <w:rsid w:val="6DEA1D4F"/>
    <w:rsid w:val="6DEE183F"/>
    <w:rsid w:val="6DF17581"/>
    <w:rsid w:val="6E0472B5"/>
    <w:rsid w:val="6E056B89"/>
    <w:rsid w:val="6E1374F8"/>
    <w:rsid w:val="6E274D51"/>
    <w:rsid w:val="6E2E60E0"/>
    <w:rsid w:val="6E3A2CD6"/>
    <w:rsid w:val="6E3C25B5"/>
    <w:rsid w:val="6E46167B"/>
    <w:rsid w:val="6E5673E4"/>
    <w:rsid w:val="6E5B2C4D"/>
    <w:rsid w:val="6E5C0E9F"/>
    <w:rsid w:val="6E625D89"/>
    <w:rsid w:val="6E7D1D95"/>
    <w:rsid w:val="6EA14B04"/>
    <w:rsid w:val="6EAB5982"/>
    <w:rsid w:val="6EAB7730"/>
    <w:rsid w:val="6EAE0FCF"/>
    <w:rsid w:val="6EB20ABF"/>
    <w:rsid w:val="6EB760D5"/>
    <w:rsid w:val="6EB83BFB"/>
    <w:rsid w:val="6EBA5BC5"/>
    <w:rsid w:val="6ED0363B"/>
    <w:rsid w:val="6ED8604B"/>
    <w:rsid w:val="6EE964AB"/>
    <w:rsid w:val="6EEB3FD1"/>
    <w:rsid w:val="6EFA2466"/>
    <w:rsid w:val="6EFA4214"/>
    <w:rsid w:val="6F0926A9"/>
    <w:rsid w:val="6F0D3F47"/>
    <w:rsid w:val="6F173018"/>
    <w:rsid w:val="6F1C062E"/>
    <w:rsid w:val="6F32335C"/>
    <w:rsid w:val="6F40431D"/>
    <w:rsid w:val="6F481786"/>
    <w:rsid w:val="6F4E7F01"/>
    <w:rsid w:val="6F4F4560"/>
    <w:rsid w:val="6F5B1156"/>
    <w:rsid w:val="6F5B73A8"/>
    <w:rsid w:val="6F60676D"/>
    <w:rsid w:val="6F6571F5"/>
    <w:rsid w:val="6F6D49E6"/>
    <w:rsid w:val="6F6F7AB6"/>
    <w:rsid w:val="6F7915DC"/>
    <w:rsid w:val="6F7E6BF3"/>
    <w:rsid w:val="6F896C52"/>
    <w:rsid w:val="6F9401C4"/>
    <w:rsid w:val="6F991C7F"/>
    <w:rsid w:val="6F9B1553"/>
    <w:rsid w:val="6FA83C70"/>
    <w:rsid w:val="6FB22D40"/>
    <w:rsid w:val="6FD35191"/>
    <w:rsid w:val="6FD66A2F"/>
    <w:rsid w:val="6FD827A7"/>
    <w:rsid w:val="6FDB4045"/>
    <w:rsid w:val="7004359C"/>
    <w:rsid w:val="701A2DBF"/>
    <w:rsid w:val="701F03D6"/>
    <w:rsid w:val="70227EC6"/>
    <w:rsid w:val="70231548"/>
    <w:rsid w:val="7036571F"/>
    <w:rsid w:val="70384FF4"/>
    <w:rsid w:val="704C6CF1"/>
    <w:rsid w:val="705744C3"/>
    <w:rsid w:val="705931BC"/>
    <w:rsid w:val="70785D38"/>
    <w:rsid w:val="7087094C"/>
    <w:rsid w:val="70932B72"/>
    <w:rsid w:val="70A1528F"/>
    <w:rsid w:val="70A703CB"/>
    <w:rsid w:val="70B44D99"/>
    <w:rsid w:val="70C42D2B"/>
    <w:rsid w:val="70C525FF"/>
    <w:rsid w:val="70CC1BE0"/>
    <w:rsid w:val="70CC398E"/>
    <w:rsid w:val="70D34D1C"/>
    <w:rsid w:val="70D8620A"/>
    <w:rsid w:val="70FF4985"/>
    <w:rsid w:val="71031AA6"/>
    <w:rsid w:val="71303482"/>
    <w:rsid w:val="713D663A"/>
    <w:rsid w:val="71463740"/>
    <w:rsid w:val="715220E5"/>
    <w:rsid w:val="716A38D3"/>
    <w:rsid w:val="716B13F9"/>
    <w:rsid w:val="71724535"/>
    <w:rsid w:val="718E0BE9"/>
    <w:rsid w:val="71900E5F"/>
    <w:rsid w:val="719646C8"/>
    <w:rsid w:val="71A54B2A"/>
    <w:rsid w:val="71AA3CCF"/>
    <w:rsid w:val="71AF12E6"/>
    <w:rsid w:val="71B44B4E"/>
    <w:rsid w:val="71BC7EA6"/>
    <w:rsid w:val="71C32FE3"/>
    <w:rsid w:val="71C64881"/>
    <w:rsid w:val="71CD3E62"/>
    <w:rsid w:val="71D13952"/>
    <w:rsid w:val="71DC40A5"/>
    <w:rsid w:val="71DD22F7"/>
    <w:rsid w:val="71E35433"/>
    <w:rsid w:val="71F655F7"/>
    <w:rsid w:val="7205184D"/>
    <w:rsid w:val="720D24B0"/>
    <w:rsid w:val="721101F2"/>
    <w:rsid w:val="72231CD3"/>
    <w:rsid w:val="72275320"/>
    <w:rsid w:val="722E2B52"/>
    <w:rsid w:val="722F0678"/>
    <w:rsid w:val="72304FD3"/>
    <w:rsid w:val="724C09B1"/>
    <w:rsid w:val="725E2D0C"/>
    <w:rsid w:val="726A2AAA"/>
    <w:rsid w:val="72710C91"/>
    <w:rsid w:val="7275252F"/>
    <w:rsid w:val="72763829"/>
    <w:rsid w:val="72807126"/>
    <w:rsid w:val="728E35F1"/>
    <w:rsid w:val="729130E1"/>
    <w:rsid w:val="72A03324"/>
    <w:rsid w:val="72A526E9"/>
    <w:rsid w:val="72AE5A41"/>
    <w:rsid w:val="72BF19FC"/>
    <w:rsid w:val="72D44A63"/>
    <w:rsid w:val="72DA05E4"/>
    <w:rsid w:val="72DD6326"/>
    <w:rsid w:val="72E70F53"/>
    <w:rsid w:val="73075045"/>
    <w:rsid w:val="73124222"/>
    <w:rsid w:val="732005E3"/>
    <w:rsid w:val="73306456"/>
    <w:rsid w:val="73552361"/>
    <w:rsid w:val="73626323"/>
    <w:rsid w:val="73700F48"/>
    <w:rsid w:val="737F2F3A"/>
    <w:rsid w:val="73A17354"/>
    <w:rsid w:val="73A54057"/>
    <w:rsid w:val="73A806E2"/>
    <w:rsid w:val="73A86934"/>
    <w:rsid w:val="73C5726C"/>
    <w:rsid w:val="73CD2428"/>
    <w:rsid w:val="73D440E3"/>
    <w:rsid w:val="73DC65DE"/>
    <w:rsid w:val="73E67EA2"/>
    <w:rsid w:val="73E7745D"/>
    <w:rsid w:val="73F13E37"/>
    <w:rsid w:val="73FE47A6"/>
    <w:rsid w:val="74082F2F"/>
    <w:rsid w:val="740F42BD"/>
    <w:rsid w:val="74307A19"/>
    <w:rsid w:val="743106D8"/>
    <w:rsid w:val="74341F76"/>
    <w:rsid w:val="744C5512"/>
    <w:rsid w:val="746C5BB4"/>
    <w:rsid w:val="74736F42"/>
    <w:rsid w:val="747F58E7"/>
    <w:rsid w:val="74A94712"/>
    <w:rsid w:val="74AE3AD6"/>
    <w:rsid w:val="74B27EF5"/>
    <w:rsid w:val="74B80DF9"/>
    <w:rsid w:val="74C7054F"/>
    <w:rsid w:val="74C90910"/>
    <w:rsid w:val="74CF7DF7"/>
    <w:rsid w:val="74D55507"/>
    <w:rsid w:val="74D86DA5"/>
    <w:rsid w:val="74DF34DD"/>
    <w:rsid w:val="74EC0AA3"/>
    <w:rsid w:val="74EE0377"/>
    <w:rsid w:val="74F55BA9"/>
    <w:rsid w:val="74F71921"/>
    <w:rsid w:val="74FA31C0"/>
    <w:rsid w:val="74FE7C75"/>
    <w:rsid w:val="74FF69A7"/>
    <w:rsid w:val="750000AA"/>
    <w:rsid w:val="750202C6"/>
    <w:rsid w:val="75061B64"/>
    <w:rsid w:val="75144CBB"/>
    <w:rsid w:val="751D2A0A"/>
    <w:rsid w:val="752B3379"/>
    <w:rsid w:val="75306BE1"/>
    <w:rsid w:val="7535244A"/>
    <w:rsid w:val="75491A51"/>
    <w:rsid w:val="75530B22"/>
    <w:rsid w:val="757765BE"/>
    <w:rsid w:val="758051AD"/>
    <w:rsid w:val="758058F9"/>
    <w:rsid w:val="7589009F"/>
    <w:rsid w:val="758B3E18"/>
    <w:rsid w:val="759F78C3"/>
    <w:rsid w:val="75A44ED9"/>
    <w:rsid w:val="75A573B8"/>
    <w:rsid w:val="75A650F5"/>
    <w:rsid w:val="75A82C1C"/>
    <w:rsid w:val="75B625D5"/>
    <w:rsid w:val="75BC3186"/>
    <w:rsid w:val="75C537CD"/>
    <w:rsid w:val="75CA0DE4"/>
    <w:rsid w:val="75CF63FA"/>
    <w:rsid w:val="75DB1837"/>
    <w:rsid w:val="75DB4D9F"/>
    <w:rsid w:val="75E11C8A"/>
    <w:rsid w:val="76085468"/>
    <w:rsid w:val="760D0CD1"/>
    <w:rsid w:val="76112054"/>
    <w:rsid w:val="76167E51"/>
    <w:rsid w:val="76194D8E"/>
    <w:rsid w:val="761E4C8C"/>
    <w:rsid w:val="762A1882"/>
    <w:rsid w:val="762A3631"/>
    <w:rsid w:val="7634625D"/>
    <w:rsid w:val="76346CE5"/>
    <w:rsid w:val="76361CF9"/>
    <w:rsid w:val="763E2968"/>
    <w:rsid w:val="763F5DC7"/>
    <w:rsid w:val="7647342F"/>
    <w:rsid w:val="7651520C"/>
    <w:rsid w:val="765B7C8E"/>
    <w:rsid w:val="766E5C0F"/>
    <w:rsid w:val="767174B1"/>
    <w:rsid w:val="76746FA2"/>
    <w:rsid w:val="76856AB9"/>
    <w:rsid w:val="768F5B89"/>
    <w:rsid w:val="769B0718"/>
    <w:rsid w:val="769E7B7B"/>
    <w:rsid w:val="76A04269"/>
    <w:rsid w:val="76A21419"/>
    <w:rsid w:val="76B1360D"/>
    <w:rsid w:val="76B14208"/>
    <w:rsid w:val="76BD44A5"/>
    <w:rsid w:val="76BF646F"/>
    <w:rsid w:val="76C13171"/>
    <w:rsid w:val="76C53359"/>
    <w:rsid w:val="76C577FD"/>
    <w:rsid w:val="76C9109B"/>
    <w:rsid w:val="76D610EF"/>
    <w:rsid w:val="76D6480C"/>
    <w:rsid w:val="76F93003"/>
    <w:rsid w:val="76FB321F"/>
    <w:rsid w:val="770627FE"/>
    <w:rsid w:val="7715608F"/>
    <w:rsid w:val="77163BB5"/>
    <w:rsid w:val="77170059"/>
    <w:rsid w:val="771D3195"/>
    <w:rsid w:val="771F0CBB"/>
    <w:rsid w:val="772C5186"/>
    <w:rsid w:val="772D4DB2"/>
    <w:rsid w:val="77422BFC"/>
    <w:rsid w:val="774249AA"/>
    <w:rsid w:val="77440722"/>
    <w:rsid w:val="774424D0"/>
    <w:rsid w:val="774C5829"/>
    <w:rsid w:val="774E15A1"/>
    <w:rsid w:val="77510F5D"/>
    <w:rsid w:val="77530965"/>
    <w:rsid w:val="77536BB7"/>
    <w:rsid w:val="775A1CF3"/>
    <w:rsid w:val="777D59E2"/>
    <w:rsid w:val="7789082B"/>
    <w:rsid w:val="778B00FF"/>
    <w:rsid w:val="77960B3D"/>
    <w:rsid w:val="779A47E6"/>
    <w:rsid w:val="779E42D6"/>
    <w:rsid w:val="77AB64D2"/>
    <w:rsid w:val="77BE04D4"/>
    <w:rsid w:val="77D53A70"/>
    <w:rsid w:val="77D73344"/>
    <w:rsid w:val="77DA2E34"/>
    <w:rsid w:val="77F263D0"/>
    <w:rsid w:val="77F43EF6"/>
    <w:rsid w:val="77FF289B"/>
    <w:rsid w:val="780305DD"/>
    <w:rsid w:val="78040264"/>
    <w:rsid w:val="78122D3A"/>
    <w:rsid w:val="781474EB"/>
    <w:rsid w:val="78160310"/>
    <w:rsid w:val="78174088"/>
    <w:rsid w:val="78175E36"/>
    <w:rsid w:val="782567A5"/>
    <w:rsid w:val="782D565A"/>
    <w:rsid w:val="78366D5B"/>
    <w:rsid w:val="783B1B25"/>
    <w:rsid w:val="783C790D"/>
    <w:rsid w:val="78434E7D"/>
    <w:rsid w:val="784604CA"/>
    <w:rsid w:val="78564BB1"/>
    <w:rsid w:val="785B49AB"/>
    <w:rsid w:val="786372CE"/>
    <w:rsid w:val="78645522"/>
    <w:rsid w:val="786C6182"/>
    <w:rsid w:val="786D5A56"/>
    <w:rsid w:val="787153FD"/>
    <w:rsid w:val="78771B09"/>
    <w:rsid w:val="787E1A12"/>
    <w:rsid w:val="788C05D2"/>
    <w:rsid w:val="788D7EA7"/>
    <w:rsid w:val="788F3C1F"/>
    <w:rsid w:val="78932FB5"/>
    <w:rsid w:val="78992CEF"/>
    <w:rsid w:val="78B638A1"/>
    <w:rsid w:val="78BB0EB8"/>
    <w:rsid w:val="78D21D5D"/>
    <w:rsid w:val="78D855C6"/>
    <w:rsid w:val="78DC74D9"/>
    <w:rsid w:val="78E421BD"/>
    <w:rsid w:val="78E90425"/>
    <w:rsid w:val="78EA52F9"/>
    <w:rsid w:val="78F148D9"/>
    <w:rsid w:val="78F41CD4"/>
    <w:rsid w:val="78F61EF0"/>
    <w:rsid w:val="7908577F"/>
    <w:rsid w:val="790D4419"/>
    <w:rsid w:val="79110AD8"/>
    <w:rsid w:val="79112886"/>
    <w:rsid w:val="792027AF"/>
    <w:rsid w:val="793523E6"/>
    <w:rsid w:val="7936053E"/>
    <w:rsid w:val="794E5888"/>
    <w:rsid w:val="795A422D"/>
    <w:rsid w:val="796E05D7"/>
    <w:rsid w:val="79711576"/>
    <w:rsid w:val="79752E15"/>
    <w:rsid w:val="7984574E"/>
    <w:rsid w:val="79872B48"/>
    <w:rsid w:val="798D4602"/>
    <w:rsid w:val="798E3ED6"/>
    <w:rsid w:val="79911640"/>
    <w:rsid w:val="79AD0E19"/>
    <w:rsid w:val="79B778D1"/>
    <w:rsid w:val="79BC4EE7"/>
    <w:rsid w:val="79C142AC"/>
    <w:rsid w:val="79DC3BE6"/>
    <w:rsid w:val="79E25534"/>
    <w:rsid w:val="79E47F9A"/>
    <w:rsid w:val="79F301DD"/>
    <w:rsid w:val="79FA2DCB"/>
    <w:rsid w:val="79FE105C"/>
    <w:rsid w:val="79FF3026"/>
    <w:rsid w:val="7A0D129F"/>
    <w:rsid w:val="7A230AC3"/>
    <w:rsid w:val="7A3A6239"/>
    <w:rsid w:val="7A3B6881"/>
    <w:rsid w:val="7A4153ED"/>
    <w:rsid w:val="7A432F13"/>
    <w:rsid w:val="7A4E3666"/>
    <w:rsid w:val="7A560E98"/>
    <w:rsid w:val="7A5C2227"/>
    <w:rsid w:val="7A667EE0"/>
    <w:rsid w:val="7A6F3F13"/>
    <w:rsid w:val="7A707A80"/>
    <w:rsid w:val="7A7B08FF"/>
    <w:rsid w:val="7A7C6425"/>
    <w:rsid w:val="7A7F1A71"/>
    <w:rsid w:val="7A835A05"/>
    <w:rsid w:val="7A8F6158"/>
    <w:rsid w:val="7A9674E6"/>
    <w:rsid w:val="7ABB0CFB"/>
    <w:rsid w:val="7ABE2599"/>
    <w:rsid w:val="7AED2E7F"/>
    <w:rsid w:val="7AF75AAB"/>
    <w:rsid w:val="7AFE32DE"/>
    <w:rsid w:val="7B034450"/>
    <w:rsid w:val="7B0F1047"/>
    <w:rsid w:val="7B113184"/>
    <w:rsid w:val="7B1228E5"/>
    <w:rsid w:val="7B1B5C3E"/>
    <w:rsid w:val="7B276391"/>
    <w:rsid w:val="7B2A7C2F"/>
    <w:rsid w:val="7B2D7A9F"/>
    <w:rsid w:val="7B334D35"/>
    <w:rsid w:val="7B340AAD"/>
    <w:rsid w:val="7B3B62E0"/>
    <w:rsid w:val="7B3E0489"/>
    <w:rsid w:val="7B486307"/>
    <w:rsid w:val="7B4A02D1"/>
    <w:rsid w:val="7B4E1B6F"/>
    <w:rsid w:val="7B54753F"/>
    <w:rsid w:val="7B562C09"/>
    <w:rsid w:val="7B5A49B8"/>
    <w:rsid w:val="7B6E2211"/>
    <w:rsid w:val="7B744A23"/>
    <w:rsid w:val="7B780AEF"/>
    <w:rsid w:val="7B827A6B"/>
    <w:rsid w:val="7B915F00"/>
    <w:rsid w:val="7B947FAD"/>
    <w:rsid w:val="7B963516"/>
    <w:rsid w:val="7BB3231A"/>
    <w:rsid w:val="7BBC11CF"/>
    <w:rsid w:val="7BC02341"/>
    <w:rsid w:val="7BC97448"/>
    <w:rsid w:val="7BCC6F38"/>
    <w:rsid w:val="7BDA5873"/>
    <w:rsid w:val="7BF72207"/>
    <w:rsid w:val="7BF828BA"/>
    <w:rsid w:val="7C036657"/>
    <w:rsid w:val="7C246D74"/>
    <w:rsid w:val="7C2823C0"/>
    <w:rsid w:val="7C39281F"/>
    <w:rsid w:val="7C3F770A"/>
    <w:rsid w:val="7C5036C5"/>
    <w:rsid w:val="7C572CA5"/>
    <w:rsid w:val="7C6453C2"/>
    <w:rsid w:val="7C7F3FAA"/>
    <w:rsid w:val="7C943EFA"/>
    <w:rsid w:val="7C9E2682"/>
    <w:rsid w:val="7C9E6B26"/>
    <w:rsid w:val="7CA13F21"/>
    <w:rsid w:val="7CA9721E"/>
    <w:rsid w:val="7CB4634A"/>
    <w:rsid w:val="7CB53BC9"/>
    <w:rsid w:val="7CC3658D"/>
    <w:rsid w:val="7CD10CAA"/>
    <w:rsid w:val="7CDB5685"/>
    <w:rsid w:val="7CE3278B"/>
    <w:rsid w:val="7CF36E72"/>
    <w:rsid w:val="7CF404F4"/>
    <w:rsid w:val="7CF7272E"/>
    <w:rsid w:val="7D034BDB"/>
    <w:rsid w:val="7D0F17D2"/>
    <w:rsid w:val="7D103638"/>
    <w:rsid w:val="7D1312C2"/>
    <w:rsid w:val="7D1961AD"/>
    <w:rsid w:val="7D1B1F25"/>
    <w:rsid w:val="7D1F6674"/>
    <w:rsid w:val="7D2F3C22"/>
    <w:rsid w:val="7D3E3E65"/>
    <w:rsid w:val="7D3E5C13"/>
    <w:rsid w:val="7D425704"/>
    <w:rsid w:val="7D535648"/>
    <w:rsid w:val="7D755AD9"/>
    <w:rsid w:val="7D807FDA"/>
    <w:rsid w:val="7D8E01BE"/>
    <w:rsid w:val="7D8E26F7"/>
    <w:rsid w:val="7DA43CC8"/>
    <w:rsid w:val="7DA55F02"/>
    <w:rsid w:val="7DAA5057"/>
    <w:rsid w:val="7DAE0FEB"/>
    <w:rsid w:val="7DB67EA0"/>
    <w:rsid w:val="7DBC3708"/>
    <w:rsid w:val="7DBD122E"/>
    <w:rsid w:val="7DC205F3"/>
    <w:rsid w:val="7DCA74A7"/>
    <w:rsid w:val="7DD547CA"/>
    <w:rsid w:val="7DF06F0E"/>
    <w:rsid w:val="7DFD787D"/>
    <w:rsid w:val="7E0B576A"/>
    <w:rsid w:val="7E130E4E"/>
    <w:rsid w:val="7E1846B6"/>
    <w:rsid w:val="7E1F3C97"/>
    <w:rsid w:val="7E2272E3"/>
    <w:rsid w:val="7E292420"/>
    <w:rsid w:val="7E4F632A"/>
    <w:rsid w:val="7E576F8D"/>
    <w:rsid w:val="7E5C0A47"/>
    <w:rsid w:val="7E5E656D"/>
    <w:rsid w:val="7E652DAD"/>
    <w:rsid w:val="7E725B75"/>
    <w:rsid w:val="7E896090"/>
    <w:rsid w:val="7E9C0E44"/>
    <w:rsid w:val="7EA536F3"/>
    <w:rsid w:val="7EB75C7D"/>
    <w:rsid w:val="7EBB576E"/>
    <w:rsid w:val="7ECB797B"/>
    <w:rsid w:val="7ED56104"/>
    <w:rsid w:val="7EE36A72"/>
    <w:rsid w:val="7EEA6053"/>
    <w:rsid w:val="7EED78F1"/>
    <w:rsid w:val="7EF173E1"/>
    <w:rsid w:val="7EFE38AC"/>
    <w:rsid w:val="7EFF3357"/>
    <w:rsid w:val="7F054C3B"/>
    <w:rsid w:val="7F0B7D77"/>
    <w:rsid w:val="7F1E7AAB"/>
    <w:rsid w:val="7F2B084F"/>
    <w:rsid w:val="7F2F1CB8"/>
    <w:rsid w:val="7F315A30"/>
    <w:rsid w:val="7F385010"/>
    <w:rsid w:val="7F3B065C"/>
    <w:rsid w:val="7F3E1EFB"/>
    <w:rsid w:val="7F4219EB"/>
    <w:rsid w:val="7F482D79"/>
    <w:rsid w:val="7F4C4618"/>
    <w:rsid w:val="7F4D0390"/>
    <w:rsid w:val="7F705F5F"/>
    <w:rsid w:val="7F8A15E4"/>
    <w:rsid w:val="7F9B10FB"/>
    <w:rsid w:val="7FBD5515"/>
    <w:rsid w:val="7FD30895"/>
    <w:rsid w:val="7FD75F58"/>
    <w:rsid w:val="7FE72592"/>
    <w:rsid w:val="7FF16F6D"/>
    <w:rsid w:val="7FF802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qFormat="1" w:unhideWhenUsed="0" w:uiPriority="99"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99"/>
    <w:pPr>
      <w:keepNext/>
      <w:keepLines/>
      <w:spacing w:before="234" w:beforeLines="75" w:after="234" w:afterLines="75" w:line="480" w:lineRule="exact"/>
      <w:outlineLvl w:val="0"/>
    </w:pPr>
    <w:rPr>
      <w:b/>
      <w:bCs/>
      <w:kern w:val="44"/>
      <w:sz w:val="36"/>
      <w:szCs w:val="44"/>
    </w:rPr>
  </w:style>
  <w:style w:type="paragraph" w:styleId="5">
    <w:name w:val="heading 2"/>
    <w:basedOn w:val="1"/>
    <w:next w:val="1"/>
    <w:qFormat/>
    <w:uiPriority w:val="0"/>
    <w:pPr>
      <w:keepNext/>
      <w:keepLines/>
      <w:spacing w:before="50" w:beforeLines="50" w:after="50" w:afterLines="50" w:line="240" w:lineRule="auto"/>
      <w:outlineLvl w:val="1"/>
    </w:pPr>
    <w:rPr>
      <w:b/>
      <w:bCs/>
      <w:sz w:val="32"/>
      <w:szCs w:val="32"/>
    </w:rPr>
  </w:style>
  <w:style w:type="paragraph" w:styleId="6">
    <w:name w:val="heading 3"/>
    <w:basedOn w:val="1"/>
    <w:next w:val="1"/>
    <w:semiHidden/>
    <w:unhideWhenUsed/>
    <w:qFormat/>
    <w:uiPriority w:val="0"/>
    <w:pPr>
      <w:keepNext/>
      <w:keepLines/>
      <w:numPr>
        <w:ilvl w:val="2"/>
        <w:numId w:val="1"/>
      </w:numPr>
      <w:spacing w:before="260" w:beforeLines="0" w:beforeAutospacing="0" w:after="260" w:afterLines="0" w:afterAutospacing="0" w:line="413" w:lineRule="auto"/>
      <w:ind w:left="720" w:hanging="720"/>
      <w:outlineLvl w:val="2"/>
    </w:pPr>
    <w:rPr>
      <w:b/>
      <w:sz w:val="32"/>
    </w:rPr>
  </w:style>
  <w:style w:type="paragraph" w:styleId="7">
    <w:name w:val="heading 4"/>
    <w:basedOn w:val="1"/>
    <w:next w:val="1"/>
    <w:semiHidden/>
    <w:unhideWhenUsed/>
    <w:qFormat/>
    <w:uiPriority w:val="0"/>
    <w:pPr>
      <w:keepNext/>
      <w:keepLines/>
      <w:numPr>
        <w:ilvl w:val="3"/>
        <w:numId w:val="2"/>
      </w:numPr>
      <w:spacing w:before="280" w:beforeLines="0" w:beforeAutospacing="0" w:after="290" w:afterLines="0" w:afterAutospacing="0" w:line="372" w:lineRule="auto"/>
      <w:ind w:left="864" w:hanging="864"/>
      <w:outlineLvl w:val="3"/>
    </w:pPr>
    <w:rPr>
      <w:rFonts w:ascii="Arial" w:hAnsi="Arial" w:eastAsia="黑体"/>
      <w:b/>
      <w:sz w:val="28"/>
    </w:rPr>
  </w:style>
  <w:style w:type="paragraph" w:styleId="8">
    <w:name w:val="heading 5"/>
    <w:basedOn w:val="1"/>
    <w:next w:val="1"/>
    <w:semiHidden/>
    <w:unhideWhenUsed/>
    <w:qFormat/>
    <w:uiPriority w:val="0"/>
    <w:pPr>
      <w:keepNext/>
      <w:keepLines/>
      <w:numPr>
        <w:ilvl w:val="4"/>
        <w:numId w:val="2"/>
      </w:numPr>
      <w:spacing w:before="280" w:beforeLines="0" w:beforeAutospacing="0" w:after="290" w:afterLines="0" w:afterAutospacing="0" w:line="372" w:lineRule="auto"/>
      <w:ind w:left="1008" w:hanging="1008"/>
      <w:outlineLvl w:val="4"/>
    </w:pPr>
    <w:rPr>
      <w:b/>
      <w:sz w:val="28"/>
    </w:rPr>
  </w:style>
  <w:style w:type="paragraph" w:styleId="9">
    <w:name w:val="heading 6"/>
    <w:basedOn w:val="1"/>
    <w:next w:val="1"/>
    <w:semiHidden/>
    <w:unhideWhenUsed/>
    <w:qFormat/>
    <w:uiPriority w:val="0"/>
    <w:pPr>
      <w:keepNext/>
      <w:keepLines/>
      <w:numPr>
        <w:ilvl w:val="5"/>
        <w:numId w:val="2"/>
      </w:numPr>
      <w:spacing w:before="240" w:beforeLines="0" w:beforeAutospacing="0" w:after="64" w:afterLines="0" w:afterAutospacing="0" w:line="317" w:lineRule="auto"/>
      <w:ind w:left="1151" w:hanging="1151"/>
      <w:outlineLvl w:val="5"/>
    </w:pPr>
    <w:rPr>
      <w:rFonts w:ascii="Arial" w:hAnsi="Arial" w:eastAsia="黑体"/>
      <w:b/>
      <w:sz w:val="24"/>
    </w:rPr>
  </w:style>
  <w:style w:type="paragraph" w:styleId="10">
    <w:name w:val="heading 7"/>
    <w:basedOn w:val="1"/>
    <w:next w:val="1"/>
    <w:semiHidden/>
    <w:unhideWhenUsed/>
    <w:qFormat/>
    <w:uiPriority w:val="0"/>
    <w:pPr>
      <w:keepNext/>
      <w:keepLines/>
      <w:numPr>
        <w:ilvl w:val="6"/>
        <w:numId w:val="2"/>
      </w:numPr>
      <w:spacing w:before="240" w:beforeLines="0" w:beforeAutospacing="0" w:after="64" w:afterLines="0" w:afterAutospacing="0" w:line="317" w:lineRule="auto"/>
      <w:ind w:left="1296" w:hanging="1296"/>
      <w:outlineLvl w:val="6"/>
    </w:pPr>
    <w:rPr>
      <w:b/>
      <w:sz w:val="24"/>
    </w:rPr>
  </w:style>
  <w:style w:type="paragraph" w:styleId="11">
    <w:name w:val="heading 8"/>
    <w:basedOn w:val="1"/>
    <w:next w:val="1"/>
    <w:semiHidden/>
    <w:unhideWhenUsed/>
    <w:qFormat/>
    <w:uiPriority w:val="0"/>
    <w:pPr>
      <w:keepNext/>
      <w:keepLines/>
      <w:numPr>
        <w:ilvl w:val="7"/>
        <w:numId w:val="2"/>
      </w:numPr>
      <w:spacing w:before="240" w:beforeLines="0" w:beforeAutospacing="0" w:after="64" w:afterLines="0" w:afterAutospacing="0" w:line="317" w:lineRule="auto"/>
      <w:ind w:left="1440" w:hanging="1440"/>
      <w:outlineLvl w:val="7"/>
    </w:pPr>
    <w:rPr>
      <w:rFonts w:ascii="Arial" w:hAnsi="Arial" w:eastAsia="黑体"/>
      <w:sz w:val="24"/>
    </w:rPr>
  </w:style>
  <w:style w:type="paragraph" w:styleId="12">
    <w:name w:val="heading 9"/>
    <w:basedOn w:val="1"/>
    <w:next w:val="1"/>
    <w:semiHidden/>
    <w:unhideWhenUsed/>
    <w:qFormat/>
    <w:uiPriority w:val="0"/>
    <w:pPr>
      <w:keepNext/>
      <w:keepLines/>
      <w:numPr>
        <w:ilvl w:val="8"/>
        <w:numId w:val="2"/>
      </w:numPr>
      <w:spacing w:before="240" w:beforeLines="0" w:beforeAutospacing="0" w:after="64" w:afterLines="0" w:afterAutospacing="0" w:line="317" w:lineRule="auto"/>
      <w:ind w:left="1583" w:hanging="1583"/>
      <w:outlineLvl w:val="8"/>
    </w:pPr>
    <w:rPr>
      <w:rFonts w:ascii="Arial" w:hAnsi="Arial" w:eastAsia="黑体"/>
      <w:sz w:val="21"/>
    </w:rPr>
  </w:style>
  <w:style w:type="character" w:default="1" w:styleId="28">
    <w:name w:val="Default Paragraph Font"/>
    <w:semiHidden/>
    <w:qFormat/>
    <w:uiPriority w:val="0"/>
  </w:style>
  <w:style w:type="table" w:default="1" w:styleId="26">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qFormat/>
    <w:uiPriority w:val="0"/>
    <w:pPr>
      <w:spacing w:after="120"/>
      <w:ind w:left="420" w:leftChars="200" w:firstLine="420"/>
    </w:pPr>
    <w:rPr>
      <w:rFonts w:ascii="Times New Roman" w:eastAsia="宋体"/>
      <w:sz w:val="21"/>
      <w:szCs w:val="24"/>
    </w:rPr>
  </w:style>
  <w:style w:type="paragraph" w:styleId="3">
    <w:name w:val="Body Text Indent"/>
    <w:basedOn w:val="1"/>
    <w:next w:val="1"/>
    <w:qFormat/>
    <w:uiPriority w:val="99"/>
    <w:pPr>
      <w:adjustRightInd w:val="0"/>
      <w:snapToGrid w:val="0"/>
      <w:spacing w:line="360" w:lineRule="auto"/>
    </w:pPr>
    <w:rPr>
      <w:rFonts w:ascii="宋体" w:hAnsi="宋体" w:eastAsia="仿宋_GB2312"/>
      <w:kern w:val="2"/>
      <w:sz w:val="32"/>
      <w:szCs w:val="24"/>
    </w:rPr>
  </w:style>
  <w:style w:type="paragraph" w:styleId="13">
    <w:name w:val="Normal Indent"/>
    <w:basedOn w:val="1"/>
    <w:qFormat/>
    <w:uiPriority w:val="0"/>
    <w:pPr>
      <w:ind w:firstLine="420"/>
    </w:pPr>
    <w:rPr>
      <w:rFonts w:eastAsia="楷体_GB2312"/>
      <w:sz w:val="21"/>
    </w:rPr>
  </w:style>
  <w:style w:type="paragraph" w:styleId="14">
    <w:name w:val="caption"/>
    <w:basedOn w:val="1"/>
    <w:next w:val="1"/>
    <w:unhideWhenUsed/>
    <w:qFormat/>
    <w:uiPriority w:val="0"/>
    <w:pPr>
      <w:spacing w:line="240" w:lineRule="auto"/>
      <w:ind w:firstLine="0" w:firstLineChars="0"/>
      <w:jc w:val="right"/>
    </w:pPr>
    <w:rPr>
      <w:rFonts w:ascii="Times New Roman" w:hAnsi="Times New Roman" w:eastAsia="宋体"/>
    </w:rPr>
  </w:style>
  <w:style w:type="paragraph" w:styleId="15">
    <w:name w:val="annotation text"/>
    <w:basedOn w:val="1"/>
    <w:qFormat/>
    <w:uiPriority w:val="0"/>
    <w:pPr>
      <w:jc w:val="left"/>
    </w:pPr>
  </w:style>
  <w:style w:type="paragraph" w:styleId="16">
    <w:name w:val="Body Text"/>
    <w:basedOn w:val="1"/>
    <w:qFormat/>
    <w:uiPriority w:val="99"/>
    <w:pPr>
      <w:spacing w:line="600" w:lineRule="atLeast"/>
    </w:pPr>
    <w:rPr>
      <w:sz w:val="28"/>
    </w:rPr>
  </w:style>
  <w:style w:type="paragraph" w:styleId="17">
    <w:name w:val="toc 3"/>
    <w:basedOn w:val="1"/>
    <w:next w:val="1"/>
    <w:qFormat/>
    <w:uiPriority w:val="39"/>
    <w:pPr>
      <w:tabs>
        <w:tab w:val="left" w:pos="1134"/>
        <w:tab w:val="right" w:leader="hyphen" w:pos="8494"/>
      </w:tabs>
      <w:adjustRightInd w:val="0"/>
      <w:snapToGrid w:val="0"/>
      <w:spacing w:line="336" w:lineRule="auto"/>
    </w:pPr>
    <w:rPr>
      <w:rFonts w:ascii="Calibri" w:hAnsi="Calibri" w:cs="Calibri"/>
      <w:i/>
      <w:iCs/>
      <w:sz w:val="20"/>
      <w:szCs w:val="20"/>
    </w:rPr>
  </w:style>
  <w:style w:type="paragraph" w:styleId="18">
    <w:name w:val="Body Text Indent 2"/>
    <w:basedOn w:val="1"/>
    <w:qFormat/>
    <w:uiPriority w:val="99"/>
    <w:pPr>
      <w:spacing w:after="120" w:line="480" w:lineRule="auto"/>
      <w:ind w:left="420" w:leftChars="200"/>
    </w:pPr>
  </w:style>
  <w:style w:type="paragraph" w:styleId="19">
    <w:name w:val="endnote text"/>
    <w:basedOn w:val="1"/>
    <w:qFormat/>
    <w:uiPriority w:val="99"/>
    <w:pPr>
      <w:widowControl/>
      <w:snapToGrid w:val="0"/>
      <w:spacing w:line="480" w:lineRule="exact"/>
      <w:ind w:firstLine="200" w:firstLineChars="200"/>
      <w:jc w:val="left"/>
    </w:pPr>
    <w:rPr>
      <w:rFonts w:ascii="仿宋_GB2312" w:hAnsi="华文仿宋" w:eastAsia="仿宋_GB2312"/>
      <w:sz w:val="28"/>
      <w:szCs w:val="24"/>
      <w:lang w:eastAsia="en-US" w:bidi="en-US"/>
    </w:rPr>
  </w:style>
  <w:style w:type="paragraph" w:styleId="20">
    <w:name w:val="footer"/>
    <w:basedOn w:val="1"/>
    <w:qFormat/>
    <w:uiPriority w:val="0"/>
    <w:pPr>
      <w:tabs>
        <w:tab w:val="center" w:pos="4153"/>
        <w:tab w:val="right" w:pos="8306"/>
      </w:tabs>
      <w:snapToGrid w:val="0"/>
      <w:jc w:val="left"/>
    </w:pPr>
    <w:rPr>
      <w:sz w:val="18"/>
    </w:rPr>
  </w:style>
  <w:style w:type="paragraph" w:styleId="21">
    <w:name w:val="header"/>
    <w:basedOn w:val="1"/>
    <w:next w:val="22"/>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22">
    <w:name w:val="样式5"/>
    <w:basedOn w:val="13"/>
    <w:autoRedefine/>
    <w:qFormat/>
    <w:uiPriority w:val="0"/>
    <w:pPr>
      <w:adjustRightInd w:val="0"/>
      <w:snapToGrid w:val="0"/>
      <w:spacing w:line="360" w:lineRule="auto"/>
      <w:jc w:val="left"/>
      <w:textAlignment w:val="baseline"/>
    </w:pPr>
    <w:rPr>
      <w:kern w:val="0"/>
      <w:sz w:val="24"/>
    </w:rPr>
  </w:style>
  <w:style w:type="paragraph" w:styleId="23">
    <w:name w:val="toc 1"/>
    <w:next w:val="24"/>
    <w:qFormat/>
    <w:uiPriority w:val="0"/>
    <w:pPr>
      <w:adjustRightInd w:val="0"/>
      <w:snapToGrid w:val="0"/>
      <w:spacing w:before="50" w:beforeLines="50" w:after="50" w:afterLines="50" w:line="240" w:lineRule="auto"/>
    </w:pPr>
    <w:rPr>
      <w:rFonts w:ascii="Times New Roman" w:hAnsi="Times New Roman" w:eastAsia="宋体" w:cstheme="minorBidi"/>
      <w:b/>
      <w:sz w:val="28"/>
    </w:rPr>
  </w:style>
  <w:style w:type="paragraph" w:customStyle="1" w:styleId="24">
    <w:name w:val="文本"/>
    <w:link w:val="37"/>
    <w:qFormat/>
    <w:uiPriority w:val="0"/>
    <w:pPr>
      <w:adjustRightInd w:val="0"/>
      <w:snapToGrid w:val="0"/>
      <w:spacing w:line="360" w:lineRule="auto"/>
      <w:ind w:firstLine="560" w:firstLineChars="200"/>
      <w:jc w:val="both"/>
    </w:pPr>
    <w:rPr>
      <w:rFonts w:ascii="Times New Roman" w:hAnsi="Times New Roman" w:eastAsia="宋体" w:cstheme="minorBidi"/>
      <w:sz w:val="28"/>
      <w:szCs w:val="28"/>
    </w:rPr>
  </w:style>
  <w:style w:type="paragraph" w:styleId="25">
    <w:name w:val="toc 2"/>
    <w:basedOn w:val="1"/>
    <w:next w:val="1"/>
    <w:qFormat/>
    <w:uiPriority w:val="0"/>
    <w:pPr>
      <w:adjustRightInd w:val="0"/>
      <w:snapToGrid w:val="0"/>
      <w:spacing w:line="440" w:lineRule="exact"/>
      <w:ind w:left="420" w:leftChars="200"/>
    </w:pPr>
    <w:rPr>
      <w:rFonts w:ascii="Times New Roman" w:hAnsi="Times New Roman" w:eastAsia="宋体" w:cstheme="minorBidi"/>
      <w:sz w:val="28"/>
    </w:rPr>
  </w:style>
  <w:style w:type="table" w:styleId="27">
    <w:name w:val="Table Grid"/>
    <w:basedOn w:val="2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29">
    <w:name w:val="一级标题"/>
    <w:next w:val="30"/>
    <w:link w:val="38"/>
    <w:qFormat/>
    <w:uiPriority w:val="0"/>
    <w:pPr>
      <w:pageBreakBefore/>
      <w:numPr>
        <w:ilvl w:val="0"/>
        <w:numId w:val="2"/>
      </w:numPr>
      <w:adjustRightInd w:val="0"/>
      <w:snapToGrid w:val="0"/>
      <w:spacing w:before="100" w:beforeLines="100" w:after="100" w:afterLines="100" w:line="240" w:lineRule="auto"/>
      <w:jc w:val="center"/>
      <w:outlineLvl w:val="0"/>
    </w:pPr>
    <w:rPr>
      <w:rFonts w:hint="eastAsia" w:ascii="Times New Roman" w:hAnsi="Times New Roman" w:eastAsia="黑体" w:cs="黑体"/>
      <w:b/>
      <w:bCs/>
      <w:sz w:val="32"/>
      <w:szCs w:val="32"/>
    </w:rPr>
  </w:style>
  <w:style w:type="paragraph" w:customStyle="1" w:styleId="30">
    <w:name w:val="二级标题"/>
    <w:next w:val="31"/>
    <w:qFormat/>
    <w:uiPriority w:val="0"/>
    <w:pPr>
      <w:numPr>
        <w:ilvl w:val="1"/>
        <w:numId w:val="2"/>
      </w:numPr>
      <w:tabs>
        <w:tab w:val="left" w:pos="0"/>
        <w:tab w:val="clear" w:pos="420"/>
      </w:tabs>
      <w:adjustRightInd w:val="0"/>
      <w:snapToGrid w:val="0"/>
      <w:spacing w:before="50" w:beforeLines="50" w:after="50" w:afterLines="50"/>
      <w:jc w:val="center"/>
      <w:outlineLvl w:val="1"/>
    </w:pPr>
    <w:rPr>
      <w:rFonts w:hint="eastAsia" w:ascii="黑体" w:hAnsi="黑体" w:eastAsia="黑体" w:cs="黑体"/>
      <w:b/>
      <w:bCs/>
      <w:sz w:val="30"/>
      <w:szCs w:val="30"/>
    </w:rPr>
  </w:style>
  <w:style w:type="paragraph" w:customStyle="1" w:styleId="31">
    <w:name w:val="三级标题"/>
    <w:next w:val="24"/>
    <w:link w:val="36"/>
    <w:qFormat/>
    <w:uiPriority w:val="0"/>
    <w:pPr>
      <w:numPr>
        <w:ilvl w:val="2"/>
        <w:numId w:val="2"/>
      </w:numPr>
      <w:tabs>
        <w:tab w:val="left" w:pos="420"/>
        <w:tab w:val="clear" w:pos="0"/>
      </w:tabs>
      <w:adjustRightInd w:val="0"/>
      <w:snapToGrid w:val="0"/>
      <w:spacing w:line="360" w:lineRule="auto"/>
      <w:ind w:left="720" w:hanging="720" w:firstLineChars="0"/>
    </w:pPr>
    <w:rPr>
      <w:rFonts w:ascii="Times New Roman" w:hAnsi="Times New Roman" w:eastAsia="宋体" w:cstheme="minorBidi"/>
      <w:b/>
      <w:bCs/>
      <w:sz w:val="28"/>
      <w:szCs w:val="28"/>
    </w:rPr>
  </w:style>
  <w:style w:type="paragraph" w:customStyle="1" w:styleId="32">
    <w:name w:val="图表名称"/>
    <w:next w:val="24"/>
    <w:qFormat/>
    <w:uiPriority w:val="0"/>
    <w:pPr>
      <w:adjustRightInd w:val="0"/>
      <w:snapToGrid w:val="0"/>
      <w:jc w:val="center"/>
    </w:pPr>
    <w:rPr>
      <w:rFonts w:ascii="Times New Roman" w:hAnsi="Times New Roman" w:eastAsia="宋体" w:cs="Times New Roman"/>
      <w:bCs/>
      <w:sz w:val="24"/>
    </w:rPr>
  </w:style>
  <w:style w:type="paragraph" w:customStyle="1" w:styleId="33">
    <w:name w:val="表格格式"/>
    <w:qFormat/>
    <w:uiPriority w:val="0"/>
    <w:pPr>
      <w:adjustRightInd w:val="0"/>
      <w:snapToGrid w:val="0"/>
      <w:jc w:val="center"/>
    </w:pPr>
    <w:rPr>
      <w:rFonts w:hint="eastAsia" w:ascii="Times New Roman" w:hAnsi="Times New Roman" w:eastAsia="宋体" w:cs="宋体"/>
      <w:color w:val="000000"/>
      <w:sz w:val="24"/>
    </w:rPr>
  </w:style>
  <w:style w:type="paragraph" w:customStyle="1" w:styleId="34">
    <w:name w:val="WPSOffice手动目录 1"/>
    <w:qFormat/>
    <w:uiPriority w:val="0"/>
    <w:pPr>
      <w:ind w:leftChars="0"/>
    </w:pPr>
    <w:rPr>
      <w:rFonts w:asciiTheme="minorHAnsi" w:hAnsiTheme="minorHAnsi" w:eastAsiaTheme="minorEastAsia" w:cstheme="minorBidi"/>
      <w:sz w:val="20"/>
      <w:szCs w:val="20"/>
    </w:rPr>
  </w:style>
  <w:style w:type="paragraph" w:customStyle="1" w:styleId="35">
    <w:name w:val="WPSOffice手动目录 2"/>
    <w:qFormat/>
    <w:uiPriority w:val="0"/>
    <w:pPr>
      <w:ind w:leftChars="200"/>
    </w:pPr>
    <w:rPr>
      <w:rFonts w:asciiTheme="minorHAnsi" w:hAnsiTheme="minorHAnsi" w:eastAsiaTheme="minorEastAsia" w:cstheme="minorBidi"/>
      <w:sz w:val="20"/>
      <w:szCs w:val="20"/>
    </w:rPr>
  </w:style>
  <w:style w:type="character" w:customStyle="1" w:styleId="36">
    <w:name w:val="三级标题 Char"/>
    <w:link w:val="31"/>
    <w:qFormat/>
    <w:uiPriority w:val="0"/>
    <w:rPr>
      <w:rFonts w:ascii="Times New Roman" w:hAnsi="Times New Roman" w:eastAsia="宋体" w:cstheme="minorBidi"/>
      <w:b/>
      <w:bCs/>
      <w:sz w:val="28"/>
      <w:szCs w:val="28"/>
    </w:rPr>
  </w:style>
  <w:style w:type="character" w:customStyle="1" w:styleId="37">
    <w:name w:val="文本 Char"/>
    <w:link w:val="24"/>
    <w:qFormat/>
    <w:uiPriority w:val="0"/>
    <w:rPr>
      <w:rFonts w:ascii="Times New Roman" w:hAnsi="Times New Roman" w:eastAsia="宋体" w:cstheme="minorBidi"/>
      <w:sz w:val="28"/>
      <w:szCs w:val="28"/>
    </w:rPr>
  </w:style>
  <w:style w:type="character" w:customStyle="1" w:styleId="38">
    <w:name w:val="一级标题 Char"/>
    <w:link w:val="29"/>
    <w:qFormat/>
    <w:uiPriority w:val="0"/>
    <w:rPr>
      <w:rFonts w:hint="eastAsia" w:ascii="Times New Roman" w:hAnsi="Times New Roman" w:eastAsia="黑体" w:cs="黑体"/>
      <w:b/>
      <w:bCs/>
      <w:sz w:val="32"/>
      <w:szCs w:val="32"/>
    </w:rPr>
  </w:style>
  <w:style w:type="paragraph" w:customStyle="1" w:styleId="39">
    <w:name w:val="三级条标题"/>
    <w:basedOn w:val="1"/>
    <w:next w:val="6"/>
    <w:qFormat/>
    <w:uiPriority w:val="99"/>
    <w:pPr>
      <w:widowControl/>
      <w:tabs>
        <w:tab w:val="left" w:pos="360"/>
      </w:tabs>
      <w:ind w:left="945"/>
      <w:outlineLvl w:val="4"/>
    </w:pPr>
    <w:rPr>
      <w:rFonts w:ascii="Plotter" w:eastAsia="Plotter"/>
      <w:kern w:val="0"/>
      <w:szCs w:val="20"/>
    </w:rPr>
  </w:style>
  <w:style w:type="paragraph" w:styleId="40">
    <w:name w:val="List Paragraph"/>
    <w:basedOn w:val="1"/>
    <w:qFormat/>
    <w:uiPriority w:val="99"/>
    <w:pPr>
      <w:ind w:firstLine="420" w:firstLineChars="200"/>
    </w:pPr>
  </w:style>
  <w:style w:type="paragraph" w:customStyle="1" w:styleId="41">
    <w:name w:val="样式2"/>
    <w:basedOn w:val="1"/>
    <w:qFormat/>
    <w:uiPriority w:val="0"/>
    <w:pPr>
      <w:pBdr>
        <w:top w:val="single" w:color="auto" w:sz="4" w:space="1"/>
      </w:pBdr>
      <w:spacing w:line="520" w:lineRule="exact"/>
      <w:ind w:firstLine="624" w:firstLineChars="200"/>
    </w:pPr>
    <w:rPr>
      <w:color w:val="000000"/>
      <w:spacing w:val="16"/>
      <w:sz w:val="28"/>
    </w:rPr>
  </w:style>
  <w:style w:type="paragraph" w:customStyle="1" w:styleId="42">
    <w:name w:val="标准正文"/>
    <w:basedOn w:val="1"/>
    <w:qFormat/>
    <w:uiPriority w:val="0"/>
    <w:pPr>
      <w:spacing w:line="360" w:lineRule="auto"/>
      <w:ind w:firstLine="200" w:firstLineChars="200"/>
      <w:jc w:val="left"/>
    </w:pPr>
    <w:rPr>
      <w:kern w:val="2"/>
      <w:sz w:val="28"/>
      <w:szCs w:val="28"/>
    </w:rPr>
  </w:style>
  <w:style w:type="paragraph" w:customStyle="1" w:styleId="43">
    <w:name w:val="标准样式"/>
    <w:basedOn w:val="1"/>
    <w:qFormat/>
    <w:uiPriority w:val="0"/>
    <w:pPr>
      <w:spacing w:line="480" w:lineRule="exact"/>
      <w:ind w:firstLine="480" w:firstLineChars="200"/>
    </w:pPr>
    <w:rPr>
      <w:rFonts w:ascii="宋体" w:hAnsi="宋体"/>
      <w:color w:val="000000"/>
      <w:sz w:val="24"/>
    </w:rPr>
  </w:style>
  <w:style w:type="paragraph" w:customStyle="1" w:styleId="44">
    <w:name w:val="样式 标题 2 + Times New Roman 左 段前: 0 磅 段后: 0 磅 行距: 固定值 26 磅"/>
    <w:basedOn w:val="5"/>
    <w:qFormat/>
    <w:uiPriority w:val="0"/>
    <w:pPr>
      <w:numPr>
        <w:ilvl w:val="0"/>
        <w:numId w:val="0"/>
      </w:numPr>
      <w:spacing w:line="520" w:lineRule="exact"/>
      <w:jc w:val="left"/>
    </w:pPr>
    <w:rPr>
      <w:rFonts w:ascii="Times New Roman" w:hAnsi="Times New Roman" w:eastAsia="黑体"/>
      <w:bCs w:val="0"/>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microsoft.com/office/2006/relationships/keyMapCustomizations" Target="customizations.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6.png"/><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25</Pages>
  <Words>11116</Words>
  <Characters>12839</Characters>
  <Lines>0</Lines>
  <Paragraphs>0</Paragraphs>
  <TotalTime>1</TotalTime>
  <ScaleCrop>false</ScaleCrop>
  <LinksUpToDate>false</LinksUpToDate>
  <CharactersWithSpaces>13006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2025-03-13T01:57:00Z</dcterms:created>
  <dc:creator>Administrator</dc:creator>
  <cp:lastModifiedBy>真高兴。</cp:lastModifiedBy>
  <dcterms:modified xsi:type="dcterms:W3CDTF">2026-04-23T06:31:34Z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eyJoZGlkIjoiNDRhZjNlYzBlNWZkMzE2NWRhNDRhMzNhZGE3NzUwOTYiLCJ1c2VySWQiOiIxNDE0MzI5NTM0In0=</vt:lpwstr>
  </property>
  <property fmtid="{D5CDD505-2E9C-101B-9397-08002B2CF9AE}" pid="4" name="ICV">
    <vt:lpwstr>A0794F666C87455980D277FA590A83F6_12</vt:lpwstr>
  </property>
</Properties>
</file>