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22"/>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sz w:val="32"/>
          <w:szCs w:val="32"/>
          <w:highlight w:val="none"/>
          <w:lang w:val="en-US" w:eastAsia="zh-CN"/>
        </w:rPr>
      </w:pPr>
      <w:bookmarkStart w:id="54" w:name="_GoBack"/>
      <w:bookmarkEnd w:id="54"/>
      <w:r>
        <w:rPr>
          <w:rFonts w:hint="eastAsia" w:ascii="黑体" w:hAnsi="黑体" w:eastAsia="黑体" w:cs="黑体"/>
          <w:sz w:val="32"/>
          <w:szCs w:val="32"/>
          <w:highlight w:val="none"/>
          <w:lang w:val="en-US" w:eastAsia="zh-CN"/>
        </w:rPr>
        <w:t>前  言</w:t>
      </w:r>
    </w:p>
    <w:p w14:paraId="1F329293">
      <w:pPr>
        <w:pStyle w:val="22"/>
        <w:bidi w:val="0"/>
        <w:rPr>
          <w:rFonts w:hint="eastAsia"/>
          <w:highlight w:val="none"/>
        </w:rPr>
      </w:pPr>
      <w:r>
        <w:rPr>
          <w:rFonts w:hint="eastAsia"/>
          <w:highlight w:val="none"/>
          <w:lang w:val="en-US" w:eastAsia="zh-CN"/>
        </w:rPr>
        <w:t>本溪市辉宏矿业有限公司徐堡村矿区铁矿</w:t>
      </w:r>
      <w:r>
        <w:rPr>
          <w:rFonts w:hint="eastAsia"/>
          <w:highlight w:val="none"/>
        </w:rPr>
        <w:t>（以下简称“</w:t>
      </w:r>
      <w:r>
        <w:rPr>
          <w:rFonts w:hint="eastAsia"/>
          <w:highlight w:val="none"/>
          <w:lang w:val="en-US" w:eastAsia="zh-CN"/>
        </w:rPr>
        <w:t>辉宏铁矿</w:t>
      </w:r>
      <w:r>
        <w:rPr>
          <w:rFonts w:hint="eastAsia"/>
          <w:highlight w:val="none"/>
        </w:rPr>
        <w:t>”）采矿权人为</w:t>
      </w:r>
      <w:r>
        <w:rPr>
          <w:rFonts w:hint="eastAsia"/>
          <w:highlight w:val="none"/>
          <w:lang w:eastAsia="zh-CN"/>
        </w:rPr>
        <w:t>本溪市辉宏矿业有限公司</w:t>
      </w:r>
      <w:r>
        <w:rPr>
          <w:rFonts w:hint="eastAsia"/>
          <w:highlight w:val="none"/>
        </w:rPr>
        <w:t>，企业类型为有限责任公司，法定代表人</w:t>
      </w:r>
      <w:r>
        <w:rPr>
          <w:rFonts w:hint="eastAsia"/>
          <w:highlight w:val="none"/>
          <w:lang w:val="en-US" w:eastAsia="zh-CN"/>
        </w:rPr>
        <w:t>邢学斌</w:t>
      </w:r>
      <w:r>
        <w:rPr>
          <w:rFonts w:hint="eastAsia"/>
          <w:highlight w:val="none"/>
        </w:rPr>
        <w:t>。</w:t>
      </w:r>
    </w:p>
    <w:p w14:paraId="6042FFD3">
      <w:pPr>
        <w:pStyle w:val="22"/>
        <w:bidi w:val="0"/>
        <w:rPr>
          <w:rFonts w:hint="eastAsia"/>
          <w:highlight w:val="none"/>
        </w:rPr>
      </w:pPr>
      <w:r>
        <w:rPr>
          <w:rFonts w:hint="eastAsia"/>
          <w:highlight w:val="none"/>
          <w:lang w:val="en-US" w:eastAsia="zh-CN"/>
        </w:rPr>
        <w:t>辉宏铁矿</w:t>
      </w:r>
      <w:r>
        <w:rPr>
          <w:rFonts w:hint="eastAsia"/>
          <w:highlight w:val="none"/>
        </w:rPr>
        <w:t>目前持有《省发展改革委关于本溪市辉宏矿业有限公司铁矿地下开采建设项目核准的批复》</w:t>
      </w:r>
      <w:r>
        <w:rPr>
          <w:rFonts w:hint="eastAsia"/>
          <w:highlight w:val="none"/>
          <w:lang w:eastAsia="zh-CN"/>
        </w:rPr>
        <w:t>（</w:t>
      </w:r>
      <w:r>
        <w:rPr>
          <w:rFonts w:hint="eastAsia"/>
          <w:highlight w:val="none"/>
        </w:rPr>
        <w:t>辽发改工业[202</w:t>
      </w:r>
      <w:r>
        <w:rPr>
          <w:rFonts w:hint="eastAsia"/>
          <w:highlight w:val="none"/>
          <w:lang w:val="en-US" w:eastAsia="zh-CN"/>
        </w:rPr>
        <w:t>6</w:t>
      </w:r>
      <w:r>
        <w:rPr>
          <w:rFonts w:hint="eastAsia"/>
          <w:highlight w:val="none"/>
        </w:rPr>
        <w:t>]</w:t>
      </w:r>
      <w:r>
        <w:rPr>
          <w:rFonts w:hint="eastAsia"/>
          <w:highlight w:val="none"/>
          <w:lang w:val="en-US" w:eastAsia="zh-CN"/>
        </w:rPr>
        <w:t>66</w:t>
      </w:r>
      <w:r>
        <w:rPr>
          <w:rFonts w:hint="eastAsia"/>
          <w:highlight w:val="none"/>
        </w:rPr>
        <w:t>号</w:t>
      </w:r>
      <w:r>
        <w:rPr>
          <w:rFonts w:hint="eastAsia"/>
          <w:highlight w:val="none"/>
          <w:lang w:eastAsia="zh-CN"/>
        </w:rPr>
        <w:t>）</w:t>
      </w:r>
      <w:r>
        <w:rPr>
          <w:rFonts w:hint="eastAsia"/>
          <w:highlight w:val="none"/>
        </w:rPr>
        <w:t>，</w:t>
      </w:r>
      <w:r>
        <w:rPr>
          <w:rFonts w:hint="eastAsia"/>
          <w:highlight w:val="none"/>
          <w:lang w:val="en-US" w:eastAsia="zh-CN"/>
        </w:rPr>
        <w:t>本溪满族自治县市场监督管理局于</w:t>
      </w:r>
      <w:r>
        <w:rPr>
          <w:rFonts w:hint="eastAsia"/>
          <w:highlight w:val="none"/>
        </w:rPr>
        <w:t>202</w:t>
      </w:r>
      <w:r>
        <w:rPr>
          <w:rFonts w:hint="eastAsia"/>
          <w:highlight w:val="none"/>
          <w:lang w:val="en-US" w:eastAsia="zh-CN"/>
        </w:rPr>
        <w:t>4</w:t>
      </w:r>
      <w:r>
        <w:rPr>
          <w:rFonts w:hint="eastAsia"/>
          <w:highlight w:val="none"/>
        </w:rPr>
        <w:t>年</w:t>
      </w:r>
      <w:r>
        <w:rPr>
          <w:rFonts w:hint="eastAsia"/>
          <w:highlight w:val="none"/>
          <w:lang w:val="en-US" w:eastAsia="zh-CN"/>
        </w:rPr>
        <w:t>5</w:t>
      </w:r>
      <w:r>
        <w:rPr>
          <w:rFonts w:hint="eastAsia"/>
          <w:highlight w:val="none"/>
        </w:rPr>
        <w:t>月</w:t>
      </w:r>
      <w:r>
        <w:rPr>
          <w:rFonts w:hint="eastAsia"/>
          <w:highlight w:val="none"/>
          <w:lang w:val="en-US" w:eastAsia="zh-CN"/>
        </w:rPr>
        <w:t>30</w:t>
      </w:r>
      <w:r>
        <w:rPr>
          <w:rFonts w:hint="eastAsia"/>
          <w:highlight w:val="none"/>
        </w:rPr>
        <w:t>日签发的《营业执照》，辽宁省自然资源厅</w:t>
      </w:r>
      <w:r>
        <w:rPr>
          <w:rFonts w:hint="eastAsia"/>
          <w:highlight w:val="none"/>
          <w:lang w:val="en-US" w:eastAsia="zh-CN"/>
        </w:rPr>
        <w:t>于</w:t>
      </w:r>
      <w:r>
        <w:rPr>
          <w:rFonts w:hint="eastAsia"/>
          <w:highlight w:val="none"/>
        </w:rPr>
        <w:t>202</w:t>
      </w:r>
      <w:r>
        <w:rPr>
          <w:rFonts w:hint="eastAsia"/>
          <w:highlight w:val="none"/>
          <w:lang w:val="en-US" w:eastAsia="zh-CN"/>
        </w:rPr>
        <w:t>5</w:t>
      </w:r>
      <w:r>
        <w:rPr>
          <w:rFonts w:hint="eastAsia"/>
          <w:highlight w:val="none"/>
        </w:rPr>
        <w:t>年</w:t>
      </w:r>
      <w:r>
        <w:rPr>
          <w:rFonts w:hint="eastAsia"/>
          <w:highlight w:val="none"/>
          <w:lang w:val="en-US" w:eastAsia="zh-CN"/>
        </w:rPr>
        <w:t>8</w:t>
      </w:r>
      <w:r>
        <w:rPr>
          <w:rFonts w:hint="eastAsia"/>
          <w:highlight w:val="none"/>
        </w:rPr>
        <w:t>月</w:t>
      </w:r>
      <w:r>
        <w:rPr>
          <w:rFonts w:hint="eastAsia"/>
          <w:highlight w:val="none"/>
          <w:lang w:val="en-US" w:eastAsia="zh-CN"/>
        </w:rPr>
        <w:t>25</w:t>
      </w:r>
      <w:r>
        <w:rPr>
          <w:rFonts w:hint="eastAsia"/>
          <w:highlight w:val="none"/>
        </w:rPr>
        <w:t>日签发的《采矿许可证》</w:t>
      </w:r>
      <w:r>
        <w:rPr>
          <w:rFonts w:hint="eastAsia"/>
          <w:highlight w:val="none"/>
          <w:lang w:eastAsia="zh-CN"/>
        </w:rPr>
        <w:t>，</w:t>
      </w:r>
      <w:r>
        <w:rPr>
          <w:rFonts w:hint="eastAsia"/>
          <w:highlight w:val="none"/>
        </w:rPr>
        <w:t>以及兰州有色冶金设计研究院有限公司</w:t>
      </w:r>
      <w:r>
        <w:rPr>
          <w:rFonts w:hint="eastAsia"/>
          <w:highlight w:val="none"/>
          <w:lang w:val="en-US" w:eastAsia="zh-CN"/>
        </w:rPr>
        <w:t>于</w:t>
      </w:r>
      <w:r>
        <w:rPr>
          <w:rFonts w:hint="eastAsia"/>
          <w:highlight w:val="none"/>
        </w:rPr>
        <w:t>202</w:t>
      </w:r>
      <w:r>
        <w:rPr>
          <w:rFonts w:hint="eastAsia"/>
          <w:highlight w:val="none"/>
          <w:lang w:val="en-US" w:eastAsia="zh-CN"/>
        </w:rPr>
        <w:t>6</w:t>
      </w:r>
      <w:r>
        <w:rPr>
          <w:rFonts w:hint="eastAsia"/>
          <w:highlight w:val="none"/>
        </w:rPr>
        <w:t>年</w:t>
      </w:r>
      <w:r>
        <w:rPr>
          <w:rFonts w:hint="eastAsia"/>
          <w:highlight w:val="none"/>
          <w:lang w:val="en-US" w:eastAsia="zh-CN"/>
        </w:rPr>
        <w:t>1</w:t>
      </w:r>
      <w:r>
        <w:rPr>
          <w:rFonts w:hint="eastAsia"/>
          <w:highlight w:val="none"/>
        </w:rPr>
        <w:t>月</w:t>
      </w:r>
      <w:r>
        <w:rPr>
          <w:rFonts w:hint="eastAsia"/>
          <w:highlight w:val="none"/>
          <w:lang w:eastAsia="zh-CN"/>
        </w:rPr>
        <w:t>，</w:t>
      </w:r>
      <w:r>
        <w:rPr>
          <w:rFonts w:hint="eastAsia"/>
          <w:highlight w:val="none"/>
          <w:lang w:val="en-US" w:eastAsia="zh-CN"/>
        </w:rPr>
        <w:t>编制</w:t>
      </w:r>
      <w:r>
        <w:rPr>
          <w:rFonts w:hint="eastAsia"/>
          <w:highlight w:val="none"/>
        </w:rPr>
        <w:t>的《</w:t>
      </w:r>
      <w:r>
        <w:rPr>
          <w:rFonts w:hint="eastAsia"/>
          <w:highlight w:val="none"/>
          <w:lang w:eastAsia="zh-CN"/>
        </w:rPr>
        <w:t>本溪市辉宏矿业有限公司徐堡村矿区铁矿地下开采建设项目可行性研究报告</w:t>
      </w:r>
      <w:r>
        <w:rPr>
          <w:rFonts w:hint="eastAsia"/>
          <w:highlight w:val="none"/>
        </w:rPr>
        <w:t>》（以下简称《可研报告》）为进行安全预评价提供了依据。</w:t>
      </w:r>
    </w:p>
    <w:p w14:paraId="405E4E8F">
      <w:pPr>
        <w:pStyle w:val="22"/>
        <w:bidi w:val="0"/>
        <w:rPr>
          <w:rFonts w:hint="eastAsia"/>
          <w:highlight w:val="none"/>
        </w:rPr>
      </w:pPr>
      <w:r>
        <w:rPr>
          <w:rFonts w:hint="eastAsia"/>
          <w:highlight w:val="none"/>
        </w:rPr>
        <w:t>本溪市辉宏矿业有限公司徐堡村矿区铁矿原为本溪满族自治县草河城镇贺家铁矿，其成立于2004年12月，只有一个采区，2009年7月，首次取得采矿许可证，开采方式为地下开采。2012年矿山取得安全生产许可证，安全生产许可证有效期2012年2月1日至2015年1月31日。</w:t>
      </w:r>
    </w:p>
    <w:p w14:paraId="52FB5F1D">
      <w:pPr>
        <w:pStyle w:val="22"/>
        <w:bidi w:val="0"/>
        <w:rPr>
          <w:rFonts w:hint="eastAsia"/>
          <w:highlight w:val="none"/>
        </w:rPr>
      </w:pPr>
      <w:r>
        <w:rPr>
          <w:rFonts w:hint="eastAsia"/>
          <w:highlight w:val="none"/>
        </w:rPr>
        <w:t>2014年企业更名为本溪市辉宏矿业有限公司并换发采矿证，采矿许可证编号：</w:t>
      </w:r>
      <w:r>
        <w:rPr>
          <w:rFonts w:hint="eastAsia"/>
          <w:highlight w:val="none"/>
          <w:lang w:eastAsia="zh-CN"/>
        </w:rPr>
        <w:t>XXXXXXXXXXXXX</w:t>
      </w:r>
      <w:r>
        <w:rPr>
          <w:rFonts w:hint="eastAsia"/>
          <w:highlight w:val="none"/>
        </w:rPr>
        <w:t>，矿区面积：0.1538km²，生产规模：15万t/a，开采标高：340m～80m，开采方式：地下开采，有效期为2014年4月1日至2018年9月1日。</w:t>
      </w:r>
    </w:p>
    <w:p w14:paraId="7F91AF02">
      <w:pPr>
        <w:pStyle w:val="22"/>
        <w:bidi w:val="0"/>
        <w:rPr>
          <w:rFonts w:hint="eastAsia"/>
          <w:highlight w:val="none"/>
        </w:rPr>
      </w:pPr>
      <w:r>
        <w:rPr>
          <w:rFonts w:hint="eastAsia"/>
          <w:highlight w:val="none"/>
        </w:rPr>
        <w:t>2015年和2018年矿山两次对安全生产许可证进行了延续。最后一次安全生产许可证有效期为2018年6月18日至2021年6月17日。</w:t>
      </w:r>
    </w:p>
    <w:p w14:paraId="5F6FE2BC">
      <w:pPr>
        <w:pStyle w:val="22"/>
        <w:bidi w:val="0"/>
        <w:rPr>
          <w:rFonts w:hint="eastAsia"/>
          <w:highlight w:val="none"/>
        </w:rPr>
      </w:pPr>
      <w:r>
        <w:rPr>
          <w:rFonts w:hint="eastAsia"/>
          <w:highlight w:val="none"/>
        </w:rPr>
        <w:t>2018年矿山对采矿许可证申请延续并办理了采矿权缩界，采矿许可证矿区面积：0.0891km²，生产规模：15万t/a，开采标高：340m～80m，开采方式：地下开采，有效期为2018年9月1日至2024年8月1日。</w:t>
      </w:r>
    </w:p>
    <w:p w14:paraId="62B4B067">
      <w:pPr>
        <w:pStyle w:val="22"/>
        <w:bidi w:val="0"/>
        <w:rPr>
          <w:rFonts w:hint="eastAsia"/>
        </w:rPr>
      </w:pPr>
      <w:r>
        <w:rPr>
          <w:rFonts w:hint="default"/>
        </w:rPr>
        <w:t>2021年企业委托兰州有色冶金设计研究院编制《本溪市辉宏矿业有限公司铁矿地下开采建设项目补充设计》、《本溪市辉宏矿业有限公司铁矿地下开采建设项目安全设施补充设计》，并于2021年12月13日取得本应急发〔2021〕79号文批准建设，目前矿山处于基建期。</w:t>
      </w:r>
    </w:p>
    <w:p w14:paraId="10D0615E">
      <w:pPr>
        <w:pStyle w:val="22"/>
        <w:bidi w:val="0"/>
        <w:rPr>
          <w:rFonts w:hint="eastAsia"/>
          <w:highlight w:val="none"/>
        </w:rPr>
      </w:pPr>
      <w:r>
        <w:rPr>
          <w:rFonts w:hint="eastAsia"/>
          <w:highlight w:val="none"/>
        </w:rPr>
        <w:t>2024年矿山对采矿许可证申请延续，2024年7月30日，辽宁省自然资源厅颁发了采矿许可证。</w:t>
      </w:r>
    </w:p>
    <w:p w14:paraId="49F5339E">
      <w:pPr>
        <w:pStyle w:val="22"/>
        <w:bidi w:val="0"/>
        <w:rPr>
          <w:rFonts w:hint="eastAsia"/>
          <w:highlight w:val="none"/>
        </w:rPr>
      </w:pPr>
      <w:r>
        <w:rPr>
          <w:rFonts w:hint="eastAsia"/>
          <w:highlight w:val="none"/>
        </w:rPr>
        <w:t>2025年企业申请扩大矿区范围（深部扩界），换发了新采矿许可证，采矿许可证面积0.0891km²，生产规模：15万t/a，开采标高：340m～-72m，开采方式：地下开采，有效期为2025年8月25日至2027年3月30日。</w:t>
      </w:r>
    </w:p>
    <w:p w14:paraId="0CF73747">
      <w:pPr>
        <w:pStyle w:val="22"/>
        <w:bidi w:val="0"/>
        <w:rPr>
          <w:rFonts w:hint="eastAsia"/>
          <w:highlight w:val="none"/>
        </w:rPr>
      </w:pPr>
      <w:r>
        <w:rPr>
          <w:rFonts w:hint="eastAsia"/>
          <w:highlight w:val="none"/>
        </w:rPr>
        <w:t>因市场原因，企业亏损，矿山于2014年12月至2017年9月矿山一直处于停产状态，2018年至2021年期间矿山继续进行了开采，2021年停产至今。</w:t>
      </w:r>
    </w:p>
    <w:p w14:paraId="26A9B4EE">
      <w:pPr>
        <w:pStyle w:val="22"/>
        <w:bidi w:val="0"/>
        <w:rPr>
          <w:rFonts w:hint="eastAsia"/>
          <w:lang w:val="en-US" w:eastAsia="zh-CN"/>
        </w:rPr>
      </w:pPr>
      <w:r>
        <w:rPr>
          <w:rFonts w:hint="eastAsia"/>
        </w:rPr>
        <w:t>为履行安全设施“三同时”手续，以更好的指导矿山生产。矿山委托兰州有色冶金设计研究院有限公司编制《本溪市辉宏矿业有限公司徐堡村矿区铁矿地下开采建设项目安全设施设计》，为矿山建设、安全生产、安全监管提供依据。</w:t>
      </w:r>
    </w:p>
    <w:p w14:paraId="00CC7E2A">
      <w:pPr>
        <w:pStyle w:val="22"/>
        <w:bidi w:val="0"/>
        <w:rPr>
          <w:rFonts w:hint="eastAsia"/>
          <w:highlight w:val="none"/>
        </w:rPr>
      </w:pPr>
      <w:r>
        <w:rPr>
          <w:rFonts w:hint="eastAsia"/>
          <w:highlight w:val="none"/>
          <w:lang w:val="en-US" w:eastAsia="zh-CN"/>
        </w:rPr>
        <w:t>辉宏铁矿</w:t>
      </w:r>
      <w:r>
        <w:rPr>
          <w:rFonts w:hint="eastAsia"/>
          <w:highlight w:val="none"/>
        </w:rPr>
        <w:t>为了贯彻“安全第一，预防为主，综合治理”的方针，确保建设工程项目符合国家相关规定，保障劳动者在生产过程中的安全，根据《中华人民共和国安全生产法》、《建设项目安全设施“三同时”监督管理暂行办法》以及《辽宁省安全生产监督管理局关于进一步规范非煤矿矿山安全生产行政许可管理工作的通知》等文件精神的要求，委托我辽宁诺诚安全科技有限公司，针对</w:t>
      </w:r>
      <w:r>
        <w:rPr>
          <w:rFonts w:hint="eastAsia"/>
          <w:highlight w:val="none"/>
          <w:lang w:val="en-US" w:eastAsia="zh-CN"/>
        </w:rPr>
        <w:t>本溪市辉宏矿业有限公司徐堡村矿区铁矿地下开采建设项目</w:t>
      </w:r>
      <w:r>
        <w:rPr>
          <w:rFonts w:hint="eastAsia"/>
          <w:highlight w:val="none"/>
        </w:rPr>
        <w:t>进行安全预评价。</w:t>
      </w:r>
    </w:p>
    <w:p w14:paraId="6DAAB2A9">
      <w:pPr>
        <w:pStyle w:val="22"/>
        <w:bidi w:val="0"/>
        <w:rPr>
          <w:highlight w:val="none"/>
        </w:rPr>
      </w:pPr>
      <w:r>
        <w:rPr>
          <w:highlight w:val="none"/>
        </w:rPr>
        <w:t>为有利于加强建设工程项目安全设施</w:t>
      </w:r>
      <w:r>
        <w:rPr>
          <w:rFonts w:hint="eastAsia"/>
          <w:highlight w:val="none"/>
        </w:rPr>
        <w:t>“</w:t>
      </w:r>
      <w:r>
        <w:rPr>
          <w:highlight w:val="none"/>
        </w:rPr>
        <w:t>三同时</w:t>
      </w:r>
      <w:r>
        <w:rPr>
          <w:rFonts w:hint="eastAsia"/>
          <w:highlight w:val="none"/>
        </w:rPr>
        <w:t>”</w:t>
      </w:r>
      <w:r>
        <w:rPr>
          <w:highlight w:val="none"/>
        </w:rPr>
        <w:t>工作，切实达到安全预评价的目的，为建设项目初步设计</w:t>
      </w:r>
      <w:r>
        <w:rPr>
          <w:rFonts w:hint="eastAsia"/>
          <w:highlight w:val="none"/>
        </w:rPr>
        <w:t>和安全设施设计</w:t>
      </w:r>
      <w:r>
        <w:rPr>
          <w:highlight w:val="none"/>
        </w:rPr>
        <w:t>的编制提供科学依据，提高建设项目的本质安全程度，兹提出《</w:t>
      </w:r>
      <w:r>
        <w:rPr>
          <w:rFonts w:hint="eastAsia"/>
          <w:highlight w:val="none"/>
          <w:lang w:eastAsia="zh-CN"/>
        </w:rPr>
        <w:t>本溪市辉宏矿业有限公司徐堡村矿区铁矿地下开采建设项目</w:t>
      </w:r>
      <w:r>
        <w:rPr>
          <w:rFonts w:hint="eastAsia"/>
          <w:highlight w:val="none"/>
        </w:rPr>
        <w:t>安全预评价报告</w:t>
      </w:r>
      <w:r>
        <w:rPr>
          <w:highlight w:val="none"/>
        </w:rPr>
        <w:t>》。</w:t>
      </w:r>
    </w:p>
    <w:p w14:paraId="3D7496D3">
      <w:pPr>
        <w:pStyle w:val="22"/>
        <w:bidi w:val="0"/>
        <w:rPr>
          <w:rFonts w:hint="eastAsia" w:eastAsia="宋体"/>
          <w:highlight w:val="none"/>
          <w:lang w:eastAsia="zh-CN"/>
        </w:rPr>
      </w:pPr>
      <w:r>
        <w:rPr>
          <w:rFonts w:hint="eastAsia"/>
          <w:highlight w:val="none"/>
        </w:rPr>
        <w:t>本次《安全预评价报告》的格式和内容，是按照《安全评价通则》（AQ8001-2007）和《安全预评价导则》（AQ8002-2007）、《建设项目安全设施“三同时”监督管理暂行办法》（国家安全生产监督管理总局令第36号）以及《国家安全监管总局关于印发金属非金属矿山建设项目安全评价报告编写提纲的通知》（安监总管一〔2016〕49号）等要求确定的</w:t>
      </w:r>
      <w:r>
        <w:rPr>
          <w:rFonts w:hint="eastAsia"/>
          <w:highlight w:val="none"/>
          <w:lang w:eastAsia="zh-CN"/>
        </w:rPr>
        <w:t>。</w:t>
      </w:r>
    </w:p>
    <w:p w14:paraId="49A4F669">
      <w:pPr>
        <w:pStyle w:val="22"/>
        <w:bidi w:val="0"/>
        <w:rPr>
          <w:rFonts w:hint="eastAsia"/>
          <w:highlight w:val="none"/>
        </w:rPr>
      </w:pPr>
      <w:r>
        <w:rPr>
          <w:rFonts w:hint="eastAsia"/>
          <w:highlight w:val="none"/>
        </w:rPr>
        <w:br w:type="page"/>
      </w:r>
    </w:p>
    <w:sdt>
      <w:sdtPr>
        <w:rPr>
          <w:rFonts w:ascii="宋体" w:hAnsi="宋体" w:eastAsia="宋体" w:cstheme="minorBidi"/>
          <w:kern w:val="2"/>
          <w:sz w:val="21"/>
          <w:szCs w:val="24"/>
          <w:highlight w:val="none"/>
          <w:lang w:val="en-US" w:eastAsia="zh-CN" w:bidi="ar-SA"/>
        </w:rPr>
        <w:id w:val="147452412"/>
        <w15:color w:val="DBDBDB"/>
        <w:docPartObj>
          <w:docPartGallery w:val="Table of Contents"/>
          <w:docPartUnique/>
        </w:docPartObj>
      </w:sdtPr>
      <w:sdtEndPr>
        <w:rPr>
          <w:rFonts w:hint="default" w:ascii="Times New Roman" w:hAnsi="Times New Roman" w:eastAsiaTheme="minorEastAsia" w:cstheme="minorBidi"/>
          <w:b/>
          <w:kern w:val="2"/>
          <w:sz w:val="21"/>
          <w:szCs w:val="28"/>
          <w:highlight w:val="none"/>
          <w:lang w:val="en-US" w:eastAsia="zh-CN" w:bidi="ar-SA"/>
        </w:rPr>
      </w:sdtEndPr>
      <w:sdtContent>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highlight w:val="none"/>
            </w:rPr>
          </w:pPr>
          <w:r>
            <w:rPr>
              <w:rFonts w:hint="eastAsia" w:ascii="黑体" w:hAnsi="黑体" w:eastAsia="黑体" w:cs="黑体"/>
              <w:sz w:val="32"/>
              <w:szCs w:val="32"/>
              <w:highlight w:val="none"/>
            </w:rPr>
            <w:t>目</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录</w:t>
          </w:r>
        </w:p>
        <w:p w14:paraId="454BE6B5">
          <w:pPr>
            <w:pStyle w:val="21"/>
            <w:tabs>
              <w:tab w:val="right" w:leader="dot" w:pos="9185"/>
            </w:tabs>
          </w:pPr>
          <w:r>
            <w:rPr>
              <w:rFonts w:hint="default" w:ascii="Times New Roman" w:hAnsi="Times New Roman" w:eastAsiaTheme="minorEastAsia"/>
              <w:sz w:val="28"/>
              <w:szCs w:val="28"/>
              <w:highlight w:val="none"/>
              <w:lang w:val="en-US" w:eastAsia="zh-CN"/>
            </w:rPr>
            <w:fldChar w:fldCharType="begin"/>
          </w:r>
          <w:r>
            <w:rPr>
              <w:rFonts w:hint="default" w:ascii="Times New Roman" w:hAnsi="Times New Roman" w:eastAsiaTheme="minorEastAsia"/>
              <w:sz w:val="28"/>
              <w:szCs w:val="28"/>
              <w:highlight w:val="none"/>
              <w:lang w:val="en-US" w:eastAsia="zh-CN"/>
            </w:rPr>
            <w:instrText xml:space="preserve">TOC \o "1-2" \h \u </w:instrText>
          </w:r>
          <w:r>
            <w:rPr>
              <w:rFonts w:hint="default" w:ascii="Times New Roman" w:hAnsi="Times New Roman" w:eastAsiaTheme="minorEastAsia"/>
              <w:sz w:val="28"/>
              <w:szCs w:val="28"/>
              <w:highlight w:val="none"/>
              <w:lang w:val="en-US" w:eastAsia="zh-CN"/>
            </w:rPr>
            <w:fldChar w:fldCharType="separate"/>
          </w: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_Toc30799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1 </w:t>
          </w:r>
          <w:r>
            <w:rPr>
              <w:rFonts w:hint="eastAsia"/>
              <w:highlight w:val="none"/>
              <w:lang w:val="en-US" w:eastAsia="zh-CN"/>
            </w:rPr>
            <w:t>评价目的与依据</w:t>
          </w:r>
          <w:r>
            <w:tab/>
          </w:r>
          <w:r>
            <w:fldChar w:fldCharType="begin"/>
          </w:r>
          <w:r>
            <w:instrText xml:space="preserve"> PAGEREF _Toc30799 \h </w:instrText>
          </w:r>
          <w:r>
            <w:fldChar w:fldCharType="separate"/>
          </w:r>
          <w:r>
            <w:t>1</w:t>
          </w:r>
          <w:r>
            <w:fldChar w:fldCharType="end"/>
          </w:r>
          <w:r>
            <w:rPr>
              <w:rFonts w:hint="default" w:ascii="Times New Roman" w:hAnsi="Times New Roman" w:eastAsiaTheme="minorEastAsia"/>
              <w:szCs w:val="28"/>
              <w:highlight w:val="none"/>
              <w:lang w:val="en-US" w:eastAsia="zh-CN"/>
            </w:rPr>
            <w:fldChar w:fldCharType="end"/>
          </w:r>
        </w:p>
        <w:p w14:paraId="76A67A77">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_Toc4283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1.1 </w:t>
          </w:r>
          <w:r>
            <w:rPr>
              <w:rFonts w:hint="eastAsia"/>
              <w:highlight w:val="none"/>
              <w:lang w:val="en-US" w:eastAsia="zh-CN"/>
            </w:rPr>
            <w:t>评价对象和范围</w:t>
          </w:r>
          <w:r>
            <w:tab/>
          </w:r>
          <w:r>
            <w:fldChar w:fldCharType="begin"/>
          </w:r>
          <w:r>
            <w:instrText xml:space="preserve"> PAGEREF _Toc4283 \h </w:instrText>
          </w:r>
          <w:r>
            <w:fldChar w:fldCharType="separate"/>
          </w:r>
          <w:r>
            <w:t>1</w:t>
          </w:r>
          <w:r>
            <w:fldChar w:fldCharType="end"/>
          </w:r>
          <w:r>
            <w:rPr>
              <w:rFonts w:hint="default" w:ascii="Times New Roman" w:hAnsi="Times New Roman" w:eastAsiaTheme="minorEastAsia"/>
              <w:szCs w:val="28"/>
              <w:highlight w:val="none"/>
              <w:lang w:val="en-US" w:eastAsia="zh-CN"/>
            </w:rPr>
            <w:fldChar w:fldCharType="end"/>
          </w:r>
        </w:p>
        <w:p w14:paraId="2BCFC2E5">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_Toc15422 </w:instrText>
          </w:r>
          <w:r>
            <w:rPr>
              <w:rFonts w:hint="default" w:ascii="Times New Roman" w:hAnsi="Times New Roman" w:eastAsiaTheme="minorEastAsia"/>
              <w:szCs w:val="28"/>
              <w:highlight w:val="none"/>
              <w:lang w:val="en-US" w:eastAsia="zh-CN"/>
            </w:rPr>
            <w:fldChar w:fldCharType="separate"/>
          </w:r>
          <w:r>
            <w:rPr>
              <w:rFonts w:hint="default"/>
            </w:rPr>
            <w:t xml:space="preserve">1.2 </w:t>
          </w:r>
          <w:r>
            <w:rPr>
              <w:rFonts w:hint="eastAsia"/>
              <w:highlight w:val="none"/>
            </w:rPr>
            <w:t>评价依据</w:t>
          </w:r>
          <w:r>
            <w:tab/>
          </w:r>
          <w:r>
            <w:fldChar w:fldCharType="begin"/>
          </w:r>
          <w:r>
            <w:instrText xml:space="preserve"> PAGEREF _Toc15422 \h </w:instrText>
          </w:r>
          <w:r>
            <w:fldChar w:fldCharType="separate"/>
          </w:r>
          <w:r>
            <w:t>3</w:t>
          </w:r>
          <w:r>
            <w:fldChar w:fldCharType="end"/>
          </w:r>
          <w:r>
            <w:rPr>
              <w:rFonts w:hint="default" w:ascii="Times New Roman" w:hAnsi="Times New Roman" w:eastAsiaTheme="minorEastAsia"/>
              <w:szCs w:val="28"/>
              <w:highlight w:val="none"/>
              <w:lang w:val="en-US" w:eastAsia="zh-CN"/>
            </w:rPr>
            <w:fldChar w:fldCharType="end"/>
          </w:r>
        </w:p>
        <w:p w14:paraId="6CAC66BC">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_Toc21521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 </w:t>
          </w:r>
          <w:r>
            <w:rPr>
              <w:rFonts w:hint="eastAsia"/>
              <w:highlight w:val="none"/>
              <w:lang w:val="en-US" w:eastAsia="zh-CN"/>
            </w:rPr>
            <w:t>建设项目概述</w:t>
          </w:r>
          <w:r>
            <w:tab/>
          </w:r>
          <w:r>
            <w:fldChar w:fldCharType="begin"/>
          </w:r>
          <w:r>
            <w:instrText xml:space="preserve"> PAGEREF _Toc21521 \h </w:instrText>
          </w:r>
          <w:r>
            <w:fldChar w:fldCharType="separate"/>
          </w:r>
          <w:r>
            <w:t>11</w:t>
          </w:r>
          <w:r>
            <w:fldChar w:fldCharType="end"/>
          </w:r>
          <w:r>
            <w:rPr>
              <w:rFonts w:hint="default" w:ascii="Times New Roman" w:hAnsi="Times New Roman" w:eastAsiaTheme="minorEastAsia"/>
              <w:szCs w:val="28"/>
              <w:highlight w:val="none"/>
              <w:lang w:val="en-US" w:eastAsia="zh-CN"/>
            </w:rPr>
            <w:fldChar w:fldCharType="end"/>
          </w:r>
        </w:p>
        <w:p w14:paraId="14E10D11">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_Toc4977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2.1 </w:t>
          </w:r>
          <w:r>
            <w:rPr>
              <w:rFonts w:hint="default"/>
              <w:highlight w:val="none"/>
              <w:lang w:val="en-US" w:eastAsia="zh-CN"/>
            </w:rPr>
            <w:t>设单位概况</w:t>
          </w:r>
          <w:r>
            <w:tab/>
          </w:r>
          <w:r>
            <w:fldChar w:fldCharType="begin"/>
          </w:r>
          <w:r>
            <w:instrText xml:space="preserve"> PAGEREF _Toc4977 \h </w:instrText>
          </w:r>
          <w:r>
            <w:fldChar w:fldCharType="separate"/>
          </w:r>
          <w:r>
            <w:t>11</w:t>
          </w:r>
          <w:r>
            <w:fldChar w:fldCharType="end"/>
          </w:r>
          <w:r>
            <w:rPr>
              <w:rFonts w:hint="default" w:ascii="Times New Roman" w:hAnsi="Times New Roman" w:eastAsiaTheme="minorEastAsia"/>
              <w:szCs w:val="28"/>
              <w:highlight w:val="none"/>
              <w:lang w:val="en-US" w:eastAsia="zh-CN"/>
            </w:rPr>
            <w:fldChar w:fldCharType="end"/>
          </w:r>
        </w:p>
        <w:p w14:paraId="7BA32600">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_Toc32501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2.2 </w:t>
          </w:r>
          <w:r>
            <w:rPr>
              <w:rFonts w:hint="eastAsia"/>
              <w:highlight w:val="none"/>
              <w:lang w:val="en-US" w:eastAsia="zh-CN"/>
            </w:rPr>
            <w:t>自然环境概况</w:t>
          </w:r>
          <w:r>
            <w:tab/>
          </w:r>
          <w:r>
            <w:fldChar w:fldCharType="begin"/>
          </w:r>
          <w:r>
            <w:instrText xml:space="preserve"> PAGEREF _Toc32501 \h </w:instrText>
          </w:r>
          <w:r>
            <w:fldChar w:fldCharType="separate"/>
          </w:r>
          <w:r>
            <w:t>16</w:t>
          </w:r>
          <w:r>
            <w:fldChar w:fldCharType="end"/>
          </w:r>
          <w:r>
            <w:rPr>
              <w:rFonts w:hint="default" w:ascii="Times New Roman" w:hAnsi="Times New Roman" w:eastAsiaTheme="minorEastAsia"/>
              <w:szCs w:val="28"/>
              <w:highlight w:val="none"/>
              <w:lang w:val="en-US" w:eastAsia="zh-CN"/>
            </w:rPr>
            <w:fldChar w:fldCharType="end"/>
          </w:r>
        </w:p>
        <w:p w14:paraId="6903BFF9">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_Toc17648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2.3 </w:t>
          </w:r>
          <w:r>
            <w:rPr>
              <w:rFonts w:hint="eastAsia"/>
              <w:highlight w:val="none"/>
              <w:lang w:val="en-US" w:eastAsia="zh-CN"/>
            </w:rPr>
            <w:t>建设项目地质概况</w:t>
          </w:r>
          <w:r>
            <w:tab/>
          </w:r>
          <w:r>
            <w:fldChar w:fldCharType="begin"/>
          </w:r>
          <w:r>
            <w:instrText xml:space="preserve"> PAGEREF _Toc17648 \h </w:instrText>
          </w:r>
          <w:r>
            <w:fldChar w:fldCharType="separate"/>
          </w:r>
          <w:r>
            <w:t>17</w:t>
          </w:r>
          <w:r>
            <w:fldChar w:fldCharType="end"/>
          </w:r>
          <w:r>
            <w:rPr>
              <w:rFonts w:hint="default" w:ascii="Times New Roman" w:hAnsi="Times New Roman" w:eastAsiaTheme="minorEastAsia"/>
              <w:szCs w:val="28"/>
              <w:highlight w:val="none"/>
              <w:lang w:val="en-US" w:eastAsia="zh-CN"/>
            </w:rPr>
            <w:fldChar w:fldCharType="end"/>
          </w:r>
        </w:p>
        <w:p w14:paraId="72DBEA99">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_Toc2326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2.4 </w:t>
          </w:r>
          <w:r>
            <w:rPr>
              <w:rFonts w:hint="eastAsia"/>
              <w:highlight w:val="none"/>
              <w:lang w:val="en-US" w:eastAsia="zh-CN"/>
            </w:rPr>
            <w:t>工程建设方案概况</w:t>
          </w:r>
          <w:r>
            <w:tab/>
          </w:r>
          <w:r>
            <w:fldChar w:fldCharType="begin"/>
          </w:r>
          <w:r>
            <w:instrText xml:space="preserve"> PAGEREF _Toc2326 \h </w:instrText>
          </w:r>
          <w:r>
            <w:fldChar w:fldCharType="separate"/>
          </w:r>
          <w:r>
            <w:t>36</w:t>
          </w:r>
          <w:r>
            <w:fldChar w:fldCharType="end"/>
          </w:r>
          <w:r>
            <w:rPr>
              <w:rFonts w:hint="default" w:ascii="Times New Roman" w:hAnsi="Times New Roman" w:eastAsiaTheme="minorEastAsia"/>
              <w:szCs w:val="28"/>
              <w:highlight w:val="none"/>
              <w:lang w:val="en-US" w:eastAsia="zh-CN"/>
            </w:rPr>
            <w:fldChar w:fldCharType="end"/>
          </w:r>
        </w:p>
        <w:p w14:paraId="0D14AA02">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_Toc11087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 </w:t>
          </w:r>
          <w:r>
            <w:rPr>
              <w:rFonts w:hint="default"/>
              <w:highlight w:val="none"/>
              <w:lang w:val="en-US" w:eastAsia="zh-CN"/>
            </w:rPr>
            <w:t>定性、定量评价</w:t>
          </w:r>
          <w:r>
            <w:tab/>
          </w:r>
          <w:r>
            <w:fldChar w:fldCharType="begin"/>
          </w:r>
          <w:r>
            <w:instrText xml:space="preserve"> PAGEREF _Toc11087 \h </w:instrText>
          </w:r>
          <w:r>
            <w:fldChar w:fldCharType="separate"/>
          </w:r>
          <w:r>
            <w:t>73</w:t>
          </w:r>
          <w:r>
            <w:fldChar w:fldCharType="end"/>
          </w:r>
          <w:r>
            <w:rPr>
              <w:rFonts w:hint="default" w:ascii="Times New Roman" w:hAnsi="Times New Roman" w:eastAsiaTheme="minorEastAsia"/>
              <w:szCs w:val="28"/>
              <w:highlight w:val="none"/>
              <w:lang w:val="en-US" w:eastAsia="zh-CN"/>
            </w:rPr>
            <w:fldChar w:fldCharType="end"/>
          </w:r>
        </w:p>
        <w:p w14:paraId="2AAB0864">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_Toc9688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3.1 </w:t>
          </w:r>
          <w:r>
            <w:rPr>
              <w:rFonts w:hint="default"/>
              <w:highlight w:val="none"/>
              <w:lang w:val="en-US" w:eastAsia="zh-CN"/>
            </w:rPr>
            <w:t>总平面布置单元</w:t>
          </w:r>
          <w:r>
            <w:tab/>
          </w:r>
          <w:r>
            <w:fldChar w:fldCharType="begin"/>
          </w:r>
          <w:r>
            <w:instrText xml:space="preserve"> PAGEREF _Toc9688 \h </w:instrText>
          </w:r>
          <w:r>
            <w:fldChar w:fldCharType="separate"/>
          </w:r>
          <w:r>
            <w:t>73</w:t>
          </w:r>
          <w:r>
            <w:fldChar w:fldCharType="end"/>
          </w:r>
          <w:r>
            <w:rPr>
              <w:rFonts w:hint="default" w:ascii="Times New Roman" w:hAnsi="Times New Roman" w:eastAsiaTheme="minorEastAsia"/>
              <w:szCs w:val="28"/>
              <w:highlight w:val="none"/>
              <w:lang w:val="en-US" w:eastAsia="zh-CN"/>
            </w:rPr>
            <w:fldChar w:fldCharType="end"/>
          </w:r>
        </w:p>
        <w:p w14:paraId="6DB5D639">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_Toc19218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3.2 </w:t>
          </w:r>
          <w:r>
            <w:rPr>
              <w:rFonts w:hint="default"/>
              <w:highlight w:val="none"/>
              <w:lang w:val="en-US" w:eastAsia="zh-CN"/>
            </w:rPr>
            <w:t>开拓系统单元评价</w:t>
          </w:r>
          <w:r>
            <w:tab/>
          </w:r>
          <w:r>
            <w:fldChar w:fldCharType="begin"/>
          </w:r>
          <w:r>
            <w:instrText xml:space="preserve"> PAGEREF _Toc19218 \h </w:instrText>
          </w:r>
          <w:r>
            <w:fldChar w:fldCharType="separate"/>
          </w:r>
          <w:r>
            <w:t>77</w:t>
          </w:r>
          <w:r>
            <w:fldChar w:fldCharType="end"/>
          </w:r>
          <w:r>
            <w:rPr>
              <w:rFonts w:hint="default" w:ascii="Times New Roman" w:hAnsi="Times New Roman" w:eastAsiaTheme="minorEastAsia"/>
              <w:szCs w:val="28"/>
              <w:highlight w:val="none"/>
              <w:lang w:val="en-US" w:eastAsia="zh-CN"/>
            </w:rPr>
            <w:fldChar w:fldCharType="end"/>
          </w:r>
        </w:p>
        <w:p w14:paraId="0289867F">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_Toc13204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3.3 </w:t>
          </w:r>
          <w:r>
            <w:rPr>
              <w:rFonts w:hint="default"/>
              <w:highlight w:val="none"/>
              <w:lang w:val="en-US" w:eastAsia="zh-CN"/>
            </w:rPr>
            <w:t>提升和运输单元评价</w:t>
          </w:r>
          <w:r>
            <w:tab/>
          </w:r>
          <w:r>
            <w:fldChar w:fldCharType="begin"/>
          </w:r>
          <w:r>
            <w:instrText xml:space="preserve"> PAGEREF _Toc13204 \h </w:instrText>
          </w:r>
          <w:r>
            <w:fldChar w:fldCharType="separate"/>
          </w:r>
          <w:r>
            <w:t>83</w:t>
          </w:r>
          <w:r>
            <w:fldChar w:fldCharType="end"/>
          </w:r>
          <w:r>
            <w:rPr>
              <w:rFonts w:hint="default" w:ascii="Times New Roman" w:hAnsi="Times New Roman" w:eastAsiaTheme="minorEastAsia"/>
              <w:szCs w:val="28"/>
              <w:highlight w:val="none"/>
              <w:lang w:val="en-US" w:eastAsia="zh-CN"/>
            </w:rPr>
            <w:fldChar w:fldCharType="end"/>
          </w:r>
        </w:p>
        <w:p w14:paraId="20D7FACC">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_Toc28019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3.4 </w:t>
          </w:r>
          <w:r>
            <w:rPr>
              <w:rFonts w:hint="eastAsia"/>
              <w:highlight w:val="none"/>
              <w:lang w:val="en-US" w:eastAsia="zh-CN"/>
            </w:rPr>
            <w:t>采掘单元评价</w:t>
          </w:r>
          <w:r>
            <w:tab/>
          </w:r>
          <w:r>
            <w:fldChar w:fldCharType="begin"/>
          </w:r>
          <w:r>
            <w:instrText xml:space="preserve"> PAGEREF _Toc28019 \h </w:instrText>
          </w:r>
          <w:r>
            <w:fldChar w:fldCharType="separate"/>
          </w:r>
          <w:r>
            <w:t>87</w:t>
          </w:r>
          <w:r>
            <w:fldChar w:fldCharType="end"/>
          </w:r>
          <w:r>
            <w:rPr>
              <w:rFonts w:hint="default" w:ascii="Times New Roman" w:hAnsi="Times New Roman" w:eastAsiaTheme="minorEastAsia"/>
              <w:szCs w:val="28"/>
              <w:highlight w:val="none"/>
              <w:lang w:val="en-US" w:eastAsia="zh-CN"/>
            </w:rPr>
            <w:fldChar w:fldCharType="end"/>
          </w:r>
        </w:p>
        <w:p w14:paraId="3C785663">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_Toc12758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3.5 </w:t>
          </w:r>
          <w:r>
            <w:rPr>
              <w:rFonts w:hint="eastAsia"/>
              <w:highlight w:val="none"/>
              <w:lang w:val="en-US" w:eastAsia="zh-CN"/>
            </w:rPr>
            <w:t>通风防尘评价</w:t>
          </w:r>
          <w:r>
            <w:tab/>
          </w:r>
          <w:r>
            <w:fldChar w:fldCharType="begin"/>
          </w:r>
          <w:r>
            <w:instrText xml:space="preserve"> PAGEREF _Toc12758 \h </w:instrText>
          </w:r>
          <w:r>
            <w:fldChar w:fldCharType="separate"/>
          </w:r>
          <w:r>
            <w:t>98</w:t>
          </w:r>
          <w:r>
            <w:fldChar w:fldCharType="end"/>
          </w:r>
          <w:r>
            <w:rPr>
              <w:rFonts w:hint="default" w:ascii="Times New Roman" w:hAnsi="Times New Roman" w:eastAsiaTheme="minorEastAsia"/>
              <w:szCs w:val="28"/>
              <w:highlight w:val="none"/>
              <w:lang w:val="en-US" w:eastAsia="zh-CN"/>
            </w:rPr>
            <w:fldChar w:fldCharType="end"/>
          </w:r>
        </w:p>
        <w:p w14:paraId="2A05C03B">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_Toc27164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3.6 </w:t>
          </w:r>
          <w:r>
            <w:rPr>
              <w:rFonts w:hint="default"/>
              <w:highlight w:val="none"/>
              <w:lang w:val="en-US" w:eastAsia="zh-CN"/>
            </w:rPr>
            <w:t>矿山电气单元评价</w:t>
          </w:r>
          <w:r>
            <w:tab/>
          </w:r>
          <w:r>
            <w:fldChar w:fldCharType="begin"/>
          </w:r>
          <w:r>
            <w:instrText xml:space="preserve"> PAGEREF _Toc27164 \h </w:instrText>
          </w:r>
          <w:r>
            <w:fldChar w:fldCharType="separate"/>
          </w:r>
          <w:r>
            <w:t>102</w:t>
          </w:r>
          <w:r>
            <w:fldChar w:fldCharType="end"/>
          </w:r>
          <w:r>
            <w:rPr>
              <w:rFonts w:hint="default" w:ascii="Times New Roman" w:hAnsi="Times New Roman" w:eastAsiaTheme="minorEastAsia"/>
              <w:szCs w:val="28"/>
              <w:highlight w:val="none"/>
              <w:lang w:val="en-US" w:eastAsia="zh-CN"/>
            </w:rPr>
            <w:fldChar w:fldCharType="end"/>
          </w:r>
        </w:p>
        <w:p w14:paraId="5310831D">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_Toc24236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3.7 </w:t>
          </w:r>
          <w:r>
            <w:rPr>
              <w:rFonts w:hint="default"/>
              <w:highlight w:val="none"/>
              <w:lang w:val="en-US" w:eastAsia="zh-CN"/>
            </w:rPr>
            <w:t>防排水与防灭火单元评价</w:t>
          </w:r>
          <w:r>
            <w:tab/>
          </w:r>
          <w:r>
            <w:fldChar w:fldCharType="begin"/>
          </w:r>
          <w:r>
            <w:instrText xml:space="preserve"> PAGEREF _Toc24236 \h </w:instrText>
          </w:r>
          <w:r>
            <w:fldChar w:fldCharType="separate"/>
          </w:r>
          <w:r>
            <w:t>107</w:t>
          </w:r>
          <w:r>
            <w:fldChar w:fldCharType="end"/>
          </w:r>
          <w:r>
            <w:rPr>
              <w:rFonts w:hint="default" w:ascii="Times New Roman" w:hAnsi="Times New Roman" w:eastAsiaTheme="minorEastAsia"/>
              <w:szCs w:val="28"/>
              <w:highlight w:val="none"/>
              <w:lang w:val="en-US" w:eastAsia="zh-CN"/>
            </w:rPr>
            <w:fldChar w:fldCharType="end"/>
          </w:r>
        </w:p>
        <w:p w14:paraId="4E7BD157">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_Toc24520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3.8 </w:t>
          </w:r>
          <w:r>
            <w:rPr>
              <w:rFonts w:hint="eastAsia"/>
              <w:highlight w:val="none"/>
              <w:lang w:val="en-US" w:eastAsia="zh-CN"/>
            </w:rPr>
            <w:t>废石场单元</w:t>
          </w:r>
          <w:r>
            <w:tab/>
          </w:r>
          <w:r>
            <w:fldChar w:fldCharType="begin"/>
          </w:r>
          <w:r>
            <w:instrText xml:space="preserve"> PAGEREF _Toc24520 \h </w:instrText>
          </w:r>
          <w:r>
            <w:fldChar w:fldCharType="separate"/>
          </w:r>
          <w:r>
            <w:t>112</w:t>
          </w:r>
          <w:r>
            <w:fldChar w:fldCharType="end"/>
          </w:r>
          <w:r>
            <w:rPr>
              <w:rFonts w:hint="default" w:ascii="Times New Roman" w:hAnsi="Times New Roman" w:eastAsiaTheme="minorEastAsia"/>
              <w:szCs w:val="28"/>
              <w:highlight w:val="none"/>
              <w:lang w:val="en-US" w:eastAsia="zh-CN"/>
            </w:rPr>
            <w:fldChar w:fldCharType="end"/>
          </w:r>
        </w:p>
        <w:p w14:paraId="489A50D7">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_Toc23357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3.9 </w:t>
          </w:r>
          <w:r>
            <w:rPr>
              <w:rFonts w:hint="default"/>
              <w:highlight w:val="none"/>
              <w:lang w:val="en-US" w:eastAsia="zh-CN"/>
            </w:rPr>
            <w:t>安全避险“六大系统”子单元</w:t>
          </w:r>
          <w:r>
            <w:tab/>
          </w:r>
          <w:r>
            <w:fldChar w:fldCharType="begin"/>
          </w:r>
          <w:r>
            <w:instrText xml:space="preserve"> PAGEREF _Toc23357 \h </w:instrText>
          </w:r>
          <w:r>
            <w:fldChar w:fldCharType="separate"/>
          </w:r>
          <w:r>
            <w:t>112</w:t>
          </w:r>
          <w:r>
            <w:fldChar w:fldCharType="end"/>
          </w:r>
          <w:r>
            <w:rPr>
              <w:rFonts w:hint="default" w:ascii="Times New Roman" w:hAnsi="Times New Roman" w:eastAsiaTheme="minorEastAsia"/>
              <w:szCs w:val="28"/>
              <w:highlight w:val="none"/>
              <w:lang w:val="en-US" w:eastAsia="zh-CN"/>
            </w:rPr>
            <w:fldChar w:fldCharType="end"/>
          </w:r>
        </w:p>
        <w:p w14:paraId="774E62CE">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_Toc23284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3.10 </w:t>
          </w:r>
          <w:r>
            <w:rPr>
              <w:rFonts w:hint="eastAsia"/>
              <w:highlight w:val="none"/>
              <w:lang w:val="en-US" w:eastAsia="zh-CN"/>
            </w:rPr>
            <w:t>安全管理子单元</w:t>
          </w:r>
          <w:r>
            <w:tab/>
          </w:r>
          <w:r>
            <w:fldChar w:fldCharType="begin"/>
          </w:r>
          <w:r>
            <w:instrText xml:space="preserve"> PAGEREF _Toc23284 \h </w:instrText>
          </w:r>
          <w:r>
            <w:fldChar w:fldCharType="separate"/>
          </w:r>
          <w:r>
            <w:t>115</w:t>
          </w:r>
          <w:r>
            <w:fldChar w:fldCharType="end"/>
          </w:r>
          <w:r>
            <w:rPr>
              <w:rFonts w:hint="default" w:ascii="Times New Roman" w:hAnsi="Times New Roman" w:eastAsiaTheme="minorEastAsia"/>
              <w:szCs w:val="28"/>
              <w:highlight w:val="none"/>
              <w:lang w:val="en-US" w:eastAsia="zh-CN"/>
            </w:rPr>
            <w:fldChar w:fldCharType="end"/>
          </w:r>
        </w:p>
        <w:p w14:paraId="55993364">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_Toc31294 </w:instrText>
          </w:r>
          <w:r>
            <w:rPr>
              <w:rFonts w:hint="default" w:ascii="Times New Roman" w:hAnsi="Times New Roman" w:eastAsiaTheme="minorEastAsia"/>
              <w:szCs w:val="28"/>
              <w:highlight w:val="none"/>
              <w:lang w:val="en-US" w:eastAsia="zh-CN"/>
            </w:rPr>
            <w:fldChar w:fldCharType="separate"/>
          </w:r>
          <w:r>
            <w:rPr>
              <w:rFonts w:hint="default"/>
              <w:lang w:val="zh-CN"/>
            </w:rPr>
            <w:t xml:space="preserve">3.11 </w:t>
          </w:r>
          <w:r>
            <w:rPr>
              <w:rFonts w:hint="eastAsia"/>
              <w:highlight w:val="none"/>
              <w:lang w:val="zh-CN"/>
            </w:rPr>
            <w:t>重大危险源辨识单元</w:t>
          </w:r>
          <w:r>
            <w:tab/>
          </w:r>
          <w:r>
            <w:fldChar w:fldCharType="begin"/>
          </w:r>
          <w:r>
            <w:instrText xml:space="preserve"> PAGEREF _Toc31294 \h </w:instrText>
          </w:r>
          <w:r>
            <w:fldChar w:fldCharType="separate"/>
          </w:r>
          <w:r>
            <w:t>117</w:t>
          </w:r>
          <w:r>
            <w:fldChar w:fldCharType="end"/>
          </w:r>
          <w:r>
            <w:rPr>
              <w:rFonts w:hint="default" w:ascii="Times New Roman" w:hAnsi="Times New Roman" w:eastAsiaTheme="minorEastAsia"/>
              <w:szCs w:val="28"/>
              <w:highlight w:val="none"/>
              <w:lang w:val="en-US" w:eastAsia="zh-CN"/>
            </w:rPr>
            <w:fldChar w:fldCharType="end"/>
          </w:r>
        </w:p>
        <w:p w14:paraId="2E5E2928">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_Toc8959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4 </w:t>
          </w:r>
          <w:r>
            <w:rPr>
              <w:rFonts w:hint="default"/>
              <w:highlight w:val="none"/>
              <w:lang w:val="en-US" w:eastAsia="zh-CN"/>
            </w:rPr>
            <w:t>安全对策措施建议</w:t>
          </w:r>
          <w:r>
            <w:tab/>
          </w:r>
          <w:r>
            <w:fldChar w:fldCharType="begin"/>
          </w:r>
          <w:r>
            <w:instrText xml:space="preserve"> PAGEREF _Toc8959 \h </w:instrText>
          </w:r>
          <w:r>
            <w:fldChar w:fldCharType="separate"/>
          </w:r>
          <w:r>
            <w:t>118</w:t>
          </w:r>
          <w:r>
            <w:fldChar w:fldCharType="end"/>
          </w:r>
          <w:r>
            <w:rPr>
              <w:rFonts w:hint="default" w:ascii="Times New Roman" w:hAnsi="Times New Roman" w:eastAsiaTheme="minorEastAsia"/>
              <w:szCs w:val="28"/>
              <w:highlight w:val="none"/>
              <w:lang w:val="en-US" w:eastAsia="zh-CN"/>
            </w:rPr>
            <w:fldChar w:fldCharType="end"/>
          </w:r>
        </w:p>
        <w:p w14:paraId="58853FE0">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_Toc12043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4.1 </w:t>
          </w:r>
          <w:r>
            <w:rPr>
              <w:rFonts w:hint="default"/>
              <w:highlight w:val="none"/>
              <w:lang w:val="en-US" w:eastAsia="zh-CN"/>
            </w:rPr>
            <w:t>本预评价补充的安全对策措施</w:t>
          </w:r>
          <w:r>
            <w:tab/>
          </w:r>
          <w:r>
            <w:fldChar w:fldCharType="begin"/>
          </w:r>
          <w:r>
            <w:instrText xml:space="preserve"> PAGEREF _Toc12043 \h </w:instrText>
          </w:r>
          <w:r>
            <w:fldChar w:fldCharType="separate"/>
          </w:r>
          <w:r>
            <w:t>118</w:t>
          </w:r>
          <w:r>
            <w:fldChar w:fldCharType="end"/>
          </w:r>
          <w:r>
            <w:rPr>
              <w:rFonts w:hint="default" w:ascii="Times New Roman" w:hAnsi="Times New Roman" w:eastAsiaTheme="minorEastAsia"/>
              <w:szCs w:val="28"/>
              <w:highlight w:val="none"/>
              <w:lang w:val="en-US" w:eastAsia="zh-CN"/>
            </w:rPr>
            <w:fldChar w:fldCharType="end"/>
          </w:r>
        </w:p>
        <w:p w14:paraId="142D48D9">
          <w:pPr>
            <w:pStyle w:val="23"/>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_Toc26991 </w:instrText>
          </w:r>
          <w:r>
            <w:rPr>
              <w:rFonts w:hint="default" w:ascii="Times New Roman" w:hAnsi="Times New Roman" w:eastAsiaTheme="minorEastAsia"/>
              <w:szCs w:val="28"/>
              <w:highlight w:val="none"/>
              <w:lang w:val="en-US" w:eastAsia="zh-CN"/>
            </w:rPr>
            <w:fldChar w:fldCharType="separate"/>
          </w:r>
          <w:r>
            <w:rPr>
              <w:rFonts w:hint="default" w:ascii="Times New Roman" w:hAnsi="Times New Roman" w:eastAsia="黑体"/>
              <w:caps w:val="0"/>
              <w:smallCaps w:val="0"/>
            </w:rPr>
            <w:t xml:space="preserve">4.2 </w:t>
          </w:r>
          <w:r>
            <w:rPr>
              <w:rFonts w:hint="eastAsia" w:ascii="Times New Roman" w:hAnsi="Times New Roman" w:eastAsia="黑体"/>
              <w:caps w:val="0"/>
              <w:smallCaps w:val="0"/>
              <w:highlight w:val="none"/>
            </w:rPr>
            <w:t>安全设施设计原则</w:t>
          </w:r>
          <w:r>
            <w:tab/>
          </w:r>
          <w:r>
            <w:fldChar w:fldCharType="begin"/>
          </w:r>
          <w:r>
            <w:instrText xml:space="preserve"> PAGEREF _Toc26991 \h </w:instrText>
          </w:r>
          <w:r>
            <w:fldChar w:fldCharType="separate"/>
          </w:r>
          <w:r>
            <w:t>125</w:t>
          </w:r>
          <w:r>
            <w:fldChar w:fldCharType="end"/>
          </w:r>
          <w:r>
            <w:rPr>
              <w:rFonts w:hint="default" w:ascii="Times New Roman" w:hAnsi="Times New Roman" w:eastAsiaTheme="minorEastAsia"/>
              <w:szCs w:val="28"/>
              <w:highlight w:val="none"/>
              <w:lang w:val="en-US" w:eastAsia="zh-CN"/>
            </w:rPr>
            <w:fldChar w:fldCharType="end"/>
          </w:r>
        </w:p>
        <w:p w14:paraId="066E3B56">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_Toc2653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5 </w:t>
          </w:r>
          <w:r>
            <w:rPr>
              <w:rFonts w:hint="default"/>
              <w:highlight w:val="none"/>
              <w:lang w:val="en-US" w:eastAsia="zh-CN"/>
            </w:rPr>
            <w:t>评价结论</w:t>
          </w:r>
          <w:r>
            <w:tab/>
          </w:r>
          <w:r>
            <w:fldChar w:fldCharType="begin"/>
          </w:r>
          <w:r>
            <w:instrText xml:space="preserve"> PAGEREF _Toc2653 \h </w:instrText>
          </w:r>
          <w:r>
            <w:fldChar w:fldCharType="separate"/>
          </w:r>
          <w:r>
            <w:t>126</w:t>
          </w:r>
          <w:r>
            <w:fldChar w:fldCharType="end"/>
          </w:r>
          <w:r>
            <w:rPr>
              <w:rFonts w:hint="default" w:ascii="Times New Roman" w:hAnsi="Times New Roman" w:eastAsiaTheme="minorEastAsia"/>
              <w:szCs w:val="28"/>
              <w:highlight w:val="none"/>
              <w:lang w:val="en-US" w:eastAsia="zh-CN"/>
            </w:rPr>
            <w:fldChar w:fldCharType="end"/>
          </w:r>
        </w:p>
        <w:p w14:paraId="01E038BC">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_Toc13362 </w:instrText>
          </w:r>
          <w:r>
            <w:rPr>
              <w:rFonts w:hint="default" w:ascii="Times New Roman" w:hAnsi="Times New Roman" w:eastAsiaTheme="minorEastAsia"/>
              <w:szCs w:val="28"/>
              <w:highlight w:val="none"/>
              <w:lang w:val="en-US" w:eastAsia="zh-CN"/>
            </w:rPr>
            <w:fldChar w:fldCharType="separate"/>
          </w:r>
          <w:r>
            <w:rPr>
              <w:rFonts w:hint="default"/>
            </w:rPr>
            <w:t xml:space="preserve">6 </w:t>
          </w:r>
          <w:r>
            <w:rPr>
              <w:rFonts w:hint="eastAsia"/>
              <w:highlight w:val="none"/>
            </w:rPr>
            <w:t>附件</w:t>
          </w:r>
          <w:r>
            <w:tab/>
          </w:r>
          <w:r>
            <w:fldChar w:fldCharType="begin"/>
          </w:r>
          <w:r>
            <w:instrText xml:space="preserve"> PAGEREF _Toc13362 \h </w:instrText>
          </w:r>
          <w:r>
            <w:fldChar w:fldCharType="separate"/>
          </w:r>
          <w:r>
            <w:t>127</w:t>
          </w:r>
          <w:r>
            <w:fldChar w:fldCharType="end"/>
          </w:r>
          <w:r>
            <w:rPr>
              <w:rFonts w:hint="default" w:ascii="Times New Roman" w:hAnsi="Times New Roman" w:eastAsiaTheme="minorEastAsia"/>
              <w:szCs w:val="28"/>
              <w:highlight w:val="none"/>
              <w:lang w:val="en-US" w:eastAsia="zh-CN"/>
            </w:rPr>
            <w:fldChar w:fldCharType="end"/>
          </w:r>
        </w:p>
        <w:p w14:paraId="7E7877B3">
          <w:pPr>
            <w:pStyle w:val="21"/>
            <w:tabs>
              <w:tab w:val="right" w:leader="dot" w:pos="9185"/>
            </w:tabs>
          </w:pPr>
          <w:r>
            <w:rPr>
              <w:rFonts w:hint="default" w:ascii="Times New Roman" w:hAnsi="Times New Roman" w:eastAsiaTheme="minorEastAsia"/>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_Toc23043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7 </w:t>
          </w:r>
          <w:r>
            <w:rPr>
              <w:rFonts w:hint="eastAsia"/>
              <w:highlight w:val="none"/>
              <w:lang w:val="en-US" w:eastAsia="zh-CN"/>
            </w:rPr>
            <w:t>附图</w:t>
          </w:r>
          <w:r>
            <w:tab/>
          </w:r>
          <w:r>
            <w:fldChar w:fldCharType="begin"/>
          </w:r>
          <w:r>
            <w:instrText xml:space="preserve"> PAGEREF _Toc23043 \h </w:instrText>
          </w:r>
          <w:r>
            <w:fldChar w:fldCharType="separate"/>
          </w:r>
          <w:r>
            <w:t>128</w:t>
          </w:r>
          <w:r>
            <w:fldChar w:fldCharType="end"/>
          </w:r>
          <w:r>
            <w:rPr>
              <w:rFonts w:hint="default" w:ascii="Times New Roman" w:hAnsi="Times New Roman" w:eastAsiaTheme="minorEastAsia"/>
              <w:szCs w:val="28"/>
              <w:highlight w:val="none"/>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Theme="minorEastAsia" w:cstheme="minorBidi"/>
              <w:b/>
              <w:kern w:val="2"/>
              <w:sz w:val="21"/>
              <w:szCs w:val="28"/>
              <w:highlight w:val="none"/>
              <w:lang w:val="en-US" w:eastAsia="zh-CN" w:bidi="ar-SA"/>
            </w:rPr>
          </w:pPr>
          <w:r>
            <w:rPr>
              <w:rFonts w:hint="default" w:ascii="Times New Roman" w:hAnsi="Times New Roman" w:eastAsiaTheme="minorEastAsia"/>
              <w:szCs w:val="28"/>
              <w:highlight w:val="none"/>
              <w:lang w:val="en-US" w:eastAsia="zh-CN"/>
            </w:rPr>
            <w:fldChar w:fldCharType="end"/>
          </w:r>
        </w:p>
      </w:sdtContent>
    </w:sdt>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kern w:val="2"/>
          <w:sz w:val="21"/>
          <w:szCs w:val="28"/>
          <w:highlight w:val="none"/>
          <w:lang w:val="en-US" w:eastAsia="zh-CN" w:bidi="ar-SA"/>
        </w:rPr>
      </w:pPr>
    </w:p>
    <w:p w14:paraId="4B9606D5">
      <w:pPr>
        <w:pStyle w:val="22"/>
        <w:bidi w:val="0"/>
        <w:rPr>
          <w:rFonts w:hint="eastAsia"/>
          <w:highlight w:val="none"/>
        </w:rPr>
        <w:sectPr>
          <w:pgSz w:w="11906" w:h="16838"/>
          <w:pgMar w:top="1417" w:right="1134" w:bottom="113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14:paraId="514C0AF5">
      <w:pPr>
        <w:pStyle w:val="28"/>
        <w:bidi w:val="0"/>
        <w:rPr>
          <w:rFonts w:hint="eastAsia"/>
          <w:highlight w:val="none"/>
          <w:lang w:val="en-US" w:eastAsia="zh-CN"/>
        </w:rPr>
      </w:pPr>
      <w:bookmarkStart w:id="0" w:name="_Toc30799"/>
      <w:r>
        <w:rPr>
          <w:rFonts w:hint="eastAsia"/>
          <w:highlight w:val="none"/>
          <w:lang w:val="en-US" w:eastAsia="zh-CN"/>
        </w:rPr>
        <w:t>评价目的与依据</w:t>
      </w:r>
      <w:bookmarkEnd w:id="0"/>
    </w:p>
    <w:p w14:paraId="11944F54">
      <w:pPr>
        <w:pStyle w:val="29"/>
        <w:bidi w:val="0"/>
        <w:rPr>
          <w:rFonts w:hint="default"/>
          <w:highlight w:val="none"/>
          <w:lang w:val="en-US" w:eastAsia="zh-CN"/>
        </w:rPr>
      </w:pPr>
      <w:bookmarkStart w:id="1" w:name="_Toc4283"/>
      <w:r>
        <w:rPr>
          <w:rFonts w:hint="eastAsia"/>
          <w:highlight w:val="none"/>
          <w:lang w:val="en-US" w:eastAsia="zh-CN"/>
        </w:rPr>
        <w:t>评价对象和范围</w:t>
      </w:r>
      <w:bookmarkEnd w:id="1"/>
    </w:p>
    <w:p w14:paraId="1C97F2E6">
      <w:pPr>
        <w:pStyle w:val="22"/>
        <w:rPr>
          <w:rFonts w:hint="eastAsia"/>
          <w:highlight w:val="none"/>
          <w:lang w:val="en-US" w:eastAsia="zh-CN"/>
        </w:rPr>
      </w:pPr>
      <w:r>
        <w:rPr>
          <w:rFonts w:hint="eastAsia"/>
          <w:highlight w:val="none"/>
          <w:lang w:val="en-US" w:eastAsia="zh-CN"/>
        </w:rPr>
        <w:t>安全预评价项目名称：本溪市辉宏矿业有限公司徐堡村矿区铁矿地下开采建设项目安全预评价报告。</w:t>
      </w:r>
    </w:p>
    <w:p w14:paraId="45E50469">
      <w:pPr>
        <w:pStyle w:val="22"/>
        <w:rPr>
          <w:rFonts w:hint="eastAsia"/>
          <w:color w:val="auto"/>
          <w:highlight w:val="none"/>
          <w:lang w:val="en-US" w:eastAsia="zh-CN"/>
        </w:rPr>
      </w:pPr>
      <w:r>
        <w:rPr>
          <w:rFonts w:hint="eastAsia"/>
          <w:highlight w:val="none"/>
          <w:lang w:val="en-US" w:eastAsia="zh-CN"/>
        </w:rPr>
        <w:t>本次安全预评</w:t>
      </w:r>
      <w:r>
        <w:rPr>
          <w:rFonts w:hint="eastAsia"/>
          <w:color w:val="auto"/>
          <w:highlight w:val="none"/>
          <w:lang w:val="en-US" w:eastAsia="zh-CN"/>
        </w:rPr>
        <w:t>价的对象：辉宏铁矿《采矿许可证》划定矿区范围之内（见表1.1-1），《可研报告》确定的340m～-72m标高之间的地下开采工程。</w:t>
      </w:r>
    </w:p>
    <w:p w14:paraId="6B99D534">
      <w:pPr>
        <w:pStyle w:val="22"/>
        <w:rPr>
          <w:rFonts w:hint="eastAsia"/>
          <w:color w:val="auto"/>
          <w:highlight w:val="none"/>
          <w:lang w:val="en-US" w:eastAsia="zh-CN"/>
        </w:rPr>
      </w:pPr>
      <w:r>
        <w:rPr>
          <w:rFonts w:hint="eastAsia"/>
          <w:color w:val="auto"/>
          <w:highlight w:val="none"/>
          <w:lang w:val="en-US" w:eastAsia="zh-CN"/>
        </w:rPr>
        <w:t>有关评价范围的说明：</w:t>
      </w:r>
    </w:p>
    <w:p w14:paraId="7C90506A">
      <w:pPr>
        <w:pStyle w:val="22"/>
        <w:rPr>
          <w:rFonts w:hint="eastAsia"/>
          <w:highlight w:val="none"/>
          <w:lang w:val="en-US" w:eastAsia="zh-CN"/>
        </w:rPr>
      </w:pPr>
      <w:r>
        <w:rPr>
          <w:rFonts w:hint="eastAsia"/>
          <w:highlight w:val="none"/>
          <w:lang w:val="en-US" w:eastAsia="zh-CN"/>
        </w:rPr>
        <w:t>（1）本次安全评价范围内生产系统具体评价内容包括：总平面布置、开拓、提升运输、采掘系统、通风防尘、防排水与防灭火、矿山电气、安全避险“六大系统”和安全管理的安全性评价；地面设施包括工业场地、提升机房、通风机房、空压机房、配电室、废石场选址的合理性。</w:t>
      </w:r>
    </w:p>
    <w:p w14:paraId="0FBF42FD">
      <w:pPr>
        <w:pStyle w:val="22"/>
        <w:rPr>
          <w:rFonts w:hint="eastAsia"/>
          <w:highlight w:val="none"/>
          <w:lang w:val="en-US" w:eastAsia="zh-CN"/>
        </w:rPr>
      </w:pPr>
      <w:r>
        <w:rPr>
          <w:rFonts w:hint="eastAsia"/>
          <w:highlight w:val="none"/>
          <w:lang w:val="en-US" w:eastAsia="zh-CN"/>
        </w:rPr>
        <w:t>（2）本次评价的具体空间范围拐点坐标及标高与《可研报告》设计范围一致，见表1.1-2及表1.1-3。</w:t>
      </w:r>
    </w:p>
    <w:p w14:paraId="0B0E781A">
      <w:pPr>
        <w:pStyle w:val="22"/>
        <w:rPr>
          <w:rFonts w:hint="eastAsia"/>
          <w:highlight w:val="none"/>
          <w:lang w:val="en-US" w:eastAsia="zh-CN"/>
        </w:rPr>
      </w:pPr>
      <w:r>
        <w:rPr>
          <w:rFonts w:hint="eastAsia"/>
          <w:highlight w:val="none"/>
          <w:lang w:val="en-US" w:eastAsia="zh-CN"/>
        </w:rPr>
        <w:t>（3）本项目爆破所需爆破器材由爆破服务公司统一配送，爆破服务公司负责爆破器材的购买、运输、贮存、清退，建设单位不设置爆破器材库。因此，本次安全预评价内容不包括爆破器材的购买、运输、贮存和清退，只评价地下爆破作业安全可靠性。不包括选矿厂。</w:t>
      </w:r>
    </w:p>
    <w:p w14:paraId="427677DD">
      <w:pPr>
        <w:pStyle w:val="31"/>
        <w:bidi w:val="0"/>
        <w:rPr>
          <w:rFonts w:hint="eastAsia"/>
          <w:highlight w:val="none"/>
        </w:rPr>
      </w:pPr>
      <w:r>
        <w:rPr>
          <w:rFonts w:hint="eastAsia"/>
          <w:highlight w:val="none"/>
        </w:rPr>
        <w:t>表1.1-1  《采矿许可证》矿区范围拐点坐标表（2000国家大地坐标系）</w:t>
      </w:r>
    </w:p>
    <w:p w14:paraId="796C6BDF">
      <w:pPr>
        <w:pStyle w:val="31"/>
        <w:bidi w:val="0"/>
        <w:rPr>
          <w:rFonts w:hint="eastAsia"/>
          <w:highlight w:val="none"/>
        </w:rPr>
      </w:pPr>
    </w:p>
    <w:p w14:paraId="4F9096B7">
      <w:pPr>
        <w:pStyle w:val="31"/>
        <w:bidi w:val="0"/>
        <w:rPr>
          <w:rFonts w:hint="eastAsia"/>
          <w:highlight w:val="none"/>
        </w:rPr>
      </w:pPr>
      <w:r>
        <w:rPr>
          <w:rFonts w:hint="eastAsia"/>
          <w:highlight w:val="none"/>
        </w:rPr>
        <w:t>表1.1-2  《可研报告》设计范围拐点坐标表（2000国家大地坐标系）</w:t>
      </w:r>
    </w:p>
    <w:p w14:paraId="37AFE7CE">
      <w:pPr>
        <w:pStyle w:val="22"/>
        <w:rPr>
          <w:rFonts w:hint="default"/>
          <w:highlight w:val="none"/>
          <w:lang w:val="en-US" w:eastAsia="zh-CN"/>
        </w:rPr>
      </w:pPr>
    </w:p>
    <w:p w14:paraId="3A3F363D">
      <w:pPr>
        <w:pStyle w:val="31"/>
        <w:bidi w:val="0"/>
        <w:rPr>
          <w:rFonts w:hint="eastAsia"/>
          <w:highlight w:val="none"/>
        </w:rPr>
      </w:pPr>
      <w:r>
        <w:rPr>
          <w:rFonts w:hint="eastAsia"/>
          <w:highlight w:val="none"/>
        </w:rPr>
        <w:t>表1.1-3  本次评价范围拐点坐标表（2000国家大地坐标系）</w:t>
      </w:r>
    </w:p>
    <w:p w14:paraId="791A1BEE">
      <w:pPr>
        <w:pStyle w:val="29"/>
        <w:bidi w:val="0"/>
        <w:rPr>
          <w:highlight w:val="none"/>
        </w:rPr>
      </w:pPr>
      <w:bookmarkStart w:id="2" w:name="_Toc23023"/>
      <w:bookmarkStart w:id="3" w:name="_Toc15422"/>
      <w:r>
        <w:rPr>
          <w:rFonts w:hint="eastAsia"/>
          <w:highlight w:val="none"/>
        </w:rPr>
        <w:t>评价依据</w:t>
      </w:r>
      <w:bookmarkEnd w:id="2"/>
      <w:bookmarkEnd w:id="3"/>
    </w:p>
    <w:p w14:paraId="6275A839">
      <w:pPr>
        <w:pStyle w:val="30"/>
        <w:rPr>
          <w:highlight w:val="none"/>
        </w:rPr>
      </w:pPr>
      <w:r>
        <w:rPr>
          <w:rFonts w:hint="eastAsia"/>
          <w:highlight w:val="none"/>
          <w:lang w:val="en-US" w:eastAsia="zh-CN"/>
        </w:rPr>
        <w:t>法律</w:t>
      </w:r>
    </w:p>
    <w:p w14:paraId="48317B0C">
      <w:pPr>
        <w:pStyle w:val="22"/>
        <w:numPr>
          <w:ilvl w:val="0"/>
          <w:numId w:val="3"/>
        </w:numPr>
        <w:bidi w:val="0"/>
        <w:rPr>
          <w:highlight w:val="none"/>
        </w:rPr>
      </w:pPr>
      <w:r>
        <w:rPr>
          <w:highlight w:val="none"/>
        </w:rPr>
        <w:t>《中华人民共和国突发事件应对法》（</w:t>
      </w:r>
      <w:bookmarkStart w:id="4" w:name="_Hlk172214835"/>
      <w:r>
        <w:rPr>
          <w:highlight w:val="none"/>
        </w:rPr>
        <w:t>中华人民共和国主席令第六十九号，</w:t>
      </w:r>
      <w:r>
        <w:rPr>
          <w:rFonts w:hint="eastAsia"/>
          <w:highlight w:val="none"/>
        </w:rPr>
        <w:t>2007年8月30日第十届全国人民代表大会常务委员会第二十九次会议通过，2024年6月28日第十四届全国人民代表大会常务委员会第十次会议修订，2024年11月1日起施行</w:t>
      </w:r>
      <w:bookmarkEnd w:id="4"/>
      <w:r>
        <w:rPr>
          <w:highlight w:val="none"/>
        </w:rPr>
        <w:t>）。</w:t>
      </w:r>
    </w:p>
    <w:p w14:paraId="143ECDAA">
      <w:pPr>
        <w:pStyle w:val="22"/>
        <w:numPr>
          <w:ilvl w:val="0"/>
          <w:numId w:val="3"/>
        </w:numPr>
        <w:bidi w:val="0"/>
        <w:rPr>
          <w:highlight w:val="none"/>
        </w:rPr>
      </w:pPr>
      <w:r>
        <w:rPr>
          <w:highlight w:val="none"/>
        </w:rPr>
        <w:t>《中华人民共和国防震减灾法》（</w:t>
      </w:r>
      <w:r>
        <w:rPr>
          <w:rFonts w:hint="eastAsia"/>
          <w:highlight w:val="none"/>
        </w:rPr>
        <w:t>1997年</w:t>
      </w:r>
      <w:r>
        <w:rPr>
          <w:highlight w:val="none"/>
        </w:rPr>
        <w:t>中华人民共和国主席令第九十四号</w:t>
      </w:r>
      <w:r>
        <w:rPr>
          <w:rFonts w:hint="eastAsia"/>
          <w:highlight w:val="none"/>
        </w:rPr>
        <w:t>公布</w:t>
      </w:r>
      <w:r>
        <w:rPr>
          <w:highlight w:val="none"/>
        </w:rPr>
        <w:t>，</w:t>
      </w:r>
      <w:r>
        <w:rPr>
          <w:rFonts w:hint="eastAsia"/>
          <w:highlight w:val="none"/>
        </w:rPr>
        <w:t>2008年</w:t>
      </w:r>
      <w:r>
        <w:rPr>
          <w:highlight w:val="none"/>
        </w:rPr>
        <w:t>第十一届全国人民代表大会常务委员会第六次会议修订，2008年12月27日施行）。</w:t>
      </w:r>
    </w:p>
    <w:p w14:paraId="1BA06831">
      <w:pPr>
        <w:pStyle w:val="22"/>
        <w:numPr>
          <w:ilvl w:val="0"/>
          <w:numId w:val="3"/>
        </w:numPr>
        <w:bidi w:val="0"/>
        <w:rPr>
          <w:highlight w:val="none"/>
        </w:rPr>
      </w:pPr>
      <w:r>
        <w:rPr>
          <w:highlight w:val="none"/>
        </w:rPr>
        <w:t>《中华人民共和国环境保护法》（</w:t>
      </w:r>
      <w:r>
        <w:rPr>
          <w:rFonts w:hint="eastAsia"/>
          <w:highlight w:val="none"/>
        </w:rPr>
        <w:t>1989年</w:t>
      </w:r>
      <w:r>
        <w:rPr>
          <w:highlight w:val="none"/>
        </w:rPr>
        <w:t>中华人民共和国主席令第二十二号</w:t>
      </w:r>
      <w:r>
        <w:rPr>
          <w:rFonts w:hint="eastAsia"/>
          <w:highlight w:val="none"/>
        </w:rPr>
        <w:t>公布</w:t>
      </w:r>
      <w:r>
        <w:rPr>
          <w:highlight w:val="none"/>
        </w:rPr>
        <w:t>，</w:t>
      </w:r>
      <w:r>
        <w:rPr>
          <w:rFonts w:hint="eastAsia"/>
          <w:highlight w:val="none"/>
        </w:rPr>
        <w:t>2014年第十二届全国人民代表大会常务委员会第八次会议修订，</w:t>
      </w:r>
      <w:r>
        <w:rPr>
          <w:highlight w:val="none"/>
        </w:rPr>
        <w:t>2015年1月1日起施行）。</w:t>
      </w:r>
    </w:p>
    <w:p w14:paraId="2007FEC3">
      <w:pPr>
        <w:pStyle w:val="22"/>
        <w:numPr>
          <w:ilvl w:val="0"/>
          <w:numId w:val="3"/>
        </w:numPr>
        <w:bidi w:val="0"/>
        <w:rPr>
          <w:highlight w:val="none"/>
        </w:rPr>
      </w:pPr>
      <w:r>
        <w:rPr>
          <w:highlight w:val="none"/>
        </w:rPr>
        <w:t>《中华人民共和国防洪法》（</w:t>
      </w:r>
      <w:r>
        <w:rPr>
          <w:rFonts w:hint="eastAsia"/>
          <w:highlight w:val="none"/>
        </w:rPr>
        <w:t>1997年</w:t>
      </w:r>
      <w:r>
        <w:rPr>
          <w:highlight w:val="none"/>
        </w:rPr>
        <w:t>中华人民共和国主席令第</w:t>
      </w:r>
      <w:r>
        <w:rPr>
          <w:rFonts w:hint="eastAsia"/>
          <w:highlight w:val="none"/>
        </w:rPr>
        <w:t>八</w:t>
      </w:r>
      <w:r>
        <w:rPr>
          <w:highlight w:val="none"/>
        </w:rPr>
        <w:t>十八号</w:t>
      </w:r>
      <w:r>
        <w:rPr>
          <w:rFonts w:hint="eastAsia"/>
          <w:highlight w:val="none"/>
        </w:rPr>
        <w:t>公布</w:t>
      </w:r>
      <w:r>
        <w:rPr>
          <w:highlight w:val="none"/>
        </w:rPr>
        <w:t>，</w:t>
      </w:r>
      <w:r>
        <w:rPr>
          <w:rFonts w:hint="eastAsia"/>
          <w:highlight w:val="none"/>
        </w:rPr>
        <w:t>2016年</w:t>
      </w:r>
      <w:r>
        <w:rPr>
          <w:highlight w:val="none"/>
        </w:rPr>
        <w:t>第十二届全国人民代表大会常务委员会第三次</w:t>
      </w:r>
      <w:r>
        <w:rPr>
          <w:rFonts w:hint="eastAsia"/>
          <w:highlight w:val="none"/>
        </w:rPr>
        <w:t>修正</w:t>
      </w:r>
      <w:r>
        <w:rPr>
          <w:highlight w:val="none"/>
        </w:rPr>
        <w:t>，2016年7月2日施行）。</w:t>
      </w:r>
    </w:p>
    <w:p w14:paraId="61735BFE">
      <w:pPr>
        <w:pStyle w:val="22"/>
        <w:numPr>
          <w:ilvl w:val="0"/>
          <w:numId w:val="3"/>
        </w:numPr>
        <w:bidi w:val="0"/>
        <w:rPr>
          <w:highlight w:val="none"/>
        </w:rPr>
      </w:pPr>
      <w:r>
        <w:rPr>
          <w:highlight w:val="none"/>
        </w:rPr>
        <w:t>《中华人民共和国气象法》（</w:t>
      </w:r>
      <w:r>
        <w:rPr>
          <w:rFonts w:hint="eastAsia"/>
          <w:highlight w:val="none"/>
        </w:rPr>
        <w:t>1999年</w:t>
      </w:r>
      <w:r>
        <w:rPr>
          <w:highlight w:val="none"/>
        </w:rPr>
        <w:t>中华人民共和国主席令第二十三号</w:t>
      </w:r>
      <w:r>
        <w:rPr>
          <w:rFonts w:hint="eastAsia"/>
          <w:highlight w:val="none"/>
        </w:rPr>
        <w:t>公布</w:t>
      </w:r>
      <w:r>
        <w:rPr>
          <w:highlight w:val="none"/>
        </w:rPr>
        <w:t>，2016年第十二届全国人民代表大会常务委员会第二十四次会议第三次修正，2016年11月7日施行）。</w:t>
      </w:r>
    </w:p>
    <w:p w14:paraId="0BBC93AA">
      <w:pPr>
        <w:pStyle w:val="22"/>
        <w:numPr>
          <w:ilvl w:val="0"/>
          <w:numId w:val="3"/>
        </w:numPr>
        <w:bidi w:val="0"/>
        <w:rPr>
          <w:highlight w:val="none"/>
        </w:rPr>
      </w:pPr>
      <w:r>
        <w:rPr>
          <w:highlight w:val="none"/>
        </w:rPr>
        <w:t>《中华人民共和国劳动法》（</w:t>
      </w:r>
      <w:r>
        <w:rPr>
          <w:rFonts w:hint="eastAsia"/>
          <w:highlight w:val="none"/>
        </w:rPr>
        <w:t>1994年</w:t>
      </w:r>
      <w:r>
        <w:rPr>
          <w:highlight w:val="none"/>
        </w:rPr>
        <w:t>中华人民共和国主席令第二十八号</w:t>
      </w:r>
      <w:r>
        <w:rPr>
          <w:rFonts w:hint="eastAsia"/>
          <w:highlight w:val="none"/>
        </w:rPr>
        <w:t>公布</w:t>
      </w:r>
      <w:r>
        <w:rPr>
          <w:highlight w:val="none"/>
        </w:rPr>
        <w:t>，2018年第十三届全国人民代表大会常务委员会第七次会议第二次修正，2018年12月29日施行）。</w:t>
      </w:r>
    </w:p>
    <w:p w14:paraId="0C01FF24">
      <w:pPr>
        <w:pStyle w:val="22"/>
        <w:numPr>
          <w:ilvl w:val="0"/>
          <w:numId w:val="3"/>
        </w:numPr>
        <w:bidi w:val="0"/>
        <w:rPr>
          <w:highlight w:val="none"/>
        </w:rPr>
      </w:pPr>
      <w:r>
        <w:rPr>
          <w:highlight w:val="none"/>
        </w:rPr>
        <w:t>《中华人民共和国消防法》（</w:t>
      </w:r>
      <w:r>
        <w:rPr>
          <w:rFonts w:hint="eastAsia"/>
          <w:highlight w:val="none"/>
        </w:rPr>
        <w:t>1998年</w:t>
      </w:r>
      <w:r>
        <w:rPr>
          <w:highlight w:val="none"/>
        </w:rPr>
        <w:t>中华人民共和国主席令第六号</w:t>
      </w:r>
      <w:r>
        <w:rPr>
          <w:rFonts w:hint="eastAsia"/>
          <w:highlight w:val="none"/>
        </w:rPr>
        <w:t>公布</w:t>
      </w:r>
      <w:r>
        <w:rPr>
          <w:highlight w:val="none"/>
        </w:rPr>
        <w:t>，2021年第十三届全国人民代表大会常务委员会第二十八次会议</w:t>
      </w:r>
      <w:r>
        <w:rPr>
          <w:rFonts w:hint="eastAsia"/>
          <w:highlight w:val="none"/>
        </w:rPr>
        <w:t>第二次</w:t>
      </w:r>
      <w:r>
        <w:rPr>
          <w:highlight w:val="none"/>
        </w:rPr>
        <w:t>修正</w:t>
      </w:r>
      <w:r>
        <w:rPr>
          <w:rFonts w:hint="eastAsia"/>
          <w:highlight w:val="none"/>
        </w:rPr>
        <w:t>，2021年4月29日施行</w:t>
      </w:r>
      <w:r>
        <w:rPr>
          <w:highlight w:val="none"/>
        </w:rPr>
        <w:t>）。</w:t>
      </w:r>
    </w:p>
    <w:p w14:paraId="329B5FDA">
      <w:pPr>
        <w:pStyle w:val="22"/>
        <w:numPr>
          <w:ilvl w:val="0"/>
          <w:numId w:val="3"/>
        </w:numPr>
        <w:bidi w:val="0"/>
        <w:rPr>
          <w:highlight w:val="none"/>
        </w:rPr>
      </w:pPr>
      <w:r>
        <w:rPr>
          <w:highlight w:val="none"/>
        </w:rPr>
        <w:t>《中华人民共和国安全生产法》（</w:t>
      </w:r>
      <w:r>
        <w:rPr>
          <w:rFonts w:hint="eastAsia"/>
          <w:highlight w:val="none"/>
        </w:rPr>
        <w:t>2002年中华人民共和国主席令第七十号公布，</w:t>
      </w:r>
      <w:r>
        <w:rPr>
          <w:highlight w:val="none"/>
        </w:rPr>
        <w:t>2021</w:t>
      </w:r>
      <w:r>
        <w:rPr>
          <w:rFonts w:hint="eastAsia"/>
          <w:highlight w:val="none"/>
        </w:rPr>
        <w:t>年</w:t>
      </w:r>
      <w:r>
        <w:rPr>
          <w:highlight w:val="none"/>
        </w:rPr>
        <w:t>第十三届全国人民代表大会常务委员会第二十九次会议第三次修正，2021年9月1日施行）。</w:t>
      </w:r>
    </w:p>
    <w:p w14:paraId="1F8FABE0">
      <w:pPr>
        <w:pStyle w:val="22"/>
        <w:numPr>
          <w:ilvl w:val="0"/>
          <w:numId w:val="3"/>
        </w:numPr>
        <w:bidi w:val="0"/>
        <w:rPr>
          <w:rFonts w:hint="eastAsia"/>
          <w:highlight w:val="none"/>
        </w:rPr>
      </w:pPr>
      <w:r>
        <w:rPr>
          <w:rFonts w:hint="eastAsia"/>
          <w:highlight w:val="none"/>
          <w:lang w:eastAsia="zh-CN"/>
        </w:rPr>
        <w:t>《中华人民共和国矿产资源法》（1986年3月19日第六届全国人民代表大会常务委员会第十五次会议通过，1996年8月29日第八届全国人民代表大会常务委员会第二十一次会议第一次修，2009年8月27日第十一届全国人民代表大会常务委员会第十次会议第二次修正，2024年11月8日第十四届全国人民代表大会常务委员会第十二次会议修订）。</w:t>
      </w:r>
    </w:p>
    <w:p w14:paraId="1460D56F">
      <w:pPr>
        <w:pStyle w:val="30"/>
        <w:bidi w:val="0"/>
        <w:rPr>
          <w:rFonts w:hint="eastAsia"/>
          <w:highlight w:val="none"/>
        </w:rPr>
      </w:pPr>
      <w:r>
        <w:rPr>
          <w:rFonts w:hint="eastAsia"/>
          <w:highlight w:val="none"/>
          <w:lang w:val="en-US" w:eastAsia="zh-CN"/>
        </w:rPr>
        <w:t>行政法规</w:t>
      </w:r>
    </w:p>
    <w:p w14:paraId="00C286E5">
      <w:pPr>
        <w:pStyle w:val="22"/>
        <w:numPr>
          <w:ilvl w:val="0"/>
          <w:numId w:val="4"/>
        </w:numPr>
        <w:bidi w:val="0"/>
        <w:rPr>
          <w:highlight w:val="none"/>
        </w:rPr>
      </w:pPr>
      <w:r>
        <w:rPr>
          <w:highlight w:val="none"/>
        </w:rPr>
        <w:t>《地质灾害防治条例》（中华人民共和国国务院令第394号</w:t>
      </w:r>
      <w:r>
        <w:rPr>
          <w:rFonts w:hint="eastAsia"/>
          <w:highlight w:val="none"/>
        </w:rPr>
        <w:t>公布</w:t>
      </w:r>
      <w:r>
        <w:rPr>
          <w:highlight w:val="none"/>
        </w:rPr>
        <w:t>，2004年3月1日施行）。</w:t>
      </w:r>
    </w:p>
    <w:p w14:paraId="7A76841C">
      <w:pPr>
        <w:pStyle w:val="22"/>
        <w:numPr>
          <w:ilvl w:val="0"/>
          <w:numId w:val="4"/>
        </w:numPr>
        <w:bidi w:val="0"/>
        <w:rPr>
          <w:highlight w:val="none"/>
        </w:rPr>
      </w:pPr>
      <w:r>
        <w:rPr>
          <w:highlight w:val="none"/>
        </w:rPr>
        <w:t>《生产安全事故报告和调查处理条例》（中华人民共和国国务院</w:t>
      </w:r>
      <w:r>
        <w:rPr>
          <w:rFonts w:hint="eastAsia"/>
          <w:highlight w:val="none"/>
        </w:rPr>
        <w:t>令</w:t>
      </w:r>
      <w:r>
        <w:rPr>
          <w:highlight w:val="none"/>
        </w:rPr>
        <w:t>第493号</w:t>
      </w:r>
      <w:r>
        <w:rPr>
          <w:rFonts w:hint="eastAsia"/>
          <w:highlight w:val="none"/>
        </w:rPr>
        <w:t>公布</w:t>
      </w:r>
      <w:r>
        <w:rPr>
          <w:highlight w:val="none"/>
        </w:rPr>
        <w:t>，20</w:t>
      </w:r>
      <w:r>
        <w:rPr>
          <w:rFonts w:hint="eastAsia"/>
          <w:highlight w:val="none"/>
        </w:rPr>
        <w:t>07</w:t>
      </w:r>
      <w:r>
        <w:rPr>
          <w:highlight w:val="none"/>
        </w:rPr>
        <w:t>年</w:t>
      </w:r>
      <w:r>
        <w:rPr>
          <w:rFonts w:hint="eastAsia"/>
          <w:highlight w:val="none"/>
        </w:rPr>
        <w:t>6</w:t>
      </w:r>
      <w:r>
        <w:rPr>
          <w:highlight w:val="none"/>
        </w:rPr>
        <w:t>月1日实施）。</w:t>
      </w:r>
    </w:p>
    <w:p w14:paraId="0E60696A">
      <w:pPr>
        <w:pStyle w:val="22"/>
        <w:numPr>
          <w:ilvl w:val="0"/>
          <w:numId w:val="4"/>
        </w:numPr>
        <w:bidi w:val="0"/>
        <w:rPr>
          <w:highlight w:val="none"/>
        </w:rPr>
      </w:pPr>
      <w:r>
        <w:rPr>
          <w:highlight w:val="none"/>
        </w:rPr>
        <w:t>《国务院关于进一步加强企业安全生产工作的通知》（国发〔2010〕23号，2010年7月19日</w:t>
      </w:r>
      <w:r>
        <w:rPr>
          <w:rFonts w:hint="eastAsia"/>
          <w:highlight w:val="none"/>
        </w:rPr>
        <w:t>施行</w:t>
      </w:r>
      <w:r>
        <w:rPr>
          <w:highlight w:val="none"/>
        </w:rPr>
        <w:t>）。</w:t>
      </w:r>
    </w:p>
    <w:p w14:paraId="62F89E2D">
      <w:pPr>
        <w:pStyle w:val="22"/>
        <w:numPr>
          <w:ilvl w:val="0"/>
          <w:numId w:val="4"/>
        </w:numPr>
        <w:bidi w:val="0"/>
        <w:rPr>
          <w:highlight w:val="none"/>
        </w:rPr>
      </w:pPr>
      <w:r>
        <w:rPr>
          <w:highlight w:val="none"/>
        </w:rPr>
        <w:t>《安全生产许可证条例》（中华人民共和国国务院令第397号</w:t>
      </w:r>
      <w:r>
        <w:rPr>
          <w:rFonts w:hint="eastAsia"/>
          <w:highlight w:val="none"/>
        </w:rPr>
        <w:t>公布</w:t>
      </w:r>
      <w:r>
        <w:rPr>
          <w:highlight w:val="none"/>
        </w:rPr>
        <w:t>，2014年国务院令第653号第二次修订，2014年7月29日施行）。</w:t>
      </w:r>
    </w:p>
    <w:p w14:paraId="3A1F68C6">
      <w:pPr>
        <w:pStyle w:val="22"/>
        <w:numPr>
          <w:ilvl w:val="0"/>
          <w:numId w:val="4"/>
        </w:numPr>
        <w:bidi w:val="0"/>
        <w:rPr>
          <w:rFonts w:hint="eastAsia"/>
          <w:highlight w:val="none"/>
        </w:rPr>
      </w:pPr>
      <w:r>
        <w:rPr>
          <w:rFonts w:hint="eastAsia"/>
          <w:highlight w:val="none"/>
        </w:rPr>
        <w:t>《民用爆炸物品安全管理条例》（中华人民共和国国务院令第466号公布，2014年国务院令第653号修订，2014年7月29日施行）。</w:t>
      </w:r>
    </w:p>
    <w:p w14:paraId="38720E51">
      <w:pPr>
        <w:pStyle w:val="22"/>
        <w:numPr>
          <w:ilvl w:val="0"/>
          <w:numId w:val="4"/>
        </w:numPr>
        <w:bidi w:val="0"/>
        <w:rPr>
          <w:highlight w:val="none"/>
        </w:rPr>
      </w:pPr>
      <w:r>
        <w:rPr>
          <w:highlight w:val="none"/>
        </w:rPr>
        <w:t>《生产安全事故应急条例》（中华人民共和国国务院令第708号</w:t>
      </w:r>
      <w:r>
        <w:rPr>
          <w:rFonts w:hint="eastAsia"/>
          <w:highlight w:val="none"/>
        </w:rPr>
        <w:t>公布</w:t>
      </w:r>
      <w:r>
        <w:rPr>
          <w:highlight w:val="none"/>
        </w:rPr>
        <w:t>，2019年4月1日起施行）。</w:t>
      </w:r>
    </w:p>
    <w:p w14:paraId="7CAE1540">
      <w:pPr>
        <w:pStyle w:val="22"/>
        <w:numPr>
          <w:ilvl w:val="0"/>
          <w:numId w:val="4"/>
        </w:numPr>
        <w:bidi w:val="0"/>
        <w:rPr>
          <w:rFonts w:hint="eastAsia"/>
          <w:highlight w:val="none"/>
        </w:rPr>
      </w:pPr>
      <w:r>
        <w:rPr>
          <w:rFonts w:hint="eastAsia"/>
          <w:highlight w:val="none"/>
        </w:rPr>
        <w:t>《中共中央办公厅 国务院办公厅关于进一步加强矿山安全生产工作的意见》（厅字〔2023〕21号，2023年8月25日实施）。</w:t>
      </w:r>
    </w:p>
    <w:p w14:paraId="53503157">
      <w:pPr>
        <w:pStyle w:val="22"/>
        <w:numPr>
          <w:ilvl w:val="0"/>
          <w:numId w:val="4"/>
        </w:numPr>
        <w:bidi w:val="0"/>
        <w:rPr>
          <w:rFonts w:hint="eastAsia"/>
          <w:highlight w:val="none"/>
          <w:lang w:val="sq-AL"/>
        </w:rPr>
      </w:pPr>
      <w:r>
        <w:rPr>
          <w:rFonts w:hint="eastAsia"/>
          <w:highlight w:val="none"/>
        </w:rPr>
        <w:t>《国务院安全生产委员会印发&lt;关于防范遏制矿山领域重特大生产安全事故的硬措施&gt;的通知》（安委〔2024〕1号，2024年1月16日实施）</w:t>
      </w:r>
      <w:r>
        <w:rPr>
          <w:rFonts w:hint="eastAsia"/>
          <w:highlight w:val="none"/>
          <w:lang w:val="sq-AL"/>
        </w:rPr>
        <w:t>。</w:t>
      </w:r>
    </w:p>
    <w:p w14:paraId="649F8D5C">
      <w:pPr>
        <w:pStyle w:val="22"/>
        <w:numPr>
          <w:ilvl w:val="0"/>
          <w:numId w:val="4"/>
        </w:numPr>
        <w:bidi w:val="0"/>
        <w:rPr>
          <w:rFonts w:hint="eastAsia"/>
          <w:highlight w:val="none"/>
        </w:rPr>
      </w:pPr>
      <w:r>
        <w:rPr>
          <w:rFonts w:hint="eastAsia"/>
          <w:highlight w:val="none"/>
          <w:lang w:val="sq-AL"/>
        </w:rPr>
        <w:t>《电力设施保护条例》（中华人民共和国国务院于1987年9月15日发布，根据2011年1月8日&lt;国务院关于废止和修改部分行政法规的决定&gt;第二次修订，2011年1月8日施行）。</w:t>
      </w:r>
    </w:p>
    <w:p w14:paraId="56D6F5B9">
      <w:pPr>
        <w:pStyle w:val="30"/>
        <w:bidi w:val="0"/>
        <w:rPr>
          <w:rFonts w:hint="eastAsia"/>
          <w:highlight w:val="none"/>
        </w:rPr>
      </w:pPr>
      <w:r>
        <w:rPr>
          <w:rFonts w:hint="eastAsia"/>
          <w:highlight w:val="none"/>
        </w:rPr>
        <w:t>部门</w:t>
      </w:r>
      <w:r>
        <w:rPr>
          <w:rFonts w:hint="eastAsia"/>
          <w:highlight w:val="none"/>
          <w:lang w:val="en-US" w:eastAsia="zh-CN"/>
        </w:rPr>
        <w:t>规章</w:t>
      </w:r>
    </w:p>
    <w:p w14:paraId="6E537A94">
      <w:pPr>
        <w:pStyle w:val="22"/>
        <w:numPr>
          <w:ilvl w:val="0"/>
          <w:numId w:val="5"/>
        </w:numPr>
        <w:bidi w:val="0"/>
        <w:rPr>
          <w:highlight w:val="none"/>
        </w:rPr>
      </w:pPr>
      <w:r>
        <w:rPr>
          <w:rFonts w:hint="eastAsia"/>
          <w:highlight w:val="none"/>
        </w:rPr>
        <w:t>《生产经营单位安全培训规定》（原国家安全生产监督管理总局令第3号公布，原国家安全监管总局令第80号第二次修正，2015年5月29日起施行）。</w:t>
      </w:r>
    </w:p>
    <w:p w14:paraId="469CA91F">
      <w:pPr>
        <w:pStyle w:val="22"/>
        <w:numPr>
          <w:ilvl w:val="0"/>
          <w:numId w:val="5"/>
        </w:numPr>
        <w:bidi w:val="0"/>
        <w:rPr>
          <w:highlight w:val="none"/>
        </w:rPr>
      </w:pPr>
      <w:r>
        <w:rPr>
          <w:rFonts w:hint="eastAsia"/>
          <w:highlight w:val="none"/>
        </w:rPr>
        <w:t>《特种作业人员安全技术培训考核管理规定》（原国家安全生产监督管理总局令第30号公布，原国家安全生产监督管理总局令第80号修订，2015年7月1日施行）。</w:t>
      </w:r>
    </w:p>
    <w:p w14:paraId="758CB0E4">
      <w:pPr>
        <w:pStyle w:val="22"/>
        <w:numPr>
          <w:ilvl w:val="0"/>
          <w:numId w:val="5"/>
        </w:numPr>
        <w:bidi w:val="0"/>
        <w:rPr>
          <w:highlight w:val="none"/>
        </w:rPr>
      </w:pPr>
      <w:r>
        <w:rPr>
          <w:rFonts w:hint="eastAsia"/>
          <w:highlight w:val="none"/>
        </w:rPr>
        <w:t>《金属非金属矿山建设项目安全设施目录（试行）》（原国家安全生产监督管理总局令第75号公布，2015年7月1日施行）。</w:t>
      </w:r>
    </w:p>
    <w:p w14:paraId="4BC904A5">
      <w:pPr>
        <w:pStyle w:val="22"/>
        <w:numPr>
          <w:ilvl w:val="0"/>
          <w:numId w:val="5"/>
        </w:numPr>
        <w:bidi w:val="0"/>
        <w:rPr>
          <w:rFonts w:hint="eastAsia"/>
          <w:highlight w:val="none"/>
        </w:rPr>
      </w:pPr>
      <w:r>
        <w:rPr>
          <w:rFonts w:hint="eastAsia"/>
          <w:highlight w:val="none"/>
        </w:rPr>
        <w:t>《非煤矿矿山企业安全生产许可证实施办法》（原国家安全生产监督管理总局令第20号公布，原国家安全生产监督管理总局令第78号修订，2015年7月1日施行）。</w:t>
      </w:r>
    </w:p>
    <w:p w14:paraId="201FD0A3">
      <w:pPr>
        <w:pStyle w:val="22"/>
        <w:numPr>
          <w:ilvl w:val="0"/>
          <w:numId w:val="5"/>
        </w:numPr>
        <w:bidi w:val="0"/>
        <w:rPr>
          <w:rFonts w:hint="eastAsia"/>
          <w:highlight w:val="none"/>
        </w:rPr>
      </w:pPr>
      <w:r>
        <w:rPr>
          <w:rFonts w:hint="eastAsia"/>
          <w:highlight w:val="none"/>
        </w:rPr>
        <w:t>《安全评价检测检验机构管理办法》（中华人民共和国应急管理部令第1号公布，2019年5月1日施行）。</w:t>
      </w:r>
    </w:p>
    <w:p w14:paraId="61F89B56">
      <w:pPr>
        <w:pStyle w:val="22"/>
        <w:numPr>
          <w:ilvl w:val="0"/>
          <w:numId w:val="5"/>
        </w:numPr>
        <w:bidi w:val="0"/>
        <w:rPr>
          <w:rFonts w:hint="eastAsia"/>
          <w:highlight w:val="none"/>
        </w:rPr>
      </w:pPr>
      <w:r>
        <w:rPr>
          <w:rFonts w:hint="eastAsia"/>
          <w:highlight w:val="none"/>
        </w:rPr>
        <w:t>《生产安全事故应急预案管理办法》（原国家安全生产监督管理总局令第88号公布，2019年中华人民共和国应急管理部令第2号修改，2019年9月1日施行）。</w:t>
      </w:r>
    </w:p>
    <w:p w14:paraId="651CF9E8">
      <w:pPr>
        <w:pStyle w:val="22"/>
        <w:numPr>
          <w:ilvl w:val="0"/>
          <w:numId w:val="5"/>
        </w:numPr>
        <w:bidi w:val="0"/>
        <w:rPr>
          <w:rFonts w:hint="eastAsia"/>
          <w:highlight w:val="none"/>
        </w:rPr>
      </w:pPr>
      <w:r>
        <w:rPr>
          <w:rFonts w:hint="eastAsia"/>
          <w:highlight w:val="none"/>
        </w:rPr>
        <w:t>《矿山救援规程》（中华人民共和国应急管理部令第16号，2024年7月1日施行）。</w:t>
      </w:r>
    </w:p>
    <w:p w14:paraId="6FA92989">
      <w:pPr>
        <w:pStyle w:val="30"/>
        <w:bidi w:val="0"/>
        <w:rPr>
          <w:rFonts w:hint="default"/>
          <w:highlight w:val="none"/>
          <w:lang w:val="en-US"/>
        </w:rPr>
      </w:pPr>
      <w:r>
        <w:rPr>
          <w:rFonts w:hint="eastAsia"/>
          <w:highlight w:val="none"/>
          <w:lang w:val="en-US" w:eastAsia="zh-CN"/>
        </w:rPr>
        <w:t>规范性文件</w:t>
      </w:r>
    </w:p>
    <w:p w14:paraId="30BDD76A">
      <w:pPr>
        <w:pStyle w:val="22"/>
        <w:numPr>
          <w:ilvl w:val="0"/>
          <w:numId w:val="6"/>
        </w:numPr>
        <w:bidi w:val="0"/>
        <w:rPr>
          <w:rFonts w:hint="eastAsia"/>
          <w:highlight w:val="none"/>
        </w:rPr>
      </w:pPr>
      <w:r>
        <w:rPr>
          <w:rFonts w:hint="eastAsia"/>
          <w:highlight w:val="none"/>
        </w:rPr>
        <w:t>《辽宁省安全生产条例》（辽宁省人民代表大会常务委员会公告第64号，2022年4月21日辽宁省第十三届人民代表大会常务委员会第三十二次会议第二次修正，2025年5月28日辽宁省第十四届人民代表大会常务委员会第十六次会议第三次修正</w:t>
      </w:r>
      <w:r>
        <w:rPr>
          <w:rFonts w:hint="eastAsia"/>
          <w:highlight w:val="none"/>
          <w:lang w:eastAsia="zh-CN"/>
        </w:rPr>
        <w:t>，2017年3月1日起施行</w:t>
      </w:r>
      <w:r>
        <w:rPr>
          <w:rFonts w:hint="eastAsia"/>
          <w:highlight w:val="none"/>
        </w:rPr>
        <w:t>）。</w:t>
      </w:r>
    </w:p>
    <w:p w14:paraId="5E808148">
      <w:pPr>
        <w:pStyle w:val="22"/>
        <w:numPr>
          <w:ilvl w:val="0"/>
          <w:numId w:val="6"/>
        </w:numPr>
        <w:bidi w:val="0"/>
        <w:rPr>
          <w:rFonts w:hint="eastAsia"/>
          <w:highlight w:val="none"/>
        </w:rPr>
      </w:pPr>
      <w:r>
        <w:rPr>
          <w:rFonts w:hint="eastAsia"/>
          <w:highlight w:val="none"/>
        </w:rPr>
        <w:t>《辽宁省消防条例》（辽宁省人民代表大会常务委员会公告3届〕第103号，2022年11月9日起施行）。</w:t>
      </w:r>
    </w:p>
    <w:p w14:paraId="71DA5B69">
      <w:pPr>
        <w:pStyle w:val="22"/>
        <w:numPr>
          <w:ilvl w:val="0"/>
          <w:numId w:val="6"/>
        </w:numPr>
        <w:bidi w:val="0"/>
        <w:rPr>
          <w:rFonts w:hint="eastAsia"/>
          <w:highlight w:val="none"/>
        </w:rPr>
      </w:pPr>
      <w:r>
        <w:rPr>
          <w:rFonts w:hint="eastAsia"/>
          <w:highlight w:val="none"/>
        </w:rPr>
        <w:t>《关于金属非金属矿山禁止使用的设备及工艺目录（第二批）的通知》（安监总管一〔2015〕13号，2015年2月13日施行）。</w:t>
      </w:r>
    </w:p>
    <w:p w14:paraId="3CB56145">
      <w:pPr>
        <w:pStyle w:val="22"/>
        <w:numPr>
          <w:ilvl w:val="0"/>
          <w:numId w:val="6"/>
        </w:numPr>
        <w:bidi w:val="0"/>
        <w:rPr>
          <w:rFonts w:hint="eastAsia"/>
          <w:highlight w:val="none"/>
        </w:rPr>
      </w:pPr>
      <w:r>
        <w:rPr>
          <w:rFonts w:hint="eastAsia"/>
          <w:highlight w:val="none"/>
        </w:rPr>
        <w:t>《辽宁省安全生产监督管理局关于进一步规范非煤矿矿山安全生产行政许可管理工作的通知》（辽安监非煤〔2018〕29号，2018年7月19日施行）。</w:t>
      </w:r>
    </w:p>
    <w:p w14:paraId="176C2A23">
      <w:pPr>
        <w:pStyle w:val="22"/>
        <w:numPr>
          <w:ilvl w:val="0"/>
          <w:numId w:val="6"/>
        </w:numPr>
        <w:bidi w:val="0"/>
        <w:rPr>
          <w:rFonts w:hint="eastAsia"/>
          <w:highlight w:val="none"/>
        </w:rPr>
      </w:pPr>
      <w:r>
        <w:rPr>
          <w:rFonts w:hint="eastAsia"/>
          <w:highlight w:val="none"/>
        </w:rPr>
        <w:t>《辽宁省安全生产监督管理局关于印发辽宁省非煤矿矿山建设项目安全设施设计审查/企业安全生产许可安全评价中介服务行业规范标准等5个中介服务行业规范标准的通知》（辽安监规划〔2018〕7号，2018年8月14日施行）。</w:t>
      </w:r>
    </w:p>
    <w:p w14:paraId="636CCDE4">
      <w:pPr>
        <w:pStyle w:val="22"/>
        <w:numPr>
          <w:ilvl w:val="0"/>
          <w:numId w:val="6"/>
        </w:numPr>
        <w:bidi w:val="0"/>
        <w:rPr>
          <w:highlight w:val="none"/>
        </w:rPr>
      </w:pPr>
      <w:r>
        <w:rPr>
          <w:rFonts w:hint="eastAsia"/>
          <w:highlight w:val="none"/>
        </w:rPr>
        <w:t>《辽宁省应急管理厅关于修改辽宁省非煤矿矿山建设项目安全设施设计审查/企业安全生产许可安全评价中介服务行业规范标准等5个中介服务行业规范标准的通知》（辽应急规划〔2019〕6号，2019年5月28日施行）。</w:t>
      </w:r>
    </w:p>
    <w:p w14:paraId="603AEE19">
      <w:pPr>
        <w:pStyle w:val="22"/>
        <w:numPr>
          <w:ilvl w:val="0"/>
          <w:numId w:val="6"/>
        </w:numPr>
        <w:bidi w:val="0"/>
        <w:rPr>
          <w:rFonts w:hint="eastAsia"/>
          <w:highlight w:val="none"/>
        </w:rPr>
      </w:pPr>
      <w:r>
        <w:rPr>
          <w:rFonts w:hint="eastAsia"/>
          <w:highlight w:val="none"/>
        </w:rPr>
        <w:t>《辽宁省电力设施保护条例》（辽宁省第十二届人民代表大会常务委员会第二十九次会议于2016年11月11日审议通过，2023年11月14日辽宁省第十四届人民代表大会常务委员会第六次会议修正</w:t>
      </w:r>
      <w:r>
        <w:rPr>
          <w:rFonts w:hint="eastAsia"/>
          <w:highlight w:val="none"/>
          <w:lang w:eastAsia="zh-CN"/>
        </w:rPr>
        <w:t>，</w:t>
      </w:r>
      <w:r>
        <w:rPr>
          <w:rFonts w:hint="eastAsia"/>
          <w:highlight w:val="none"/>
        </w:rPr>
        <w:t>2017年2月1日起施行）。</w:t>
      </w:r>
    </w:p>
    <w:p w14:paraId="7C9B8461">
      <w:pPr>
        <w:pStyle w:val="22"/>
        <w:numPr>
          <w:ilvl w:val="0"/>
          <w:numId w:val="6"/>
        </w:numPr>
        <w:bidi w:val="0"/>
        <w:rPr>
          <w:rFonts w:hint="eastAsia"/>
          <w:highlight w:val="none"/>
        </w:rPr>
      </w:pPr>
      <w:r>
        <w:rPr>
          <w:highlight w:val="none"/>
        </w:rPr>
        <w:t>《国家矿山安全监察局关于印发&lt;关于加强非煤矿山安全生产工作的指导意见&gt;的通知》（矿安〔2022〕4号，2022年2月8日施行）。</w:t>
      </w:r>
    </w:p>
    <w:p w14:paraId="479C440C">
      <w:pPr>
        <w:pStyle w:val="22"/>
        <w:numPr>
          <w:ilvl w:val="0"/>
          <w:numId w:val="6"/>
        </w:numPr>
        <w:bidi w:val="0"/>
        <w:rPr>
          <w:rFonts w:hint="eastAsia"/>
          <w:highlight w:val="none"/>
        </w:rPr>
      </w:pPr>
      <w:r>
        <w:rPr>
          <w:rFonts w:hint="eastAsia"/>
          <w:highlight w:val="none"/>
        </w:rPr>
        <w:t>《国家矿山安全监察局关于印发&lt;金属非金属矿山重大生产安全事故隐患判定标准&gt;的通知》（矿安〔</w:t>
      </w:r>
      <w:r>
        <w:rPr>
          <w:highlight w:val="none"/>
        </w:rPr>
        <w:t>20</w:t>
      </w:r>
      <w:r>
        <w:rPr>
          <w:rFonts w:hint="eastAsia"/>
          <w:highlight w:val="none"/>
        </w:rPr>
        <w:t>22</w:t>
      </w:r>
      <w:r>
        <w:rPr>
          <w:highlight w:val="none"/>
        </w:rPr>
        <w:t>〕</w:t>
      </w:r>
      <w:r>
        <w:rPr>
          <w:rFonts w:hint="eastAsia"/>
          <w:highlight w:val="none"/>
        </w:rPr>
        <w:t>8</w:t>
      </w:r>
      <w:r>
        <w:rPr>
          <w:highlight w:val="none"/>
        </w:rPr>
        <w:t>8号，2022年</w:t>
      </w:r>
      <w:r>
        <w:rPr>
          <w:rFonts w:hint="eastAsia"/>
          <w:highlight w:val="none"/>
        </w:rPr>
        <w:t>9</w:t>
      </w:r>
      <w:r>
        <w:rPr>
          <w:highlight w:val="none"/>
        </w:rPr>
        <w:t>月</w:t>
      </w:r>
      <w:r>
        <w:rPr>
          <w:rFonts w:hint="eastAsia"/>
          <w:highlight w:val="none"/>
        </w:rPr>
        <w:t>1</w:t>
      </w:r>
      <w:r>
        <w:rPr>
          <w:highlight w:val="none"/>
        </w:rPr>
        <w:t>日施行</w:t>
      </w:r>
      <w:r>
        <w:rPr>
          <w:rFonts w:hint="eastAsia"/>
          <w:highlight w:val="none"/>
        </w:rPr>
        <w:t>）。</w:t>
      </w:r>
    </w:p>
    <w:p w14:paraId="74C58F1A">
      <w:pPr>
        <w:pStyle w:val="22"/>
        <w:numPr>
          <w:ilvl w:val="0"/>
          <w:numId w:val="6"/>
        </w:numPr>
        <w:bidi w:val="0"/>
        <w:rPr>
          <w:rFonts w:hint="eastAsia"/>
          <w:highlight w:val="none"/>
        </w:rPr>
      </w:pPr>
      <w:r>
        <w:rPr>
          <w:rFonts w:hint="eastAsia"/>
          <w:highlight w:val="none"/>
        </w:rPr>
        <w:t>《企业安全生产费用提取和使用管理办法》（财资〔2022〕136号，财政部、应急部，2022年12月13日施行）。</w:t>
      </w:r>
    </w:p>
    <w:p w14:paraId="3BC322C8">
      <w:pPr>
        <w:pStyle w:val="22"/>
        <w:numPr>
          <w:ilvl w:val="0"/>
          <w:numId w:val="6"/>
        </w:numPr>
        <w:bidi w:val="0"/>
        <w:rPr>
          <w:rFonts w:hint="eastAsia"/>
          <w:highlight w:val="none"/>
        </w:rPr>
      </w:pPr>
      <w:r>
        <w:rPr>
          <w:rFonts w:hint="eastAsia"/>
          <w:highlight w:val="none"/>
        </w:rPr>
        <w:t>《国家矿山安全监察局关于印发&lt;矿山生产安全事故报告和调查处理办法&gt;的通知》（矿安〔2023〕7号，国家矿山安全监察局，2023年1月17日施行）。</w:t>
      </w:r>
    </w:p>
    <w:p w14:paraId="5871D3FA">
      <w:pPr>
        <w:pStyle w:val="22"/>
        <w:numPr>
          <w:ilvl w:val="0"/>
          <w:numId w:val="6"/>
        </w:numPr>
        <w:bidi w:val="0"/>
        <w:rPr>
          <w:rFonts w:hint="eastAsia"/>
          <w:highlight w:val="none"/>
        </w:rPr>
      </w:pPr>
      <w:r>
        <w:rPr>
          <w:rFonts w:hint="eastAsia"/>
          <w:highlight w:val="none"/>
        </w:rPr>
        <w:t>《国务院安委会办公室关于学习宣传贯彻&lt;中共中央办公厅 国务院办公厅关于进一步加强矿山安全生产工作的意见&gt;的通知》（安委办〔2023〕7号，2023年9月9日施行）。</w:t>
      </w:r>
    </w:p>
    <w:p w14:paraId="20E8124A">
      <w:pPr>
        <w:pStyle w:val="22"/>
        <w:numPr>
          <w:ilvl w:val="0"/>
          <w:numId w:val="6"/>
        </w:numPr>
        <w:bidi w:val="0"/>
        <w:rPr>
          <w:rFonts w:hint="eastAsia"/>
          <w:highlight w:val="none"/>
        </w:rPr>
      </w:pPr>
      <w:r>
        <w:rPr>
          <w:rFonts w:hint="eastAsia"/>
          <w:highlight w:val="none"/>
        </w:rPr>
        <w:t>《国家矿山安全监察局关于印发&lt;防范非煤矿山典型多发事故六十条措施&gt;的通知》（矿安〔2023〕124号，2023年9月12日施行）。</w:t>
      </w:r>
    </w:p>
    <w:p w14:paraId="6E79FFE0">
      <w:pPr>
        <w:pStyle w:val="22"/>
        <w:numPr>
          <w:ilvl w:val="0"/>
          <w:numId w:val="6"/>
        </w:numPr>
        <w:bidi w:val="0"/>
        <w:rPr>
          <w:highlight w:val="none"/>
        </w:rPr>
      </w:pPr>
      <w:r>
        <w:rPr>
          <w:rFonts w:hint="eastAsia"/>
          <w:highlight w:val="none"/>
        </w:rPr>
        <w:t>《国家矿山安全监察局关于印发2024年矿山安全生产工作要点的通知》（矿安〔2024〕1号，2024年1月19日施行）。</w:t>
      </w:r>
    </w:p>
    <w:p w14:paraId="3ED7E2DC">
      <w:pPr>
        <w:pStyle w:val="22"/>
        <w:numPr>
          <w:ilvl w:val="0"/>
          <w:numId w:val="6"/>
        </w:numPr>
        <w:bidi w:val="0"/>
        <w:rPr>
          <w:rFonts w:hint="eastAsia"/>
          <w:highlight w:val="none"/>
        </w:rPr>
      </w:pPr>
      <w:r>
        <w:rPr>
          <w:rFonts w:hint="eastAsia"/>
          <w:highlight w:val="none"/>
        </w:rPr>
        <w:t>《国家矿山安全监察局关于开展露天矿山安全生产专项整治的通知》（矿安〔2023〕16号，2023年2月27日实施）。</w:t>
      </w:r>
    </w:p>
    <w:p w14:paraId="2CA20D91">
      <w:pPr>
        <w:pStyle w:val="22"/>
        <w:numPr>
          <w:ilvl w:val="0"/>
          <w:numId w:val="6"/>
        </w:numPr>
        <w:bidi w:val="0"/>
        <w:rPr>
          <w:rFonts w:hint="eastAsia"/>
          <w:highlight w:val="none"/>
        </w:rPr>
      </w:pPr>
      <w:r>
        <w:rPr>
          <w:rFonts w:hint="eastAsia"/>
          <w:highlight w:val="none"/>
        </w:rPr>
        <w:t>《国家矿山安全监察局关于印发&lt;金属非金属矿山重大事故隐患判定标准补充情形&gt;的通知》（矿安〔2024〕41号，2024年4月23日施行）。</w:t>
      </w:r>
    </w:p>
    <w:p w14:paraId="3E591F7D">
      <w:pPr>
        <w:pStyle w:val="22"/>
        <w:numPr>
          <w:ilvl w:val="0"/>
          <w:numId w:val="6"/>
        </w:numPr>
        <w:bidi w:val="0"/>
        <w:rPr>
          <w:rFonts w:hint="default"/>
          <w:highlight w:val="none"/>
          <w:lang w:val="en-US" w:eastAsia="zh-CN"/>
        </w:rPr>
      </w:pPr>
      <w:r>
        <w:rPr>
          <w:rFonts w:hint="eastAsia"/>
          <w:highlight w:val="none"/>
        </w:rPr>
        <w:t>《国家矿山监察局关于进一步加强非煤矿山安全生产行政许可工作的通知》（矿安〔2024〕70号，2024年6月28日施行）。</w:t>
      </w:r>
    </w:p>
    <w:p w14:paraId="56522DD9">
      <w:pPr>
        <w:pStyle w:val="22"/>
        <w:numPr>
          <w:ilvl w:val="0"/>
          <w:numId w:val="6"/>
        </w:numPr>
        <w:bidi w:val="0"/>
        <w:rPr>
          <w:rFonts w:hint="default"/>
          <w:highlight w:val="none"/>
          <w:lang w:val="en-US" w:eastAsia="zh-CN"/>
        </w:rPr>
      </w:pPr>
      <w:r>
        <w:rPr>
          <w:rFonts w:hint="default"/>
          <w:highlight w:val="none"/>
          <w:lang w:val="en-US" w:eastAsia="zh-CN"/>
        </w:rPr>
        <w:t>《国家矿山安全监察局综合司关于明确矿山</w:t>
      </w:r>
      <w:r>
        <w:rPr>
          <w:rFonts w:hint="eastAsia"/>
          <w:highlight w:val="none"/>
          <w:lang w:val="en-US" w:eastAsia="zh-CN"/>
        </w:rPr>
        <w:t>“</w:t>
      </w:r>
      <w:r>
        <w:rPr>
          <w:rFonts w:hint="default"/>
          <w:highlight w:val="none"/>
          <w:lang w:val="en-US" w:eastAsia="zh-CN"/>
        </w:rPr>
        <w:t>五职</w:t>
      </w:r>
      <w:r>
        <w:rPr>
          <w:rFonts w:hint="eastAsia"/>
          <w:highlight w:val="none"/>
          <w:lang w:val="en-US" w:eastAsia="zh-CN"/>
        </w:rPr>
        <w:t>”</w:t>
      </w:r>
      <w:r>
        <w:rPr>
          <w:rFonts w:hint="default"/>
          <w:highlight w:val="none"/>
          <w:lang w:val="en-US" w:eastAsia="zh-CN"/>
        </w:rPr>
        <w:t>矿长和</w:t>
      </w:r>
      <w:r>
        <w:rPr>
          <w:rFonts w:hint="eastAsia"/>
          <w:highlight w:val="none"/>
          <w:lang w:val="en-US" w:eastAsia="zh-CN"/>
        </w:rPr>
        <w:t>“</w:t>
      </w:r>
      <w:r>
        <w:rPr>
          <w:rFonts w:hint="default"/>
          <w:highlight w:val="none"/>
          <w:lang w:val="en-US" w:eastAsia="zh-CN"/>
        </w:rPr>
        <w:t>五科</w:t>
      </w:r>
      <w:r>
        <w:rPr>
          <w:rFonts w:hint="eastAsia"/>
          <w:highlight w:val="none"/>
          <w:lang w:val="en-US" w:eastAsia="zh-CN"/>
        </w:rPr>
        <w:t>”</w:t>
      </w:r>
      <w:r>
        <w:rPr>
          <w:rFonts w:hint="default"/>
          <w:highlight w:val="none"/>
          <w:lang w:val="en-US" w:eastAsia="zh-CN"/>
        </w:rPr>
        <w:t>相关人员范围及相关要求的通知》（矿安综〔2025〕12号</w:t>
      </w:r>
      <w:r>
        <w:rPr>
          <w:rFonts w:hint="eastAsia"/>
          <w:highlight w:val="none"/>
          <w:lang w:val="en-US" w:eastAsia="zh-CN"/>
        </w:rPr>
        <w:t>，</w:t>
      </w:r>
      <w:r>
        <w:rPr>
          <w:rFonts w:hint="eastAsia"/>
          <w:highlight w:val="none"/>
        </w:rPr>
        <w:t>202</w:t>
      </w:r>
      <w:r>
        <w:rPr>
          <w:rFonts w:hint="eastAsia"/>
          <w:highlight w:val="none"/>
          <w:lang w:val="en-US" w:eastAsia="zh-CN"/>
        </w:rPr>
        <w:t>5</w:t>
      </w:r>
      <w:r>
        <w:rPr>
          <w:rFonts w:hint="eastAsia"/>
          <w:highlight w:val="none"/>
        </w:rPr>
        <w:t>年</w:t>
      </w:r>
      <w:r>
        <w:rPr>
          <w:rFonts w:hint="eastAsia"/>
          <w:highlight w:val="none"/>
          <w:lang w:val="en-US" w:eastAsia="zh-CN"/>
        </w:rPr>
        <w:t>7</w:t>
      </w:r>
      <w:r>
        <w:rPr>
          <w:rFonts w:hint="eastAsia"/>
          <w:highlight w:val="none"/>
        </w:rPr>
        <w:t>月</w:t>
      </w:r>
      <w:r>
        <w:rPr>
          <w:rFonts w:hint="eastAsia"/>
          <w:highlight w:val="none"/>
          <w:lang w:val="en-US" w:eastAsia="zh-CN"/>
        </w:rPr>
        <w:t>1</w:t>
      </w:r>
      <w:r>
        <w:rPr>
          <w:rFonts w:hint="eastAsia"/>
          <w:highlight w:val="none"/>
        </w:rPr>
        <w:t>日施行</w:t>
      </w:r>
      <w:r>
        <w:rPr>
          <w:rFonts w:hint="default"/>
          <w:highlight w:val="none"/>
          <w:lang w:val="en-US" w:eastAsia="zh-CN"/>
        </w:rPr>
        <w:t>）</w:t>
      </w:r>
      <w:r>
        <w:rPr>
          <w:rFonts w:hint="eastAsia"/>
          <w:highlight w:val="none"/>
          <w:lang w:val="en-US" w:eastAsia="zh-CN"/>
        </w:rPr>
        <w:t>。</w:t>
      </w:r>
    </w:p>
    <w:p w14:paraId="3CDBE622">
      <w:pPr>
        <w:pStyle w:val="22"/>
        <w:numPr>
          <w:ilvl w:val="0"/>
          <w:numId w:val="0"/>
        </w:numPr>
        <w:bidi w:val="0"/>
        <w:adjustRightInd w:val="0"/>
        <w:snapToGrid w:val="0"/>
        <w:spacing w:line="360" w:lineRule="auto"/>
        <w:jc w:val="both"/>
        <w:rPr>
          <w:rFonts w:hint="eastAsia"/>
          <w:highlight w:val="none"/>
        </w:rPr>
      </w:pPr>
    </w:p>
    <w:p w14:paraId="532F6B41">
      <w:pPr>
        <w:pStyle w:val="30"/>
        <w:bidi w:val="0"/>
        <w:rPr>
          <w:rFonts w:hint="eastAsia"/>
          <w:highlight w:val="none"/>
        </w:rPr>
      </w:pPr>
      <w:r>
        <w:rPr>
          <w:rFonts w:hint="eastAsia"/>
          <w:highlight w:val="none"/>
          <w:lang w:val="en-US" w:eastAsia="zh-CN"/>
        </w:rPr>
        <w:t>标准规范</w:t>
      </w:r>
    </w:p>
    <w:p w14:paraId="351E176A">
      <w:pPr>
        <w:pStyle w:val="22"/>
        <w:numPr>
          <w:ilvl w:val="0"/>
          <w:numId w:val="7"/>
        </w:numPr>
        <w:bidi w:val="0"/>
        <w:rPr>
          <w:rFonts w:hint="eastAsia"/>
          <w:highlight w:val="none"/>
          <w:lang w:val="sq-AL" w:eastAsia="zh-CN"/>
        </w:rPr>
      </w:pPr>
      <w:r>
        <w:rPr>
          <w:rFonts w:hint="eastAsia"/>
          <w:highlight w:val="none"/>
          <w:lang w:val="sq-AL" w:eastAsia="zh-CN"/>
        </w:rPr>
        <w:t>《企业职工伤亡事故分类</w:t>
      </w:r>
      <w:r>
        <w:rPr>
          <w:rFonts w:hint="eastAsia"/>
          <w:highlight w:val="none"/>
          <w:lang w:val="en-US" w:eastAsia="zh-CN"/>
        </w:rPr>
        <w:t>标准</w:t>
      </w:r>
      <w:r>
        <w:rPr>
          <w:rFonts w:hint="eastAsia"/>
          <w:highlight w:val="none"/>
          <w:lang w:val="sq-AL" w:eastAsia="zh-CN"/>
        </w:rPr>
        <w:t>》（GB6441-</w:t>
      </w:r>
      <w:r>
        <w:rPr>
          <w:rFonts w:hint="eastAsia"/>
          <w:highlight w:val="none"/>
          <w:lang w:val="en-US" w:eastAsia="zh-CN"/>
        </w:rPr>
        <w:t>2022</w:t>
      </w:r>
      <w:r>
        <w:rPr>
          <w:rFonts w:hint="eastAsia"/>
          <w:highlight w:val="none"/>
          <w:lang w:val="sq-AL" w:eastAsia="zh-CN"/>
        </w:rPr>
        <w:t>）；</w:t>
      </w:r>
    </w:p>
    <w:p w14:paraId="624F761E">
      <w:pPr>
        <w:pStyle w:val="22"/>
        <w:numPr>
          <w:ilvl w:val="0"/>
          <w:numId w:val="7"/>
        </w:numPr>
        <w:bidi w:val="0"/>
        <w:rPr>
          <w:rFonts w:hint="eastAsia"/>
          <w:highlight w:val="none"/>
          <w:lang w:val="sq-AL" w:eastAsia="zh-CN"/>
        </w:rPr>
      </w:pPr>
      <w:r>
        <w:rPr>
          <w:rFonts w:hint="eastAsia"/>
          <w:highlight w:val="none"/>
          <w:lang w:val="sq-AL" w:eastAsia="zh-CN"/>
        </w:rPr>
        <w:t>《厂矿道路设计规范》（GBJ22-1987）；</w:t>
      </w:r>
    </w:p>
    <w:p w14:paraId="7E0D70AF">
      <w:pPr>
        <w:pStyle w:val="22"/>
        <w:numPr>
          <w:ilvl w:val="0"/>
          <w:numId w:val="7"/>
        </w:numPr>
        <w:bidi w:val="0"/>
        <w:rPr>
          <w:rFonts w:hint="eastAsia"/>
          <w:highlight w:val="none"/>
          <w:lang w:val="sq-AL" w:eastAsia="zh-CN"/>
        </w:rPr>
      </w:pPr>
      <w:r>
        <w:rPr>
          <w:rFonts w:hint="eastAsia"/>
          <w:highlight w:val="none"/>
          <w:lang w:val="sq-AL" w:eastAsia="zh-CN"/>
        </w:rPr>
        <w:t>《建筑灭火器配置设计规范》（GB50140-2005）；</w:t>
      </w:r>
    </w:p>
    <w:p w14:paraId="79D0E401">
      <w:pPr>
        <w:pStyle w:val="22"/>
        <w:numPr>
          <w:ilvl w:val="0"/>
          <w:numId w:val="7"/>
        </w:numPr>
        <w:bidi w:val="0"/>
        <w:rPr>
          <w:rFonts w:hint="eastAsia"/>
          <w:highlight w:val="none"/>
          <w:lang w:val="sq-AL" w:eastAsia="zh-CN"/>
        </w:rPr>
      </w:pPr>
      <w:r>
        <w:rPr>
          <w:rFonts w:hint="eastAsia"/>
          <w:highlight w:val="none"/>
          <w:lang w:val="sq-AL" w:eastAsia="zh-CN"/>
        </w:rPr>
        <w:t>《</w:t>
      </w:r>
      <w:r>
        <w:rPr>
          <w:rFonts w:hint="eastAsia"/>
          <w:highlight w:val="none"/>
          <w:lang w:val="sq-AL" w:eastAsia="zh-CN"/>
        </w:rPr>
        <w:fldChar w:fldCharType="begin"/>
      </w:r>
      <w:r>
        <w:rPr>
          <w:rFonts w:hint="eastAsia"/>
          <w:highlight w:val="none"/>
          <w:lang w:val="sq-AL" w:eastAsia="zh-CN"/>
        </w:rPr>
        <w:instrText xml:space="preserve"> HYPERLINK "http://www.csres.com/detail/179734.html" \t "_blank" </w:instrText>
      </w:r>
      <w:r>
        <w:rPr>
          <w:rFonts w:hint="eastAsia"/>
          <w:highlight w:val="none"/>
          <w:lang w:val="sq-AL" w:eastAsia="zh-CN"/>
        </w:rPr>
        <w:fldChar w:fldCharType="separate"/>
      </w:r>
      <w:r>
        <w:rPr>
          <w:rFonts w:hint="eastAsia"/>
          <w:highlight w:val="none"/>
          <w:lang w:val="sq-AL" w:eastAsia="zh-CN"/>
        </w:rPr>
        <w:t>金属非金属矿山排土场安全生产规则</w:t>
      </w:r>
      <w:r>
        <w:rPr>
          <w:rFonts w:hint="eastAsia"/>
          <w:highlight w:val="none"/>
          <w:lang w:val="sq-AL" w:eastAsia="zh-CN"/>
        </w:rPr>
        <w:fldChar w:fldCharType="end"/>
      </w:r>
      <w:r>
        <w:rPr>
          <w:rFonts w:hint="eastAsia"/>
          <w:highlight w:val="none"/>
          <w:lang w:val="sq-AL" w:eastAsia="zh-CN"/>
        </w:rPr>
        <w:t>》（</w:t>
      </w:r>
      <w:r>
        <w:rPr>
          <w:rFonts w:hint="eastAsia"/>
          <w:highlight w:val="none"/>
          <w:lang w:val="en-US" w:eastAsia="zh-CN"/>
        </w:rPr>
        <w:t>KA 23-2025</w:t>
      </w:r>
      <w:r>
        <w:rPr>
          <w:rFonts w:hint="eastAsia"/>
          <w:highlight w:val="none"/>
          <w:lang w:val="sq-AL" w:eastAsia="zh-CN"/>
        </w:rPr>
        <w:t>）；</w:t>
      </w:r>
    </w:p>
    <w:p w14:paraId="6A6ABFDC">
      <w:pPr>
        <w:pStyle w:val="22"/>
        <w:numPr>
          <w:ilvl w:val="0"/>
          <w:numId w:val="7"/>
        </w:numPr>
        <w:bidi w:val="0"/>
        <w:rPr>
          <w:rFonts w:hint="eastAsia"/>
          <w:highlight w:val="none"/>
          <w:lang w:val="sq-AL" w:eastAsia="zh-CN"/>
        </w:rPr>
      </w:pPr>
      <w:r>
        <w:rPr>
          <w:rFonts w:hint="eastAsia"/>
          <w:highlight w:val="none"/>
          <w:lang w:val="sq-AL" w:eastAsia="zh-CN"/>
        </w:rPr>
        <w:t>《矿用产品安全标志标识》（AQ1043-2007）；</w:t>
      </w:r>
    </w:p>
    <w:p w14:paraId="6405C17F">
      <w:pPr>
        <w:pStyle w:val="22"/>
        <w:numPr>
          <w:ilvl w:val="0"/>
          <w:numId w:val="7"/>
        </w:numPr>
        <w:bidi w:val="0"/>
        <w:rPr>
          <w:rFonts w:hint="eastAsia"/>
          <w:highlight w:val="none"/>
          <w:lang w:val="sq-AL" w:eastAsia="zh-CN"/>
        </w:rPr>
      </w:pPr>
      <w:r>
        <w:rPr>
          <w:rFonts w:hint="eastAsia"/>
          <w:highlight w:val="none"/>
          <w:lang w:val="sq-AL" w:eastAsia="zh-CN"/>
        </w:rPr>
        <w:t>《工作场所有害因素职业接触限值</w:t>
      </w:r>
      <w:r>
        <w:rPr>
          <w:rFonts w:hint="eastAsia"/>
          <w:highlight w:val="none"/>
          <w:lang w:val="en-US" w:eastAsia="zh-CN"/>
        </w:rPr>
        <w:t>第2部分：</w:t>
      </w:r>
      <w:r>
        <w:rPr>
          <w:rFonts w:hint="eastAsia"/>
          <w:highlight w:val="none"/>
          <w:lang w:val="sq-AL" w:eastAsia="zh-CN"/>
        </w:rPr>
        <w:t>物理因素》（GBZ2.2-2007）；</w:t>
      </w:r>
    </w:p>
    <w:p w14:paraId="488FF098">
      <w:pPr>
        <w:pStyle w:val="22"/>
        <w:numPr>
          <w:ilvl w:val="0"/>
          <w:numId w:val="7"/>
        </w:numPr>
        <w:bidi w:val="0"/>
        <w:rPr>
          <w:rFonts w:hint="eastAsia"/>
          <w:highlight w:val="none"/>
          <w:lang w:val="sq-AL" w:eastAsia="zh-CN"/>
        </w:rPr>
      </w:pPr>
      <w:r>
        <w:rPr>
          <w:rFonts w:hint="eastAsia"/>
          <w:highlight w:val="none"/>
          <w:lang w:val="sq-AL" w:eastAsia="zh-CN"/>
        </w:rPr>
        <w:t>《安全评价通则》（AQ8001-2007）；</w:t>
      </w:r>
    </w:p>
    <w:p w14:paraId="547E4A0D">
      <w:pPr>
        <w:pStyle w:val="22"/>
        <w:numPr>
          <w:ilvl w:val="0"/>
          <w:numId w:val="7"/>
        </w:numPr>
        <w:bidi w:val="0"/>
        <w:rPr>
          <w:rFonts w:hint="eastAsia"/>
          <w:highlight w:val="none"/>
          <w:lang w:val="sq-AL" w:eastAsia="zh-CN"/>
        </w:rPr>
      </w:pPr>
      <w:r>
        <w:rPr>
          <w:rFonts w:hint="eastAsia"/>
          <w:highlight w:val="none"/>
          <w:lang w:val="sq-AL" w:eastAsia="zh-CN"/>
        </w:rPr>
        <w:t>《</w:t>
      </w:r>
      <w:r>
        <w:rPr>
          <w:rFonts w:hint="eastAsia"/>
          <w:highlight w:val="none"/>
          <w:lang w:val="en-US" w:eastAsia="zh-CN"/>
        </w:rPr>
        <w:t>建筑</w:t>
      </w:r>
      <w:r>
        <w:rPr>
          <w:rFonts w:hint="eastAsia"/>
          <w:highlight w:val="none"/>
          <w:lang w:val="sq-AL" w:eastAsia="zh-CN"/>
        </w:rPr>
        <w:t>灭火器配置验收及检查规范》（GB50444-2008）；</w:t>
      </w:r>
    </w:p>
    <w:p w14:paraId="17E02923">
      <w:pPr>
        <w:pStyle w:val="22"/>
        <w:numPr>
          <w:ilvl w:val="0"/>
          <w:numId w:val="7"/>
        </w:numPr>
        <w:bidi w:val="0"/>
        <w:rPr>
          <w:rFonts w:hint="eastAsia"/>
          <w:highlight w:val="none"/>
          <w:lang w:val="sq-AL" w:eastAsia="zh-CN"/>
        </w:rPr>
      </w:pPr>
      <w:r>
        <w:rPr>
          <w:rFonts w:hint="eastAsia"/>
          <w:highlight w:val="none"/>
          <w:lang w:val="sq-AL" w:eastAsia="zh-CN"/>
        </w:rPr>
        <w:t>《安全标志及其使用导则》（GB2894-2008）；</w:t>
      </w:r>
    </w:p>
    <w:p w14:paraId="60DE5E11">
      <w:pPr>
        <w:pStyle w:val="22"/>
        <w:numPr>
          <w:ilvl w:val="0"/>
          <w:numId w:val="7"/>
        </w:numPr>
        <w:bidi w:val="0"/>
        <w:rPr>
          <w:rFonts w:hint="eastAsia"/>
          <w:highlight w:val="none"/>
          <w:lang w:val="sq-AL" w:eastAsia="zh-CN"/>
        </w:rPr>
      </w:pPr>
      <w:r>
        <w:rPr>
          <w:rFonts w:hint="eastAsia"/>
          <w:highlight w:val="none"/>
          <w:lang w:val="sq-AL" w:eastAsia="zh-CN"/>
        </w:rPr>
        <w:t>《矿山安全标志》（GB</w:t>
      </w:r>
      <w:r>
        <w:rPr>
          <w:rFonts w:hint="eastAsia"/>
          <w:highlight w:val="none"/>
          <w:lang w:val="en-US" w:eastAsia="zh-CN"/>
        </w:rPr>
        <w:t>/T</w:t>
      </w:r>
      <w:r>
        <w:rPr>
          <w:rFonts w:hint="eastAsia"/>
          <w:highlight w:val="none"/>
          <w:lang w:val="sq-AL" w:eastAsia="zh-CN"/>
        </w:rPr>
        <w:t>14161-2008）；</w:t>
      </w:r>
    </w:p>
    <w:p w14:paraId="12409531">
      <w:pPr>
        <w:pStyle w:val="22"/>
        <w:numPr>
          <w:ilvl w:val="0"/>
          <w:numId w:val="7"/>
        </w:numPr>
        <w:bidi w:val="0"/>
        <w:rPr>
          <w:rFonts w:hint="eastAsia"/>
          <w:highlight w:val="none"/>
          <w:lang w:val="sq-AL" w:eastAsia="zh-CN"/>
        </w:rPr>
      </w:pPr>
      <w:r>
        <w:rPr>
          <w:rFonts w:hint="eastAsia"/>
          <w:highlight w:val="none"/>
          <w:lang w:val="sq-AL" w:eastAsia="zh-CN"/>
        </w:rPr>
        <w:t>《安全色》（GB2893－2008）；</w:t>
      </w:r>
    </w:p>
    <w:p w14:paraId="5313ECE7">
      <w:pPr>
        <w:pStyle w:val="22"/>
        <w:numPr>
          <w:ilvl w:val="0"/>
          <w:numId w:val="7"/>
        </w:numPr>
        <w:bidi w:val="0"/>
        <w:rPr>
          <w:rFonts w:hint="eastAsia"/>
          <w:highlight w:val="none"/>
          <w:lang w:val="sq-AL" w:eastAsia="zh-CN"/>
        </w:rPr>
      </w:pPr>
      <w:r>
        <w:rPr>
          <w:rFonts w:hint="eastAsia"/>
          <w:highlight w:val="none"/>
          <w:lang w:val="sq-AL" w:eastAsia="zh-CN"/>
        </w:rPr>
        <w:t>《用电安全导则》（GB/T13869-20</w:t>
      </w:r>
      <w:r>
        <w:rPr>
          <w:rFonts w:hint="eastAsia"/>
          <w:highlight w:val="none"/>
          <w:lang w:val="en-US" w:eastAsia="zh-CN"/>
        </w:rPr>
        <w:t>17</w:t>
      </w:r>
      <w:r>
        <w:rPr>
          <w:rFonts w:hint="eastAsia"/>
          <w:highlight w:val="none"/>
          <w:lang w:val="sq-AL" w:eastAsia="zh-CN"/>
        </w:rPr>
        <w:t>）；</w:t>
      </w:r>
    </w:p>
    <w:p w14:paraId="3C41CEA1">
      <w:pPr>
        <w:pStyle w:val="22"/>
        <w:numPr>
          <w:ilvl w:val="0"/>
          <w:numId w:val="7"/>
        </w:numPr>
        <w:bidi w:val="0"/>
        <w:rPr>
          <w:rFonts w:hint="eastAsia"/>
          <w:highlight w:val="none"/>
          <w:lang w:val="sq-AL" w:eastAsia="zh-CN"/>
        </w:rPr>
      </w:pPr>
      <w:r>
        <w:rPr>
          <w:rFonts w:hint="eastAsia"/>
          <w:highlight w:val="none"/>
          <w:lang w:val="sq-AL" w:eastAsia="zh-CN"/>
        </w:rPr>
        <w:t>《工业企业厂界环境噪声排放标准》（GB12348-2008）；</w:t>
      </w:r>
    </w:p>
    <w:p w14:paraId="3393FE0B">
      <w:pPr>
        <w:pStyle w:val="22"/>
        <w:numPr>
          <w:ilvl w:val="0"/>
          <w:numId w:val="7"/>
        </w:numPr>
        <w:bidi w:val="0"/>
        <w:rPr>
          <w:rFonts w:hint="eastAsia"/>
          <w:highlight w:val="none"/>
          <w:lang w:val="sq-AL" w:eastAsia="zh-CN"/>
        </w:rPr>
      </w:pPr>
      <w:r>
        <w:rPr>
          <w:rFonts w:hint="eastAsia"/>
          <w:highlight w:val="none"/>
          <w:lang w:val="sq-AL" w:eastAsia="zh-CN"/>
        </w:rPr>
        <w:t>《工业企业厂内铁路、道路运输安全规程》（GB4387-2008）；</w:t>
      </w:r>
    </w:p>
    <w:p w14:paraId="4E4FEEEB">
      <w:pPr>
        <w:pStyle w:val="22"/>
        <w:numPr>
          <w:ilvl w:val="0"/>
          <w:numId w:val="7"/>
        </w:numPr>
        <w:bidi w:val="0"/>
        <w:rPr>
          <w:rFonts w:hint="eastAsia"/>
          <w:highlight w:val="none"/>
          <w:lang w:val="sq-AL" w:eastAsia="zh-CN"/>
        </w:rPr>
      </w:pPr>
      <w:r>
        <w:rPr>
          <w:rFonts w:hint="eastAsia"/>
          <w:highlight w:val="none"/>
          <w:lang w:val="sq-AL" w:eastAsia="zh-CN"/>
        </w:rPr>
        <w:t>《建筑物防雷设计规范》（GB50057-2010）；</w:t>
      </w:r>
    </w:p>
    <w:p w14:paraId="3486982A">
      <w:pPr>
        <w:pStyle w:val="22"/>
        <w:numPr>
          <w:ilvl w:val="0"/>
          <w:numId w:val="7"/>
        </w:numPr>
        <w:bidi w:val="0"/>
        <w:rPr>
          <w:rFonts w:hint="eastAsia"/>
          <w:highlight w:val="none"/>
          <w:lang w:val="sq-AL" w:eastAsia="zh-CN"/>
        </w:rPr>
      </w:pPr>
      <w:r>
        <w:rPr>
          <w:rFonts w:hint="eastAsia"/>
          <w:highlight w:val="none"/>
          <w:lang w:val="sq-AL" w:eastAsia="zh-CN"/>
        </w:rPr>
        <w:t>《工业企业设计卫生标准》（GBZ1-2010）；</w:t>
      </w:r>
    </w:p>
    <w:p w14:paraId="5F77294A">
      <w:pPr>
        <w:pStyle w:val="22"/>
        <w:numPr>
          <w:ilvl w:val="0"/>
          <w:numId w:val="7"/>
        </w:numPr>
        <w:bidi w:val="0"/>
        <w:rPr>
          <w:rFonts w:hint="eastAsia"/>
          <w:highlight w:val="none"/>
          <w:lang w:val="sq-AL" w:eastAsia="zh-CN"/>
        </w:rPr>
      </w:pPr>
      <w:r>
        <w:rPr>
          <w:rFonts w:hint="eastAsia"/>
          <w:highlight w:val="none"/>
          <w:lang w:val="sq-AL" w:eastAsia="zh-CN"/>
        </w:rPr>
        <w:t>《20kV及以下变电所设计规范》（GB50053-</w:t>
      </w:r>
      <w:r>
        <w:rPr>
          <w:rFonts w:hint="eastAsia"/>
          <w:highlight w:val="none"/>
          <w:lang w:val="en-GB" w:eastAsia="zh-CN"/>
        </w:rPr>
        <w:t>2013</w:t>
      </w:r>
      <w:r>
        <w:rPr>
          <w:rFonts w:hint="eastAsia"/>
          <w:highlight w:val="none"/>
          <w:lang w:val="sq-AL" w:eastAsia="zh-CN"/>
        </w:rPr>
        <w:t>）；</w:t>
      </w:r>
    </w:p>
    <w:p w14:paraId="6AD498B9">
      <w:pPr>
        <w:pStyle w:val="22"/>
        <w:numPr>
          <w:ilvl w:val="0"/>
          <w:numId w:val="7"/>
        </w:numPr>
        <w:bidi w:val="0"/>
        <w:rPr>
          <w:rFonts w:hint="eastAsia"/>
          <w:highlight w:val="none"/>
          <w:lang w:val="sq-AL" w:eastAsia="zh-CN"/>
        </w:rPr>
      </w:pPr>
      <w:r>
        <w:rPr>
          <w:rFonts w:hint="eastAsia"/>
          <w:highlight w:val="none"/>
          <w:lang w:val="sq-AL" w:eastAsia="zh-CN"/>
        </w:rPr>
        <w:t>《建筑设计防火规范[2018</w:t>
      </w:r>
      <w:r>
        <w:rPr>
          <w:rFonts w:hint="eastAsia"/>
          <w:highlight w:val="none"/>
          <w:lang w:val="en-US" w:eastAsia="zh-CN"/>
        </w:rPr>
        <w:t>版</w:t>
      </w:r>
      <w:r>
        <w:rPr>
          <w:rFonts w:hint="eastAsia"/>
          <w:highlight w:val="none"/>
          <w:lang w:val="sq-AL" w:eastAsia="zh-CN"/>
        </w:rPr>
        <w:t>]》（GB50016-2014）；</w:t>
      </w:r>
    </w:p>
    <w:p w14:paraId="6C633D17">
      <w:pPr>
        <w:pStyle w:val="22"/>
        <w:numPr>
          <w:ilvl w:val="0"/>
          <w:numId w:val="7"/>
        </w:numPr>
        <w:bidi w:val="0"/>
        <w:rPr>
          <w:rFonts w:hint="eastAsia"/>
          <w:highlight w:val="none"/>
          <w:lang w:val="sq-AL" w:eastAsia="zh-CN"/>
        </w:rPr>
      </w:pPr>
      <w:r>
        <w:rPr>
          <w:rFonts w:hint="eastAsia"/>
          <w:highlight w:val="none"/>
          <w:lang w:val="sq-AL" w:eastAsia="zh-CN"/>
        </w:rPr>
        <w:t>《防洪标准》（GB50201-2014）；</w:t>
      </w:r>
    </w:p>
    <w:p w14:paraId="691C6137">
      <w:pPr>
        <w:pStyle w:val="22"/>
        <w:numPr>
          <w:ilvl w:val="0"/>
          <w:numId w:val="7"/>
        </w:numPr>
        <w:bidi w:val="0"/>
        <w:rPr>
          <w:rFonts w:hint="eastAsia"/>
          <w:highlight w:val="none"/>
          <w:lang w:val="sq-AL" w:eastAsia="zh-CN"/>
        </w:rPr>
      </w:pPr>
      <w:r>
        <w:rPr>
          <w:rFonts w:hint="eastAsia"/>
          <w:highlight w:val="none"/>
          <w:lang w:val="sq-AL" w:eastAsia="zh-CN"/>
        </w:rPr>
        <w:t>《中国地震动参数区划图》（GB18306</w:t>
      </w:r>
      <w:r>
        <w:rPr>
          <w:rFonts w:hint="eastAsia"/>
          <w:highlight w:val="none"/>
          <w:lang w:val="en-US" w:eastAsia="zh-CN"/>
        </w:rPr>
        <w:t>-</w:t>
      </w:r>
      <w:r>
        <w:rPr>
          <w:rFonts w:hint="eastAsia"/>
          <w:highlight w:val="none"/>
          <w:lang w:val="sq-AL" w:eastAsia="zh-CN"/>
        </w:rPr>
        <w:t>2015）；</w:t>
      </w:r>
    </w:p>
    <w:p w14:paraId="090E857E">
      <w:pPr>
        <w:pStyle w:val="22"/>
        <w:numPr>
          <w:ilvl w:val="0"/>
          <w:numId w:val="7"/>
        </w:numPr>
        <w:bidi w:val="0"/>
        <w:rPr>
          <w:rFonts w:hint="eastAsia"/>
          <w:highlight w:val="none"/>
          <w:lang w:val="sq-AL" w:eastAsia="zh-CN"/>
        </w:rPr>
      </w:pPr>
      <w:r>
        <w:rPr>
          <w:rFonts w:hint="eastAsia"/>
          <w:highlight w:val="none"/>
          <w:lang w:val="sq-AL" w:eastAsia="zh-CN"/>
        </w:rPr>
        <w:t>《爆破安全规程》（</w:t>
      </w:r>
      <w:r>
        <w:rPr>
          <w:rFonts w:hint="eastAsia"/>
          <w:highlight w:val="none"/>
          <w:lang w:val="en-US" w:eastAsia="zh-CN"/>
        </w:rPr>
        <w:t>国家标准第一号修改单</w:t>
      </w:r>
      <w:r>
        <w:rPr>
          <w:rFonts w:hint="eastAsia"/>
          <w:highlight w:val="none"/>
          <w:lang w:val="sq-AL" w:eastAsia="zh-CN"/>
        </w:rPr>
        <w:t>）（GB6722-2014/XG1-2016）；</w:t>
      </w:r>
    </w:p>
    <w:p w14:paraId="1477F57D">
      <w:pPr>
        <w:pStyle w:val="22"/>
        <w:numPr>
          <w:ilvl w:val="0"/>
          <w:numId w:val="7"/>
        </w:numPr>
        <w:bidi w:val="0"/>
        <w:rPr>
          <w:rFonts w:hint="eastAsia"/>
          <w:highlight w:val="none"/>
          <w:lang w:val="sq-AL" w:eastAsia="zh-CN"/>
        </w:rPr>
      </w:pPr>
      <w:r>
        <w:rPr>
          <w:rFonts w:hint="eastAsia"/>
          <w:highlight w:val="none"/>
          <w:lang w:val="sq-AL" w:eastAsia="zh-CN"/>
        </w:rPr>
        <w:t>《剩余电流动作保护装置安装和运行》（GB/T 13955-2017）；</w:t>
      </w:r>
    </w:p>
    <w:p w14:paraId="0E06C48C">
      <w:pPr>
        <w:pStyle w:val="22"/>
        <w:numPr>
          <w:ilvl w:val="0"/>
          <w:numId w:val="7"/>
        </w:numPr>
        <w:bidi w:val="0"/>
        <w:rPr>
          <w:rFonts w:hint="eastAsia"/>
          <w:highlight w:val="none"/>
          <w:lang w:val="sq-AL" w:eastAsia="zh-CN"/>
        </w:rPr>
      </w:pPr>
      <w:r>
        <w:rPr>
          <w:rFonts w:hint="eastAsia"/>
          <w:highlight w:val="none"/>
          <w:lang w:val="sq-AL" w:eastAsia="zh-CN"/>
        </w:rPr>
        <w:t>《用电安全导则》（GB/T 13869-2017）；</w:t>
      </w:r>
    </w:p>
    <w:p w14:paraId="524FCBC6">
      <w:pPr>
        <w:pStyle w:val="22"/>
        <w:numPr>
          <w:ilvl w:val="0"/>
          <w:numId w:val="7"/>
        </w:numPr>
        <w:bidi w:val="0"/>
        <w:rPr>
          <w:rFonts w:hint="eastAsia"/>
          <w:highlight w:val="none"/>
          <w:lang w:val="sq-AL" w:eastAsia="zh-CN"/>
        </w:rPr>
      </w:pPr>
      <w:r>
        <w:rPr>
          <w:rFonts w:hint="eastAsia"/>
          <w:highlight w:val="none"/>
          <w:lang w:val="sq-AL" w:eastAsia="zh-CN"/>
        </w:rPr>
        <w:t>《危险化学品重大危险源辨识》（GB18218-2018）；</w:t>
      </w:r>
    </w:p>
    <w:p w14:paraId="360ABB3B">
      <w:pPr>
        <w:pStyle w:val="22"/>
        <w:numPr>
          <w:ilvl w:val="0"/>
          <w:numId w:val="7"/>
        </w:numPr>
        <w:bidi w:val="0"/>
        <w:rPr>
          <w:rFonts w:hint="eastAsia"/>
          <w:highlight w:val="none"/>
          <w:lang w:val="sq-AL" w:eastAsia="zh-CN"/>
        </w:rPr>
      </w:pPr>
      <w:r>
        <w:rPr>
          <w:rFonts w:hint="eastAsia"/>
          <w:highlight w:val="none"/>
          <w:lang w:val="sq-AL" w:eastAsia="zh-CN"/>
        </w:rPr>
        <w:t>《机械安全防护装置、固定式和活动式防护装置设计与制造一般要求》（GB/T8196-2018）；</w:t>
      </w:r>
    </w:p>
    <w:p w14:paraId="445DCDFC">
      <w:pPr>
        <w:pStyle w:val="22"/>
        <w:numPr>
          <w:ilvl w:val="0"/>
          <w:numId w:val="7"/>
        </w:numPr>
        <w:bidi w:val="0"/>
        <w:rPr>
          <w:rFonts w:hint="eastAsia"/>
          <w:highlight w:val="none"/>
          <w:lang w:val="sq-AL" w:eastAsia="zh-CN"/>
        </w:rPr>
      </w:pPr>
      <w:r>
        <w:rPr>
          <w:rFonts w:hint="eastAsia"/>
          <w:highlight w:val="none"/>
          <w:lang w:val="sq-AL" w:eastAsia="zh-CN"/>
        </w:rPr>
        <w:t>《工作场所有害因素职业接触限值</w:t>
      </w:r>
      <w:r>
        <w:rPr>
          <w:rFonts w:hint="eastAsia"/>
          <w:highlight w:val="none"/>
          <w:lang w:val="en-US" w:eastAsia="zh-CN"/>
        </w:rPr>
        <w:t>第一部分：</w:t>
      </w:r>
      <w:r>
        <w:rPr>
          <w:rFonts w:hint="eastAsia"/>
          <w:highlight w:val="none"/>
          <w:lang w:val="sq-AL" w:eastAsia="zh-CN"/>
        </w:rPr>
        <w:t>化学有害因素》（</w:t>
      </w:r>
      <w:r>
        <w:rPr>
          <w:rFonts w:hint="eastAsia"/>
          <w:highlight w:val="none"/>
          <w:lang w:val="en-US" w:eastAsia="zh-CN"/>
        </w:rPr>
        <w:t>行业标准第1号修改单</w:t>
      </w:r>
      <w:r>
        <w:rPr>
          <w:rFonts w:hint="eastAsia"/>
          <w:highlight w:val="none"/>
          <w:lang w:val="sq-AL" w:eastAsia="zh-CN"/>
        </w:rPr>
        <w:t>）（GBZ2.1-2019</w:t>
      </w:r>
      <w:r>
        <w:rPr>
          <w:rFonts w:hint="eastAsia"/>
          <w:highlight w:val="none"/>
          <w:lang w:val="en-US" w:eastAsia="zh-CN"/>
        </w:rPr>
        <w:t>/XG1-2022</w:t>
      </w:r>
      <w:r>
        <w:rPr>
          <w:rFonts w:hint="eastAsia"/>
          <w:highlight w:val="none"/>
          <w:lang w:val="sq-AL" w:eastAsia="zh-CN"/>
        </w:rPr>
        <w:t>）；</w:t>
      </w:r>
    </w:p>
    <w:p w14:paraId="31AE7F74">
      <w:pPr>
        <w:pStyle w:val="22"/>
        <w:numPr>
          <w:ilvl w:val="0"/>
          <w:numId w:val="7"/>
        </w:numPr>
        <w:bidi w:val="0"/>
        <w:rPr>
          <w:rFonts w:hint="eastAsia"/>
          <w:highlight w:val="none"/>
          <w:lang w:val="sq-AL" w:eastAsia="zh-CN"/>
        </w:rPr>
      </w:pPr>
      <w:r>
        <w:rPr>
          <w:rFonts w:hint="eastAsia"/>
          <w:highlight w:val="none"/>
          <w:lang w:val="en-GB" w:eastAsia="zh-CN"/>
        </w:rPr>
        <w:t>《生产安全事故应急演练基本规范》（</w:t>
      </w:r>
      <w:r>
        <w:rPr>
          <w:rFonts w:hint="eastAsia"/>
          <w:highlight w:val="none"/>
          <w:lang w:val="en-US" w:eastAsia="zh-CN"/>
        </w:rPr>
        <w:t>YJ/</w:t>
      </w:r>
      <w:r>
        <w:rPr>
          <w:rFonts w:hint="eastAsia"/>
          <w:highlight w:val="none"/>
          <w:lang w:val="en-GB" w:eastAsia="zh-CN"/>
        </w:rPr>
        <w:t>T</w:t>
      </w:r>
      <w:r>
        <w:rPr>
          <w:rFonts w:hint="eastAsia"/>
          <w:highlight w:val="none"/>
          <w:lang w:val="en-US" w:eastAsia="zh-CN"/>
        </w:rPr>
        <w:t xml:space="preserve"> </w:t>
      </w:r>
      <w:r>
        <w:rPr>
          <w:rFonts w:hint="eastAsia"/>
          <w:highlight w:val="none"/>
          <w:lang w:val="en-GB" w:eastAsia="zh-CN"/>
        </w:rPr>
        <w:t>9007-2019）；</w:t>
      </w:r>
    </w:p>
    <w:p w14:paraId="7F994D7E">
      <w:pPr>
        <w:pStyle w:val="22"/>
        <w:numPr>
          <w:ilvl w:val="0"/>
          <w:numId w:val="7"/>
        </w:numPr>
        <w:bidi w:val="0"/>
        <w:rPr>
          <w:rFonts w:hint="eastAsia"/>
          <w:highlight w:val="none"/>
          <w:lang w:val="sq-AL" w:eastAsia="zh-CN"/>
        </w:rPr>
      </w:pPr>
      <w:r>
        <w:rPr>
          <w:rFonts w:hint="eastAsia"/>
          <w:highlight w:val="none"/>
          <w:lang w:val="sq-AL" w:eastAsia="zh-CN"/>
        </w:rPr>
        <w:t>《生产经营单位生产安全事故应急预案编制导则》（GB/T29639-2020）；</w:t>
      </w:r>
    </w:p>
    <w:p w14:paraId="21B3FADE">
      <w:pPr>
        <w:pStyle w:val="22"/>
        <w:numPr>
          <w:ilvl w:val="0"/>
          <w:numId w:val="7"/>
        </w:numPr>
        <w:bidi w:val="0"/>
        <w:rPr>
          <w:rFonts w:hint="eastAsia"/>
          <w:highlight w:val="none"/>
          <w:lang w:val="sq-AL" w:eastAsia="zh-CN"/>
        </w:rPr>
      </w:pPr>
      <w:r>
        <w:rPr>
          <w:rFonts w:hint="eastAsia"/>
          <w:highlight w:val="none"/>
          <w:lang w:val="sq-AL" w:eastAsia="zh-CN"/>
        </w:rPr>
        <w:t>《固定式压力容器安全技术监察规程》（TSG21-2016/XG1-2020）；</w:t>
      </w:r>
    </w:p>
    <w:p w14:paraId="7719DD4A">
      <w:pPr>
        <w:pStyle w:val="22"/>
        <w:numPr>
          <w:ilvl w:val="0"/>
          <w:numId w:val="7"/>
        </w:numPr>
        <w:bidi w:val="0"/>
        <w:rPr>
          <w:rFonts w:hint="eastAsia"/>
          <w:highlight w:val="none"/>
          <w:lang w:val="sq-AL" w:eastAsia="zh-CN"/>
        </w:rPr>
      </w:pPr>
      <w:r>
        <w:rPr>
          <w:rFonts w:hint="eastAsia"/>
          <w:highlight w:val="none"/>
          <w:lang w:val="sq-AL" w:eastAsia="zh-CN"/>
        </w:rPr>
        <w:t>《金属非金属矿山安全规程》（GB16423-2020）；</w:t>
      </w:r>
    </w:p>
    <w:p w14:paraId="24103BF5">
      <w:pPr>
        <w:pStyle w:val="22"/>
        <w:numPr>
          <w:ilvl w:val="0"/>
          <w:numId w:val="7"/>
        </w:numPr>
        <w:bidi w:val="0"/>
        <w:rPr>
          <w:rFonts w:hint="eastAsia"/>
          <w:highlight w:val="none"/>
          <w:lang w:val="sq-AL" w:eastAsia="zh-CN"/>
        </w:rPr>
      </w:pPr>
      <w:r>
        <w:rPr>
          <w:rFonts w:hint="eastAsia"/>
          <w:highlight w:val="none"/>
          <w:lang w:val="sq-AL" w:eastAsia="zh-CN"/>
        </w:rPr>
        <w:t>《个体防护装备配备规范 第4部分：非煤矿山》（GB39800.4-2020）；</w:t>
      </w:r>
    </w:p>
    <w:p w14:paraId="2E0CE9B6">
      <w:pPr>
        <w:pStyle w:val="22"/>
        <w:numPr>
          <w:ilvl w:val="0"/>
          <w:numId w:val="7"/>
        </w:numPr>
        <w:bidi w:val="0"/>
        <w:rPr>
          <w:rFonts w:hint="eastAsia"/>
          <w:highlight w:val="none"/>
          <w:lang w:val="sq-AL" w:eastAsia="zh-CN"/>
        </w:rPr>
      </w:pPr>
      <w:r>
        <w:rPr>
          <w:rFonts w:hint="eastAsia"/>
          <w:highlight w:val="none"/>
          <w:lang w:val="sq-AL" w:eastAsia="zh-CN"/>
        </w:rPr>
        <w:t>《矿山电力设计标准》（GB50070-2020）；</w:t>
      </w:r>
    </w:p>
    <w:p w14:paraId="1EFC8166">
      <w:pPr>
        <w:pStyle w:val="22"/>
        <w:numPr>
          <w:ilvl w:val="0"/>
          <w:numId w:val="7"/>
        </w:numPr>
        <w:bidi w:val="0"/>
        <w:rPr>
          <w:rFonts w:hint="eastAsia"/>
          <w:highlight w:val="none"/>
          <w:lang w:val="sq-AL" w:eastAsia="zh-CN"/>
        </w:rPr>
      </w:pPr>
      <w:r>
        <w:rPr>
          <w:rFonts w:hint="eastAsia"/>
          <w:highlight w:val="none"/>
          <w:lang w:val="sq-AL" w:eastAsia="zh-CN"/>
        </w:rPr>
        <w:t>《机械安全防止人体部位挤压的最小间距》（GB/T 12265-2021）；</w:t>
      </w:r>
    </w:p>
    <w:p w14:paraId="133E4E06">
      <w:pPr>
        <w:pStyle w:val="22"/>
        <w:numPr>
          <w:ilvl w:val="0"/>
          <w:numId w:val="7"/>
        </w:numPr>
        <w:bidi w:val="0"/>
        <w:rPr>
          <w:rFonts w:hint="eastAsia"/>
          <w:highlight w:val="none"/>
          <w:lang w:val="sq-AL" w:eastAsia="zh-CN"/>
        </w:rPr>
      </w:pPr>
      <w:r>
        <w:rPr>
          <w:rFonts w:hint="eastAsia"/>
          <w:highlight w:val="none"/>
          <w:lang w:val="sq-AL" w:eastAsia="zh-CN"/>
        </w:rPr>
        <w:t>《生产过程危险和有害因素分类与代码》（GB/T 13861-2022）；</w:t>
      </w:r>
    </w:p>
    <w:p w14:paraId="393BB585">
      <w:pPr>
        <w:pStyle w:val="22"/>
        <w:numPr>
          <w:ilvl w:val="0"/>
          <w:numId w:val="7"/>
        </w:numPr>
        <w:bidi w:val="0"/>
        <w:rPr>
          <w:rFonts w:hint="default"/>
          <w:highlight w:val="none"/>
          <w:lang w:val="sq-AL" w:eastAsia="zh-CN"/>
        </w:rPr>
      </w:pPr>
      <w:r>
        <w:rPr>
          <w:rFonts w:hint="eastAsia"/>
          <w:highlight w:val="none"/>
          <w:lang w:val="sq-AL" w:eastAsia="zh-CN"/>
        </w:rPr>
        <w:t>《工业企业总平面设计规范》（GB50187-2012）；</w:t>
      </w:r>
    </w:p>
    <w:p w14:paraId="19799C90">
      <w:pPr>
        <w:pStyle w:val="22"/>
        <w:numPr>
          <w:ilvl w:val="0"/>
          <w:numId w:val="7"/>
        </w:numPr>
        <w:bidi w:val="0"/>
        <w:rPr>
          <w:rFonts w:hint="eastAsia"/>
          <w:highlight w:val="none"/>
          <w:lang w:val="sq-AL" w:eastAsia="zh-CN"/>
        </w:rPr>
      </w:pPr>
      <w:r>
        <w:rPr>
          <w:rFonts w:hint="eastAsia"/>
          <w:highlight w:val="none"/>
          <w:lang w:val="sq-AL" w:eastAsia="zh-CN"/>
        </w:rPr>
        <w:t>《非煤露天矿边坡工程技术规范》（GB51016-2014）；</w:t>
      </w:r>
    </w:p>
    <w:p w14:paraId="43264BCD">
      <w:pPr>
        <w:pStyle w:val="22"/>
        <w:numPr>
          <w:ilvl w:val="0"/>
          <w:numId w:val="7"/>
        </w:numPr>
        <w:bidi w:val="0"/>
        <w:rPr>
          <w:rFonts w:hint="eastAsia"/>
          <w:highlight w:val="none"/>
          <w:lang w:val="sq-AL" w:eastAsia="zh-CN"/>
        </w:rPr>
      </w:pPr>
      <w:r>
        <w:rPr>
          <w:rFonts w:hint="eastAsia"/>
          <w:highlight w:val="none"/>
          <w:lang w:val="sq-AL" w:eastAsia="zh-CN"/>
        </w:rPr>
        <w:t>《工业企业噪声控制设计规范》（GB/T50087-2013）；</w:t>
      </w:r>
    </w:p>
    <w:p w14:paraId="379108EF">
      <w:pPr>
        <w:pStyle w:val="22"/>
        <w:numPr>
          <w:ilvl w:val="0"/>
          <w:numId w:val="7"/>
        </w:numPr>
        <w:bidi w:val="0"/>
        <w:rPr>
          <w:rFonts w:hint="eastAsia"/>
          <w:highlight w:val="none"/>
          <w:lang w:val="sq-AL" w:eastAsia="zh-CN"/>
        </w:rPr>
      </w:pPr>
      <w:r>
        <w:rPr>
          <w:rFonts w:hint="eastAsia"/>
          <w:highlight w:val="none"/>
          <w:lang w:val="sq-AL" w:eastAsia="zh-CN"/>
        </w:rPr>
        <w:t>《矿山隐蔽致灾因素普查规范 第1部分：总则》（KA</w:t>
      </w:r>
      <w:r>
        <w:rPr>
          <w:rFonts w:hint="eastAsia"/>
          <w:highlight w:val="none"/>
          <w:lang w:val="en-US" w:eastAsia="zh-CN"/>
        </w:rPr>
        <w:t>/</w:t>
      </w:r>
      <w:r>
        <w:rPr>
          <w:rFonts w:hint="eastAsia"/>
          <w:highlight w:val="none"/>
          <w:lang w:val="sq-AL" w:eastAsia="zh-CN"/>
        </w:rPr>
        <w:t>T 22.1-2024）；</w:t>
      </w:r>
    </w:p>
    <w:p w14:paraId="5CEEABC6">
      <w:pPr>
        <w:pStyle w:val="22"/>
        <w:numPr>
          <w:ilvl w:val="0"/>
          <w:numId w:val="7"/>
        </w:numPr>
        <w:bidi w:val="0"/>
        <w:rPr>
          <w:rFonts w:hint="eastAsia"/>
          <w:highlight w:val="none"/>
        </w:rPr>
      </w:pPr>
      <w:r>
        <w:rPr>
          <w:rFonts w:hint="eastAsia"/>
          <w:highlight w:val="none"/>
          <w:lang w:val="sq-AL" w:eastAsia="zh-CN"/>
        </w:rPr>
        <w:t>《矿山隐蔽致灾因素普查规范 第3部分：金属非金属矿山及尾矿库》（KA</w:t>
      </w:r>
      <w:r>
        <w:rPr>
          <w:rFonts w:hint="eastAsia"/>
          <w:highlight w:val="none"/>
          <w:lang w:val="en-US" w:eastAsia="zh-CN"/>
        </w:rPr>
        <w:t>/</w:t>
      </w:r>
      <w:r>
        <w:rPr>
          <w:rFonts w:hint="eastAsia"/>
          <w:highlight w:val="none"/>
          <w:lang w:val="sq-AL" w:eastAsia="zh-CN"/>
        </w:rPr>
        <w:t>T 22.3-2024）。</w:t>
      </w:r>
    </w:p>
    <w:p w14:paraId="04BBAA88">
      <w:pPr>
        <w:pStyle w:val="30"/>
        <w:bidi w:val="0"/>
        <w:rPr>
          <w:rFonts w:hint="default"/>
          <w:highlight w:val="none"/>
          <w:lang w:val="en-US" w:eastAsia="zh-CN"/>
        </w:rPr>
      </w:pPr>
      <w:r>
        <w:rPr>
          <w:rFonts w:hint="eastAsia"/>
          <w:highlight w:val="none"/>
          <w:lang w:val="en-US" w:eastAsia="zh-CN"/>
        </w:rPr>
        <w:t>建设项目技术资料</w:t>
      </w:r>
    </w:p>
    <w:p w14:paraId="2520C7A7">
      <w:pPr>
        <w:pStyle w:val="22"/>
        <w:numPr>
          <w:ilvl w:val="0"/>
          <w:numId w:val="8"/>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《关于〈辽宁省本溪县草河城镇徐堡村矿区铁矿资源储量核实报告〉矿产资源储量评审备案的复函》辽宁省自然资源厅，辽自然资储备字[2025]14号，2025年3月31日；</w:t>
      </w:r>
    </w:p>
    <w:p w14:paraId="32B2F7FB">
      <w:pPr>
        <w:pStyle w:val="22"/>
        <w:numPr>
          <w:ilvl w:val="0"/>
          <w:numId w:val="8"/>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《&lt;辽宁省本溪县草河城镇徐堡村矿区铁矿资源储量核实报告&gt;评审意见书》辽宁省自然资源事务服务中心，辽储评（储）字[2025]14号，2025年3月28日；</w:t>
      </w:r>
    </w:p>
    <w:p w14:paraId="1FB7384E">
      <w:pPr>
        <w:pStyle w:val="22"/>
        <w:numPr>
          <w:ilvl w:val="0"/>
          <w:numId w:val="8"/>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《&lt;本溪市辉宏矿业有限公司铁矿矿产资源开发利用方案&gt;审查意见书》辽宁省自然资源事务服务中心，辽自然资事矿（开）审字[2025]C028号，2025年6月26日；</w:t>
      </w:r>
    </w:p>
    <w:p w14:paraId="48DE1642">
      <w:pPr>
        <w:pStyle w:val="22"/>
        <w:numPr>
          <w:ilvl w:val="0"/>
          <w:numId w:val="8"/>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《本溪市辉宏矿业有限公司徐堡村矿区铁矿地下开采建设项目可行性研究报告》，兰州有色冶金设计研究院有限公司，2026年1月；</w:t>
      </w:r>
    </w:p>
    <w:p w14:paraId="5C030A05">
      <w:pPr>
        <w:pStyle w:val="30"/>
        <w:bidi w:val="0"/>
        <w:rPr>
          <w:rFonts w:hint="default"/>
          <w:highlight w:val="none"/>
          <w:lang w:val="en-US" w:eastAsia="zh-CN"/>
        </w:rPr>
      </w:pPr>
      <w:r>
        <w:rPr>
          <w:rFonts w:hint="eastAsia"/>
          <w:highlight w:val="none"/>
          <w:lang w:val="en-US" w:eastAsia="zh-CN"/>
        </w:rPr>
        <w:t>其他评价依据</w:t>
      </w:r>
    </w:p>
    <w:p w14:paraId="6346D6BF">
      <w:pPr>
        <w:pStyle w:val="22"/>
        <w:numPr>
          <w:ilvl w:val="0"/>
          <w:numId w:val="9"/>
        </w:numPr>
        <w:bidi w:val="0"/>
        <w:rPr>
          <w:rFonts w:hint="eastAsia"/>
          <w:highlight w:val="none"/>
          <w:lang w:val="en-US" w:eastAsia="zh-CN"/>
        </w:rPr>
      </w:pPr>
      <w:r>
        <w:rPr>
          <w:rFonts w:hint="eastAsia"/>
          <w:highlight w:val="none"/>
          <w:lang w:val="en-US" w:eastAsia="zh-CN"/>
        </w:rPr>
        <w:t>《营业执照》</w:t>
      </w:r>
      <w:r>
        <w:rPr>
          <w:rFonts w:hint="default"/>
          <w:highlight w:val="none"/>
          <w:lang w:val="en-US" w:eastAsia="zh-CN"/>
        </w:rPr>
        <w:t>统一社会信用代码：</w:t>
      </w:r>
      <w:r>
        <w:rPr>
          <w:rFonts w:hint="eastAsia"/>
          <w:highlight w:val="none"/>
          <w:lang w:val="en-US" w:eastAsia="zh-CN"/>
        </w:rPr>
        <w:t>XXXXXXXXXXXXX；</w:t>
      </w:r>
    </w:p>
    <w:p w14:paraId="3A400FCE">
      <w:pPr>
        <w:pStyle w:val="22"/>
        <w:numPr>
          <w:ilvl w:val="0"/>
          <w:numId w:val="9"/>
        </w:numPr>
        <w:bidi w:val="0"/>
        <w:rPr>
          <w:rFonts w:hint="eastAsia"/>
          <w:highlight w:val="none"/>
          <w:lang w:val="en-US" w:eastAsia="zh-CN"/>
        </w:rPr>
      </w:pPr>
      <w:r>
        <w:rPr>
          <w:rFonts w:hint="eastAsia"/>
          <w:highlight w:val="none"/>
          <w:lang w:val="en-US" w:eastAsia="zh-CN"/>
        </w:rPr>
        <w:t>《采矿许可证》证号：XXXXXXXXXXXXX；</w:t>
      </w:r>
    </w:p>
    <w:p w14:paraId="319494D7">
      <w:pPr>
        <w:pStyle w:val="22"/>
        <w:numPr>
          <w:ilvl w:val="0"/>
          <w:numId w:val="9"/>
        </w:numPr>
        <w:bidi w:val="0"/>
        <w:rPr>
          <w:rFonts w:hint="default"/>
          <w:highlight w:val="none"/>
          <w:lang w:val="en-US" w:eastAsia="zh-CN"/>
        </w:rPr>
      </w:pPr>
      <w:r>
        <w:rPr>
          <w:rFonts w:hint="eastAsia"/>
          <w:highlight w:val="none"/>
          <w:lang w:val="en-US" w:eastAsia="zh-CN"/>
        </w:rPr>
        <w:t>《最高洪水位证明》；</w:t>
      </w:r>
    </w:p>
    <w:p w14:paraId="2A5C4327">
      <w:pPr>
        <w:pStyle w:val="22"/>
        <w:numPr>
          <w:ilvl w:val="0"/>
          <w:numId w:val="9"/>
        </w:numPr>
        <w:bidi w:val="0"/>
        <w:rPr>
          <w:rFonts w:hint="default"/>
          <w:highlight w:val="none"/>
          <w:lang w:val="en-US" w:eastAsia="zh-CN"/>
        </w:rPr>
      </w:pPr>
      <w:r>
        <w:rPr>
          <w:rFonts w:hint="eastAsia" w:ascii="Times New Roman" w:hAnsi="Times New Roman" w:eastAsia="宋体"/>
          <w:highlight w:val="none"/>
          <w:lang w:val="en-US" w:eastAsia="zh-CN"/>
        </w:rPr>
        <w:t>废石外购协议。</w:t>
      </w:r>
    </w:p>
    <w:p w14:paraId="6368369F">
      <w:pPr>
        <w:pStyle w:val="28"/>
        <w:bidi w:val="0"/>
        <w:ind w:left="0" w:leftChars="0" w:firstLine="0" w:firstLineChars="0"/>
        <w:rPr>
          <w:rFonts w:hint="default"/>
          <w:highlight w:val="none"/>
          <w:lang w:val="en-US" w:eastAsia="zh-CN"/>
        </w:rPr>
      </w:pPr>
      <w:bookmarkStart w:id="5" w:name="_Toc21521"/>
      <w:r>
        <w:rPr>
          <w:rFonts w:hint="eastAsia"/>
          <w:highlight w:val="none"/>
          <w:lang w:val="en-US" w:eastAsia="zh-CN"/>
        </w:rPr>
        <w:t>建设项目概述</w:t>
      </w:r>
      <w:bookmarkEnd w:id="5"/>
    </w:p>
    <w:p w14:paraId="2E3627E8">
      <w:pPr>
        <w:pStyle w:val="29"/>
        <w:rPr>
          <w:rFonts w:hint="default"/>
          <w:highlight w:val="none"/>
          <w:lang w:val="en-US" w:eastAsia="zh-CN"/>
        </w:rPr>
      </w:pPr>
      <w:bookmarkStart w:id="6" w:name="_Toc4977"/>
      <w:r>
        <w:rPr>
          <w:rFonts w:hint="default"/>
          <w:highlight w:val="none"/>
          <w:lang w:val="en-US" w:eastAsia="zh-CN"/>
        </w:rPr>
        <w:t>设单位概况</w:t>
      </w:r>
      <w:bookmarkEnd w:id="6"/>
    </w:p>
    <w:p w14:paraId="3C3514DD">
      <w:pPr>
        <w:pStyle w:val="30"/>
        <w:rPr>
          <w:rFonts w:hint="default"/>
          <w:highlight w:val="none"/>
          <w:lang w:val="en-US" w:eastAsia="zh-CN"/>
        </w:rPr>
      </w:pPr>
      <w:r>
        <w:rPr>
          <w:rFonts w:hint="default"/>
          <w:highlight w:val="none"/>
          <w:lang w:val="en-US" w:eastAsia="zh-CN"/>
        </w:rPr>
        <w:t>建设单位简介</w:t>
      </w:r>
    </w:p>
    <w:p w14:paraId="38540FBC">
      <w:pPr>
        <w:pStyle w:val="22"/>
        <w:bidi w:val="0"/>
        <w:rPr>
          <w:rFonts w:hint="eastAsia"/>
          <w:highlight w:val="none"/>
        </w:rPr>
      </w:pPr>
      <w:r>
        <w:rPr>
          <w:rFonts w:hint="eastAsia"/>
          <w:highlight w:val="none"/>
        </w:rPr>
        <w:t>矿山名称：</w:t>
      </w:r>
      <w:r>
        <w:rPr>
          <w:rFonts w:hint="eastAsia"/>
          <w:highlight w:val="none"/>
          <w:lang w:val="en-US" w:eastAsia="zh-CN"/>
        </w:rPr>
        <w:t>本溪市辉宏矿业有限公司徐堡村矿区铁矿</w:t>
      </w:r>
      <w:r>
        <w:rPr>
          <w:rFonts w:hint="eastAsia"/>
          <w:highlight w:val="none"/>
        </w:rPr>
        <w:t>；</w:t>
      </w:r>
    </w:p>
    <w:p w14:paraId="5B2E3947">
      <w:pPr>
        <w:pStyle w:val="22"/>
        <w:bidi w:val="0"/>
        <w:rPr>
          <w:rFonts w:hint="eastAsia"/>
          <w:highlight w:val="none"/>
        </w:rPr>
      </w:pPr>
      <w:r>
        <w:rPr>
          <w:rFonts w:hint="eastAsia"/>
          <w:highlight w:val="none"/>
        </w:rPr>
        <w:t>采矿权人：</w:t>
      </w:r>
      <w:r>
        <w:rPr>
          <w:rFonts w:hint="eastAsia"/>
          <w:highlight w:val="none"/>
          <w:lang w:val="en-US" w:eastAsia="zh-CN"/>
        </w:rPr>
        <w:t>本溪市辉宏矿业有限公司</w:t>
      </w:r>
      <w:r>
        <w:rPr>
          <w:rFonts w:hint="eastAsia"/>
          <w:highlight w:val="none"/>
        </w:rPr>
        <w:t>；</w:t>
      </w:r>
    </w:p>
    <w:p w14:paraId="081181F6">
      <w:pPr>
        <w:pStyle w:val="22"/>
        <w:bidi w:val="0"/>
        <w:rPr>
          <w:rFonts w:hint="eastAsia"/>
          <w:highlight w:val="none"/>
        </w:rPr>
      </w:pPr>
      <w:r>
        <w:rPr>
          <w:rFonts w:hint="eastAsia"/>
          <w:highlight w:val="none"/>
        </w:rPr>
        <w:t>企业类型：有限责任公司；</w:t>
      </w:r>
    </w:p>
    <w:p w14:paraId="00BFF745">
      <w:pPr>
        <w:pStyle w:val="22"/>
        <w:bidi w:val="0"/>
        <w:rPr>
          <w:rFonts w:hint="eastAsia"/>
          <w:highlight w:val="none"/>
        </w:rPr>
      </w:pPr>
      <w:r>
        <w:rPr>
          <w:rFonts w:hint="eastAsia"/>
          <w:highlight w:val="none"/>
        </w:rPr>
        <w:t>住    所：</w:t>
      </w:r>
      <w:r>
        <w:rPr>
          <w:rFonts w:hint="eastAsia"/>
          <w:highlight w:val="none"/>
          <w:lang w:val="en-US" w:eastAsia="zh-CN"/>
        </w:rPr>
        <w:t>本溪满族自治县草河城镇沙河村</w:t>
      </w:r>
      <w:r>
        <w:rPr>
          <w:rFonts w:hint="eastAsia"/>
          <w:highlight w:val="none"/>
        </w:rPr>
        <w:t>；</w:t>
      </w:r>
    </w:p>
    <w:p w14:paraId="20988D5D">
      <w:pPr>
        <w:pStyle w:val="22"/>
        <w:bidi w:val="0"/>
        <w:rPr>
          <w:rFonts w:hint="eastAsia"/>
          <w:highlight w:val="none"/>
        </w:rPr>
      </w:pPr>
      <w:r>
        <w:rPr>
          <w:rFonts w:hint="eastAsia"/>
          <w:highlight w:val="none"/>
        </w:rPr>
        <w:t>法定代表人：</w:t>
      </w:r>
      <w:r>
        <w:rPr>
          <w:rFonts w:hint="eastAsia"/>
          <w:highlight w:val="none"/>
          <w:lang w:val="en-US" w:eastAsia="zh-CN"/>
        </w:rPr>
        <w:t>邢学斌</w:t>
      </w:r>
      <w:r>
        <w:rPr>
          <w:rFonts w:hint="eastAsia"/>
          <w:highlight w:val="none"/>
        </w:rPr>
        <w:t>；</w:t>
      </w:r>
    </w:p>
    <w:p w14:paraId="3B4D54B7">
      <w:pPr>
        <w:pStyle w:val="22"/>
        <w:bidi w:val="0"/>
        <w:rPr>
          <w:rFonts w:hint="eastAsia"/>
          <w:highlight w:val="none"/>
        </w:rPr>
      </w:pPr>
      <w:r>
        <w:rPr>
          <w:rFonts w:hint="eastAsia"/>
          <w:highlight w:val="none"/>
        </w:rPr>
        <w:t>注册资本：</w:t>
      </w:r>
      <w:r>
        <w:rPr>
          <w:rFonts w:hint="eastAsia"/>
          <w:highlight w:val="none"/>
          <w:lang w:val="en-US" w:eastAsia="zh-CN"/>
        </w:rPr>
        <w:t>人民币玖佰万元整</w:t>
      </w:r>
      <w:r>
        <w:rPr>
          <w:rFonts w:hint="eastAsia"/>
          <w:highlight w:val="none"/>
        </w:rPr>
        <w:t>；</w:t>
      </w:r>
    </w:p>
    <w:p w14:paraId="42298925">
      <w:pPr>
        <w:pStyle w:val="22"/>
        <w:bidi w:val="0"/>
        <w:rPr>
          <w:rFonts w:hint="eastAsia"/>
          <w:highlight w:val="none"/>
        </w:rPr>
      </w:pPr>
      <w:r>
        <w:rPr>
          <w:rFonts w:hint="eastAsia"/>
          <w:highlight w:val="none"/>
        </w:rPr>
        <w:t>登记机关：</w:t>
      </w:r>
      <w:r>
        <w:rPr>
          <w:rFonts w:hint="eastAsia"/>
          <w:highlight w:val="none"/>
          <w:lang w:val="en-US" w:eastAsia="zh-CN"/>
        </w:rPr>
        <w:t>本溪满族自治县市场监督管理局</w:t>
      </w:r>
      <w:r>
        <w:rPr>
          <w:rFonts w:hint="eastAsia"/>
          <w:highlight w:val="none"/>
        </w:rPr>
        <w:t>；</w:t>
      </w:r>
    </w:p>
    <w:p w14:paraId="0576E3F0">
      <w:pPr>
        <w:pStyle w:val="22"/>
        <w:bidi w:val="0"/>
        <w:rPr>
          <w:rFonts w:hint="eastAsia"/>
          <w:highlight w:val="none"/>
        </w:rPr>
      </w:pPr>
      <w:r>
        <w:rPr>
          <w:rFonts w:hint="eastAsia"/>
          <w:highlight w:val="none"/>
        </w:rPr>
        <w:t>营业期限：</w:t>
      </w:r>
      <w:r>
        <w:rPr>
          <w:rFonts w:hint="eastAsia"/>
          <w:highlight w:val="none"/>
          <w:lang w:val="en-US" w:eastAsia="zh-CN"/>
        </w:rPr>
        <w:t>自2014</w:t>
      </w:r>
      <w:r>
        <w:rPr>
          <w:rFonts w:hint="eastAsia"/>
          <w:highlight w:val="none"/>
        </w:rPr>
        <w:t>年</w:t>
      </w:r>
      <w:r>
        <w:rPr>
          <w:rFonts w:hint="eastAsia"/>
          <w:highlight w:val="none"/>
          <w:lang w:val="en-US" w:eastAsia="zh-CN"/>
        </w:rPr>
        <w:t>04</w:t>
      </w:r>
      <w:r>
        <w:rPr>
          <w:rFonts w:hint="eastAsia"/>
          <w:highlight w:val="none"/>
        </w:rPr>
        <w:t>月</w:t>
      </w:r>
      <w:r>
        <w:rPr>
          <w:rFonts w:hint="eastAsia"/>
          <w:highlight w:val="none"/>
          <w:lang w:val="en-US" w:eastAsia="zh-CN"/>
        </w:rPr>
        <w:t>10</w:t>
      </w:r>
      <w:r>
        <w:rPr>
          <w:rFonts w:hint="eastAsia"/>
          <w:highlight w:val="none"/>
        </w:rPr>
        <w:t>日至</w:t>
      </w:r>
      <w:r>
        <w:rPr>
          <w:rFonts w:hint="eastAsia"/>
          <w:highlight w:val="none"/>
          <w:lang w:val="en-US" w:eastAsia="zh-CN"/>
        </w:rPr>
        <w:t>无固定期限</w:t>
      </w:r>
      <w:r>
        <w:rPr>
          <w:rFonts w:hint="eastAsia"/>
          <w:highlight w:val="none"/>
        </w:rPr>
        <w:t>；</w:t>
      </w:r>
    </w:p>
    <w:p w14:paraId="6730E6B3">
      <w:pPr>
        <w:pStyle w:val="22"/>
        <w:bidi w:val="0"/>
        <w:rPr>
          <w:rFonts w:hint="eastAsia"/>
          <w:highlight w:val="none"/>
        </w:rPr>
      </w:pPr>
      <w:r>
        <w:rPr>
          <w:rFonts w:hint="eastAsia"/>
          <w:highlight w:val="none"/>
        </w:rPr>
        <w:t>统一社会信用代码：</w:t>
      </w:r>
      <w:r>
        <w:rPr>
          <w:rFonts w:hint="eastAsia"/>
          <w:highlight w:val="none"/>
          <w:lang w:val="en-US" w:eastAsia="zh-CN"/>
        </w:rPr>
        <w:t>XXXXXXXXXXXXX</w:t>
      </w:r>
      <w:r>
        <w:rPr>
          <w:rFonts w:hint="eastAsia"/>
          <w:highlight w:val="none"/>
        </w:rPr>
        <w:t>。</w:t>
      </w:r>
    </w:p>
    <w:p w14:paraId="75BC182D">
      <w:pPr>
        <w:pStyle w:val="22"/>
        <w:bidi w:val="0"/>
        <w:rPr>
          <w:rFonts w:hint="eastAsia"/>
        </w:rPr>
      </w:pPr>
      <w:r>
        <w:rPr>
          <w:rFonts w:hint="eastAsia"/>
        </w:rPr>
        <w:t>本溪市辉宏矿业有限公司徐堡村矿区铁矿原为本溪满族自治县草河城镇贺家铁矿，其成立于2004年12月，只有一个采区，2009年7月，首次取得采矿许可证，开采方式为地下开采。2012年矿山取得安全生产许可证，安全生产许可证有效期2012年2月1日至2015年1月31日。</w:t>
      </w:r>
    </w:p>
    <w:p w14:paraId="000721BE">
      <w:pPr>
        <w:pStyle w:val="22"/>
        <w:bidi w:val="0"/>
        <w:rPr>
          <w:rFonts w:hint="eastAsia"/>
        </w:rPr>
      </w:pPr>
      <w:r>
        <w:rPr>
          <w:rFonts w:hint="eastAsia"/>
        </w:rPr>
        <w:t>2014年企业更名为本溪市辉宏矿业有限公司并换发采矿证，采矿许可证编号：</w:t>
      </w:r>
      <w:r>
        <w:rPr>
          <w:rFonts w:hint="eastAsia"/>
          <w:lang w:eastAsia="zh-CN"/>
        </w:rPr>
        <w:t>XXXXXXXXXXXXX</w:t>
      </w:r>
      <w:r>
        <w:rPr>
          <w:rFonts w:hint="eastAsia"/>
        </w:rPr>
        <w:t>，矿区面积：0.1538km²，生产规模：15万t/a，开采标高：340m～80m，开采方式：地下开采，有效期为2014年4月1日至2018年9月1日。</w:t>
      </w:r>
    </w:p>
    <w:p w14:paraId="26CEA222">
      <w:pPr>
        <w:pStyle w:val="22"/>
        <w:bidi w:val="0"/>
        <w:rPr>
          <w:rFonts w:hint="eastAsia"/>
        </w:rPr>
      </w:pPr>
      <w:r>
        <w:rPr>
          <w:rFonts w:hint="eastAsia"/>
        </w:rPr>
        <w:t>2015年和2018年矿山两次对安全生产许可证进行了延续。最后一次安全生产许可证有效期为2018年6月18日至2021年6月17日。</w:t>
      </w:r>
    </w:p>
    <w:p w14:paraId="3991DAF7">
      <w:pPr>
        <w:pStyle w:val="22"/>
        <w:bidi w:val="0"/>
        <w:rPr>
          <w:rFonts w:hint="eastAsia"/>
        </w:rPr>
      </w:pPr>
      <w:r>
        <w:rPr>
          <w:rFonts w:hint="eastAsia"/>
        </w:rPr>
        <w:t>2018年矿山对采矿许可证申请延续并办理了采矿权缩界，采矿许可证矿区面积：0.0891km²，生产规模：15万t/a，开采标高：340m～80m，开采方式：地下开采，有效期为2018年9月1日至2024年8月1日。</w:t>
      </w:r>
    </w:p>
    <w:p w14:paraId="2A2A0476">
      <w:pPr>
        <w:pStyle w:val="22"/>
        <w:bidi w:val="0"/>
        <w:rPr>
          <w:rFonts w:hint="eastAsia"/>
        </w:rPr>
      </w:pPr>
      <w:r>
        <w:rPr>
          <w:rFonts w:hint="default"/>
        </w:rPr>
        <w:t>2021年企业委托兰州有色冶金设计研究院编制《本溪市辉宏矿业有限公司铁矿地下开采建设项目补充设计》、《本溪市辉宏矿业有限公司铁矿地下开采建设项目安全设施补充设计》，并于2021年12月13日取得本应急发〔2021〕79号文批准建设，目前矿山处于基建期。</w:t>
      </w:r>
    </w:p>
    <w:p w14:paraId="70254372">
      <w:pPr>
        <w:pStyle w:val="22"/>
        <w:bidi w:val="0"/>
        <w:rPr>
          <w:rFonts w:hint="eastAsia"/>
        </w:rPr>
      </w:pPr>
      <w:r>
        <w:rPr>
          <w:rFonts w:hint="eastAsia"/>
        </w:rPr>
        <w:t>2024年矿山对采矿许可证申请延续，2024年7月30日，辽宁省自然资源厅颁发了采矿许可证。</w:t>
      </w:r>
    </w:p>
    <w:p w14:paraId="7C311378">
      <w:pPr>
        <w:pStyle w:val="22"/>
        <w:bidi w:val="0"/>
        <w:rPr>
          <w:rFonts w:hint="eastAsia"/>
        </w:rPr>
      </w:pPr>
      <w:r>
        <w:rPr>
          <w:rFonts w:hint="eastAsia"/>
        </w:rPr>
        <w:t>2025年企业申请扩大矿区范围（深部扩界），换发了新采矿许可证，采矿许可证面积0.0891km²，生产规模：15万t/a，开采标高：340m～-72m，开采方式：地下开采，有效期为2025年8月25日至2027年3月30日。</w:t>
      </w:r>
    </w:p>
    <w:p w14:paraId="35FF3D70">
      <w:pPr>
        <w:pStyle w:val="22"/>
        <w:bidi w:val="0"/>
        <w:rPr>
          <w:rFonts w:hint="eastAsia"/>
        </w:rPr>
      </w:pPr>
      <w:r>
        <w:rPr>
          <w:rFonts w:hint="eastAsia"/>
        </w:rPr>
        <w:t>因市场原因，企业亏损，矿山于2014年12月至2017年9月矿山一直处于停产状态，2018年至2021年期间矿山继续进行了开采，2021年停产至今。</w:t>
      </w:r>
    </w:p>
    <w:p w14:paraId="23470845">
      <w:pPr>
        <w:pStyle w:val="22"/>
        <w:bidi w:val="0"/>
        <w:rPr>
          <w:rFonts w:hint="default"/>
          <w:lang w:val="en-US" w:eastAsia="zh-CN"/>
        </w:rPr>
      </w:pPr>
      <w:r>
        <w:rPr>
          <w:rFonts w:hint="eastAsia"/>
        </w:rPr>
        <w:t>为履行安全设施“三同时”手续，以更好的指导矿山生产。矿山委托兰州有色冶金设计研究院有限公司编制《本溪市辉宏矿业有限公司徐堡村矿区铁矿地下开采建设项目安全设施设计》，为矿山建设、安全生产、安全监管提供依据。</w:t>
      </w:r>
    </w:p>
    <w:p w14:paraId="695413F6">
      <w:pPr>
        <w:pStyle w:val="30"/>
        <w:bidi w:val="0"/>
        <w:rPr>
          <w:rFonts w:hint="default"/>
          <w:highlight w:val="none"/>
          <w:lang w:val="en-US" w:eastAsia="zh-CN"/>
        </w:rPr>
      </w:pPr>
      <w:r>
        <w:rPr>
          <w:rFonts w:hint="eastAsia"/>
          <w:highlight w:val="none"/>
          <w:lang w:val="en-US" w:eastAsia="zh-CN"/>
        </w:rPr>
        <w:t>地理位置及交通</w:t>
      </w:r>
    </w:p>
    <w:p w14:paraId="76246432">
      <w:pPr>
        <w:pStyle w:val="22"/>
        <w:bidi w:val="0"/>
        <w:rPr>
          <w:rFonts w:hint="eastAsia"/>
          <w:highlight w:val="none"/>
        </w:rPr>
      </w:pPr>
      <w:r>
        <w:rPr>
          <w:rFonts w:hint="eastAsia"/>
          <w:highlight w:val="none"/>
        </w:rPr>
        <w:t>本溪市辉宏矿业有限公司铁矿位于本溪县城南西方向，直距约55km，行政区划隶属本溪满族自治县草河城镇徐家堡村所辖，矿区距沈丹公路约20km，距沈丹铁路草河城站约21km，其间有乡级公路相连，交通较为方便（见交通位置图）。</w:t>
      </w:r>
    </w:p>
    <w:p w14:paraId="2617FD70">
      <w:pPr>
        <w:pStyle w:val="22"/>
        <w:bidi w:val="0"/>
        <w:rPr>
          <w:rFonts w:hint="default"/>
          <w:highlight w:val="none"/>
          <w:lang w:val="en-US" w:eastAsia="zh-CN"/>
        </w:rPr>
      </w:pPr>
      <w:r>
        <w:rPr>
          <w:rFonts w:hint="eastAsia"/>
          <w:highlight w:val="none"/>
        </w:rPr>
        <w:t>矿区中心地理坐标为：东经：</w:t>
      </w:r>
      <w:r>
        <w:rPr>
          <w:rFonts w:hint="eastAsia"/>
          <w:highlight w:val="none"/>
          <w:lang w:val="en-US" w:eastAsia="zh-CN"/>
        </w:rPr>
        <w:t>XXXXXXXX</w:t>
      </w:r>
      <w:r>
        <w:rPr>
          <w:rFonts w:hint="eastAsia"/>
          <w:highlight w:val="none"/>
        </w:rPr>
        <w:t>；北纬：</w:t>
      </w:r>
      <w:r>
        <w:rPr>
          <w:rFonts w:hint="eastAsia"/>
          <w:highlight w:val="none"/>
          <w:lang w:val="en-US" w:eastAsia="zh-CN"/>
        </w:rPr>
        <w:t>XXXXXXXX</w:t>
      </w:r>
      <w:r>
        <w:rPr>
          <w:rFonts w:hint="eastAsia"/>
          <w:highlight w:val="none"/>
        </w:rPr>
        <w:t>。</w:t>
      </w:r>
    </w:p>
    <w:p w14:paraId="2C946D4C">
      <w:pPr>
        <w:pStyle w:val="31"/>
        <w:bidi w:val="0"/>
        <w:rPr>
          <w:rFonts w:hint="default"/>
          <w:highlight w:val="none"/>
        </w:rPr>
      </w:pPr>
    </w:p>
    <w:p w14:paraId="005B23AA">
      <w:pPr>
        <w:pStyle w:val="31"/>
        <w:bidi w:val="0"/>
        <w:rPr>
          <w:rFonts w:hint="default"/>
          <w:highlight w:val="none"/>
          <w:lang w:val="en-US" w:eastAsia="zh-CN"/>
        </w:rPr>
      </w:pPr>
      <w:r>
        <w:rPr>
          <w:rFonts w:hint="default"/>
          <w:highlight w:val="none"/>
          <w:lang w:eastAsia="zh-CN"/>
        </w:rPr>
        <w:t>图</w:t>
      </w:r>
      <w:r>
        <w:rPr>
          <w:rFonts w:hint="eastAsia"/>
          <w:highlight w:val="none"/>
          <w:lang w:val="en-US" w:eastAsia="zh-CN"/>
        </w:rPr>
        <w:t>2.1</w:t>
      </w:r>
      <w:r>
        <w:rPr>
          <w:rFonts w:hint="default"/>
          <w:highlight w:val="none"/>
          <w:lang w:val="en-US" w:eastAsia="zh-CN"/>
        </w:rPr>
        <w:t>-1  交通位置图</w:t>
      </w:r>
    </w:p>
    <w:p w14:paraId="6F1C86A1">
      <w:pPr>
        <w:pStyle w:val="30"/>
        <w:bidi w:val="0"/>
        <w:rPr>
          <w:rFonts w:hint="default"/>
          <w:highlight w:val="none"/>
          <w:lang w:val="en-US" w:eastAsia="zh-CN"/>
        </w:rPr>
      </w:pPr>
      <w:r>
        <w:rPr>
          <w:rFonts w:hint="eastAsia"/>
          <w:highlight w:val="none"/>
          <w:lang w:val="en-US" w:eastAsia="zh-CN"/>
        </w:rPr>
        <w:t>矿区周边环境</w:t>
      </w:r>
    </w:p>
    <w:p w14:paraId="5D079774">
      <w:pPr>
        <w:pStyle w:val="22"/>
        <w:bidi w:val="0"/>
        <w:rPr>
          <w:rFonts w:hint="eastAsia"/>
          <w:highlight w:val="none"/>
          <w:lang w:val="en-US" w:eastAsia="zh-CN"/>
        </w:rPr>
      </w:pPr>
      <w:r>
        <w:rPr>
          <w:rFonts w:hint="eastAsia"/>
          <w:highlight w:val="none"/>
          <w:lang w:val="en-US" w:eastAsia="zh-CN"/>
        </w:rPr>
        <w:t>（1）相邻矿山</w:t>
      </w:r>
    </w:p>
    <w:p w14:paraId="4D3C6447">
      <w:pPr>
        <w:pStyle w:val="22"/>
        <w:bidi w:val="0"/>
        <w:rPr>
          <w:rFonts w:hint="eastAsia"/>
          <w:highlight w:val="none"/>
          <w:lang w:val="en-US" w:eastAsia="zh-CN"/>
        </w:rPr>
      </w:pPr>
      <w:r>
        <w:rPr>
          <w:rFonts w:hint="eastAsia"/>
          <w:highlight w:val="none"/>
          <w:lang w:val="en-US" w:eastAsia="zh-CN"/>
        </w:rPr>
        <w:t>矿区周边共设置2处探矿权、1处采矿权，分别为本溪满族自治县沙城铁矿，生产矿种铁矿，矿山规模为小型，距矿区3.3km。辽宁省本溪县草河城镇西沟铁矿详查(草河城区域)，位于矿区西侧360m。辽宁省本溪县草河城镇白水村阳沟金矿详查，位于矿区东北部约4.4km。</w:t>
      </w:r>
    </w:p>
    <w:p w14:paraId="2F0A18AE">
      <w:pPr>
        <w:pStyle w:val="31"/>
        <w:bidi w:val="0"/>
        <w:rPr>
          <w:rFonts w:hint="eastAsia"/>
          <w:highlight w:val="none"/>
          <w:lang w:eastAsia="zh-CN"/>
        </w:rPr>
      </w:pPr>
    </w:p>
    <w:p w14:paraId="0EE8E3A9">
      <w:pPr>
        <w:pStyle w:val="31"/>
        <w:bidi w:val="0"/>
        <w:rPr>
          <w:rFonts w:hint="eastAsia"/>
          <w:highlight w:val="none"/>
          <w:lang w:val="en-US" w:eastAsia="zh-CN"/>
        </w:rPr>
      </w:pPr>
      <w:r>
        <w:rPr>
          <w:rFonts w:hint="default"/>
          <w:highlight w:val="none"/>
          <w:lang w:eastAsia="zh-CN"/>
        </w:rPr>
        <w:t>图</w:t>
      </w:r>
      <w:r>
        <w:rPr>
          <w:rFonts w:hint="eastAsia"/>
          <w:highlight w:val="none"/>
          <w:lang w:val="en-US" w:eastAsia="zh-CN"/>
        </w:rPr>
        <w:t>2.1-2</w:t>
      </w:r>
      <w:r>
        <w:rPr>
          <w:rFonts w:hint="default"/>
          <w:highlight w:val="none"/>
          <w:lang w:val="en-US" w:eastAsia="zh-CN"/>
        </w:rPr>
        <w:t xml:space="preserve">  </w:t>
      </w:r>
      <w:r>
        <w:rPr>
          <w:rFonts w:hint="eastAsia"/>
          <w:highlight w:val="none"/>
          <w:lang w:val="en-US" w:eastAsia="zh-CN"/>
        </w:rPr>
        <w:t>周边矿业权分布位置示意图</w:t>
      </w:r>
    </w:p>
    <w:p w14:paraId="14594DEE">
      <w:pPr>
        <w:pStyle w:val="22"/>
        <w:bidi w:val="0"/>
        <w:rPr>
          <w:rFonts w:hint="eastAsia"/>
          <w:highlight w:val="none"/>
          <w:lang w:val="en-US" w:eastAsia="zh-CN"/>
        </w:rPr>
      </w:pPr>
      <w:r>
        <w:rPr>
          <w:rFonts w:hint="eastAsia"/>
          <w:highlight w:val="none"/>
          <w:lang w:val="en-US" w:eastAsia="zh-CN"/>
        </w:rPr>
        <w:t>（2）季节性河流</w:t>
      </w:r>
    </w:p>
    <w:p w14:paraId="0B07B668">
      <w:pPr>
        <w:pStyle w:val="22"/>
        <w:bidi w:val="0"/>
        <w:rPr>
          <w:rFonts w:hint="eastAsia"/>
          <w:highlight w:val="none"/>
          <w:lang w:val="en-US" w:eastAsia="zh-CN"/>
        </w:rPr>
      </w:pPr>
      <w:r>
        <w:rPr>
          <w:rFonts w:hint="eastAsia"/>
          <w:highlight w:val="none"/>
          <w:lang w:val="en-US" w:eastAsia="zh-CN"/>
        </w:rPr>
        <w:t>矿区地貌类型属浅切割中低山区，地势北高南低。矿区西南侧有一沙河（草河支流）由西北向东南流过，水量较小，平均流量为0.14m³/s。其距离设计开采地表岩石移动范围最近距离为224m，根据矿山实际开采和地质水文资料显示，矿山开采范围与沙河之间无导水构造带，因此其对矿山开采不会造成影响。</w:t>
      </w:r>
    </w:p>
    <w:p w14:paraId="6B81F958">
      <w:pPr>
        <w:pStyle w:val="22"/>
        <w:bidi w:val="0"/>
        <w:rPr>
          <w:rFonts w:hint="eastAsia"/>
          <w:highlight w:val="none"/>
          <w:lang w:val="en-US" w:eastAsia="zh-CN"/>
        </w:rPr>
      </w:pPr>
      <w:r>
        <w:rPr>
          <w:rFonts w:hint="eastAsia"/>
          <w:highlight w:val="none"/>
          <w:lang w:val="en-US" w:eastAsia="zh-CN"/>
        </w:rPr>
        <w:t>（3）地表居民</w:t>
      </w:r>
    </w:p>
    <w:p w14:paraId="5684904F">
      <w:pPr>
        <w:pStyle w:val="22"/>
        <w:bidi w:val="0"/>
        <w:rPr>
          <w:rFonts w:hint="default"/>
          <w:highlight w:val="none"/>
          <w:lang w:val="en-US" w:eastAsia="zh-CN"/>
        </w:rPr>
      </w:pPr>
      <w:r>
        <w:rPr>
          <w:rFonts w:hint="eastAsia"/>
          <w:highlight w:val="none"/>
          <w:lang w:val="en-US" w:eastAsia="zh-CN"/>
        </w:rPr>
        <w:t>根据矿山实测资料，矿区范围内无居民居住，距离矿区最近的住宅区为矿区南部的贺家堡村，设计地表岩石移动范围距离该村民房最近距离23m，井下回采作业面距离民房最近距离为165m。矿区西侧村庄为阳沟门村，距离矿界最近距离约320m，设计地表岩石移动范围距离该村庄民房最近距离约500m。</w:t>
      </w:r>
    </w:p>
    <w:p w14:paraId="79C3A35D">
      <w:pPr>
        <w:pStyle w:val="22"/>
        <w:bidi w:val="0"/>
        <w:rPr>
          <w:rFonts w:hint="eastAsia"/>
          <w:highlight w:val="none"/>
          <w:lang w:val="en-US" w:eastAsia="zh-CN"/>
        </w:rPr>
      </w:pPr>
      <w:r>
        <w:rPr>
          <w:rFonts w:hint="eastAsia"/>
          <w:highlight w:val="none"/>
          <w:lang w:val="en-US" w:eastAsia="zh-CN"/>
        </w:rPr>
        <w:t>根据隐蔽致灾报告，矿山严格按照设计的采矿方法和空区处理方式进行采矿生产，通过采用嗣后充填方式处理采空区，可避免地表塌陷，确保地表的稳定性，设计在岩石移动范围边界设置隔离护栏、围挡及警示标识，引导居民避开危险活动区域，在开采过程中，持续对岩移范围进行监测，发现岩移及时进行治理，不会对矿区外居民造成影响。且根据后续爆破振动计算可知，矿山后续开采对其无影响。</w:t>
      </w:r>
    </w:p>
    <w:p w14:paraId="376ECECC">
      <w:pPr>
        <w:pStyle w:val="22"/>
        <w:bidi w:val="0"/>
        <w:rPr>
          <w:rFonts w:hint="eastAsia"/>
          <w:highlight w:val="none"/>
          <w:lang w:val="en-US" w:eastAsia="zh-CN"/>
        </w:rPr>
      </w:pPr>
      <w:r>
        <w:rPr>
          <w:rFonts w:hint="eastAsia"/>
          <w:highlight w:val="none"/>
          <w:lang w:val="en-US" w:eastAsia="zh-CN"/>
        </w:rPr>
        <w:t>（4）公路</w:t>
      </w:r>
    </w:p>
    <w:p w14:paraId="2855D438">
      <w:pPr>
        <w:pStyle w:val="22"/>
        <w:bidi w:val="0"/>
        <w:rPr>
          <w:rFonts w:hint="eastAsia"/>
          <w:highlight w:val="none"/>
          <w:lang w:val="en-US" w:eastAsia="zh-CN"/>
        </w:rPr>
      </w:pPr>
      <w:r>
        <w:rPr>
          <w:rFonts w:hint="eastAsia"/>
          <w:highlight w:val="none"/>
          <w:lang w:val="en-US" w:eastAsia="zh-CN"/>
        </w:rPr>
        <w:t>矿区南侧有一条554乡道（徐沙线），该公路距离设计地表岩石移动范围最近距离201m，井下回采作业面距离公路最近距离为296m。</w:t>
      </w:r>
    </w:p>
    <w:p w14:paraId="390D69DE">
      <w:pPr>
        <w:pStyle w:val="22"/>
        <w:bidi w:val="0"/>
        <w:rPr>
          <w:rFonts w:hint="eastAsia"/>
          <w:highlight w:val="none"/>
          <w:lang w:val="en-US" w:eastAsia="zh-CN"/>
        </w:rPr>
      </w:pPr>
      <w:r>
        <w:rPr>
          <w:rFonts w:hint="eastAsia"/>
          <w:highlight w:val="none"/>
          <w:lang w:val="en-US" w:eastAsia="zh-CN"/>
        </w:rPr>
        <w:t>（5）尾矿库</w:t>
      </w:r>
    </w:p>
    <w:p w14:paraId="437634C9">
      <w:pPr>
        <w:pStyle w:val="22"/>
        <w:bidi w:val="0"/>
        <w:rPr>
          <w:rFonts w:hint="eastAsia"/>
          <w:highlight w:val="none"/>
          <w:lang w:val="en-US" w:eastAsia="zh-CN"/>
        </w:rPr>
      </w:pPr>
      <w:r>
        <w:rPr>
          <w:rFonts w:hint="eastAsia"/>
          <w:highlight w:val="none"/>
          <w:lang w:val="en-US" w:eastAsia="zh-CN"/>
        </w:rPr>
        <w:t>矿山东侧有一本溪满族自治县沙城铁矿尾矿库，该尾矿库为山谷型尾矿库，三面环山，西南侧筑坝，采用坝前分散放矿，由西南侧向东北方向放矿，现尾矿库坝体总高度42.7m，总库容为357.5万m³，属四等尾矿库，根据隐蔽致灾报告，本矿山与其之间有山梁阻隔且无导水构造带，其距离本次设计开采地表岩石移动范围最近距离为195m，故二者之间不会产生影响，且根据后续爆破振动计算可知，矿山后续开采对其无影响。</w:t>
      </w:r>
    </w:p>
    <w:p w14:paraId="2FDDEB1F">
      <w:pPr>
        <w:pStyle w:val="22"/>
        <w:bidi w:val="0"/>
        <w:rPr>
          <w:rFonts w:hint="eastAsia"/>
          <w:highlight w:val="none"/>
          <w:lang w:val="en-US" w:eastAsia="zh-CN"/>
        </w:rPr>
      </w:pPr>
      <w:r>
        <w:rPr>
          <w:rFonts w:hint="eastAsia"/>
          <w:highlight w:val="none"/>
          <w:lang w:val="en-US" w:eastAsia="zh-CN"/>
        </w:rPr>
        <w:t>（6）企业现有厂房</w:t>
      </w:r>
    </w:p>
    <w:p w14:paraId="14CDD213">
      <w:pPr>
        <w:pStyle w:val="22"/>
        <w:bidi w:val="0"/>
        <w:rPr>
          <w:rFonts w:hint="eastAsia"/>
          <w:highlight w:val="none"/>
          <w:lang w:val="en-US" w:eastAsia="zh-CN"/>
        </w:rPr>
      </w:pPr>
      <w:r>
        <w:rPr>
          <w:rFonts w:hint="eastAsia"/>
          <w:highlight w:val="none"/>
          <w:lang w:val="en-US" w:eastAsia="zh-CN"/>
        </w:rPr>
        <w:t>矿区中部内有企业自有厂房，其位于本次设计岩石移动范围20m内，在矿山基建期间作为矿山的临时休息室，设计要求在矿山基建结束前对其进行拆除，确保不会影响下一步井下开采。</w:t>
      </w:r>
    </w:p>
    <w:p w14:paraId="175FF6C4">
      <w:pPr>
        <w:pStyle w:val="22"/>
        <w:bidi w:val="0"/>
        <w:rPr>
          <w:rFonts w:hint="eastAsia"/>
          <w:highlight w:val="none"/>
          <w:lang w:val="en-US" w:eastAsia="zh-CN"/>
        </w:rPr>
      </w:pPr>
      <w:r>
        <w:rPr>
          <w:rFonts w:hint="eastAsia"/>
          <w:highlight w:val="none"/>
          <w:lang w:val="en-US" w:eastAsia="zh-CN"/>
        </w:rPr>
        <w:t>除上述周边环境外，本项目矿区范围周边300m范围内无学校、医院、文物古迹、旅游风景区、饮用水源保护区等需要保护的重要公共设施；500m范围内无名胜古迹；1000m及1000m外可视范围内无铁路、高速公路、国道。</w:t>
      </w:r>
    </w:p>
    <w:p w14:paraId="5515BA12">
      <w:pPr>
        <w:pStyle w:val="31"/>
        <w:bidi w:val="0"/>
        <w:rPr>
          <w:highlight w:val="none"/>
        </w:rPr>
      </w:pPr>
      <w:r>
        <w:rPr>
          <w:highlight w:val="none"/>
        </w:rPr>
        <w:drawing>
          <wp:inline distT="0" distB="0" distL="114300" distR="114300">
            <wp:extent cx="5273040" cy="3418840"/>
            <wp:effectExtent l="0" t="0" r="3810" b="10160"/>
            <wp:docPr id="15"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01"/>
                    <pic:cNvPicPr>
                      <a:picLocks noChangeAspect="1"/>
                    </pic:cNvPicPr>
                  </pic:nvPicPr>
                  <pic:blipFill>
                    <a:blip r:embed="rId6"/>
                    <a:stretch>
                      <a:fillRect/>
                    </a:stretch>
                  </pic:blipFill>
                  <pic:spPr>
                    <a:xfrm>
                      <a:off x="0" y="0"/>
                      <a:ext cx="5273040" cy="3418840"/>
                    </a:xfrm>
                    <a:prstGeom prst="rect">
                      <a:avLst/>
                    </a:prstGeom>
                    <a:noFill/>
                    <a:ln>
                      <a:noFill/>
                    </a:ln>
                  </pic:spPr>
                </pic:pic>
              </a:graphicData>
            </a:graphic>
          </wp:inline>
        </w:drawing>
      </w:r>
    </w:p>
    <w:p w14:paraId="5611A289">
      <w:pPr>
        <w:pStyle w:val="31"/>
        <w:bidi w:val="0"/>
        <w:rPr>
          <w:rFonts w:hint="eastAsia"/>
          <w:highlight w:val="none"/>
          <w:lang w:eastAsia="zh-CN"/>
        </w:rPr>
      </w:pPr>
      <w:r>
        <w:rPr>
          <w:rFonts w:hint="default"/>
          <w:highlight w:val="none"/>
          <w:lang w:eastAsia="zh-CN"/>
        </w:rPr>
        <w:t>图</w:t>
      </w:r>
      <w:r>
        <w:rPr>
          <w:rFonts w:hint="eastAsia"/>
          <w:highlight w:val="none"/>
          <w:lang w:val="en-US" w:eastAsia="zh-CN"/>
        </w:rPr>
        <w:t>2.1-3</w:t>
      </w:r>
      <w:r>
        <w:rPr>
          <w:rFonts w:hint="default"/>
          <w:highlight w:val="none"/>
          <w:lang w:val="en-US" w:eastAsia="zh-CN"/>
        </w:rPr>
        <w:t xml:space="preserve">  </w:t>
      </w:r>
      <w:r>
        <w:rPr>
          <w:rFonts w:hint="eastAsia"/>
          <w:highlight w:val="none"/>
          <w:lang w:val="en-US" w:eastAsia="zh-CN"/>
        </w:rPr>
        <w:t>矿山周边环境相对位置关系示意</w:t>
      </w:r>
      <w:r>
        <w:rPr>
          <w:rFonts w:hint="default"/>
          <w:highlight w:val="none"/>
          <w:lang w:val="en-US" w:eastAsia="zh-CN"/>
        </w:rPr>
        <w:t>图</w:t>
      </w:r>
    </w:p>
    <w:p w14:paraId="422739F8">
      <w:pPr>
        <w:pStyle w:val="22"/>
        <w:bidi w:val="0"/>
        <w:rPr>
          <w:rFonts w:hint="eastAsia"/>
          <w:highlight w:val="none"/>
          <w:lang w:eastAsia="zh-CN"/>
        </w:rPr>
      </w:pPr>
    </w:p>
    <w:p w14:paraId="26CF59E8">
      <w:pPr>
        <w:pStyle w:val="31"/>
        <w:bidi w:val="0"/>
        <w:rPr>
          <w:rFonts w:hint="eastAsia"/>
          <w:highlight w:val="none"/>
        </w:rPr>
      </w:pPr>
      <w:r>
        <w:rPr>
          <w:highlight w:val="none"/>
        </w:rPr>
        <mc:AlternateContent>
          <mc:Choice Requires="wps">
            <w:drawing>
              <wp:anchor distT="0" distB="0" distL="114300" distR="114300" simplePos="0" relativeHeight="251667456" behindDoc="0" locked="0" layoutInCell="1" allowOverlap="1">
                <wp:simplePos x="0" y="0"/>
                <wp:positionH relativeFrom="column">
                  <wp:posOffset>2776220</wp:posOffset>
                </wp:positionH>
                <wp:positionV relativeFrom="paragraph">
                  <wp:posOffset>1219200</wp:posOffset>
                </wp:positionV>
                <wp:extent cx="862330" cy="321945"/>
                <wp:effectExtent l="415290" t="5080" r="17780" b="777875"/>
                <wp:wrapNone/>
                <wp:docPr id="1" name="自选图形 3"/>
                <wp:cNvGraphicFramePr/>
                <a:graphic xmlns:a="http://schemas.openxmlformats.org/drawingml/2006/main">
                  <a:graphicData uri="http://schemas.microsoft.com/office/word/2010/wordprocessingShape">
                    <wps:wsp>
                      <wps:cNvSpPr/>
                      <wps:spPr>
                        <a:xfrm>
                          <a:off x="0" y="0"/>
                          <a:ext cx="862330" cy="321945"/>
                        </a:xfrm>
                        <a:prstGeom prst="wedgeRectCallout">
                          <a:avLst>
                            <a:gd name="adj1" fmla="val -95158"/>
                            <a:gd name="adj2" fmla="val 281360"/>
                          </a:avLst>
                        </a:prstGeom>
                        <a:solidFill>
                          <a:srgbClr val="FFFFFF"/>
                        </a:solidFill>
                        <a:ln w="9525" cap="flat" cmpd="sng">
                          <a:solidFill>
                            <a:srgbClr val="000000"/>
                          </a:solidFill>
                          <a:prstDash val="solid"/>
                          <a:miter/>
                          <a:headEnd type="none" w="med" len="med"/>
                          <a:tailEnd type="none" w="med" len="med"/>
                        </a:ln>
                      </wps:spPr>
                      <wps:txbx>
                        <w:txbxContent>
                          <w:p w14:paraId="19675472">
                            <w:pPr>
                              <w:rPr>
                                <w:rFonts w:hint="default"/>
                                <w:lang w:val="en-US" w:eastAsia="zh-CN"/>
                              </w:rPr>
                            </w:pPr>
                            <w:r>
                              <w:rPr>
                                <w:rFonts w:hint="eastAsia"/>
                                <w:lang w:val="en-US" w:eastAsia="zh-CN"/>
                              </w:rPr>
                              <w:t>企业厂房</w:t>
                            </w:r>
                          </w:p>
                        </w:txbxContent>
                      </wps:txbx>
                      <wps:bodyPr upright="1"/>
                    </wps:wsp>
                  </a:graphicData>
                </a:graphic>
              </wp:anchor>
            </w:drawing>
          </mc:Choice>
          <mc:Fallback>
            <w:pict>
              <v:shape id="自选图形 3" o:spid="_x0000_s1026" o:spt="61" type="#_x0000_t61" style="position:absolute;left:0pt;margin-left:218.6pt;margin-top:96pt;height:25.35pt;width:67.9pt;z-index:251667456;mso-width-relative:page;mso-height-relative:page;" fillcolor="#FFFFFF" filled="t" stroked="t" coordsize="21600,21600" o:gfxdata="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vO6dtkAAAALAQAADwAAAAAAAAABACAAAAAiAAAAZHJzL2Rv&#10;d25yZXYueG1sUEsBAhQAFAAAAAgAh07iQPBJCc45AgAAjQQAAA4AAAAAAAAAAQAgAAAAKAEAAGRy&#10;cy9lMm9Eb2MueG1sUEsFBgAAAAAGAAYAWQEAANMFAAAAAA==&#10;" adj="-9754,71574">
                <v:fill on="t" focussize="0,0"/>
                <v:stroke color="#000000" joinstyle="miter"/>
                <v:imagedata o:title=""/>
                <o:lock v:ext="edit" aspectratio="f"/>
                <v:textbox>
                  <w:txbxContent>
                    <w:p w14:paraId="19675472">
                      <w:pPr>
                        <w:rPr>
                          <w:rFonts w:hint="default"/>
                          <w:lang w:val="en-US" w:eastAsia="zh-CN"/>
                        </w:rPr>
                      </w:pPr>
                      <w:r>
                        <w:rPr>
                          <w:rFonts w:hint="eastAsia"/>
                          <w:lang w:val="en-US" w:eastAsia="zh-CN"/>
                        </w:rPr>
                        <w:t>企业厂房</w:t>
                      </w:r>
                    </w:p>
                  </w:txbxContent>
                </v:textbox>
              </v:shape>
            </w:pict>
          </mc:Fallback>
        </mc:AlternateContent>
      </w:r>
      <w:r>
        <w:rPr>
          <w:highlight w:val="none"/>
        </w:rPr>
        <mc:AlternateContent>
          <mc:Choice Requires="wps">
            <w:drawing>
              <wp:anchor distT="0" distB="0" distL="114300" distR="114300" simplePos="0" relativeHeight="251666432" behindDoc="0" locked="0" layoutInCell="1" allowOverlap="1">
                <wp:simplePos x="0" y="0"/>
                <wp:positionH relativeFrom="column">
                  <wp:posOffset>1233170</wp:posOffset>
                </wp:positionH>
                <wp:positionV relativeFrom="paragraph">
                  <wp:posOffset>3467100</wp:posOffset>
                </wp:positionV>
                <wp:extent cx="662305" cy="321945"/>
                <wp:effectExtent l="4445" t="285750" r="419100" b="20955"/>
                <wp:wrapNone/>
                <wp:docPr id="2" name="自选图形 3"/>
                <wp:cNvGraphicFramePr/>
                <a:graphic xmlns:a="http://schemas.openxmlformats.org/drawingml/2006/main">
                  <a:graphicData uri="http://schemas.microsoft.com/office/word/2010/wordprocessingShape">
                    <wps:wsp>
                      <wps:cNvSpPr/>
                      <wps:spPr>
                        <a:xfrm>
                          <a:off x="0" y="0"/>
                          <a:ext cx="662305" cy="321945"/>
                        </a:xfrm>
                        <a:prstGeom prst="wedgeRectCallout">
                          <a:avLst>
                            <a:gd name="adj1" fmla="val 106184"/>
                            <a:gd name="adj2" fmla="val -132840"/>
                          </a:avLst>
                        </a:prstGeom>
                        <a:solidFill>
                          <a:srgbClr val="FFFFFF"/>
                        </a:solidFill>
                        <a:ln w="9525" cap="flat" cmpd="sng">
                          <a:solidFill>
                            <a:srgbClr val="000000"/>
                          </a:solidFill>
                          <a:prstDash val="solid"/>
                          <a:miter/>
                          <a:headEnd type="none" w="med" len="med"/>
                          <a:tailEnd type="none" w="med" len="med"/>
                        </a:ln>
                      </wps:spPr>
                      <wps:txbx>
                        <w:txbxContent>
                          <w:p w14:paraId="7459CADC">
                            <w:pPr>
                              <w:rPr>
                                <w:rFonts w:hint="default"/>
                                <w:lang w:val="en-US" w:eastAsia="zh-CN"/>
                              </w:rPr>
                            </w:pPr>
                            <w:r>
                              <w:rPr>
                                <w:rFonts w:hint="eastAsia"/>
                                <w:lang w:val="en-US" w:eastAsia="zh-CN"/>
                              </w:rPr>
                              <w:t>徐沙线</w:t>
                            </w:r>
                          </w:p>
                        </w:txbxContent>
                      </wps:txbx>
                      <wps:bodyPr upright="1"/>
                    </wps:wsp>
                  </a:graphicData>
                </a:graphic>
              </wp:anchor>
            </w:drawing>
          </mc:Choice>
          <mc:Fallback>
            <w:pict>
              <v:shape id="自选图形 3" o:spid="_x0000_s1026" o:spt="61" type="#_x0000_t61" style="position:absolute;left:0pt;margin-left:97.1pt;margin-top:273pt;height:25.35pt;width:52.15pt;z-index:251666432;mso-width-relative:page;mso-height-relative:page;" fillcolor="#FFFFFF" filled="t" stroked="t" coordsize="21600,21600" o:gfxdata="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pG6cQ1wAAAAsBAAAPAAAAAAAAAAEAIAAAACIAAABkcnMvZG93&#10;bnJldi54bWxQSwECFAAUAAAACACHTuJAaMTEvjoCAACOBAAADgAAAAAAAAABACAAAAAmAQAAZHJz&#10;L2Uyb0RvYy54bWxQSwUGAAAAAAYABgBZAQAA0gUAAAAA&#10;" adj="33736,-17893">
                <v:fill on="t" focussize="0,0"/>
                <v:stroke color="#000000" joinstyle="miter"/>
                <v:imagedata o:title=""/>
                <o:lock v:ext="edit" aspectratio="f"/>
                <v:textbox>
                  <w:txbxContent>
                    <w:p w14:paraId="7459CADC">
                      <w:pPr>
                        <w:rPr>
                          <w:rFonts w:hint="default"/>
                          <w:lang w:val="en-US" w:eastAsia="zh-CN"/>
                        </w:rPr>
                      </w:pPr>
                      <w:r>
                        <w:rPr>
                          <w:rFonts w:hint="eastAsia"/>
                          <w:lang w:val="en-US" w:eastAsia="zh-CN"/>
                        </w:rPr>
                        <w:t>徐沙线</w:t>
                      </w:r>
                    </w:p>
                  </w:txbxContent>
                </v:textbox>
              </v:shape>
            </w:pict>
          </mc:Fallback>
        </mc:AlternateContent>
      </w:r>
      <w:r>
        <w:rPr>
          <w:highlight w:val="none"/>
        </w:rPr>
        <mc:AlternateContent>
          <mc:Choice Requires="wps">
            <w:drawing>
              <wp:anchor distT="0" distB="0" distL="114300" distR="114300" simplePos="0" relativeHeight="251664384" behindDoc="0" locked="0" layoutInCell="1" allowOverlap="1">
                <wp:simplePos x="0" y="0"/>
                <wp:positionH relativeFrom="column">
                  <wp:posOffset>1002665</wp:posOffset>
                </wp:positionH>
                <wp:positionV relativeFrom="paragraph">
                  <wp:posOffset>2601595</wp:posOffset>
                </wp:positionV>
                <wp:extent cx="814070" cy="321945"/>
                <wp:effectExtent l="4445" t="623570" r="57785" b="6985"/>
                <wp:wrapNone/>
                <wp:docPr id="28" name="自选图形 3"/>
                <wp:cNvGraphicFramePr/>
                <a:graphic xmlns:a="http://schemas.openxmlformats.org/drawingml/2006/main">
                  <a:graphicData uri="http://schemas.microsoft.com/office/word/2010/wordprocessingShape">
                    <wps:wsp>
                      <wps:cNvSpPr/>
                      <wps:spPr>
                        <a:xfrm>
                          <a:off x="0" y="0"/>
                          <a:ext cx="814070" cy="321945"/>
                        </a:xfrm>
                        <a:prstGeom prst="wedgeRectCallout">
                          <a:avLst>
                            <a:gd name="adj1" fmla="val 54680"/>
                            <a:gd name="adj2" fmla="val -234023"/>
                          </a:avLst>
                        </a:prstGeom>
                        <a:solidFill>
                          <a:srgbClr val="FFFFFF"/>
                        </a:solidFill>
                        <a:ln w="9525" cap="flat" cmpd="sng">
                          <a:solidFill>
                            <a:srgbClr val="000000"/>
                          </a:solidFill>
                          <a:prstDash val="solid"/>
                          <a:miter/>
                          <a:headEnd type="none" w="med" len="med"/>
                          <a:tailEnd type="none" w="med" len="med"/>
                        </a:ln>
                      </wps:spPr>
                      <wps:txbx>
                        <w:txbxContent>
                          <w:p w14:paraId="6E7F30F2">
                            <w:pPr>
                              <w:rPr>
                                <w:rFonts w:hint="default"/>
                                <w:lang w:val="en-US" w:eastAsia="zh-CN"/>
                              </w:rPr>
                            </w:pPr>
                            <w:r>
                              <w:rPr>
                                <w:rFonts w:hint="eastAsia"/>
                                <w:lang w:val="en-US" w:eastAsia="zh-CN"/>
                              </w:rPr>
                              <w:t>回风竖井</w:t>
                            </w:r>
                          </w:p>
                        </w:txbxContent>
                      </wps:txbx>
                      <wps:bodyPr upright="1"/>
                    </wps:wsp>
                  </a:graphicData>
                </a:graphic>
              </wp:anchor>
            </w:drawing>
          </mc:Choice>
          <mc:Fallback>
            <w:pict>
              <v:shape id="自选图形 3" o:spid="_x0000_s1026" o:spt="61" type="#_x0000_t61" style="position:absolute;left:0pt;margin-left:78.95pt;margin-top:204.85pt;height:25.35pt;width:64.1pt;z-index:251664384;mso-width-relative:page;mso-height-relative:page;" fillcolor="#FFFFFF" filled="t" stroked="t" coordsize="21600,21600" o:gfxdata="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&#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Lq5wPLaAAAACwEAAA8AAAAAAAAAAQAgAAAAIgAAAGRy&#10;cy9kb3ducmV2LnhtbFBLAQIUABQAAAAIAIdO4kDOYjucPAIAAI4EAAAOAAAAAAAAAAEAIAAAACkB&#10;AABkcnMvZTJvRG9jLnhtbFBLBQYAAAAABgAGAFkBAADXBQAAAAA=&#10;" adj="22611,-39749">
                <v:fill on="t" focussize="0,0"/>
                <v:stroke color="#000000" joinstyle="miter"/>
                <v:imagedata o:title=""/>
                <o:lock v:ext="edit" aspectratio="f"/>
                <v:textbox>
                  <w:txbxContent>
                    <w:p w14:paraId="6E7F30F2">
                      <w:pPr>
                        <w:rPr>
                          <w:rFonts w:hint="default"/>
                          <w:lang w:val="en-US" w:eastAsia="zh-CN"/>
                        </w:rPr>
                      </w:pPr>
                      <w:r>
                        <w:rPr>
                          <w:rFonts w:hint="eastAsia"/>
                          <w:lang w:val="en-US" w:eastAsia="zh-CN"/>
                        </w:rPr>
                        <w:t>回风竖井</w:t>
                      </w:r>
                    </w:p>
                  </w:txbxContent>
                </v:textbox>
              </v:shape>
            </w:pict>
          </mc:Fallback>
        </mc:AlternateContent>
      </w:r>
      <w:r>
        <w:rPr>
          <w:highlight w:val="none"/>
        </w:rPr>
        <mc:AlternateContent>
          <mc:Choice Requires="wps">
            <w:drawing>
              <wp:anchor distT="0" distB="0" distL="114300" distR="114300" simplePos="0" relativeHeight="251662336" behindDoc="0" locked="0" layoutInCell="1" allowOverlap="1">
                <wp:simplePos x="0" y="0"/>
                <wp:positionH relativeFrom="column">
                  <wp:posOffset>3687445</wp:posOffset>
                </wp:positionH>
                <wp:positionV relativeFrom="paragraph">
                  <wp:posOffset>2488565</wp:posOffset>
                </wp:positionV>
                <wp:extent cx="756920" cy="321945"/>
                <wp:effectExtent l="452120" t="5080" r="10160" b="377825"/>
                <wp:wrapNone/>
                <wp:docPr id="26" name="自选图形 3"/>
                <wp:cNvGraphicFramePr/>
                <a:graphic xmlns:a="http://schemas.openxmlformats.org/drawingml/2006/main">
                  <a:graphicData uri="http://schemas.microsoft.com/office/word/2010/wordprocessingShape">
                    <wps:wsp>
                      <wps:cNvSpPr/>
                      <wps:spPr>
                        <a:xfrm>
                          <a:off x="0" y="0"/>
                          <a:ext cx="756920" cy="321945"/>
                        </a:xfrm>
                        <a:prstGeom prst="wedgeRectCallout">
                          <a:avLst>
                            <a:gd name="adj1" fmla="val -105201"/>
                            <a:gd name="adj2" fmla="val 159072"/>
                          </a:avLst>
                        </a:prstGeom>
                        <a:solidFill>
                          <a:srgbClr val="FFFFFF"/>
                        </a:solidFill>
                        <a:ln w="9525" cap="flat" cmpd="sng">
                          <a:solidFill>
                            <a:srgbClr val="000000"/>
                          </a:solidFill>
                          <a:prstDash val="solid"/>
                          <a:miter/>
                          <a:headEnd type="none" w="med" len="med"/>
                          <a:tailEnd type="none" w="med" len="med"/>
                        </a:ln>
                      </wps:spPr>
                      <wps:txbx>
                        <w:txbxContent>
                          <w:p w14:paraId="166EC59C">
                            <w:pPr>
                              <w:rPr>
                                <w:rFonts w:hint="eastAsia"/>
                                <w:lang w:val="en-US" w:eastAsia="zh-CN"/>
                              </w:rPr>
                            </w:pPr>
                            <w:r>
                              <w:rPr>
                                <w:rFonts w:hint="eastAsia"/>
                                <w:lang w:val="en-US" w:eastAsia="zh-CN"/>
                              </w:rPr>
                              <w:t>贺家堡村</w:t>
                            </w:r>
                          </w:p>
                        </w:txbxContent>
                      </wps:txbx>
                      <wps:bodyPr upright="1"/>
                    </wps:wsp>
                  </a:graphicData>
                </a:graphic>
              </wp:anchor>
            </w:drawing>
          </mc:Choice>
          <mc:Fallback>
            <w:pict>
              <v:shape id="自选图形 3" o:spid="_x0000_s1026" o:spt="61" type="#_x0000_t61" style="position:absolute;left:0pt;margin-left:290.35pt;margin-top:195.95pt;height:25.35pt;width:59.6pt;z-index:251662336;mso-width-relative:page;mso-height-relative:page;" fillcolor="#FFFFFF" filled="t" stroked="t" coordsize="21600,21600" o:gfxdata="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IuPcsNoAAAALAQAADwAAAAAAAAABACAAAAAiAAAAZHJzL2Rv&#10;d25yZXYueG1sUEsBAhQAFAAAAAgAh07iQA3YdiQ4AgAAjwQAAA4AAAAAAAAAAQAgAAAAKQEAAGRy&#10;cy9lMm9Eb2MueG1sUEsFBgAAAAAGAAYAWQEAANMFAAAAAA==&#10;" adj="-11923,45160">
                <v:fill on="t" focussize="0,0"/>
                <v:stroke color="#000000" joinstyle="miter"/>
                <v:imagedata o:title=""/>
                <o:lock v:ext="edit" aspectratio="f"/>
                <v:textbox>
                  <w:txbxContent>
                    <w:p w14:paraId="166EC59C">
                      <w:pPr>
                        <w:rPr>
                          <w:rFonts w:hint="eastAsia"/>
                          <w:lang w:val="en-US" w:eastAsia="zh-CN"/>
                        </w:rPr>
                      </w:pPr>
                      <w:r>
                        <w:rPr>
                          <w:rFonts w:hint="eastAsia"/>
                          <w:lang w:val="en-US" w:eastAsia="zh-CN"/>
                        </w:rPr>
                        <w:t>贺家堡村</w:t>
                      </w:r>
                    </w:p>
                  </w:txbxContent>
                </v:textbox>
              </v:shape>
            </w:pict>
          </mc:Fallback>
        </mc:AlternateContent>
      </w:r>
      <w:r>
        <w:rPr>
          <w:highlight w:val="none"/>
        </w:rPr>
        <mc:AlternateContent>
          <mc:Choice Requires="wps">
            <w:drawing>
              <wp:anchor distT="0" distB="0" distL="114300" distR="114300" simplePos="0" relativeHeight="251665408" behindDoc="0" locked="0" layoutInCell="1" allowOverlap="1">
                <wp:simplePos x="0" y="0"/>
                <wp:positionH relativeFrom="column">
                  <wp:posOffset>610870</wp:posOffset>
                </wp:positionH>
                <wp:positionV relativeFrom="paragraph">
                  <wp:posOffset>2074545</wp:posOffset>
                </wp:positionV>
                <wp:extent cx="671195" cy="321945"/>
                <wp:effectExtent l="4445" t="146685" r="467360" b="7620"/>
                <wp:wrapNone/>
                <wp:docPr id="29" name="自选图形 3"/>
                <wp:cNvGraphicFramePr/>
                <a:graphic xmlns:a="http://schemas.openxmlformats.org/drawingml/2006/main">
                  <a:graphicData uri="http://schemas.microsoft.com/office/word/2010/wordprocessingShape">
                    <wps:wsp>
                      <wps:cNvSpPr/>
                      <wps:spPr>
                        <a:xfrm>
                          <a:off x="0" y="0"/>
                          <a:ext cx="671195" cy="321945"/>
                        </a:xfrm>
                        <a:prstGeom prst="wedgeRectCallout">
                          <a:avLst>
                            <a:gd name="adj1" fmla="val 114333"/>
                            <a:gd name="adj2" fmla="val -89644"/>
                          </a:avLst>
                        </a:prstGeom>
                        <a:solidFill>
                          <a:srgbClr val="FFFFFF"/>
                        </a:solidFill>
                        <a:ln w="9525" cap="flat" cmpd="sng">
                          <a:solidFill>
                            <a:srgbClr val="000000"/>
                          </a:solidFill>
                          <a:prstDash val="solid"/>
                          <a:miter/>
                          <a:headEnd type="none" w="med" len="med"/>
                          <a:tailEnd type="none" w="med" len="med"/>
                        </a:ln>
                      </wps:spPr>
                      <wps:txbx>
                        <w:txbxContent>
                          <w:p w14:paraId="2A630475">
                            <w:pPr>
                              <w:rPr>
                                <w:rFonts w:hint="default"/>
                                <w:lang w:val="en-US" w:eastAsia="zh-CN"/>
                              </w:rPr>
                            </w:pPr>
                            <w:r>
                              <w:rPr>
                                <w:rFonts w:hint="eastAsia"/>
                                <w:lang w:val="en-US" w:eastAsia="zh-CN"/>
                              </w:rPr>
                              <w:t>斜坡道</w:t>
                            </w:r>
                          </w:p>
                        </w:txbxContent>
                      </wps:txbx>
                      <wps:bodyPr upright="1"/>
                    </wps:wsp>
                  </a:graphicData>
                </a:graphic>
              </wp:anchor>
            </w:drawing>
          </mc:Choice>
          <mc:Fallback>
            <w:pict>
              <v:shape id="自选图形 3" o:spid="_x0000_s1026" o:spt="61" type="#_x0000_t61" style="position:absolute;left:0pt;margin-left:48.1pt;margin-top:163.35pt;height:25.35pt;width:52.85pt;z-index:251665408;mso-width-relative:page;mso-height-relative:page;" fillcolor="#FFFFFF" filled="t" stroked="t" coordsize="21600,21600" o:gfxdata="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a7zlAtsAAAAKAQAADwAAAAAAAAABACAAAAAiAAAA&#10;ZHJzL2Rvd25yZXYueG1sUEsBAhQAFAAAAAgAh07iQGQm+mk9AgAAjgQAAA4AAAAAAAAAAQAgAAAA&#10;KgEAAGRycy9lMm9Eb2MueG1sUEsFBgAAAAAGAAYAWQEAANkFAAAAAA==&#10;" adj="35496,-8563">
                <v:fill on="t" focussize="0,0"/>
                <v:stroke color="#000000" joinstyle="miter"/>
                <v:imagedata o:title=""/>
                <o:lock v:ext="edit" aspectratio="f"/>
                <v:textbox>
                  <w:txbxContent>
                    <w:p w14:paraId="2A630475">
                      <w:pPr>
                        <w:rPr>
                          <w:rFonts w:hint="default"/>
                          <w:lang w:val="en-US" w:eastAsia="zh-CN"/>
                        </w:rPr>
                      </w:pPr>
                      <w:r>
                        <w:rPr>
                          <w:rFonts w:hint="eastAsia"/>
                          <w:lang w:val="en-US" w:eastAsia="zh-CN"/>
                        </w:rPr>
                        <w:t>斜坡道</w:t>
                      </w:r>
                    </w:p>
                  </w:txbxContent>
                </v:textbox>
              </v:shape>
            </w:pict>
          </mc:Fallback>
        </mc:AlternateContent>
      </w:r>
      <w:r>
        <w:rPr>
          <w:highlight w:val="none"/>
        </w:rPr>
        <mc:AlternateContent>
          <mc:Choice Requires="wps">
            <w:drawing>
              <wp:anchor distT="0" distB="0" distL="114300" distR="114300" simplePos="0" relativeHeight="251663360" behindDoc="0" locked="0" layoutInCell="1" allowOverlap="1">
                <wp:simplePos x="0" y="0"/>
                <wp:positionH relativeFrom="column">
                  <wp:posOffset>1698625</wp:posOffset>
                </wp:positionH>
                <wp:positionV relativeFrom="paragraph">
                  <wp:posOffset>788035</wp:posOffset>
                </wp:positionV>
                <wp:extent cx="756920" cy="321945"/>
                <wp:effectExtent l="4445" t="5080" r="19685" b="511175"/>
                <wp:wrapNone/>
                <wp:docPr id="27" name="自选图形 3"/>
                <wp:cNvGraphicFramePr/>
                <a:graphic xmlns:a="http://schemas.openxmlformats.org/drawingml/2006/main">
                  <a:graphicData uri="http://schemas.microsoft.com/office/word/2010/wordprocessingShape">
                    <wps:wsp>
                      <wps:cNvSpPr/>
                      <wps:spPr>
                        <a:xfrm>
                          <a:off x="0" y="0"/>
                          <a:ext cx="756920" cy="321945"/>
                        </a:xfrm>
                        <a:prstGeom prst="wedgeRectCallout">
                          <a:avLst>
                            <a:gd name="adj1" fmla="val 20805"/>
                            <a:gd name="adj2" fmla="val 196351"/>
                          </a:avLst>
                        </a:prstGeom>
                        <a:solidFill>
                          <a:srgbClr val="FFFFFF"/>
                        </a:solidFill>
                        <a:ln w="9525" cap="flat" cmpd="sng">
                          <a:solidFill>
                            <a:srgbClr val="000000"/>
                          </a:solidFill>
                          <a:prstDash val="solid"/>
                          <a:miter/>
                          <a:headEnd type="none" w="med" len="med"/>
                          <a:tailEnd type="none" w="med" len="med"/>
                        </a:ln>
                      </wps:spPr>
                      <wps:txbx>
                        <w:txbxContent>
                          <w:p w14:paraId="46A4F8AC">
                            <w:pPr>
                              <w:rPr>
                                <w:rFonts w:hint="default"/>
                                <w:lang w:val="en-US" w:eastAsia="zh-CN"/>
                              </w:rPr>
                            </w:pPr>
                            <w:r>
                              <w:rPr>
                                <w:rFonts w:hint="eastAsia"/>
                                <w:lang w:val="en-US" w:eastAsia="zh-CN"/>
                              </w:rPr>
                              <w:t>矿区范围</w:t>
                            </w:r>
                          </w:p>
                        </w:txbxContent>
                      </wps:txbx>
                      <wps:bodyPr upright="1"/>
                    </wps:wsp>
                  </a:graphicData>
                </a:graphic>
              </wp:anchor>
            </w:drawing>
          </mc:Choice>
          <mc:Fallback>
            <w:pict>
              <v:shape id="自选图形 3" o:spid="_x0000_s1026" o:spt="61" type="#_x0000_t61" style="position:absolute;left:0pt;margin-left:133.75pt;margin-top:62.05pt;height:25.35pt;width:59.6pt;z-index:251663360;mso-width-relative:page;mso-height-relative:page;" fillcolor="#FFFFFF" filled="t" stroked="t" coordsize="21600,21600" o:gfxdata="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X6awBNsAAAALAQAADwAAAAAAAAABACAAAAAiAAAAZHJz&#10;L2Rvd25yZXYueG1sUEsBAhQAFAAAAAgAh07iQG8bWHQ6AgAAjQQAAA4AAAAAAAAAAQAgAAAAKgEA&#10;AGRycy9lMm9Eb2MueG1sUEsFBgAAAAAGAAYAWQEAANYFAAAAAA==&#10;" adj="15294,53212">
                <v:fill on="t" focussize="0,0"/>
                <v:stroke color="#000000" joinstyle="miter"/>
                <v:imagedata o:title=""/>
                <o:lock v:ext="edit" aspectratio="f"/>
                <v:textbox>
                  <w:txbxContent>
                    <w:p w14:paraId="46A4F8AC">
                      <w:pPr>
                        <w:rPr>
                          <w:rFonts w:hint="default"/>
                          <w:lang w:val="en-US" w:eastAsia="zh-CN"/>
                        </w:rPr>
                      </w:pPr>
                      <w:r>
                        <w:rPr>
                          <w:rFonts w:hint="eastAsia"/>
                          <w:lang w:val="en-US" w:eastAsia="zh-CN"/>
                        </w:rPr>
                        <w:t>矿区范围</w:t>
                      </w:r>
                    </w:p>
                  </w:txbxContent>
                </v:textbox>
              </v:shape>
            </w:pict>
          </mc:Fallback>
        </mc:AlternateContent>
      </w:r>
      <w:r>
        <w:rPr>
          <w:highlight w:val="none"/>
        </w:rPr>
        <mc:AlternateContent>
          <mc:Choice Requires="wps">
            <w:drawing>
              <wp:anchor distT="0" distB="0" distL="114300" distR="114300" simplePos="0" relativeHeight="251660288" behindDoc="0" locked="0" layoutInCell="1" allowOverlap="1">
                <wp:simplePos x="0" y="0"/>
                <wp:positionH relativeFrom="column">
                  <wp:posOffset>4525645</wp:posOffset>
                </wp:positionH>
                <wp:positionV relativeFrom="paragraph">
                  <wp:posOffset>903605</wp:posOffset>
                </wp:positionV>
                <wp:extent cx="972185" cy="321945"/>
                <wp:effectExtent l="4445" t="5080" r="13970" b="358775"/>
                <wp:wrapNone/>
                <wp:docPr id="17" name="自选图形 3"/>
                <wp:cNvGraphicFramePr/>
                <a:graphic xmlns:a="http://schemas.openxmlformats.org/drawingml/2006/main">
                  <a:graphicData uri="http://schemas.microsoft.com/office/word/2010/wordprocessingShape">
                    <wps:wsp>
                      <wps:cNvSpPr/>
                      <wps:spPr>
                        <a:xfrm>
                          <a:off x="0" y="0"/>
                          <a:ext cx="972185" cy="321945"/>
                        </a:xfrm>
                        <a:prstGeom prst="wedgeRectCallout">
                          <a:avLst>
                            <a:gd name="adj1" fmla="val 3429"/>
                            <a:gd name="adj2" fmla="val 154930"/>
                          </a:avLst>
                        </a:prstGeom>
                        <a:solidFill>
                          <a:srgbClr val="FFFFFF"/>
                        </a:solidFill>
                        <a:ln w="9525" cap="flat" cmpd="sng">
                          <a:solidFill>
                            <a:srgbClr val="000000"/>
                          </a:solidFill>
                          <a:prstDash val="solid"/>
                          <a:miter/>
                          <a:headEnd type="none" w="med" len="med"/>
                          <a:tailEnd type="none" w="med" len="med"/>
                        </a:ln>
                      </wps:spPr>
                      <wps:txbx>
                        <w:txbxContent>
                          <w:p w14:paraId="58FA799E">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尾矿库</w:t>
                            </w:r>
                          </w:p>
                        </w:txbxContent>
                      </wps:txbx>
                      <wps:bodyPr upright="1"/>
                    </wps:wsp>
                  </a:graphicData>
                </a:graphic>
              </wp:anchor>
            </w:drawing>
          </mc:Choice>
          <mc:Fallback>
            <w:pict>
              <v:shape id="自选图形 3" o:spid="_x0000_s1026" o:spt="61" type="#_x0000_t61" style="position:absolute;left:0pt;margin-left:356.35pt;margin-top:71.15pt;height:25.35pt;width:76.55pt;z-index:251660288;mso-width-relative:page;mso-height-relative:page;" fillcolor="#FFFFFF" filled="t" stroked="t" coordsize="21600,21600" o:gfxdata="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BshogbYAAAACwEAAA8AAAAAAAAAAQAgAAAAIgAAAGRycy9kb3du&#10;cmV2LnhtbFBLAQIUABQAAAAIAIdO4kA1I/dcOAIAAIwEAAAOAAAAAAAAAAEAIAAAACcBAABkcnMv&#10;ZTJvRG9jLnhtbFBLBQYAAAAABgAGAFkBAADRBQAAAAA=&#10;" adj="11541,44265">
                <v:fill on="t" focussize="0,0"/>
                <v:stroke color="#000000" joinstyle="miter"/>
                <v:imagedata o:title=""/>
                <o:lock v:ext="edit" aspectratio="f"/>
                <v:textbox>
                  <w:txbxContent>
                    <w:p w14:paraId="58FA799E">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尾矿库</w:t>
                      </w:r>
                    </w:p>
                  </w:txbxContent>
                </v:textbox>
              </v:shape>
            </w:pict>
          </mc:Fallback>
        </mc:AlternateContent>
      </w:r>
      <w:r>
        <w:rPr>
          <w:highlight w:val="none"/>
        </w:rPr>
        <w:drawing>
          <wp:anchor distT="0" distB="0" distL="114300" distR="114300" simplePos="0" relativeHeight="251661312" behindDoc="0" locked="0" layoutInCell="1" allowOverlap="1">
            <wp:simplePos x="0" y="0"/>
            <wp:positionH relativeFrom="column">
              <wp:posOffset>5434330</wp:posOffset>
            </wp:positionH>
            <wp:positionV relativeFrom="paragraph">
              <wp:posOffset>135255</wp:posOffset>
            </wp:positionV>
            <wp:extent cx="243205" cy="315595"/>
            <wp:effectExtent l="0" t="0" r="4445" b="8255"/>
            <wp:wrapNone/>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7"/>
                    <a:stretch>
                      <a:fillRect/>
                    </a:stretch>
                  </pic:blipFill>
                  <pic:spPr>
                    <a:xfrm>
                      <a:off x="0" y="0"/>
                      <a:ext cx="243205" cy="315595"/>
                    </a:xfrm>
                    <a:prstGeom prst="rect">
                      <a:avLst/>
                    </a:prstGeom>
                    <a:noFill/>
                    <a:ln>
                      <a:noFill/>
                    </a:ln>
                  </pic:spPr>
                </pic:pic>
              </a:graphicData>
            </a:graphic>
          </wp:anchor>
        </w:drawing>
      </w:r>
      <w:r>
        <w:rPr>
          <w:highlight w:val="none"/>
        </w:rPr>
        <w:drawing>
          <wp:inline distT="0" distB="0" distL="114300" distR="114300">
            <wp:extent cx="5826125" cy="3930015"/>
            <wp:effectExtent l="0" t="0" r="3175" b="1333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8"/>
                    <a:stretch>
                      <a:fillRect/>
                    </a:stretch>
                  </pic:blipFill>
                  <pic:spPr>
                    <a:xfrm>
                      <a:off x="0" y="0"/>
                      <a:ext cx="5826125" cy="3930015"/>
                    </a:xfrm>
                    <a:prstGeom prst="rect">
                      <a:avLst/>
                    </a:prstGeom>
                    <a:noFill/>
                    <a:ln>
                      <a:noFill/>
                    </a:ln>
                  </pic:spPr>
                </pic:pic>
              </a:graphicData>
            </a:graphic>
          </wp:inline>
        </w:drawing>
      </w:r>
    </w:p>
    <w:p w14:paraId="1393E62E">
      <w:pPr>
        <w:pStyle w:val="31"/>
        <w:bidi w:val="0"/>
        <w:rPr>
          <w:rFonts w:hint="eastAsia"/>
          <w:highlight w:val="none"/>
        </w:rPr>
      </w:pPr>
      <w:r>
        <w:rPr>
          <w:rFonts w:hint="eastAsia"/>
          <w:highlight w:val="none"/>
        </w:rPr>
        <w:t>图2.1-</w:t>
      </w:r>
      <w:r>
        <w:rPr>
          <w:rFonts w:hint="eastAsia"/>
          <w:highlight w:val="none"/>
          <w:lang w:val="en-US" w:eastAsia="zh-CN"/>
        </w:rPr>
        <w:t>4</w:t>
      </w:r>
      <w:r>
        <w:rPr>
          <w:rFonts w:hint="eastAsia"/>
          <w:highlight w:val="none"/>
        </w:rPr>
        <w:t xml:space="preserve"> </w:t>
      </w:r>
      <w:r>
        <w:rPr>
          <w:rFonts w:hint="eastAsia"/>
          <w:highlight w:val="none"/>
          <w:lang w:val="en-US" w:eastAsia="zh-CN"/>
        </w:rPr>
        <w:t xml:space="preserve"> </w:t>
      </w:r>
      <w:r>
        <w:rPr>
          <w:rFonts w:hint="eastAsia"/>
          <w:highlight w:val="none"/>
        </w:rPr>
        <w:t>周边环境卫星图</w:t>
      </w:r>
    </w:p>
    <w:p w14:paraId="713AE20B">
      <w:pPr>
        <w:pStyle w:val="29"/>
        <w:bidi w:val="0"/>
        <w:rPr>
          <w:rFonts w:hint="default"/>
          <w:highlight w:val="none"/>
          <w:lang w:val="en-US" w:eastAsia="zh-CN"/>
        </w:rPr>
      </w:pPr>
      <w:bookmarkStart w:id="7" w:name="_Toc32501"/>
      <w:r>
        <w:rPr>
          <w:rFonts w:hint="eastAsia"/>
          <w:highlight w:val="none"/>
          <w:lang w:val="en-US" w:eastAsia="zh-CN"/>
        </w:rPr>
        <w:t>自然环境概况</w:t>
      </w:r>
      <w:bookmarkEnd w:id="7"/>
    </w:p>
    <w:p w14:paraId="708482B6">
      <w:pPr>
        <w:pStyle w:val="22"/>
        <w:bidi w:val="0"/>
        <w:rPr>
          <w:rFonts w:hint="eastAsia"/>
          <w:highlight w:val="none"/>
          <w:lang w:val="en-US" w:eastAsia="zh-CN"/>
        </w:rPr>
      </w:pPr>
      <w:r>
        <w:rPr>
          <w:rFonts w:hint="eastAsia"/>
          <w:highlight w:val="none"/>
          <w:lang w:val="en-US" w:eastAsia="zh-CN"/>
        </w:rPr>
        <w:t>（1）地形地貌</w:t>
      </w:r>
    </w:p>
    <w:p w14:paraId="22A3FC51">
      <w:pPr>
        <w:pStyle w:val="22"/>
        <w:bidi w:val="0"/>
        <w:rPr>
          <w:rFonts w:hint="eastAsia"/>
          <w:highlight w:val="none"/>
          <w:lang w:val="en-US" w:eastAsia="zh-CN"/>
        </w:rPr>
      </w:pPr>
      <w:r>
        <w:rPr>
          <w:rFonts w:hint="eastAsia"/>
          <w:highlight w:val="none"/>
          <w:lang w:val="en-US" w:eastAsia="zh-CN"/>
        </w:rPr>
        <w:t>矿区</w:t>
      </w:r>
      <w:r>
        <w:rPr>
          <w:rFonts w:hint="eastAsia"/>
          <w:highlight w:val="none"/>
        </w:rPr>
        <w:t>地处长白山脉西延部分，地貌属辽东低山丘陵区，区域地貌类型为侵蚀构造地貌，区域海拔高度264～568m之间，最低标高位于</w:t>
      </w:r>
      <w:r>
        <w:rPr>
          <w:rFonts w:hint="eastAsia"/>
          <w:highlight w:val="none"/>
          <w:lang w:val="en-US" w:eastAsia="zh-CN"/>
        </w:rPr>
        <w:t>矿区</w:t>
      </w:r>
      <w:r>
        <w:rPr>
          <w:rFonts w:hint="eastAsia"/>
          <w:highlight w:val="none"/>
        </w:rPr>
        <w:t>东部的草河支流附近，海拔264m，形态类型为侵蚀断褶低山，单元形态类型为尖顶状低山。最高标高位于核实区中西部，海拔568m。最大相对高差304m，坡度在25～45°间。</w:t>
      </w:r>
    </w:p>
    <w:p w14:paraId="7DE5D886">
      <w:pPr>
        <w:pStyle w:val="22"/>
        <w:bidi w:val="0"/>
        <w:rPr>
          <w:rFonts w:hint="eastAsia"/>
          <w:highlight w:val="none"/>
          <w:lang w:val="en-US" w:eastAsia="zh-CN"/>
        </w:rPr>
      </w:pPr>
      <w:r>
        <w:rPr>
          <w:rFonts w:hint="eastAsia"/>
          <w:highlight w:val="none"/>
          <w:lang w:val="en-US" w:eastAsia="zh-CN"/>
        </w:rPr>
        <w:t>（2）气象水文</w:t>
      </w:r>
    </w:p>
    <w:p w14:paraId="226C5742">
      <w:pPr>
        <w:pStyle w:val="22"/>
        <w:bidi w:val="0"/>
        <w:rPr>
          <w:rFonts w:hint="eastAsia"/>
          <w:highlight w:val="none"/>
        </w:rPr>
      </w:pPr>
      <w:r>
        <w:rPr>
          <w:rFonts w:hint="eastAsia"/>
          <w:highlight w:val="none"/>
          <w:lang w:val="en-US" w:eastAsia="zh-CN"/>
        </w:rPr>
        <w:t>矿区</w:t>
      </w:r>
      <w:r>
        <w:rPr>
          <w:rFonts w:hint="eastAsia"/>
          <w:highlight w:val="none"/>
        </w:rPr>
        <w:t>属于北温带湿润气候区，年平均温度为7.2℃～8.4℃，最高温度为37.5℃（7月份），最低温度为-34.5℃（1月份），最低侵蚀基准面标高为264m。雨季常在7～8月份，占全年降水量的43.3%，平均降水量669mm，最大年降水量为909mm，最小年降水量为634mm，最大年蒸发量为875mm，最小年蒸发量为513mm。无霜期130～200天，封冻期为每年的11月～翌年4月中旬。季风特点比较明显，冬季盛行干冷的偏北风，夏季盛行湿热的偏南风，年平均风速仅为2.5m/s，3～5月份风速最大，可达3.6m/s。</w:t>
      </w:r>
    </w:p>
    <w:p w14:paraId="34268B49">
      <w:pPr>
        <w:pStyle w:val="22"/>
        <w:bidi w:val="0"/>
        <w:rPr>
          <w:rFonts w:hint="eastAsia"/>
          <w:highlight w:val="none"/>
        </w:rPr>
      </w:pPr>
      <w:r>
        <w:rPr>
          <w:rFonts w:hint="eastAsia"/>
          <w:highlight w:val="none"/>
          <w:lang w:val="en-US" w:eastAsia="zh-CN"/>
        </w:rPr>
        <w:t>矿区</w:t>
      </w:r>
      <w:r>
        <w:rPr>
          <w:rFonts w:hint="eastAsia"/>
          <w:highlight w:val="none"/>
        </w:rPr>
        <w:t>南西侧的草河支流，源头为沙河沟村黑瞎沟一带，汇水面积约14km</w:t>
      </w:r>
      <w:r>
        <w:rPr>
          <w:rFonts w:hint="eastAsia"/>
          <w:highlight w:val="none"/>
          <w:lang w:val="en-US" w:eastAsia="zh-CN"/>
        </w:rPr>
        <w:t>²</w:t>
      </w:r>
      <w:r>
        <w:rPr>
          <w:rFonts w:hint="eastAsia"/>
          <w:highlight w:val="none"/>
        </w:rPr>
        <w:t>，由北西向南东流，河道落差较小，一般水面宽2～3m，距矿区方位204°，距离约50m，常年流水，水深0.4m。属</w:t>
      </w:r>
      <w:r>
        <w:rPr>
          <w:rFonts w:hint="eastAsia"/>
          <w:highlight w:val="none"/>
          <w:lang w:val="en-US" w:eastAsia="zh-CN"/>
        </w:rPr>
        <w:t>常</w:t>
      </w:r>
      <w:r>
        <w:rPr>
          <w:rFonts w:hint="eastAsia"/>
          <w:highlight w:val="none"/>
        </w:rPr>
        <w:t>年性河流，夏秋季为丰水期，流量1.2～2m</w:t>
      </w:r>
      <w:r>
        <w:rPr>
          <w:rFonts w:hint="eastAsia"/>
          <w:highlight w:val="none"/>
          <w:lang w:val="en-US" w:eastAsia="zh-CN"/>
        </w:rPr>
        <w:t>³</w:t>
      </w:r>
      <w:r>
        <w:rPr>
          <w:rFonts w:hint="eastAsia"/>
          <w:highlight w:val="none"/>
        </w:rPr>
        <w:t>/s,冬春季为枯水期，流量0.2～0.6m</w:t>
      </w:r>
      <w:r>
        <w:rPr>
          <w:rFonts w:hint="eastAsia"/>
          <w:highlight w:val="none"/>
          <w:lang w:val="en-US" w:eastAsia="zh-CN"/>
        </w:rPr>
        <w:t>³</w:t>
      </w:r>
      <w:r>
        <w:rPr>
          <w:rFonts w:hint="eastAsia"/>
          <w:highlight w:val="none"/>
        </w:rPr>
        <w:t>/s，历史最高洪水位1.2m（1956年8月），矿区最低排泄标高108m。</w:t>
      </w:r>
    </w:p>
    <w:p w14:paraId="0ADA26CA">
      <w:pPr>
        <w:pStyle w:val="22"/>
        <w:bidi w:val="0"/>
        <w:rPr>
          <w:rFonts w:hint="default"/>
          <w:highlight w:val="none"/>
          <w:lang w:val="en-US" w:eastAsia="zh-CN"/>
        </w:rPr>
      </w:pPr>
      <w:r>
        <w:rPr>
          <w:rFonts w:hint="eastAsia"/>
          <w:highlight w:val="none"/>
        </w:rPr>
        <w:t>根据《中国地震动参数区划图》(GB18306-2015)工作划分，本区地震烈度为Ⅵ度，峰值加速度分区为0.05g区，反应谱特征周期（Tg）为0.40s。</w:t>
      </w:r>
      <w:r>
        <w:rPr>
          <w:rFonts w:hint="eastAsia"/>
          <w:highlight w:val="none"/>
          <w:lang w:val="en-US" w:eastAsia="zh-CN"/>
        </w:rPr>
        <w:t>矿区</w:t>
      </w:r>
      <w:r>
        <w:rPr>
          <w:rFonts w:hint="eastAsia"/>
          <w:highlight w:val="none"/>
        </w:rPr>
        <w:t>内未发生崩塌、滑坡、地面沉降等不良地质作用。</w:t>
      </w:r>
    </w:p>
    <w:p w14:paraId="6891A840">
      <w:pPr>
        <w:pStyle w:val="29"/>
        <w:bidi w:val="0"/>
        <w:rPr>
          <w:rFonts w:hint="default"/>
          <w:highlight w:val="none"/>
          <w:lang w:val="en-US" w:eastAsia="zh-CN"/>
        </w:rPr>
      </w:pPr>
      <w:bookmarkStart w:id="8" w:name="_Toc17648"/>
      <w:r>
        <w:rPr>
          <w:rFonts w:hint="eastAsia"/>
          <w:highlight w:val="none"/>
          <w:lang w:val="en-US" w:eastAsia="zh-CN"/>
        </w:rPr>
        <w:t>建设项目地质概况</w:t>
      </w:r>
      <w:bookmarkEnd w:id="8"/>
    </w:p>
    <w:p w14:paraId="11875F58">
      <w:pPr>
        <w:pStyle w:val="30"/>
        <w:rPr>
          <w:rFonts w:hint="default"/>
          <w:highlight w:val="none"/>
          <w:lang w:val="en-US" w:eastAsia="zh-CN"/>
        </w:rPr>
      </w:pPr>
      <w:r>
        <w:rPr>
          <w:rFonts w:hint="eastAsia"/>
          <w:highlight w:val="none"/>
          <w:lang w:val="en-US" w:eastAsia="zh-CN"/>
        </w:rPr>
        <w:t>矿区地质概况</w:t>
      </w:r>
    </w:p>
    <w:p w14:paraId="0D344E4F">
      <w:pPr>
        <w:pStyle w:val="22"/>
        <w:numPr>
          <w:ilvl w:val="0"/>
          <w:numId w:val="10"/>
        </w:numPr>
        <w:bidi w:val="0"/>
        <w:rPr>
          <w:rFonts w:hint="default"/>
          <w:highlight w:val="none"/>
          <w:lang w:val="en-US" w:eastAsia="zh-CN"/>
        </w:rPr>
      </w:pPr>
      <w:r>
        <w:rPr>
          <w:rFonts w:hint="eastAsia"/>
          <w:highlight w:val="none"/>
          <w:lang w:val="en-US" w:eastAsia="zh-CN"/>
        </w:rPr>
        <w:t>矿区地层</w:t>
      </w:r>
    </w:p>
    <w:p w14:paraId="59BB1437">
      <w:pPr>
        <w:pStyle w:val="22"/>
        <w:bidi w:val="0"/>
        <w:rPr>
          <w:rFonts w:hint="default" w:ascii="Times New Roman" w:hAnsi="Times New Roman" w:eastAsia="宋体" w:cs="Times New Roman"/>
          <w:highlight w:val="none"/>
          <w:lang w:eastAsia="zh-CN"/>
        </w:rPr>
      </w:pP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矿区出露的主要为鞍山岩群茨沟岩组（Ar</w:t>
      </w:r>
      <w:r>
        <w:rPr>
          <w:rFonts w:hint="default" w:ascii="Times New Roman" w:hAnsi="Times New Roman" w:eastAsia="宋体" w:cs="Times New Roman"/>
          <w:color w:val="000000" w:themeColor="text1"/>
          <w:kern w:val="0"/>
          <w:sz w:val="28"/>
          <w:szCs w:val="28"/>
          <w:highlight w:val="none"/>
          <w:vertAlign w:val="subscript"/>
          <w:lang w:val="zh-CN"/>
          <w14:textFill>
            <w14:solidFill>
              <w14:schemeClr w14:val="tx1"/>
            </w14:solidFill>
          </w14:textFill>
        </w:rPr>
        <w:t>3</w:t>
      </w:r>
      <w:r>
        <w:rPr>
          <w:rFonts w:hint="default" w:ascii="Times New Roman" w:hAnsi="Times New Roman" w:eastAsia="宋体" w:cs="Times New Roman"/>
          <w:i/>
          <w:color w:val="000000" w:themeColor="text1"/>
          <w:kern w:val="0"/>
          <w:sz w:val="28"/>
          <w:szCs w:val="28"/>
          <w:highlight w:val="none"/>
          <w:lang w:val="zh-CN"/>
          <w14:textFill>
            <w14:solidFill>
              <w14:schemeClr w14:val="tx1"/>
            </w14:solidFill>
          </w14:textFill>
        </w:rPr>
        <w:t>c</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）地层及第四系（Qh</w:t>
      </w:r>
      <w:r>
        <w:rPr>
          <w:rFonts w:hint="default" w:ascii="Times New Roman" w:hAnsi="Times New Roman" w:eastAsia="宋体" w:cs="Times New Roman"/>
          <w:color w:val="000000" w:themeColor="text1"/>
          <w:kern w:val="0"/>
          <w:sz w:val="28"/>
          <w:szCs w:val="28"/>
          <w:highlight w:val="none"/>
          <w:vertAlign w:val="superscript"/>
          <w:lang w:val="zh-CN"/>
          <w14:textFill>
            <w14:solidFill>
              <w14:schemeClr w14:val="tx1"/>
            </w14:solidFill>
          </w14:textFill>
        </w:rPr>
        <w:t>1alp</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），地层由老到新叙述如下：</w:t>
      </w:r>
    </w:p>
    <w:p w14:paraId="7CCD1818">
      <w:pPr>
        <w:pStyle w:val="22"/>
        <w:bidi w:val="0"/>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sz w:val="28"/>
          <w:szCs w:val="28"/>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鞍山岩群茨沟岩组（Ar</w:t>
      </w:r>
      <w:r>
        <w:rPr>
          <w:rFonts w:hint="default" w:ascii="Times New Roman" w:hAnsi="Times New Roman" w:eastAsia="宋体" w:cs="Times New Roman"/>
          <w:color w:val="000000" w:themeColor="text1"/>
          <w:kern w:val="0"/>
          <w:sz w:val="28"/>
          <w:szCs w:val="28"/>
          <w:highlight w:val="none"/>
          <w:vertAlign w:val="subscript"/>
          <w:lang w:val="zh-CN"/>
          <w14:textFill>
            <w14:solidFill>
              <w14:schemeClr w14:val="tx1"/>
            </w14:solidFill>
          </w14:textFill>
        </w:rPr>
        <w:t>3</w:t>
      </w:r>
      <w:r>
        <w:rPr>
          <w:rFonts w:hint="default" w:ascii="Times New Roman" w:hAnsi="Times New Roman" w:eastAsia="宋体" w:cs="Times New Roman"/>
          <w:i/>
          <w:color w:val="000000" w:themeColor="text1"/>
          <w:kern w:val="0"/>
          <w:sz w:val="28"/>
          <w:szCs w:val="28"/>
          <w:highlight w:val="none"/>
          <w:lang w:val="zh-CN"/>
          <w14:textFill>
            <w14:solidFill>
              <w14:schemeClr w14:val="tx1"/>
            </w14:solidFill>
          </w14:textFill>
        </w:rPr>
        <w:t>c</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w:t>
      </w:r>
    </w:p>
    <w:p w14:paraId="3BBAFAF4">
      <w:pPr>
        <w:pStyle w:val="22"/>
        <w:bidi w:val="0"/>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矿区</w:t>
      </w:r>
      <w:r>
        <w:rPr>
          <w:rFonts w:hint="default" w:ascii="Times New Roman" w:hAnsi="Times New Roman" w:eastAsia="宋体" w:cs="Times New Roman"/>
          <w:color w:val="000000" w:themeColor="text1"/>
          <w:kern w:val="0"/>
          <w:sz w:val="28"/>
          <w:szCs w:val="28"/>
          <w:highlight w:val="none"/>
          <w:lang w:val="en-US" w:eastAsia="zh-CN"/>
          <w14:textFill>
            <w14:solidFill>
              <w14:schemeClr w14:val="tx1"/>
            </w14:solidFill>
          </w14:textFill>
        </w:rPr>
        <w:t>内</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出露的鞍山岩群茨沟岩组地层</w:t>
      </w:r>
      <w:r>
        <w:rPr>
          <w:rFonts w:hint="default" w:ascii="Times New Roman" w:hAnsi="Times New Roman" w:eastAsia="宋体" w:cs="Times New Roman"/>
          <w:color w:val="000000" w:themeColor="text1"/>
          <w:kern w:val="0"/>
          <w:sz w:val="28"/>
          <w:szCs w:val="28"/>
          <w:highlight w:val="none"/>
          <w:lang w:val="en-US" w:eastAsia="zh-CN"/>
          <w14:textFill>
            <w14:solidFill>
              <w14:schemeClr w14:val="tx1"/>
            </w14:solidFill>
          </w14:textFill>
        </w:rPr>
        <w:t>现已基本采净</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w:t>
      </w:r>
      <w:r>
        <w:rPr>
          <w:rFonts w:hint="default" w:ascii="Times New Roman" w:hAnsi="Times New Roman" w:eastAsia="宋体" w:cs="Times New Roman"/>
          <w:color w:val="000000" w:themeColor="text1"/>
          <w:kern w:val="0"/>
          <w:sz w:val="28"/>
          <w:szCs w:val="28"/>
          <w:highlight w:val="none"/>
          <w:lang w:val="en-US" w:eastAsia="zh-CN"/>
          <w14:textFill>
            <w14:solidFill>
              <w14:schemeClr w14:val="tx1"/>
            </w14:solidFill>
          </w14:textFill>
        </w:rPr>
        <w:t>产状30°∠14～70°，厚度2～15m，</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主要岩性为</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滑石化透闪岩</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透闪</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磁铁石英岩。该组地层多呈捕掳体形式赋存在新太古代中细粒黑云母二长花岗岩中，呈侵入接触关系。该组地层是“鞍山式”铁矿的含矿层位，也是本次工作重点评价对象。</w:t>
      </w:r>
    </w:p>
    <w:p w14:paraId="5F57FD2F">
      <w:pPr>
        <w:pStyle w:val="17"/>
        <w:keepNext w:val="0"/>
        <w:keepLines w:val="0"/>
        <w:pageBreakBefore w:val="0"/>
        <w:widowControl w:val="0"/>
        <w:kinsoku/>
        <w:wordWrap/>
        <w:overflowPunct/>
        <w:topLinePunct w:val="0"/>
        <w:autoSpaceDE/>
        <w:autoSpaceDN/>
        <w:bidi w:val="0"/>
        <w:adjustRightInd w:val="0"/>
        <w:snapToGrid w:val="0"/>
        <w:spacing w:after="0" w:afterLines="0" w:line="360" w:lineRule="auto"/>
        <w:ind w:left="0" w:leftChars="0" w:firstLine="560" w:firstLineChars="200"/>
        <w:textAlignment w:val="auto"/>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滑石化透闪岩</w:t>
      </w:r>
      <w:r>
        <w:rPr>
          <w:rFonts w:hint="default" w:ascii="Times New Roman" w:hAnsi="Times New Roman" w:eastAsia="宋体" w:cs="Times New Roman"/>
          <w:color w:val="000000" w:themeColor="text1"/>
          <w:kern w:val="0"/>
          <w:sz w:val="28"/>
          <w:szCs w:val="28"/>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岩石呈</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灰黑色，柱状粒状变晶结构，主要矿物成分透闪石约占77%，滑石约占20%，不透明矿物及铁质约占3%，碳酸盐矿物少量，透闪石粒径为0.1～1.5mm之间;滑石为显微细鳞片状集合体不均匀分布，多数滑石是交代透闪石的产物; 不透明矿物为半自形或较自形，不均匀分布，不透明矿物粒径为 0.05～0.3mm之间不等，不透明矿物以磁铁矿为主。</w:t>
      </w:r>
    </w:p>
    <w:p w14:paraId="09C7FC54">
      <w:pPr>
        <w:pStyle w:val="17"/>
        <w:keepNext w:val="0"/>
        <w:keepLines w:val="0"/>
        <w:pageBreakBefore w:val="0"/>
        <w:widowControl w:val="0"/>
        <w:kinsoku/>
        <w:wordWrap/>
        <w:overflowPunct/>
        <w:topLinePunct w:val="0"/>
        <w:autoSpaceDE/>
        <w:autoSpaceDN/>
        <w:bidi w:val="0"/>
        <w:adjustRightInd w:val="0"/>
        <w:snapToGrid w:val="0"/>
        <w:spacing w:after="0" w:afterLines="0" w:line="360" w:lineRule="auto"/>
        <w:ind w:left="0" w:leftChars="0" w:firstLine="560" w:firstLineChars="200"/>
        <w:textAlignment w:val="auto"/>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透闪</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磁铁石英岩：</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岩石呈</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灰褐色，粒状变晶结构，主要矿物成分石英约占65%，透闪石约占10%，</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磁铁矿</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约占25%，石英为粒状，多数为近等轴状，颗粒之间为直线接触，石英一般粒径为0.1～0.6mm之间不等；</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磁铁矿</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为半自形或较自形，均匀分布，</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磁铁矿</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粒径为0.1～0.7mm之间不等，</w:t>
      </w:r>
      <w:r>
        <w:rPr>
          <w:rFonts w:hint="default" w:ascii="Times New Roman" w:hAnsi="Times New Roman" w:eastAsia="宋体" w:cs="Times New Roman"/>
          <w:color w:val="000000" w:themeColor="text1"/>
          <w:kern w:val="0"/>
          <w:sz w:val="28"/>
          <w:szCs w:val="28"/>
          <w:highlight w:val="none"/>
          <w14:textFill>
            <w14:solidFill>
              <w14:schemeClr w14:val="tx1"/>
            </w14:solidFill>
          </w14:textFill>
        </w:rPr>
        <w:t>磁铁矿</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以磁铁矿为主，透闪石为柱状或纤柱状，多数透闪石遭碳酸盐化作用，透闪石粒径为0.1～1.0mm之间。</w:t>
      </w:r>
    </w:p>
    <w:p w14:paraId="650BA42F">
      <w:pPr>
        <w:pStyle w:val="17"/>
        <w:keepNext w:val="0"/>
        <w:keepLines w:val="0"/>
        <w:pageBreakBefore w:val="0"/>
        <w:widowControl w:val="0"/>
        <w:kinsoku/>
        <w:wordWrap/>
        <w:overflowPunct/>
        <w:topLinePunct w:val="0"/>
        <w:autoSpaceDE/>
        <w:autoSpaceDN/>
        <w:bidi w:val="0"/>
        <w:adjustRightInd w:val="0"/>
        <w:snapToGrid w:val="0"/>
        <w:spacing w:after="0" w:afterLines="0" w:line="360" w:lineRule="auto"/>
        <w:ind w:left="0" w:leftChars="0" w:firstLine="560" w:firstLineChars="200"/>
        <w:textAlignment w:val="auto"/>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该组地层是“鞍山式”铁矿的含矿地层，也是本次地质工作的重点。</w:t>
      </w:r>
    </w:p>
    <w:p w14:paraId="72390DD4">
      <w:pPr>
        <w:pStyle w:val="17"/>
        <w:keepNext w:val="0"/>
        <w:keepLines w:val="0"/>
        <w:pageBreakBefore w:val="0"/>
        <w:widowControl w:val="0"/>
        <w:kinsoku/>
        <w:wordWrap/>
        <w:overflowPunct/>
        <w:topLinePunct w:val="0"/>
        <w:autoSpaceDE/>
        <w:autoSpaceDN/>
        <w:bidi w:val="0"/>
        <w:adjustRightInd w:val="0"/>
        <w:snapToGrid w:val="0"/>
        <w:spacing w:after="0" w:afterLines="0" w:line="360" w:lineRule="auto"/>
        <w:ind w:left="0" w:leftChars="0" w:firstLine="560" w:firstLineChars="200"/>
        <w:textAlignment w:val="auto"/>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pPr>
      <w:r>
        <w:rPr>
          <w:rFonts w:hint="default" w:ascii="Times New Roman" w:hAnsi="Times New Roman" w:eastAsia="宋体" w:cs="Times New Roman"/>
          <w:color w:val="000000" w:themeColor="text1"/>
          <w:sz w:val="28"/>
          <w:szCs w:val="28"/>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第四系（Qh</w:t>
      </w:r>
      <w:r>
        <w:rPr>
          <w:rFonts w:hint="default" w:ascii="Times New Roman" w:hAnsi="Times New Roman" w:eastAsia="宋体" w:cs="Times New Roman"/>
          <w:color w:val="000000" w:themeColor="text1"/>
          <w:kern w:val="0"/>
          <w:sz w:val="28"/>
          <w:szCs w:val="28"/>
          <w:highlight w:val="none"/>
          <w:vertAlign w:val="superscript"/>
          <w:lang w:val="zh-CN"/>
          <w14:textFill>
            <w14:solidFill>
              <w14:schemeClr w14:val="tx1"/>
            </w14:solidFill>
          </w14:textFill>
        </w:rPr>
        <w:t>1alp</w:t>
      </w:r>
      <w:r>
        <w:rPr>
          <w:rFonts w:hint="default" w:ascii="Times New Roman" w:hAnsi="Times New Roman" w:eastAsia="宋体" w:cs="Times New Roman"/>
          <w:color w:val="000000" w:themeColor="text1"/>
          <w:kern w:val="0"/>
          <w:sz w:val="28"/>
          <w:szCs w:val="28"/>
          <w:highlight w:val="none"/>
          <w:lang w:val="zh-CN"/>
          <w14:textFill>
            <w14:solidFill>
              <w14:schemeClr w14:val="tx1"/>
            </w14:solidFill>
          </w14:textFill>
        </w:rPr>
        <w:t>）</w:t>
      </w:r>
    </w:p>
    <w:p w14:paraId="27C7FCA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8"/>
          <w:szCs w:val="28"/>
          <w:highlight w:val="none"/>
          <w14:textFill>
            <w14:solidFill>
              <w14:schemeClr w14:val="tx1"/>
            </w14:solidFill>
          </w14:textFill>
        </w:rPr>
        <w:t>在</w:t>
      </w:r>
      <w:r>
        <w:rPr>
          <w:rFonts w:hint="default" w:ascii="Times New Roman" w:hAnsi="Times New Roman" w:eastAsia="宋体" w:cs="Times New Roman"/>
          <w:color w:val="000000" w:themeColor="text1"/>
          <w:sz w:val="28"/>
          <w:szCs w:val="28"/>
          <w:highlight w:val="none"/>
          <w:lang w:eastAsia="zh-CN"/>
          <w14:textFill>
            <w14:solidFill>
              <w14:schemeClr w14:val="tx1"/>
            </w14:solidFill>
          </w14:textFill>
        </w:rPr>
        <w:t>矿区</w:t>
      </w:r>
      <w:r>
        <w:rPr>
          <w:rFonts w:hint="default" w:ascii="Times New Roman" w:hAnsi="Times New Roman" w:eastAsia="宋体" w:cs="Times New Roman"/>
          <w:color w:val="000000" w:themeColor="text1"/>
          <w:sz w:val="28"/>
          <w:szCs w:val="28"/>
          <w:highlight w:val="none"/>
          <w14:textFill>
            <w14:solidFill>
              <w14:schemeClr w14:val="tx1"/>
            </w14:solidFill>
          </w14:textFill>
        </w:rPr>
        <w:t>内分布广范，出露面积较大。主要岩性为浅黄色、黄褐色、灰色亚粘土、亚砂土、粘土及砂土、砂砾石、卵石。厚度2～24m。</w:t>
      </w:r>
    </w:p>
    <w:p w14:paraId="168A394A">
      <w:pPr>
        <w:pStyle w:val="22"/>
        <w:numPr>
          <w:ilvl w:val="0"/>
          <w:numId w:val="10"/>
        </w:numPr>
        <w:bidi w:val="0"/>
        <w:rPr>
          <w:rFonts w:hint="default"/>
          <w:highlight w:val="none"/>
          <w:lang w:val="en-US" w:eastAsia="zh-CN"/>
        </w:rPr>
      </w:pPr>
      <w:r>
        <w:rPr>
          <w:rFonts w:hint="eastAsia"/>
          <w:highlight w:val="none"/>
          <w:lang w:val="en-US" w:eastAsia="zh-CN"/>
        </w:rPr>
        <w:t>矿区构造</w:t>
      </w:r>
    </w:p>
    <w:p w14:paraId="02D5F13E">
      <w:pPr>
        <w:pStyle w:val="22"/>
        <w:bidi w:val="0"/>
        <w:rPr>
          <w:rFonts w:hint="eastAsia"/>
          <w:highlight w:val="none"/>
        </w:rPr>
      </w:pPr>
      <w:r>
        <w:rPr>
          <w:rFonts w:hint="eastAsia"/>
          <w:highlight w:val="none"/>
        </w:rPr>
        <w:t>矿区褶皱构造及断裂构造不发育，地层均为单斜构造。</w:t>
      </w:r>
    </w:p>
    <w:p w14:paraId="06BCF7E7">
      <w:pPr>
        <w:pStyle w:val="22"/>
        <w:bidi w:val="0"/>
        <w:rPr>
          <w:rFonts w:hint="default"/>
          <w:highlight w:val="none"/>
          <w:lang w:val="en-US" w:eastAsia="zh-CN"/>
        </w:rPr>
      </w:pPr>
      <w:r>
        <w:rPr>
          <w:rFonts w:hint="eastAsia"/>
          <w:highlight w:val="none"/>
        </w:rPr>
        <w:t>根据隐蔽致灾报告，矿体与围岩、夹石产状较稳定，属硬质岩石。矿体及围岩节理、裂隙较发育，间距0.3～1.1米，为闭合型，透水性较差。自然块度大小不等，块径一般0.4～1.0米。强风化带深度0.5～4.5米，风化岩石呈碎片、碎块状。通过钻孔统计RQD值，围岩90以上，矿体为75。中风化带发育深度为4.5～20.0m，节理裂隙发育，岩心较破碎。风化层下部基岩裂隙不甚发育，为致密块状结构，岩石较完整</w:t>
      </w:r>
      <w:r>
        <w:rPr>
          <w:rFonts w:hint="eastAsia"/>
          <w:highlight w:val="none"/>
          <w:lang w:val="en-US" w:eastAsia="zh-CN"/>
        </w:rPr>
        <w:t>。</w:t>
      </w:r>
    </w:p>
    <w:p w14:paraId="00B0B0B1">
      <w:pPr>
        <w:pStyle w:val="22"/>
        <w:numPr>
          <w:ilvl w:val="0"/>
          <w:numId w:val="10"/>
        </w:numPr>
        <w:bidi w:val="0"/>
        <w:rPr>
          <w:rFonts w:hint="default"/>
          <w:highlight w:val="none"/>
          <w:lang w:val="en-US" w:eastAsia="zh-CN"/>
        </w:rPr>
      </w:pPr>
      <w:r>
        <w:rPr>
          <w:rFonts w:hint="eastAsia"/>
          <w:highlight w:val="none"/>
          <w:lang w:val="en-US" w:eastAsia="zh-CN"/>
        </w:rPr>
        <w:t>岩浆岩</w:t>
      </w:r>
    </w:p>
    <w:p w14:paraId="6275AA2E">
      <w:pPr>
        <w:pStyle w:val="22"/>
        <w:bidi w:val="0"/>
        <w:rPr>
          <w:rFonts w:hint="default"/>
          <w:highlight w:val="none"/>
          <w:lang w:val="zh-CN"/>
        </w:rPr>
      </w:pPr>
      <w:r>
        <w:rPr>
          <w:rFonts w:hint="default"/>
          <w:highlight w:val="none"/>
          <w:lang w:val="zh-CN"/>
        </w:rPr>
        <w:t>矿区岩浆岩发育，主要为新太古代中细粒黑云母二长花岗岩，次为石英脉</w:t>
      </w:r>
      <w:r>
        <w:rPr>
          <w:rFonts w:hint="default"/>
          <w:highlight w:val="none"/>
        </w:rPr>
        <w:t>及</w:t>
      </w:r>
      <w:r>
        <w:rPr>
          <w:rFonts w:hint="default"/>
          <w:highlight w:val="none"/>
          <w:lang w:val="zh-CN"/>
        </w:rPr>
        <w:t>黑云母</w:t>
      </w:r>
      <w:r>
        <w:rPr>
          <w:rFonts w:hint="default"/>
          <w:highlight w:val="none"/>
        </w:rPr>
        <w:t>闪长</w:t>
      </w:r>
      <w:r>
        <w:rPr>
          <w:rFonts w:hint="default"/>
          <w:highlight w:val="none"/>
          <w:lang w:val="zh-CN"/>
        </w:rPr>
        <w:t>岩。其地质特征分述如下：</w:t>
      </w:r>
    </w:p>
    <w:p w14:paraId="32BD962D">
      <w:pPr>
        <w:pStyle w:val="22"/>
        <w:bidi w:val="0"/>
        <w:rPr>
          <w:rFonts w:hint="default"/>
          <w:highlight w:val="none"/>
        </w:rPr>
      </w:pPr>
      <w:r>
        <w:rPr>
          <w:rFonts w:hint="eastAsia"/>
          <w:highlight w:val="none"/>
          <w:lang w:val="en-US" w:eastAsia="zh-CN"/>
        </w:rPr>
        <w:t>1、</w:t>
      </w:r>
      <w:r>
        <w:rPr>
          <w:rFonts w:hint="default"/>
          <w:highlight w:val="none"/>
          <w:lang w:val="zh-CN"/>
        </w:rPr>
        <w:t>新太古代中细粒黑云母二长花岗岩：</w:t>
      </w:r>
      <w:r>
        <w:rPr>
          <w:rFonts w:hint="default"/>
          <w:highlight w:val="none"/>
        </w:rPr>
        <w:t>该岩体几乎分布在</w:t>
      </w:r>
      <w:r>
        <w:rPr>
          <w:rFonts w:hint="default"/>
          <w:highlight w:val="none"/>
          <w:lang w:eastAsia="zh-CN"/>
        </w:rPr>
        <w:t>矿区</w:t>
      </w:r>
      <w:r>
        <w:rPr>
          <w:rFonts w:hint="default"/>
          <w:highlight w:val="none"/>
        </w:rPr>
        <w:t>全区，出露面积约1.1km</w:t>
      </w:r>
      <w:r>
        <w:rPr>
          <w:rFonts w:hint="default"/>
          <w:highlight w:val="none"/>
          <w:vertAlign w:val="superscript"/>
        </w:rPr>
        <w:t>2</w:t>
      </w:r>
      <w:r>
        <w:rPr>
          <w:rFonts w:hint="default"/>
          <w:highlight w:val="none"/>
        </w:rPr>
        <w:t>，侵入茨沟岩组，平面上呈北东向带状或不规则椭圆状分布，其内多见磁铁石英岩、斜长角闪岩包体。</w:t>
      </w:r>
    </w:p>
    <w:p w14:paraId="586E5798">
      <w:pPr>
        <w:pStyle w:val="22"/>
        <w:bidi w:val="0"/>
        <w:rPr>
          <w:rFonts w:hint="default"/>
          <w:highlight w:val="none"/>
          <w:lang w:val="zh-CN"/>
        </w:rPr>
      </w:pPr>
      <w:r>
        <w:rPr>
          <w:rFonts w:hint="default"/>
          <w:highlight w:val="none"/>
        </w:rPr>
        <w:t>岩石风化呈浅灰色-浅灰粉色-肉红色，中细粒花岗结构、块状构造，暗色矿物较少。岩石中含有铁镁质包体，包体类型为角闪石岩、斜长角闪岩。主要矿物</w:t>
      </w:r>
      <w:r>
        <w:rPr>
          <w:rFonts w:hint="default"/>
          <w:highlight w:val="none"/>
          <w:lang w:val="zh-CN"/>
        </w:rPr>
        <w:t>成分有斜长石、钾长石、石英、黑云母及白云母。</w:t>
      </w:r>
    </w:p>
    <w:p w14:paraId="5C12FCDB">
      <w:pPr>
        <w:pStyle w:val="22"/>
        <w:bidi w:val="0"/>
        <w:rPr>
          <w:rFonts w:hint="default"/>
          <w:highlight w:val="none"/>
          <w:lang w:val="zh-CN"/>
        </w:rPr>
      </w:pPr>
      <w:r>
        <w:rPr>
          <w:rFonts w:hint="default"/>
          <w:highlight w:val="none"/>
          <w:lang w:val="zh-CN"/>
        </w:rPr>
        <w:t>其主要矿物特征如下：</w:t>
      </w:r>
    </w:p>
    <w:p w14:paraId="451C0519">
      <w:pPr>
        <w:pStyle w:val="22"/>
        <w:bidi w:val="0"/>
        <w:rPr>
          <w:rFonts w:hint="default"/>
          <w:highlight w:val="none"/>
          <w:lang w:val="zh-CN"/>
        </w:rPr>
      </w:pPr>
      <w:r>
        <w:rPr>
          <w:rFonts w:hint="default"/>
          <w:highlight w:val="none"/>
          <w:lang w:val="zh-CN"/>
        </w:rPr>
        <w:t>斜长石：为更长石成分，多数呈半自形粒状，少数为半自形或不规则状，粒径在0.5～4.5mm之间。更长石聚片双晶较发育，普遍遭强烈的绢云母化作用，有的更长石被钾长石变化成港湾状，含量约占30%。</w:t>
      </w:r>
    </w:p>
    <w:p w14:paraId="0924DFB0">
      <w:pPr>
        <w:pStyle w:val="22"/>
        <w:bidi w:val="0"/>
        <w:rPr>
          <w:rFonts w:hint="default"/>
          <w:highlight w:val="none"/>
          <w:lang w:val="zh-CN"/>
        </w:rPr>
      </w:pPr>
      <w:r>
        <w:rPr>
          <w:rFonts w:hint="default"/>
          <w:highlight w:val="none"/>
          <w:lang w:val="zh-CN"/>
        </w:rPr>
        <w:t>钾长石：为微斜长石，多呈半自形或它形，有的充填于其它矿物颗粒之间，有的微斜长石略显近等轴状。粒径在0.5～4.5mm之间，颗粒较大的钾长石中有斜长石包体，含量约占40%。</w:t>
      </w:r>
    </w:p>
    <w:p w14:paraId="09CCF872">
      <w:pPr>
        <w:pStyle w:val="22"/>
        <w:bidi w:val="0"/>
        <w:rPr>
          <w:rFonts w:hint="default"/>
          <w:highlight w:val="none"/>
          <w:lang w:val="zh-CN"/>
        </w:rPr>
      </w:pPr>
      <w:r>
        <w:rPr>
          <w:rFonts w:hint="default"/>
          <w:highlight w:val="none"/>
          <w:lang w:val="zh-CN"/>
        </w:rPr>
        <w:t>石英：为粒状或粒状集合体分布，粒径在0.5～4.0mm之间，有毕姆纹、亚颗粒和波状消光发育，含量约占25%。</w:t>
      </w:r>
    </w:p>
    <w:p w14:paraId="7C65D701">
      <w:pPr>
        <w:pStyle w:val="22"/>
        <w:bidi w:val="0"/>
        <w:rPr>
          <w:rFonts w:hint="default"/>
          <w:highlight w:val="none"/>
          <w:lang w:val="zh-CN"/>
        </w:rPr>
      </w:pPr>
      <w:r>
        <w:rPr>
          <w:rFonts w:hint="default"/>
          <w:highlight w:val="none"/>
          <w:lang w:val="zh-CN"/>
        </w:rPr>
        <w:t>黑云母：黄绿色，为片状或细片状集合体分布，粒径在0.15～1.0mm之间。多数遭绿泥石化作用，有的黑云母遭脱铁并有铁质析出，个别黑云母遭绿帘化作用，含量约占4%。</w:t>
      </w:r>
    </w:p>
    <w:p w14:paraId="41743A97">
      <w:pPr>
        <w:pStyle w:val="22"/>
        <w:bidi w:val="0"/>
        <w:rPr>
          <w:rFonts w:hint="default"/>
          <w:highlight w:val="none"/>
          <w:lang w:val="zh-CN"/>
        </w:rPr>
      </w:pPr>
      <w:r>
        <w:rPr>
          <w:rFonts w:hint="default"/>
          <w:highlight w:val="none"/>
          <w:lang w:val="zh-CN"/>
        </w:rPr>
        <w:t>白云母：为片状，微片状集合体分布，白云母粒径在0.15～0.3mm之间。一般无定向，含量约占1%。</w:t>
      </w:r>
    </w:p>
    <w:p w14:paraId="1F1114F4">
      <w:pPr>
        <w:pStyle w:val="22"/>
        <w:bidi w:val="0"/>
        <w:rPr>
          <w:rFonts w:hint="default"/>
          <w:highlight w:val="none"/>
          <w:lang w:val="zh-CN"/>
        </w:rPr>
      </w:pPr>
      <w:r>
        <w:rPr>
          <w:rFonts w:hint="default"/>
          <w:highlight w:val="none"/>
          <w:lang w:val="zh-CN"/>
        </w:rPr>
        <w:t>矿区内脉岩发育，脉岩主要岩石类型有：伟晶岩脉、煌斑岩脉，偶尔在深部见小型石英脉、辉绿岩脉。</w:t>
      </w:r>
    </w:p>
    <w:p w14:paraId="7D6AAE81">
      <w:pPr>
        <w:pStyle w:val="22"/>
        <w:bidi w:val="0"/>
        <w:rPr>
          <w:rFonts w:hint="default"/>
          <w:highlight w:val="none"/>
          <w:lang w:val="zh-CN"/>
        </w:rPr>
      </w:pPr>
      <w:r>
        <w:rPr>
          <w:rFonts w:hint="eastAsia"/>
          <w:highlight w:val="none"/>
          <w:lang w:val="en-US" w:eastAsia="zh-CN"/>
        </w:rPr>
        <w:t>2、</w:t>
      </w:r>
      <w:r>
        <w:rPr>
          <w:rFonts w:hint="default"/>
          <w:highlight w:val="none"/>
          <w:lang w:val="zh-CN"/>
        </w:rPr>
        <w:t>石英脉</w:t>
      </w:r>
    </w:p>
    <w:p w14:paraId="4FF26D64">
      <w:pPr>
        <w:pStyle w:val="22"/>
        <w:bidi w:val="0"/>
        <w:rPr>
          <w:rFonts w:hint="default"/>
          <w:highlight w:val="none"/>
        </w:rPr>
      </w:pPr>
      <w:r>
        <w:rPr>
          <w:rFonts w:hint="default"/>
          <w:highlight w:val="none"/>
          <w:lang w:val="en-US" w:eastAsia="zh-CN"/>
        </w:rPr>
        <w:t>矿区内发现1条石英脉，分布于矿区中东部ZK801、ZK802、ZK1001、ZK1002钻孔中，呈脉状侵入在新太古代二长花岗岩中，产状210°∠50～57°，厚度10～80m，灰白色，隐晶质结构，块状构造。主要矿物为石英，另有少量绿泥石、绢云母、黄铁矿等。该石英脉对Fe2矿体存在破坏作用，东部矿体倾斜延深方向被截断</w:t>
      </w:r>
      <w:r>
        <w:rPr>
          <w:rFonts w:hint="default"/>
          <w:highlight w:val="none"/>
        </w:rPr>
        <w:t>。</w:t>
      </w:r>
    </w:p>
    <w:p w14:paraId="2E7DFBA8">
      <w:pPr>
        <w:pStyle w:val="22"/>
        <w:bidi w:val="0"/>
        <w:rPr>
          <w:rFonts w:hint="default"/>
          <w:highlight w:val="none"/>
          <w:lang w:val="zh-CN"/>
        </w:rPr>
      </w:pPr>
      <w:r>
        <w:rPr>
          <w:rFonts w:hint="eastAsia"/>
          <w:highlight w:val="none"/>
          <w:lang w:val="en-US" w:eastAsia="zh-CN"/>
        </w:rPr>
        <w:t>3、</w:t>
      </w:r>
      <w:r>
        <w:rPr>
          <w:rFonts w:hint="default"/>
          <w:highlight w:val="none"/>
          <w:lang w:val="zh-CN"/>
        </w:rPr>
        <w:t>黑云母</w:t>
      </w:r>
      <w:r>
        <w:rPr>
          <w:rFonts w:hint="default"/>
          <w:highlight w:val="none"/>
        </w:rPr>
        <w:t>闪长</w:t>
      </w:r>
      <w:r>
        <w:rPr>
          <w:rFonts w:hint="default"/>
          <w:highlight w:val="none"/>
          <w:lang w:val="zh-CN"/>
        </w:rPr>
        <w:t>岩</w:t>
      </w:r>
    </w:p>
    <w:p w14:paraId="714BBAC6">
      <w:pPr>
        <w:pStyle w:val="22"/>
        <w:bidi w:val="0"/>
        <w:rPr>
          <w:rFonts w:hint="default"/>
          <w:highlight w:val="none"/>
        </w:rPr>
      </w:pPr>
      <w:r>
        <w:rPr>
          <w:rFonts w:hint="default"/>
          <w:highlight w:val="none"/>
          <w:lang w:eastAsia="zh-CN"/>
        </w:rPr>
        <w:t>矿区</w:t>
      </w:r>
      <w:r>
        <w:rPr>
          <w:rFonts w:hint="default"/>
          <w:highlight w:val="none"/>
        </w:rPr>
        <w:t>内</w:t>
      </w:r>
      <w:r>
        <w:rPr>
          <w:rFonts w:hint="default"/>
          <w:highlight w:val="none"/>
          <w:lang w:val="en-US" w:eastAsia="zh-CN"/>
        </w:rPr>
        <w:t>发现8条黑云母闪长岩，分布</w:t>
      </w:r>
      <w:r>
        <w:rPr>
          <w:rFonts w:hint="default"/>
          <w:highlight w:val="none"/>
        </w:rPr>
        <w:t>ZK</w:t>
      </w:r>
      <w:r>
        <w:rPr>
          <w:rFonts w:hint="default"/>
          <w:highlight w:val="none"/>
          <w:lang w:val="en-US" w:eastAsia="zh-CN"/>
        </w:rPr>
        <w:t>004</w:t>
      </w:r>
      <w:r>
        <w:rPr>
          <w:rFonts w:hint="default"/>
          <w:highlight w:val="none"/>
        </w:rPr>
        <w:t>、ZK</w:t>
      </w:r>
      <w:r>
        <w:rPr>
          <w:rFonts w:hint="default"/>
          <w:highlight w:val="none"/>
          <w:lang w:val="en-US" w:eastAsia="zh-CN"/>
        </w:rPr>
        <w:t>005</w:t>
      </w:r>
      <w:r>
        <w:rPr>
          <w:rFonts w:hint="default"/>
          <w:highlight w:val="none"/>
        </w:rPr>
        <w:t>、ZK</w:t>
      </w:r>
      <w:r>
        <w:rPr>
          <w:rFonts w:hint="default"/>
          <w:highlight w:val="none"/>
          <w:lang w:val="en-US" w:eastAsia="zh-CN"/>
        </w:rPr>
        <w:t>203</w:t>
      </w:r>
      <w:r>
        <w:rPr>
          <w:rFonts w:hint="default"/>
          <w:highlight w:val="none"/>
        </w:rPr>
        <w:t>、ZK</w:t>
      </w:r>
      <w:r>
        <w:rPr>
          <w:rFonts w:hint="default"/>
          <w:highlight w:val="none"/>
          <w:lang w:val="en-US" w:eastAsia="zh-CN"/>
        </w:rPr>
        <w:t>206</w:t>
      </w:r>
      <w:r>
        <w:rPr>
          <w:rFonts w:hint="default"/>
          <w:highlight w:val="none"/>
        </w:rPr>
        <w:t>、ZK</w:t>
      </w:r>
      <w:r>
        <w:rPr>
          <w:rFonts w:hint="default"/>
          <w:highlight w:val="none"/>
          <w:lang w:val="en-US" w:eastAsia="zh-CN"/>
        </w:rPr>
        <w:t>801</w:t>
      </w:r>
      <w:r>
        <w:rPr>
          <w:rFonts w:hint="default"/>
          <w:highlight w:val="none"/>
        </w:rPr>
        <w:t>、ZK</w:t>
      </w:r>
      <w:r>
        <w:rPr>
          <w:rFonts w:hint="default"/>
          <w:highlight w:val="none"/>
          <w:lang w:val="en-US" w:eastAsia="zh-CN"/>
        </w:rPr>
        <w:t>802</w:t>
      </w:r>
      <w:r>
        <w:rPr>
          <w:rFonts w:hint="default"/>
          <w:highlight w:val="none"/>
        </w:rPr>
        <w:t>钻孔</w:t>
      </w:r>
      <w:r>
        <w:rPr>
          <w:rFonts w:hint="default"/>
          <w:highlight w:val="none"/>
          <w:lang w:val="en-US" w:eastAsia="zh-CN"/>
        </w:rPr>
        <w:t>中</w:t>
      </w:r>
      <w:r>
        <w:rPr>
          <w:rFonts w:hint="default"/>
          <w:highlight w:val="none"/>
        </w:rPr>
        <w:t>，</w:t>
      </w:r>
      <w:r>
        <w:rPr>
          <w:rFonts w:hint="default"/>
          <w:highlight w:val="none"/>
          <w:lang w:val="zh-CN"/>
        </w:rPr>
        <w:t>呈</w:t>
      </w:r>
      <w:r>
        <w:rPr>
          <w:rFonts w:hint="default"/>
          <w:highlight w:val="none"/>
        </w:rPr>
        <w:t>脉状侵入</w:t>
      </w:r>
      <w:r>
        <w:rPr>
          <w:rFonts w:hint="default"/>
          <w:highlight w:val="none"/>
          <w:lang w:val="zh-CN"/>
        </w:rPr>
        <w:t>在</w:t>
      </w:r>
      <w:r>
        <w:rPr>
          <w:rFonts w:hint="default"/>
          <w:highlight w:val="none"/>
        </w:rPr>
        <w:t>新太古代</w:t>
      </w:r>
      <w:r>
        <w:rPr>
          <w:rFonts w:hint="default"/>
          <w:highlight w:val="none"/>
          <w:lang w:val="en-US" w:eastAsia="zh-CN"/>
        </w:rPr>
        <w:t>中细粒</w:t>
      </w:r>
      <w:r>
        <w:rPr>
          <w:rFonts w:hint="default"/>
          <w:highlight w:val="none"/>
        </w:rPr>
        <w:t>黑云母二长花岗岩及石英脉中，产状30°∠2</w:t>
      </w:r>
      <w:r>
        <w:rPr>
          <w:rFonts w:hint="default"/>
          <w:highlight w:val="none"/>
          <w:lang w:eastAsia="zh-CN"/>
        </w:rPr>
        <w:t>～</w:t>
      </w:r>
      <w:r>
        <w:rPr>
          <w:rFonts w:hint="default"/>
          <w:highlight w:val="none"/>
        </w:rPr>
        <w:t>60°，</w:t>
      </w:r>
      <w:r>
        <w:rPr>
          <w:rFonts w:hint="default"/>
          <w:highlight w:val="none"/>
          <w:lang w:val="zh-CN"/>
        </w:rPr>
        <w:t>岩石呈颜色灰褐色，半自行粒状结构。主要矿物成分：其中斜长石约占69%，黑云母约占25%，不透明矿物+铁质约占6%，钾长石少量，磷灰石少量。斜长石多数为半自形，有的较自形，以中长石为主，斜长石普遍遭到强烈的绢云母化作用，斜长石有环带构造，有的核部蚀变强烈，斜长石粒径为0.2～1.5mm之间；黑云母为片状或片状集合体分布，多数黑云母遭绿泥石化、绿帘石化和脱铁作用，有的析出铁质，黑云母一般粒径为0.2～0.8mm之间；不透明矿物为半自形或不规则粒状不均匀分布。</w:t>
      </w:r>
      <w:r>
        <w:rPr>
          <w:rFonts w:hint="default"/>
          <w:highlight w:val="none"/>
        </w:rPr>
        <w:t>该脉岩规模较小，对矿体无破坏作用。</w:t>
      </w:r>
    </w:p>
    <w:p w14:paraId="03806099">
      <w:pPr>
        <w:pStyle w:val="22"/>
        <w:bidi w:val="0"/>
        <w:rPr>
          <w:rFonts w:hint="default"/>
          <w:highlight w:val="none"/>
          <w:lang w:val="zh-CN" w:eastAsia="zh-CN"/>
        </w:rPr>
      </w:pPr>
      <w:r>
        <w:rPr>
          <w:rFonts w:hint="eastAsia"/>
          <w:highlight w:val="none"/>
          <w:lang w:val="en-US" w:eastAsia="zh-CN"/>
        </w:rPr>
        <w:t>4、</w:t>
      </w:r>
      <w:r>
        <w:rPr>
          <w:rFonts w:hint="default"/>
          <w:highlight w:val="none"/>
          <w:lang w:val="zh-CN" w:eastAsia="zh-CN"/>
        </w:rPr>
        <w:t>角闪岩</w:t>
      </w:r>
    </w:p>
    <w:p w14:paraId="55FDF7D9">
      <w:pPr>
        <w:pStyle w:val="22"/>
        <w:bidi w:val="0"/>
        <w:rPr>
          <w:rFonts w:hint="default"/>
          <w:highlight w:val="none"/>
          <w:lang w:val="en-US" w:eastAsia="zh-CN"/>
        </w:rPr>
      </w:pPr>
      <w:r>
        <w:rPr>
          <w:rFonts w:hint="default"/>
          <w:highlight w:val="none"/>
          <w:lang w:val="zh-CN" w:eastAsia="zh-CN"/>
        </w:rPr>
        <w:t>深灰色、灰色，层状结构，块状构造，主要矿物成分有角闪石、斜长石、石英。其中角闪石呈灰绿色，半自形晶，局部蚀变为绿泥石、阳起石，粒径多为0.296mm左右，含量约为60%</w:t>
      </w:r>
      <w:r>
        <w:rPr>
          <w:rFonts w:hint="eastAsia"/>
          <w:highlight w:val="none"/>
          <w:lang w:val="en-US" w:eastAsia="zh-CN"/>
        </w:rPr>
        <w:t>。</w:t>
      </w:r>
    </w:p>
    <w:p w14:paraId="34CB7FEA">
      <w:pPr>
        <w:pStyle w:val="30"/>
        <w:bidi w:val="0"/>
        <w:rPr>
          <w:rFonts w:hint="default"/>
          <w:highlight w:val="none"/>
          <w:lang w:val="en-US" w:eastAsia="zh-CN"/>
        </w:rPr>
      </w:pPr>
      <w:r>
        <w:rPr>
          <w:rFonts w:hint="eastAsia"/>
          <w:highlight w:val="none"/>
          <w:lang w:val="en-US" w:eastAsia="zh-CN"/>
        </w:rPr>
        <w:t>水文地质概况</w:t>
      </w:r>
    </w:p>
    <w:p w14:paraId="7D2E3998">
      <w:pPr>
        <w:pStyle w:val="22"/>
        <w:numPr>
          <w:ilvl w:val="0"/>
          <w:numId w:val="11"/>
        </w:numPr>
        <w:bidi w:val="0"/>
        <w:rPr>
          <w:rFonts w:hint="eastAsia"/>
          <w:highlight w:val="none"/>
          <w:lang w:val="en-US" w:eastAsia="zh-CN"/>
        </w:rPr>
      </w:pPr>
      <w:r>
        <w:rPr>
          <w:rFonts w:hint="eastAsia"/>
          <w:highlight w:val="none"/>
          <w:lang w:val="en-US" w:eastAsia="zh-CN"/>
        </w:rPr>
        <w:t>矿区水文地质条件</w:t>
      </w:r>
    </w:p>
    <w:p w14:paraId="67A7DD30">
      <w:pPr>
        <w:pStyle w:val="22"/>
        <w:bidi w:val="0"/>
        <w:rPr>
          <w:rFonts w:hint="eastAsia"/>
          <w:highlight w:val="none"/>
        </w:rPr>
      </w:pPr>
      <w:r>
        <w:rPr>
          <w:rFonts w:hint="eastAsia"/>
          <w:highlight w:val="none"/>
        </w:rPr>
        <w:t>矿区地处长白山脉西延部分，地貌属辽东低山丘陵区，地貌类型为侵蚀构造地貌，区域海拔高度264～568m之间，最低标高位于勘探区东部的草河支流附近，海拔264m，最低侵蚀基准面标高为264m，形态类型为侵蚀断褶低山，单元形态类型为尖顶状低山。最高标高位于核实区中西部，海拔568m。最大相对高差304m，坡度在25～45°间。</w:t>
      </w:r>
    </w:p>
    <w:p w14:paraId="27803E45">
      <w:pPr>
        <w:pStyle w:val="22"/>
        <w:numPr>
          <w:ilvl w:val="0"/>
          <w:numId w:val="11"/>
        </w:numPr>
        <w:bidi w:val="0"/>
        <w:rPr>
          <w:rFonts w:hint="default"/>
          <w:highlight w:val="none"/>
          <w:lang w:val="en-US" w:eastAsia="zh-CN"/>
        </w:rPr>
      </w:pPr>
      <w:r>
        <w:rPr>
          <w:rFonts w:hint="default"/>
          <w:highlight w:val="none"/>
          <w:lang w:val="en-US" w:eastAsia="zh-CN"/>
        </w:rPr>
        <w:t>岩（矿）层的富水性</w:t>
      </w:r>
    </w:p>
    <w:p w14:paraId="5F5F1CFA">
      <w:pPr>
        <w:pStyle w:val="22"/>
        <w:bidi w:val="0"/>
        <w:rPr>
          <w:rFonts w:hint="eastAsia"/>
          <w:highlight w:val="none"/>
        </w:rPr>
      </w:pPr>
      <w:r>
        <w:rPr>
          <w:rFonts w:hint="eastAsia"/>
          <w:highlight w:val="none"/>
          <w:lang w:val="en-US" w:eastAsia="zh-CN"/>
        </w:rPr>
        <w:t>1、</w:t>
      </w:r>
      <w:r>
        <w:rPr>
          <w:rFonts w:hint="eastAsia"/>
          <w:highlight w:val="none"/>
        </w:rPr>
        <w:t>四系松散堆积层，分布于草河及支流的河谷与沟谷地段，富水层为中下部的砂、卵、砾石层，厚度自沟谷由上而下逐渐变厚，厚约3～4m，地下水类型为孔隙潜水。</w:t>
      </w:r>
    </w:p>
    <w:p w14:paraId="4ADFD57E">
      <w:pPr>
        <w:pStyle w:val="22"/>
        <w:bidi w:val="0"/>
        <w:rPr>
          <w:rFonts w:hint="eastAsia"/>
          <w:highlight w:val="none"/>
          <w:lang w:val="en-US" w:eastAsia="zh-CN"/>
        </w:rPr>
      </w:pPr>
      <w:r>
        <w:rPr>
          <w:rFonts w:hint="eastAsia"/>
          <w:highlight w:val="none"/>
          <w:lang w:val="en-US" w:eastAsia="zh-CN"/>
        </w:rPr>
        <w:t>2、</w:t>
      </w:r>
      <w:r>
        <w:rPr>
          <w:rFonts w:hint="eastAsia"/>
          <w:highlight w:val="none"/>
        </w:rPr>
        <w:t>新太古代黑云母二长花岗岩基岩裂隙水，分布于区域的中部、南部及南东部，该组岩性在矿区内及周边出露面积较大，地表基岩裂隙较发育，裂隙表面较粗糙并有黄褐色水迹。基岩强风化带深度一般0.30～1.50m，中等风化带深度15～50m，随深度的增加裂隙逐渐减弱，渗透系数0.0016m/d。</w:t>
      </w:r>
    </w:p>
    <w:p w14:paraId="3AB5B44F">
      <w:pPr>
        <w:pStyle w:val="22"/>
        <w:numPr>
          <w:ilvl w:val="0"/>
          <w:numId w:val="11"/>
        </w:numPr>
        <w:bidi w:val="0"/>
        <w:rPr>
          <w:rFonts w:hint="eastAsia"/>
          <w:highlight w:val="none"/>
          <w:lang w:val="en-US" w:eastAsia="zh-CN"/>
        </w:rPr>
      </w:pPr>
      <w:r>
        <w:rPr>
          <w:rFonts w:hint="eastAsia"/>
          <w:highlight w:val="none"/>
          <w:lang w:val="en-US" w:eastAsia="zh-CN"/>
        </w:rPr>
        <w:t>隔水层</w:t>
      </w:r>
    </w:p>
    <w:p w14:paraId="01C35342">
      <w:pPr>
        <w:pStyle w:val="22"/>
        <w:bidi w:val="0"/>
        <w:rPr>
          <w:rFonts w:hint="eastAsia"/>
          <w:highlight w:val="none"/>
        </w:rPr>
      </w:pPr>
      <w:r>
        <w:rPr>
          <w:rFonts w:hint="eastAsia"/>
          <w:highlight w:val="none"/>
          <w:lang w:val="en-US" w:eastAsia="zh-CN"/>
        </w:rPr>
        <w:t>矿区</w:t>
      </w:r>
      <w:r>
        <w:rPr>
          <w:rFonts w:hint="eastAsia"/>
          <w:highlight w:val="none"/>
        </w:rPr>
        <w:t>的主要隔水层为深部的辽河群板岩、变粒岩、浅粒岩千枚岩、中元古界斜长花岗岩、侏罗世花岗岩及新太古代黑云母二长花岗岩。</w:t>
      </w:r>
    </w:p>
    <w:p w14:paraId="76BF29E1">
      <w:pPr>
        <w:pStyle w:val="22"/>
        <w:bidi w:val="0"/>
        <w:rPr>
          <w:rFonts w:hint="eastAsia"/>
          <w:highlight w:val="none"/>
        </w:rPr>
      </w:pPr>
      <w:r>
        <w:rPr>
          <w:rFonts w:hint="eastAsia"/>
          <w:highlight w:val="none"/>
          <w:lang w:val="en-US" w:eastAsia="zh-CN"/>
        </w:rPr>
        <w:t>1、</w:t>
      </w:r>
      <w:r>
        <w:rPr>
          <w:rFonts w:hint="eastAsia"/>
          <w:highlight w:val="none"/>
        </w:rPr>
        <w:t>第四系松散层粘土层、亚粘土与粉质粘土层，呈层状或透镜状，发育规模不大。其厚度、产状与松散层发育的地形、地势有关，在河漫滩与沟谷的中部呈层状发育。稳定性不好，隔水程度较差。</w:t>
      </w:r>
    </w:p>
    <w:p w14:paraId="40CB738B">
      <w:pPr>
        <w:pStyle w:val="22"/>
        <w:bidi w:val="0"/>
        <w:rPr>
          <w:rFonts w:hint="eastAsia"/>
          <w:highlight w:val="none"/>
        </w:rPr>
      </w:pPr>
      <w:r>
        <w:rPr>
          <w:rFonts w:hint="eastAsia"/>
          <w:highlight w:val="none"/>
          <w:lang w:val="en-US" w:eastAsia="zh-CN"/>
        </w:rPr>
        <w:t>2、</w:t>
      </w:r>
      <w:r>
        <w:rPr>
          <w:rFonts w:hint="eastAsia"/>
          <w:highlight w:val="none"/>
        </w:rPr>
        <w:t>古元古代、中侏罗世各类花岗岩及脉岩深部裂隙不发育，隔水性较好。</w:t>
      </w:r>
    </w:p>
    <w:p w14:paraId="2948FD0C">
      <w:pPr>
        <w:pStyle w:val="22"/>
        <w:bidi w:val="0"/>
        <w:rPr>
          <w:rFonts w:hint="eastAsia"/>
          <w:highlight w:val="none"/>
        </w:rPr>
      </w:pPr>
      <w:r>
        <w:rPr>
          <w:rFonts w:hint="eastAsia"/>
          <w:highlight w:val="none"/>
          <w:lang w:val="en-US" w:eastAsia="zh-CN"/>
        </w:rPr>
        <w:t>3、</w:t>
      </w:r>
      <w:r>
        <w:rPr>
          <w:rFonts w:hint="eastAsia"/>
          <w:highlight w:val="none"/>
        </w:rPr>
        <w:t>新太古代古元古界的片岩、变粒岩及新元古界、古生界的页岩，稳定性较好，隔水性强。</w:t>
      </w:r>
    </w:p>
    <w:p w14:paraId="5DCC0926">
      <w:pPr>
        <w:pStyle w:val="22"/>
        <w:numPr>
          <w:ilvl w:val="0"/>
          <w:numId w:val="11"/>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地下水类型</w:t>
      </w:r>
    </w:p>
    <w:p w14:paraId="3C4784A9">
      <w:pPr>
        <w:pStyle w:val="22"/>
        <w:bidi w:val="0"/>
        <w:rPr>
          <w:rFonts w:hint="eastAsia"/>
          <w:highlight w:val="none"/>
        </w:rPr>
      </w:pPr>
      <w:r>
        <w:rPr>
          <w:rFonts w:hint="eastAsia"/>
          <w:highlight w:val="none"/>
        </w:rPr>
        <w:t>按地下水赋存条件、水理性质及水力特征，可划分为松散岩孔隙潜水、碳酸盐岩类岩溶裂隙水和基岩裂隙水三大类，其中基岩裂隙水分为基岩风化裂隙水及深部基岩裂隙水。</w:t>
      </w:r>
    </w:p>
    <w:p w14:paraId="1CC429EE">
      <w:pPr>
        <w:pStyle w:val="22"/>
        <w:bidi w:val="0"/>
        <w:rPr>
          <w:rFonts w:hint="eastAsia"/>
          <w:highlight w:val="none"/>
        </w:rPr>
      </w:pPr>
      <w:r>
        <w:rPr>
          <w:rFonts w:hint="eastAsia"/>
          <w:highlight w:val="none"/>
          <w:lang w:val="en-US" w:eastAsia="zh-CN"/>
        </w:rPr>
        <w:t>1、</w:t>
      </w:r>
      <w:r>
        <w:rPr>
          <w:rFonts w:hint="eastAsia"/>
          <w:highlight w:val="none"/>
        </w:rPr>
        <w:t>松散岩类孔隙水中等富水区：由第四系的松散堆积含水层组成，为孔隙潜水。主要分布在草河两测、沟谷底部。</w:t>
      </w:r>
    </w:p>
    <w:p w14:paraId="19223F4D">
      <w:pPr>
        <w:pStyle w:val="22"/>
        <w:bidi w:val="0"/>
        <w:rPr>
          <w:rFonts w:hint="eastAsia"/>
          <w:highlight w:val="none"/>
        </w:rPr>
      </w:pPr>
      <w:r>
        <w:rPr>
          <w:rFonts w:hint="eastAsia"/>
          <w:highlight w:val="none"/>
          <w:lang w:val="en-US" w:eastAsia="zh-CN"/>
        </w:rPr>
        <w:t>2、</w:t>
      </w:r>
      <w:r>
        <w:rPr>
          <w:rFonts w:hint="eastAsia"/>
          <w:highlight w:val="none"/>
        </w:rPr>
        <w:t>基岩风化裂隙中等富水区：由新太古代花岗岩的风化带（0～10m）组成。分布于本区的中西部。</w:t>
      </w:r>
    </w:p>
    <w:p w14:paraId="78263EA8">
      <w:pPr>
        <w:pStyle w:val="22"/>
        <w:bidi w:val="0"/>
        <w:rPr>
          <w:rFonts w:hint="eastAsia"/>
          <w:highlight w:val="none"/>
          <w:lang w:val="en-US" w:eastAsia="zh-CN"/>
        </w:rPr>
      </w:pPr>
      <w:r>
        <w:rPr>
          <w:rFonts w:hint="eastAsia"/>
          <w:highlight w:val="none"/>
          <w:lang w:val="en-US" w:eastAsia="zh-CN"/>
        </w:rPr>
        <w:t>3、</w:t>
      </w:r>
      <w:r>
        <w:rPr>
          <w:rFonts w:hint="eastAsia"/>
          <w:highlight w:val="none"/>
        </w:rPr>
        <w:t>深部基岩裂隙弱富水区：由高丽墩台岩体斜长花岗岩的深部基岩组成，单位涌水量在渗透系数0.0047m/d。</w:t>
      </w:r>
    </w:p>
    <w:p w14:paraId="4C17F53E">
      <w:pPr>
        <w:pStyle w:val="22"/>
        <w:numPr>
          <w:ilvl w:val="0"/>
          <w:numId w:val="11"/>
        </w:numPr>
        <w:bidi w:val="0"/>
        <w:rPr>
          <w:rFonts w:hint="default"/>
          <w:highlight w:val="none"/>
          <w:lang w:val="en-US" w:eastAsia="zh-CN"/>
        </w:rPr>
      </w:pPr>
      <w:r>
        <w:rPr>
          <w:rFonts w:hint="default"/>
          <w:highlight w:val="none"/>
          <w:lang w:val="en-US" w:eastAsia="zh-CN"/>
        </w:rPr>
        <w:t>地下水动态特征</w:t>
      </w:r>
    </w:p>
    <w:p w14:paraId="51B5BDB9">
      <w:pPr>
        <w:pStyle w:val="22"/>
        <w:bidi w:val="0"/>
        <w:rPr>
          <w:rFonts w:hint="eastAsia"/>
          <w:highlight w:val="none"/>
        </w:rPr>
      </w:pPr>
      <w:r>
        <w:rPr>
          <w:rFonts w:hint="eastAsia"/>
          <w:highlight w:val="none"/>
        </w:rPr>
        <w:t>在基岩山区地表水与地下水的关系是地表水补给地下水。局部地段由于地形、岩层产状等因素或丰水期时才出现地下水对地表水的反补给。山间河谷盆地至冲积平原，受气象因素的控制，泉水流量在枯、丰水期有明显的差别，一般变化幅度达10～20倍。山前倾斜平原区地下水动态变化幅度可达5.0m。在山间河谷盆地至冲积平原，地下水年变幅在3.0m左右。</w:t>
      </w:r>
    </w:p>
    <w:p w14:paraId="063D1CCA">
      <w:pPr>
        <w:pStyle w:val="22"/>
        <w:bidi w:val="0"/>
        <w:rPr>
          <w:rFonts w:hint="default"/>
          <w:highlight w:val="none"/>
          <w:lang w:val="en-US" w:eastAsia="zh-CN"/>
        </w:rPr>
      </w:pPr>
      <w:r>
        <w:rPr>
          <w:rFonts w:hint="eastAsia"/>
          <w:highlight w:val="none"/>
        </w:rPr>
        <w:t>岩溶区发育程度表现出受气象、地貌、地质构造及岩石结构的控制。除特大洪水外，无地表径流。深部（侵蚀基准面以下）岩溶发育特征为层状分布，但多沿层面发育，呈方形、圆形、长方形等，造成水文地质条件复杂的特点，岩石多呈强富水，地下水资源丰富</w:t>
      </w:r>
      <w:r>
        <w:rPr>
          <w:rFonts w:hint="default"/>
          <w:highlight w:val="none"/>
          <w:lang w:val="en-US" w:eastAsia="zh-CN"/>
        </w:rPr>
        <w:t>。</w:t>
      </w:r>
    </w:p>
    <w:p w14:paraId="176CC2BD">
      <w:pPr>
        <w:pStyle w:val="22"/>
        <w:numPr>
          <w:ilvl w:val="0"/>
          <w:numId w:val="11"/>
        </w:numPr>
        <w:bidi w:val="0"/>
        <w:rPr>
          <w:rFonts w:hint="default"/>
          <w:highlight w:val="none"/>
          <w:lang w:val="en-US" w:eastAsia="zh-CN"/>
        </w:rPr>
      </w:pPr>
      <w:r>
        <w:rPr>
          <w:rFonts w:hint="default"/>
          <w:highlight w:val="none"/>
          <w:lang w:val="en-US" w:eastAsia="zh-CN"/>
        </w:rPr>
        <w:t>矿床充水因素分析</w:t>
      </w:r>
    </w:p>
    <w:p w14:paraId="7BE167A7">
      <w:pPr>
        <w:pStyle w:val="22"/>
        <w:bidi w:val="0"/>
        <w:rPr>
          <w:rFonts w:hint="eastAsia"/>
          <w:highlight w:val="none"/>
        </w:rPr>
      </w:pPr>
      <w:r>
        <w:rPr>
          <w:rFonts w:hint="eastAsia"/>
          <w:highlight w:val="none"/>
        </w:rPr>
        <w:t>1</w:t>
      </w:r>
      <w:r>
        <w:rPr>
          <w:rFonts w:hint="eastAsia"/>
          <w:highlight w:val="none"/>
          <w:lang w:eastAsia="zh-CN"/>
        </w:rPr>
        <w:t>、</w:t>
      </w:r>
      <w:r>
        <w:rPr>
          <w:rFonts w:hint="eastAsia"/>
          <w:highlight w:val="none"/>
        </w:rPr>
        <w:t>地表水</w:t>
      </w:r>
    </w:p>
    <w:p w14:paraId="3A32AD64">
      <w:pPr>
        <w:pStyle w:val="22"/>
        <w:bidi w:val="0"/>
        <w:rPr>
          <w:rFonts w:hint="eastAsia"/>
          <w:highlight w:val="none"/>
        </w:rPr>
      </w:pPr>
      <w:r>
        <w:rPr>
          <w:rFonts w:hint="eastAsia"/>
          <w:highlight w:val="none"/>
        </w:rPr>
        <w:t>区内仅有1条地表河流，由北西向南东从矿区南西侧流过，发源于黑瞎子沟，距矿区方位204°，距离约50m，常年流水，平常河水深0.4m左右，雨季河水暴涨，干旱季节河水水位下降，补给来源主要为大气降水。正常流量0.2m³/s，是生产、生活用水的主要来源。雨季最大流量3.8m</w:t>
      </w:r>
      <w:r>
        <w:rPr>
          <w:rFonts w:hint="eastAsia"/>
          <w:highlight w:val="none"/>
          <w:lang w:val="en-US" w:eastAsia="zh-CN"/>
        </w:rPr>
        <w:t>³</w:t>
      </w:r>
      <w:r>
        <w:rPr>
          <w:rFonts w:hint="eastAsia"/>
          <w:highlight w:val="none"/>
        </w:rPr>
        <w:t>/s，河床岩性由第四系砂砾卵石等组成，基岩虽然节理裂隙发育，但多被泥质充填，透水性均较差。河床大理岩基岩裸露，岩体节理裂隙发育，岩溶弱发育，透水性较好，有利于地下水的下渗，存在地表水补给地下水的条件。河谷区标高264～280m，钻探施工中未发现与地表水体沟通的导水通道。</w:t>
      </w:r>
    </w:p>
    <w:p w14:paraId="4E029562">
      <w:pPr>
        <w:pStyle w:val="22"/>
        <w:bidi w:val="0"/>
        <w:rPr>
          <w:rFonts w:hint="eastAsia"/>
          <w:highlight w:val="none"/>
        </w:rPr>
      </w:pPr>
      <w:r>
        <w:rPr>
          <w:rFonts w:hint="eastAsia"/>
          <w:highlight w:val="none"/>
        </w:rPr>
        <w:t>2</w:t>
      </w:r>
      <w:r>
        <w:rPr>
          <w:rFonts w:hint="eastAsia"/>
          <w:highlight w:val="none"/>
          <w:lang w:eastAsia="zh-CN"/>
        </w:rPr>
        <w:t>、</w:t>
      </w:r>
      <w:r>
        <w:rPr>
          <w:rFonts w:hint="eastAsia"/>
          <w:highlight w:val="none"/>
        </w:rPr>
        <w:t>第四系松散岩类孔隙水</w:t>
      </w:r>
    </w:p>
    <w:p w14:paraId="532477F8">
      <w:pPr>
        <w:pStyle w:val="22"/>
        <w:bidi w:val="0"/>
        <w:rPr>
          <w:rFonts w:hint="eastAsia"/>
          <w:highlight w:val="none"/>
        </w:rPr>
      </w:pPr>
      <w:r>
        <w:rPr>
          <w:rFonts w:hint="eastAsia"/>
          <w:highlight w:val="none"/>
        </w:rPr>
        <w:t>主要为冲、洪积形成的砂砾石层，其上部多为厚度2～24m含砾石的亚砂土和亚粘土；下部多为基岩的强风化带，该带因受长期风化和地下水的侵蚀，多已成为松软的砂砾和粘土质，水位埋深1～5m，一般为2～3m，由于受大气降水的直接补给，水位随季节变化较明显，雨季上升，旱季下降，波动幅度1～2m。该带为中等富水性，地下水排泄途径为河流及地下径流，少量补给基岩裂隙水，对矿床充水主要因素影响较小。</w:t>
      </w:r>
    </w:p>
    <w:p w14:paraId="65D7F083">
      <w:pPr>
        <w:pStyle w:val="22"/>
        <w:bidi w:val="0"/>
        <w:rPr>
          <w:rFonts w:hint="eastAsia"/>
          <w:highlight w:val="none"/>
        </w:rPr>
      </w:pPr>
      <w:r>
        <w:rPr>
          <w:rFonts w:hint="eastAsia"/>
          <w:highlight w:val="none"/>
        </w:rPr>
        <w:t>3</w:t>
      </w:r>
      <w:r>
        <w:rPr>
          <w:rFonts w:hint="eastAsia"/>
          <w:highlight w:val="none"/>
          <w:lang w:eastAsia="zh-CN"/>
        </w:rPr>
        <w:t>、</w:t>
      </w:r>
      <w:r>
        <w:rPr>
          <w:rFonts w:hint="eastAsia"/>
          <w:highlight w:val="none"/>
        </w:rPr>
        <w:t>基岩裂隙水</w:t>
      </w:r>
    </w:p>
    <w:p w14:paraId="76CE654D">
      <w:pPr>
        <w:pStyle w:val="22"/>
        <w:bidi w:val="0"/>
        <w:rPr>
          <w:rFonts w:hint="eastAsia"/>
          <w:highlight w:val="none"/>
        </w:rPr>
      </w:pPr>
      <w:r>
        <w:rPr>
          <w:rFonts w:hint="eastAsia"/>
          <w:highlight w:val="none"/>
        </w:rPr>
        <w:t>坑道揭露矿区基岩风化裂隙发育深度为0～20.0m，节理裂隙发育，岩心破碎，地下水活动痕迹明显，风化层下部基岩裂隙不甚发育，基岩裂隙富水性弱，含水性在不同部位富水性差异较大。基岩裂隙水通过导水断裂带对矿床进行补给，是矿床充水主要因素。</w:t>
      </w:r>
    </w:p>
    <w:p w14:paraId="0E2E5602">
      <w:pPr>
        <w:pStyle w:val="22"/>
        <w:bidi w:val="0"/>
        <w:rPr>
          <w:rFonts w:hint="default"/>
          <w:highlight w:val="none"/>
          <w:lang w:val="en-US" w:eastAsia="zh-CN"/>
        </w:rPr>
      </w:pPr>
      <w:r>
        <w:rPr>
          <w:rFonts w:hint="default"/>
          <w:highlight w:val="none"/>
          <w:lang w:val="en-US" w:eastAsia="zh-CN"/>
        </w:rPr>
        <w:t>4</w:t>
      </w:r>
      <w:r>
        <w:rPr>
          <w:rFonts w:hint="eastAsia"/>
          <w:highlight w:val="none"/>
          <w:lang w:val="en-US" w:eastAsia="zh-CN"/>
        </w:rPr>
        <w:t>、</w:t>
      </w:r>
      <w:r>
        <w:rPr>
          <w:rFonts w:hint="default"/>
          <w:highlight w:val="none"/>
          <w:lang w:val="en-US" w:eastAsia="zh-CN"/>
        </w:rPr>
        <w:t>原采坑积水</w:t>
      </w:r>
    </w:p>
    <w:p w14:paraId="5C6572ED">
      <w:pPr>
        <w:pStyle w:val="22"/>
        <w:bidi w:val="0"/>
        <w:rPr>
          <w:rFonts w:hint="default"/>
          <w:highlight w:val="none"/>
          <w:lang w:val="en-US" w:eastAsia="zh-CN"/>
        </w:rPr>
      </w:pPr>
      <w:r>
        <w:rPr>
          <w:rFonts w:hint="default"/>
          <w:highlight w:val="none"/>
          <w:lang w:val="en-US" w:eastAsia="zh-CN"/>
        </w:rPr>
        <w:t>一是大气降水直接汇流入渗，采坑凹陷地形形成天然汇水区域，雨季周边坡面降水、地表径流快速汇集坑内，叠加采坑边坡风化裂隙、塌陷裂隙入渗补给，成为采坑季节性充水的核心水源；二是第四系松散岩类孔隙水侧向补给，采坑周边第四系砂砾石层、强风化带水位埋深浅、富水性中等，受降水补给后水位抬升，通过坑壁松散层界面持续向采坑渗透补给；三是基岩裂隙水越流补给，采坑开挖揭露深部基岩后，打破原有地下水渗流平衡，周边基岩裂隙水沿风化裂隙、采掘裂隙向采坑径流补给，虽单段富水性较弱，但补给范围广、持续性强</w:t>
      </w:r>
      <w:r>
        <w:rPr>
          <w:rFonts w:hint="eastAsia"/>
          <w:highlight w:val="none"/>
          <w:lang w:val="en-US" w:eastAsia="zh-CN"/>
        </w:rPr>
        <w:t>。</w:t>
      </w:r>
    </w:p>
    <w:p w14:paraId="1417FC95">
      <w:pPr>
        <w:pStyle w:val="22"/>
        <w:bidi w:val="0"/>
        <w:rPr>
          <w:rFonts w:hint="default"/>
          <w:highlight w:val="none"/>
          <w:lang w:val="en-US" w:eastAsia="zh-CN"/>
        </w:rPr>
      </w:pPr>
      <w:r>
        <w:rPr>
          <w:rFonts w:hint="default"/>
          <w:highlight w:val="none"/>
          <w:lang w:val="en-US" w:eastAsia="zh-CN"/>
        </w:rPr>
        <w:t>原有采坑整体充水强度受季节降水控制明显，雨季汇水叠加含水层补给，坑内水量显著上升，旱季以基岩裂隙水缓慢补给为主，水量相对稳定；地表河流虽无直接导水通道，但通过间接补给周边含水层间接影响采坑充水，第四系孔隙水补给量有限，基岩裂隙水持续渗透+大气降水季节性汇流为原有采坑充水的主导因素。</w:t>
      </w:r>
    </w:p>
    <w:p w14:paraId="5E89CDDD">
      <w:pPr>
        <w:pStyle w:val="22"/>
        <w:numPr>
          <w:ilvl w:val="0"/>
          <w:numId w:val="11"/>
        </w:numPr>
        <w:bidi w:val="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地下水补给、径流、排泄条件</w:t>
      </w:r>
    </w:p>
    <w:p w14:paraId="6EF9D3C3">
      <w:pPr>
        <w:pStyle w:val="22"/>
        <w:bidi w:val="0"/>
        <w:rPr>
          <w:rFonts w:hint="eastAsia"/>
          <w:highlight w:val="none"/>
          <w:lang w:val="en-US" w:eastAsia="zh-CN"/>
        </w:rPr>
      </w:pPr>
      <w:r>
        <w:rPr>
          <w:rFonts w:hint="eastAsia"/>
          <w:highlight w:val="none"/>
          <w:lang w:val="en-US" w:eastAsia="zh-CN"/>
        </w:rPr>
        <w:t>1、地下水补给特征</w:t>
      </w:r>
    </w:p>
    <w:p w14:paraId="51DF4787">
      <w:pPr>
        <w:pStyle w:val="22"/>
        <w:bidi w:val="0"/>
        <w:rPr>
          <w:rFonts w:hint="eastAsia"/>
          <w:highlight w:val="none"/>
          <w:lang w:val="en-US" w:eastAsia="zh-CN"/>
        </w:rPr>
      </w:pPr>
      <w:r>
        <w:rPr>
          <w:rFonts w:hint="eastAsia"/>
          <w:highlight w:val="none"/>
          <w:lang w:val="en-US" w:eastAsia="zh-CN"/>
        </w:rPr>
        <w:t>地下水补给有二个方面，一是大气降水的直接入渗补给。本区地形陡峻，地表植被发育，水系纵横交错，沟谷侵蚀切割强烈，表层构造断裂极为发育，第四系覆盖层较薄，地表潜水与风化裂隙水直接接受大气降水的垂直补给，年平均降雨量669mm，为地下水的形成提供了丰富的补给来源。二是流经区内的地表水系垂直入渗补给地下水。</w:t>
      </w:r>
    </w:p>
    <w:p w14:paraId="4C56B154">
      <w:pPr>
        <w:pStyle w:val="22"/>
        <w:bidi w:val="0"/>
        <w:rPr>
          <w:rFonts w:hint="eastAsia"/>
          <w:highlight w:val="none"/>
          <w:lang w:val="en-US" w:eastAsia="zh-CN"/>
        </w:rPr>
      </w:pPr>
      <w:r>
        <w:rPr>
          <w:rFonts w:hint="eastAsia"/>
          <w:highlight w:val="none"/>
          <w:lang w:val="en-US" w:eastAsia="zh-CN"/>
        </w:rPr>
        <w:t>2、地下水径流特征</w:t>
      </w:r>
    </w:p>
    <w:p w14:paraId="3000AF8C">
      <w:pPr>
        <w:pStyle w:val="22"/>
        <w:bidi w:val="0"/>
        <w:rPr>
          <w:rFonts w:hint="eastAsia"/>
          <w:highlight w:val="none"/>
          <w:lang w:val="en-US" w:eastAsia="zh-CN"/>
        </w:rPr>
      </w:pPr>
      <w:r>
        <w:rPr>
          <w:rFonts w:hint="eastAsia"/>
          <w:highlight w:val="none"/>
          <w:lang w:val="en-US" w:eastAsia="zh-CN"/>
        </w:rPr>
        <w:t>基岩低山区：受地形的影响，地下水类型为强烈循环的风化基岩裂隙潜水和基岩裂隙承压水，由于构造裂隙发育加之断裂沟通，地下水多为浅循环，经过短途的径流之后，于沟谷切割处或节理裂隙发育地带，以常年性上升或下降泉的形式径流排泄地表。在鞍山群变质岩及其褶皱构造中，由于多柔性岩石，裂隙发育差密闭而不相通，因此通流滞缓，形成矿化较高的富水程度弱的裂隙层间水。</w:t>
      </w:r>
    </w:p>
    <w:p w14:paraId="617BC993">
      <w:pPr>
        <w:pStyle w:val="22"/>
        <w:bidi w:val="0"/>
        <w:rPr>
          <w:rFonts w:hint="eastAsia"/>
          <w:highlight w:val="none"/>
          <w:lang w:val="en-US" w:eastAsia="zh-CN"/>
        </w:rPr>
      </w:pPr>
      <w:r>
        <w:rPr>
          <w:rFonts w:hint="eastAsia"/>
          <w:highlight w:val="none"/>
          <w:lang w:val="en-US" w:eastAsia="zh-CN"/>
        </w:rPr>
        <w:t>山间河谷盆地：主要为区内的草河及其支流与河谷盆地等，面积狭小，松散堆积层厚度不等，富水性由上游到下游逐渐增强，富含孔隙潜水。含水层为砂砾石，径流畅通，在谷地上游狭窄处，常沿河道线状溢出，径流排泄于河水。</w:t>
      </w:r>
    </w:p>
    <w:p w14:paraId="42B747AD">
      <w:pPr>
        <w:pStyle w:val="22"/>
        <w:bidi w:val="0"/>
        <w:rPr>
          <w:rFonts w:hint="eastAsia"/>
          <w:highlight w:val="none"/>
          <w:lang w:val="en-US" w:eastAsia="zh-CN"/>
        </w:rPr>
      </w:pPr>
      <w:r>
        <w:rPr>
          <w:rFonts w:hint="eastAsia"/>
          <w:highlight w:val="none"/>
          <w:lang w:val="en-US" w:eastAsia="zh-CN"/>
        </w:rPr>
        <w:t>山前倾斜平原区：主要为草河及其支流两侧的山前地带，以暂时性的孔隙潜水为主，富水性较弱，地下水以侧向渗流为主。</w:t>
      </w:r>
    </w:p>
    <w:p w14:paraId="6D3BD8EA">
      <w:pPr>
        <w:pStyle w:val="22"/>
        <w:bidi w:val="0"/>
        <w:rPr>
          <w:rFonts w:hint="eastAsia"/>
          <w:highlight w:val="none"/>
          <w:lang w:val="en-US" w:eastAsia="zh-CN"/>
        </w:rPr>
      </w:pPr>
      <w:r>
        <w:rPr>
          <w:rFonts w:hint="eastAsia"/>
          <w:highlight w:val="none"/>
          <w:lang w:val="en-US" w:eastAsia="zh-CN"/>
        </w:rPr>
        <w:t>3、地下水排泄途径</w:t>
      </w:r>
    </w:p>
    <w:p w14:paraId="0D4F5BB7">
      <w:pPr>
        <w:pStyle w:val="22"/>
        <w:bidi w:val="0"/>
        <w:rPr>
          <w:rFonts w:hint="eastAsia"/>
          <w:highlight w:val="none"/>
          <w:lang w:val="en-US" w:eastAsia="zh-CN"/>
        </w:rPr>
      </w:pPr>
      <w:r>
        <w:rPr>
          <w:rFonts w:hint="eastAsia"/>
          <w:highlight w:val="none"/>
          <w:lang w:val="en-US" w:eastAsia="zh-CN"/>
        </w:rPr>
        <w:t>①地表以蒸发、河流向区外排泄。</w:t>
      </w:r>
    </w:p>
    <w:p w14:paraId="5C82B95B">
      <w:pPr>
        <w:pStyle w:val="22"/>
        <w:bidi w:val="0"/>
        <w:rPr>
          <w:rFonts w:hint="eastAsia"/>
          <w:highlight w:val="none"/>
          <w:lang w:val="en-US" w:eastAsia="zh-CN"/>
        </w:rPr>
      </w:pPr>
      <w:r>
        <w:rPr>
          <w:rFonts w:hint="eastAsia"/>
          <w:highlight w:val="none"/>
          <w:lang w:val="en-US" w:eastAsia="zh-CN"/>
        </w:rPr>
        <w:t>②潜水以垂向径流补给基岩裂隙水，侧向径流以下降泉排泄。</w:t>
      </w:r>
    </w:p>
    <w:p w14:paraId="21259ADB">
      <w:pPr>
        <w:pStyle w:val="22"/>
        <w:bidi w:val="0"/>
        <w:rPr>
          <w:rFonts w:hint="eastAsia"/>
          <w:highlight w:val="none"/>
          <w:lang w:val="en-US" w:eastAsia="zh-CN"/>
        </w:rPr>
      </w:pPr>
      <w:r>
        <w:rPr>
          <w:rFonts w:hint="eastAsia"/>
          <w:highlight w:val="none"/>
          <w:lang w:val="en-US" w:eastAsia="zh-CN"/>
        </w:rPr>
        <w:t>③基岩裂隙水与构造裂隙水以侧向径流补给区外含水层，低凹处以上升泉形式排泄。</w:t>
      </w:r>
    </w:p>
    <w:p w14:paraId="038EB003">
      <w:pPr>
        <w:pStyle w:val="22"/>
        <w:bidi w:val="0"/>
        <w:rPr>
          <w:rFonts w:hint="eastAsia"/>
          <w:highlight w:val="none"/>
          <w:lang w:val="en-US" w:eastAsia="zh-CN"/>
        </w:rPr>
      </w:pPr>
      <w:r>
        <w:rPr>
          <w:rFonts w:hint="eastAsia"/>
          <w:highlight w:val="none"/>
          <w:lang w:val="en-US" w:eastAsia="zh-CN"/>
        </w:rPr>
        <w:t>④人工开采地下水方式排泄。</w:t>
      </w:r>
    </w:p>
    <w:p w14:paraId="7BE8DF29">
      <w:pPr>
        <w:pStyle w:val="22"/>
        <w:numPr>
          <w:ilvl w:val="0"/>
          <w:numId w:val="11"/>
        </w:numPr>
        <w:bidi w:val="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矿坑涌水量预测</w:t>
      </w:r>
    </w:p>
    <w:p w14:paraId="29F04F21">
      <w:pPr>
        <w:pStyle w:val="22"/>
        <w:bidi w:val="0"/>
        <w:rPr>
          <w:rFonts w:hint="eastAsia"/>
          <w:highlight w:val="none"/>
          <w:lang w:val="en-US" w:eastAsia="zh-CN"/>
        </w:rPr>
      </w:pPr>
      <w:r>
        <w:rPr>
          <w:rFonts w:hint="eastAsia"/>
          <w:highlight w:val="none"/>
          <w:lang w:val="en-US" w:eastAsia="zh-CN"/>
        </w:rPr>
        <w:t>坑内开采过程中，坑内涌水来自岩石裂隙水，移动范围内降水渗透水和凿岩喷雾洒水。因本次设计采用嗣后废石充填法进行回采，故地下水涌水量计算时需考虑大气降水径流渗入量。</w:t>
      </w:r>
    </w:p>
    <w:p w14:paraId="3387E9B0">
      <w:pPr>
        <w:pStyle w:val="22"/>
        <w:bidi w:val="0"/>
        <w:rPr>
          <w:rFonts w:hint="eastAsia"/>
          <w:highlight w:val="none"/>
          <w:lang w:val="en-US" w:eastAsia="zh-CN"/>
        </w:rPr>
      </w:pPr>
      <w:r>
        <w:rPr>
          <w:rFonts w:hint="eastAsia"/>
          <w:highlight w:val="none"/>
          <w:lang w:val="en-US" w:eastAsia="zh-CN"/>
        </w:rPr>
        <w:t>1、根据《辽宁省本溪县草河城镇徐堡村矿区铁矿资源储量核实报告》中提供的水文地质参数，其开采到138m中段矿坑总最大涌水量为385.83m³/d，设计开采最底标高为-67m中段，采用水文地质比拟法估算本矿涌水量。计算结果为坑内正常每日涌水量312.67m³/d，雨季最大每日涌水量428.72m³/d。</w:t>
      </w:r>
    </w:p>
    <w:p w14:paraId="0E10284A">
      <w:pPr>
        <w:pStyle w:val="22"/>
        <w:bidi w:val="0"/>
        <w:rPr>
          <w:rFonts w:hint="eastAsia"/>
          <w:highlight w:val="none"/>
          <w:lang w:val="en-US" w:eastAsia="zh-CN"/>
        </w:rPr>
      </w:pPr>
      <w:r>
        <w:rPr>
          <w:rFonts w:hint="eastAsia"/>
          <w:highlight w:val="none"/>
          <w:lang w:val="en-US" w:eastAsia="zh-CN"/>
        </w:rPr>
        <w:t>2、大气降水迳流渗入量计算</w:t>
      </w:r>
    </w:p>
    <w:p w14:paraId="4E266FB2">
      <w:pPr>
        <w:pStyle w:val="22"/>
        <w:bidi w:val="0"/>
        <w:rPr>
          <w:rFonts w:hint="eastAsia"/>
          <w:highlight w:val="none"/>
          <w:lang w:val="en-US" w:eastAsia="zh-CN"/>
        </w:rPr>
      </w:pPr>
      <w:r>
        <w:rPr>
          <w:rFonts w:hint="eastAsia"/>
          <w:highlight w:val="none"/>
          <w:lang w:val="en-US" w:eastAsia="zh-CN"/>
        </w:rPr>
        <w:t>设计暴雨频率的标准为P=20%，计算设计频率暴雨迳流渗入量和正常降雨迳流渗入量。</w:t>
      </w:r>
    </w:p>
    <w:p w14:paraId="1069F93E">
      <w:pPr>
        <w:pStyle w:val="22"/>
        <w:bidi w:val="0"/>
        <w:rPr>
          <w:rFonts w:hint="eastAsia"/>
          <w:highlight w:val="none"/>
          <w:lang w:val="en-US" w:eastAsia="zh-CN"/>
        </w:rPr>
      </w:pPr>
      <w:r>
        <w:rPr>
          <w:rFonts w:hint="eastAsia"/>
          <w:highlight w:val="none"/>
          <w:lang w:val="en-US" w:eastAsia="zh-CN"/>
        </w:rPr>
        <w:t>设计频率暴雨迳流渗入量计算公式为：</w:t>
      </w:r>
    </w:p>
    <w:p w14:paraId="6C81007C">
      <w:pPr>
        <w:pStyle w:val="22"/>
        <w:bidi w:val="0"/>
        <w:rPr>
          <w:rFonts w:hint="eastAsia"/>
          <w:highlight w:val="none"/>
          <w:lang w:val="en-US" w:eastAsia="zh-CN"/>
        </w:rPr>
      </w:pPr>
      <w:r>
        <w:rPr>
          <w:rFonts w:hint="eastAsia"/>
          <w:highlight w:val="none"/>
          <w:lang w:val="en-US" w:eastAsia="zh-CN"/>
        </w:rPr>
        <w:t>Qp= Hp·F·φmax</w:t>
      </w:r>
    </w:p>
    <w:p w14:paraId="498DEE9D">
      <w:pPr>
        <w:pStyle w:val="22"/>
        <w:bidi w:val="0"/>
        <w:rPr>
          <w:rFonts w:hint="eastAsia"/>
          <w:highlight w:val="none"/>
          <w:lang w:val="en-US" w:eastAsia="zh-CN"/>
        </w:rPr>
      </w:pPr>
      <w:r>
        <w:rPr>
          <w:rFonts w:hint="eastAsia"/>
          <w:highlight w:val="none"/>
          <w:lang w:val="en-US" w:eastAsia="zh-CN"/>
        </w:rPr>
        <w:t>式中：Q</w:t>
      </w:r>
      <w:r>
        <w:rPr>
          <w:rFonts w:hint="eastAsia"/>
          <w:highlight w:val="none"/>
          <w:vertAlign w:val="subscript"/>
          <w:lang w:val="en-US" w:eastAsia="zh-CN"/>
        </w:rPr>
        <w:t>p</w:t>
      </w:r>
      <w:r>
        <w:rPr>
          <w:rFonts w:hint="eastAsia"/>
          <w:highlight w:val="none"/>
          <w:lang w:val="en-US" w:eastAsia="zh-CN"/>
        </w:rPr>
        <w:t>——设计频率暴雨迳流渗入量，m³/d；</w:t>
      </w:r>
    </w:p>
    <w:p w14:paraId="22B42A39">
      <w:pPr>
        <w:pStyle w:val="22"/>
        <w:bidi w:val="0"/>
        <w:rPr>
          <w:rFonts w:hint="eastAsia"/>
          <w:highlight w:val="none"/>
          <w:lang w:val="en-US" w:eastAsia="zh-CN"/>
        </w:rPr>
      </w:pPr>
      <w:r>
        <w:rPr>
          <w:rFonts w:hint="eastAsia"/>
          <w:highlight w:val="none"/>
          <w:lang w:val="en-US" w:eastAsia="zh-CN"/>
        </w:rPr>
        <w:t xml:space="preserve">      H</w:t>
      </w:r>
      <w:r>
        <w:rPr>
          <w:rFonts w:hint="eastAsia"/>
          <w:highlight w:val="none"/>
          <w:vertAlign w:val="subscript"/>
          <w:lang w:val="en-US" w:eastAsia="zh-CN"/>
        </w:rPr>
        <w:t>p</w:t>
      </w:r>
      <w:r>
        <w:rPr>
          <w:rFonts w:hint="eastAsia"/>
          <w:highlight w:val="none"/>
          <w:lang w:val="en-US" w:eastAsia="zh-CN"/>
        </w:rPr>
        <w:t>——设计频率暴雨量，m；</w:t>
      </w:r>
    </w:p>
    <w:p w14:paraId="44A7E75B">
      <w:pPr>
        <w:pStyle w:val="22"/>
        <w:bidi w:val="0"/>
        <w:rPr>
          <w:rFonts w:hint="eastAsia"/>
          <w:highlight w:val="none"/>
          <w:lang w:val="en-US" w:eastAsia="zh-CN"/>
        </w:rPr>
      </w:pPr>
      <w:r>
        <w:rPr>
          <w:rFonts w:hint="eastAsia"/>
          <w:highlight w:val="none"/>
          <w:lang w:val="en-US" w:eastAsia="zh-CN"/>
        </w:rPr>
        <w:t xml:space="preserve">      F——渗水面积，m²；</w:t>
      </w:r>
    </w:p>
    <w:p w14:paraId="1BCA21E2">
      <w:pPr>
        <w:pStyle w:val="22"/>
        <w:bidi w:val="0"/>
        <w:rPr>
          <w:rFonts w:hint="eastAsia"/>
          <w:highlight w:val="none"/>
          <w:lang w:val="en-US" w:eastAsia="zh-CN"/>
        </w:rPr>
      </w:pPr>
      <w:r>
        <w:rPr>
          <w:rFonts w:hint="eastAsia"/>
          <w:highlight w:val="none"/>
          <w:lang w:val="en-US" w:eastAsia="zh-CN"/>
        </w:rPr>
        <w:t xml:space="preserve">      φ</w:t>
      </w:r>
      <w:r>
        <w:rPr>
          <w:rFonts w:hint="eastAsia"/>
          <w:highlight w:val="none"/>
          <w:vertAlign w:val="subscript"/>
          <w:lang w:val="en-US" w:eastAsia="zh-CN"/>
        </w:rPr>
        <w:t>max</w:t>
      </w:r>
      <w:r>
        <w:rPr>
          <w:rFonts w:hint="eastAsia"/>
          <w:highlight w:val="none"/>
          <w:lang w:val="en-US" w:eastAsia="zh-CN"/>
        </w:rPr>
        <w:t>——设计频率暴雨迳流渗入系数。</w:t>
      </w:r>
    </w:p>
    <w:p w14:paraId="5EEDD54B">
      <w:pPr>
        <w:pStyle w:val="22"/>
        <w:bidi w:val="0"/>
        <w:rPr>
          <w:rFonts w:hint="eastAsia"/>
          <w:highlight w:val="none"/>
          <w:lang w:val="en-US" w:eastAsia="zh-CN"/>
        </w:rPr>
      </w:pPr>
      <w:r>
        <w:rPr>
          <w:rFonts w:hint="eastAsia"/>
          <w:highlight w:val="none"/>
          <w:lang w:val="en-US" w:eastAsia="zh-CN"/>
        </w:rPr>
        <w:t>取设计频率暴雨迳流渗入量的10%作为正常降雨迳流渗入量。</w:t>
      </w:r>
    </w:p>
    <w:p w14:paraId="72BA75A4">
      <w:pPr>
        <w:pStyle w:val="22"/>
        <w:bidi w:val="0"/>
        <w:rPr>
          <w:rFonts w:hint="eastAsia"/>
          <w:highlight w:val="none"/>
          <w:lang w:val="en-US" w:eastAsia="zh-CN"/>
        </w:rPr>
      </w:pPr>
      <w:r>
        <w:rPr>
          <w:rFonts w:hint="eastAsia"/>
          <w:highlight w:val="none"/>
          <w:lang w:val="en-US" w:eastAsia="zh-CN"/>
        </w:rPr>
        <w:t>设计频率暴雨迳流渗入量和正常降雨迳流渗入量计算结果见下表。</w:t>
      </w:r>
    </w:p>
    <w:p w14:paraId="0C4A1F74">
      <w:pPr>
        <w:pStyle w:val="31"/>
        <w:bidi w:val="0"/>
        <w:ind w:left="0" w:leftChars="0" w:right="0" w:rightChars="0" w:firstLine="0" w:firstLineChars="0"/>
        <w:jc w:val="center"/>
        <w:rPr>
          <w:rFonts w:hint="eastAsia"/>
          <w:highlight w:val="none"/>
          <w:lang w:val="en-US" w:eastAsia="zh-CN"/>
        </w:rPr>
      </w:pPr>
      <w:r>
        <w:rPr>
          <w:rFonts w:hint="eastAsia"/>
          <w:highlight w:val="none"/>
          <w:lang w:val="en-US" w:eastAsia="zh-CN"/>
        </w:rPr>
        <w:t>表2.3-1  暴雨和正常降雨迳流渗入量</w:t>
      </w:r>
    </w:p>
    <w:tbl>
      <w:tblPr>
        <w:tblStyle w:val="2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81"/>
        <w:gridCol w:w="1438"/>
        <w:gridCol w:w="2096"/>
        <w:gridCol w:w="1715"/>
        <w:gridCol w:w="2067"/>
      </w:tblGrid>
      <w:tr w14:paraId="71C71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pct"/>
            <w:tcBorders>
              <w:tl2br w:val="nil"/>
              <w:tr2bl w:val="nil"/>
            </w:tcBorders>
            <w:noWrap w:val="0"/>
            <w:vAlign w:val="center"/>
          </w:tcPr>
          <w:p w14:paraId="36BFAEC1">
            <w:pPr>
              <w:pStyle w:val="32"/>
              <w:bidi w:val="0"/>
              <w:rPr>
                <w:rFonts w:hint="default"/>
                <w:highlight w:val="none"/>
              </w:rPr>
            </w:pPr>
            <w:r>
              <w:rPr>
                <w:rFonts w:hint="default"/>
                <w:highlight w:val="none"/>
              </w:rPr>
              <w:t>设计频率暴雨量</w:t>
            </w:r>
          </w:p>
          <w:p w14:paraId="4944EB73">
            <w:pPr>
              <w:pStyle w:val="32"/>
              <w:bidi w:val="0"/>
              <w:rPr>
                <w:rFonts w:hint="default"/>
                <w:highlight w:val="none"/>
              </w:rPr>
            </w:pPr>
            <w:r>
              <w:rPr>
                <w:rFonts w:hint="default"/>
                <w:highlight w:val="none"/>
              </w:rPr>
              <w:t>Hp（m）</w:t>
            </w:r>
          </w:p>
        </w:tc>
        <w:tc>
          <w:tcPr>
            <w:tcW w:w="765" w:type="pct"/>
            <w:tcBorders>
              <w:tl2br w:val="nil"/>
              <w:tr2bl w:val="nil"/>
            </w:tcBorders>
            <w:noWrap w:val="0"/>
            <w:vAlign w:val="center"/>
          </w:tcPr>
          <w:p w14:paraId="285A5B67">
            <w:pPr>
              <w:pStyle w:val="32"/>
              <w:bidi w:val="0"/>
              <w:rPr>
                <w:rFonts w:hint="default"/>
                <w:highlight w:val="none"/>
              </w:rPr>
            </w:pPr>
            <w:r>
              <w:rPr>
                <w:rFonts w:hint="default"/>
                <w:highlight w:val="none"/>
              </w:rPr>
              <w:t>渗水面积</w:t>
            </w:r>
          </w:p>
          <w:p w14:paraId="6C7BB63A">
            <w:pPr>
              <w:pStyle w:val="32"/>
              <w:bidi w:val="0"/>
              <w:rPr>
                <w:rFonts w:hint="default"/>
                <w:highlight w:val="none"/>
              </w:rPr>
            </w:pPr>
            <w:r>
              <w:rPr>
                <w:rFonts w:hint="default"/>
                <w:highlight w:val="none"/>
              </w:rPr>
              <w:t>F（</w:t>
            </w:r>
            <w:r>
              <w:rPr>
                <w:rFonts w:hint="default"/>
                <w:highlight w:val="none"/>
                <w:lang w:eastAsia="zh-CN"/>
              </w:rPr>
              <w:t>m²</w:t>
            </w:r>
            <w:r>
              <w:rPr>
                <w:rFonts w:hint="default"/>
                <w:highlight w:val="none"/>
              </w:rPr>
              <w:t>）</w:t>
            </w:r>
          </w:p>
        </w:tc>
        <w:tc>
          <w:tcPr>
            <w:tcW w:w="1115" w:type="pct"/>
            <w:tcBorders>
              <w:tl2br w:val="nil"/>
              <w:tr2bl w:val="nil"/>
            </w:tcBorders>
            <w:noWrap w:val="0"/>
            <w:vAlign w:val="center"/>
          </w:tcPr>
          <w:p w14:paraId="2EAE447D">
            <w:pPr>
              <w:pStyle w:val="32"/>
              <w:bidi w:val="0"/>
              <w:rPr>
                <w:rFonts w:hint="default"/>
                <w:highlight w:val="none"/>
              </w:rPr>
            </w:pPr>
            <w:r>
              <w:rPr>
                <w:rFonts w:hint="default"/>
                <w:highlight w:val="none"/>
              </w:rPr>
              <w:t>设计频率暴雨迳流渗入系数</w:t>
            </w:r>
          </w:p>
          <w:p w14:paraId="510C4DFB">
            <w:pPr>
              <w:pStyle w:val="32"/>
              <w:bidi w:val="0"/>
              <w:rPr>
                <w:rFonts w:hint="default"/>
                <w:highlight w:val="none"/>
              </w:rPr>
            </w:pPr>
            <w:r>
              <w:rPr>
                <w:rFonts w:hint="default"/>
                <w:highlight w:val="none"/>
              </w:rPr>
              <w:t>（φmax）</w:t>
            </w:r>
          </w:p>
        </w:tc>
        <w:tc>
          <w:tcPr>
            <w:tcW w:w="912" w:type="pct"/>
            <w:tcBorders>
              <w:tl2br w:val="nil"/>
              <w:tr2bl w:val="nil"/>
            </w:tcBorders>
            <w:noWrap w:val="0"/>
            <w:vAlign w:val="center"/>
          </w:tcPr>
          <w:p w14:paraId="7984838D">
            <w:pPr>
              <w:pStyle w:val="32"/>
              <w:bidi w:val="0"/>
              <w:rPr>
                <w:rFonts w:hint="default"/>
                <w:highlight w:val="none"/>
              </w:rPr>
            </w:pPr>
            <w:r>
              <w:rPr>
                <w:rFonts w:hint="default"/>
                <w:highlight w:val="none"/>
              </w:rPr>
              <w:t>设计频率暴雨迳流渗入量</w:t>
            </w:r>
          </w:p>
          <w:p w14:paraId="6402D665">
            <w:pPr>
              <w:pStyle w:val="32"/>
              <w:bidi w:val="0"/>
              <w:rPr>
                <w:rFonts w:hint="default"/>
                <w:highlight w:val="none"/>
              </w:rPr>
            </w:pPr>
            <w:r>
              <w:rPr>
                <w:rFonts w:hint="default"/>
                <w:highlight w:val="none"/>
              </w:rPr>
              <w:t>Qp （</w:t>
            </w:r>
            <w:r>
              <w:rPr>
                <w:rFonts w:hint="default"/>
                <w:highlight w:val="none"/>
                <w:lang w:eastAsia="zh-CN"/>
              </w:rPr>
              <w:t>m³</w:t>
            </w:r>
            <w:r>
              <w:rPr>
                <w:rFonts w:hint="default"/>
                <w:highlight w:val="none"/>
              </w:rPr>
              <w:t>/d）</w:t>
            </w:r>
          </w:p>
        </w:tc>
        <w:tc>
          <w:tcPr>
            <w:tcW w:w="1099" w:type="pct"/>
            <w:tcBorders>
              <w:tl2br w:val="nil"/>
              <w:tr2bl w:val="nil"/>
            </w:tcBorders>
            <w:noWrap w:val="0"/>
            <w:vAlign w:val="center"/>
          </w:tcPr>
          <w:p w14:paraId="1F78A623">
            <w:pPr>
              <w:pStyle w:val="32"/>
              <w:bidi w:val="0"/>
              <w:rPr>
                <w:rFonts w:hint="default"/>
                <w:highlight w:val="none"/>
              </w:rPr>
            </w:pPr>
            <w:r>
              <w:rPr>
                <w:rFonts w:hint="default"/>
                <w:highlight w:val="none"/>
              </w:rPr>
              <w:t>正常降雨迳流渗入量</w:t>
            </w:r>
          </w:p>
          <w:p w14:paraId="246C5D59">
            <w:pPr>
              <w:pStyle w:val="32"/>
              <w:bidi w:val="0"/>
              <w:rPr>
                <w:rFonts w:hint="default"/>
                <w:highlight w:val="none"/>
              </w:rPr>
            </w:pPr>
            <w:r>
              <w:rPr>
                <w:rFonts w:hint="default"/>
                <w:highlight w:val="none"/>
              </w:rPr>
              <w:t>Qz （</w:t>
            </w:r>
            <w:r>
              <w:rPr>
                <w:rFonts w:hint="default"/>
                <w:highlight w:val="none"/>
                <w:lang w:eastAsia="zh-CN"/>
              </w:rPr>
              <w:t>m³</w:t>
            </w:r>
            <w:r>
              <w:rPr>
                <w:rFonts w:hint="default"/>
                <w:highlight w:val="none"/>
              </w:rPr>
              <w:t>/d）</w:t>
            </w:r>
          </w:p>
        </w:tc>
      </w:tr>
      <w:tr w14:paraId="53D6B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1107" w:type="pct"/>
            <w:tcBorders>
              <w:tl2br w:val="nil"/>
              <w:tr2bl w:val="nil"/>
            </w:tcBorders>
            <w:noWrap w:val="0"/>
            <w:vAlign w:val="center"/>
          </w:tcPr>
          <w:p w14:paraId="65E4F2B0">
            <w:pPr>
              <w:pStyle w:val="32"/>
              <w:bidi w:val="0"/>
              <w:rPr>
                <w:rFonts w:hint="default"/>
                <w:highlight w:val="none"/>
                <w:lang w:eastAsia="zh-CN"/>
              </w:rPr>
            </w:pPr>
            <w:r>
              <w:rPr>
                <w:rFonts w:hint="default"/>
                <w:highlight w:val="none"/>
                <w:lang w:val="en-US" w:eastAsia="zh-CN"/>
              </w:rPr>
              <w:t>0.155</w:t>
            </w:r>
          </w:p>
        </w:tc>
        <w:tc>
          <w:tcPr>
            <w:tcW w:w="765" w:type="pct"/>
            <w:tcBorders>
              <w:tl2br w:val="nil"/>
              <w:tr2bl w:val="nil"/>
            </w:tcBorders>
            <w:noWrap w:val="0"/>
            <w:vAlign w:val="center"/>
          </w:tcPr>
          <w:p w14:paraId="43F07DDD">
            <w:pPr>
              <w:pStyle w:val="32"/>
              <w:bidi w:val="0"/>
              <w:rPr>
                <w:rFonts w:hint="default"/>
                <w:highlight w:val="none"/>
                <w:lang w:val="en-US" w:eastAsia="zh-CN"/>
              </w:rPr>
            </w:pPr>
            <w:r>
              <w:rPr>
                <w:rFonts w:hint="default"/>
                <w:highlight w:val="none"/>
                <w:lang w:val="en-US" w:eastAsia="zh-CN"/>
              </w:rPr>
              <w:t>88792</w:t>
            </w:r>
          </w:p>
        </w:tc>
        <w:tc>
          <w:tcPr>
            <w:tcW w:w="1115" w:type="pct"/>
            <w:tcBorders>
              <w:tl2br w:val="nil"/>
              <w:tr2bl w:val="nil"/>
            </w:tcBorders>
            <w:noWrap w:val="0"/>
            <w:vAlign w:val="center"/>
          </w:tcPr>
          <w:p w14:paraId="38AEA5C9">
            <w:pPr>
              <w:pStyle w:val="32"/>
              <w:bidi w:val="0"/>
              <w:rPr>
                <w:rFonts w:hint="default"/>
                <w:highlight w:val="none"/>
                <w:lang w:val="en-US" w:eastAsia="zh-CN"/>
              </w:rPr>
            </w:pPr>
            <w:r>
              <w:rPr>
                <w:rFonts w:hint="default"/>
                <w:highlight w:val="none"/>
                <w:lang w:val="en-US" w:eastAsia="zh-CN"/>
              </w:rPr>
              <w:t>0.2</w:t>
            </w:r>
          </w:p>
        </w:tc>
        <w:tc>
          <w:tcPr>
            <w:tcW w:w="912" w:type="pct"/>
            <w:tcBorders>
              <w:tl2br w:val="nil"/>
              <w:tr2bl w:val="nil"/>
            </w:tcBorders>
            <w:noWrap w:val="0"/>
            <w:vAlign w:val="center"/>
          </w:tcPr>
          <w:p w14:paraId="43A12092">
            <w:pPr>
              <w:pStyle w:val="32"/>
              <w:bidi w:val="0"/>
              <w:rPr>
                <w:rFonts w:hint="default"/>
                <w:highlight w:val="none"/>
                <w:lang w:val="en-US" w:eastAsia="zh-CN"/>
              </w:rPr>
            </w:pPr>
            <w:r>
              <w:rPr>
                <w:rFonts w:hint="default"/>
                <w:highlight w:val="none"/>
                <w:lang w:val="en-US" w:eastAsia="zh-CN"/>
              </w:rPr>
              <w:t>2877</w:t>
            </w:r>
          </w:p>
        </w:tc>
        <w:tc>
          <w:tcPr>
            <w:tcW w:w="1099" w:type="pct"/>
            <w:tcBorders>
              <w:tl2br w:val="nil"/>
              <w:tr2bl w:val="nil"/>
            </w:tcBorders>
            <w:noWrap w:val="0"/>
            <w:vAlign w:val="center"/>
          </w:tcPr>
          <w:p w14:paraId="4070FFAC">
            <w:pPr>
              <w:pStyle w:val="32"/>
              <w:bidi w:val="0"/>
              <w:rPr>
                <w:rFonts w:hint="default"/>
                <w:highlight w:val="none"/>
                <w:lang w:val="en-US" w:eastAsia="zh-CN"/>
              </w:rPr>
            </w:pPr>
            <w:r>
              <w:rPr>
                <w:rFonts w:hint="default"/>
                <w:highlight w:val="none"/>
                <w:lang w:val="en-US" w:eastAsia="zh-CN"/>
              </w:rPr>
              <w:t>288</w:t>
            </w:r>
          </w:p>
        </w:tc>
      </w:tr>
    </w:tbl>
    <w:p w14:paraId="11C56C85">
      <w:pPr>
        <w:pStyle w:val="22"/>
        <w:bidi w:val="0"/>
        <w:rPr>
          <w:rFonts w:hint="eastAsia"/>
          <w:highlight w:val="none"/>
          <w:lang w:val="en-US" w:eastAsia="zh-CN"/>
        </w:rPr>
      </w:pPr>
      <w:r>
        <w:rPr>
          <w:rFonts w:hint="eastAsia"/>
          <w:highlight w:val="none"/>
          <w:lang w:val="en-US" w:eastAsia="zh-CN"/>
        </w:rPr>
        <w:t>矿坑总涌水量主要为地下水涌水量、大气降水迳流渗入量、充填管路清洗回水量及生产废水量之和（充填管路清洗回水量为150m³/d，生产用水回收水量为90m</w:t>
      </w:r>
      <w:r>
        <w:rPr>
          <w:rFonts w:hint="eastAsia"/>
          <w:highlight w:val="none"/>
          <w:vertAlign w:val="superscript"/>
          <w:lang w:val="en-US" w:eastAsia="zh-CN"/>
        </w:rPr>
        <w:t>3</w:t>
      </w:r>
      <w:r>
        <w:rPr>
          <w:rFonts w:hint="eastAsia"/>
          <w:highlight w:val="none"/>
          <w:lang w:val="en-US" w:eastAsia="zh-CN"/>
        </w:rPr>
        <w:t>/d）。</w:t>
      </w:r>
    </w:p>
    <w:p w14:paraId="6B92815C">
      <w:pPr>
        <w:pStyle w:val="22"/>
        <w:bidi w:val="0"/>
        <w:rPr>
          <w:rFonts w:hint="eastAsia"/>
          <w:highlight w:val="none"/>
          <w:lang w:val="en-US" w:eastAsia="zh-CN"/>
        </w:rPr>
      </w:pPr>
      <w:r>
        <w:rPr>
          <w:rFonts w:hint="eastAsia"/>
          <w:highlight w:val="none"/>
          <w:lang w:val="en-US" w:eastAsia="zh-CN"/>
        </w:rPr>
        <w:t>计算大气降水径流渗入量时选取的渗水面积包含CK2塌陷坑在内，故大气降水径流渗入量包含CK2塌陷坑的直接汇水量。</w:t>
      </w:r>
    </w:p>
    <w:p w14:paraId="0B42AC4F">
      <w:pPr>
        <w:pStyle w:val="31"/>
        <w:bidi w:val="0"/>
        <w:ind w:left="0" w:leftChars="0" w:right="0" w:rightChars="0" w:firstLine="0" w:firstLineChars="0"/>
        <w:jc w:val="center"/>
        <w:rPr>
          <w:rFonts w:hint="eastAsia"/>
          <w:highlight w:val="none"/>
          <w:lang w:val="en-US" w:eastAsia="zh-CN"/>
        </w:rPr>
      </w:pPr>
      <w:r>
        <w:rPr>
          <w:rFonts w:hint="eastAsia"/>
          <w:highlight w:val="none"/>
          <w:lang w:val="en-US" w:eastAsia="zh-CN"/>
        </w:rPr>
        <w:t>表2.3-2  矿坑正常涌水量及最大涌水量预测表</w:t>
      </w:r>
    </w:p>
    <w:tbl>
      <w:tblPr>
        <w:tblStyle w:val="24"/>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8"/>
        <w:gridCol w:w="4691"/>
      </w:tblGrid>
      <w:tr w14:paraId="02498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504" w:type="pct"/>
            <w:tcBorders>
              <w:tl2br w:val="nil"/>
              <w:tr2bl w:val="nil"/>
            </w:tcBorders>
            <w:noWrap w:val="0"/>
            <w:vAlign w:val="center"/>
          </w:tcPr>
          <w:p w14:paraId="54924B73">
            <w:pPr>
              <w:pStyle w:val="32"/>
              <w:bidi w:val="0"/>
              <w:rPr>
                <w:rFonts w:hint="default"/>
                <w:highlight w:val="none"/>
              </w:rPr>
            </w:pPr>
            <w:r>
              <w:rPr>
                <w:rFonts w:hint="default"/>
                <w:highlight w:val="none"/>
              </w:rPr>
              <w:t>矿坑正常涌水量（</w:t>
            </w:r>
            <w:r>
              <w:rPr>
                <w:rFonts w:hint="default"/>
                <w:highlight w:val="none"/>
                <w:lang w:eastAsia="zh-CN"/>
              </w:rPr>
              <w:t>m³</w:t>
            </w:r>
            <w:r>
              <w:rPr>
                <w:rFonts w:hint="default"/>
                <w:highlight w:val="none"/>
              </w:rPr>
              <w:t>/d)</w:t>
            </w:r>
          </w:p>
        </w:tc>
        <w:tc>
          <w:tcPr>
            <w:tcW w:w="2495" w:type="pct"/>
            <w:tcBorders>
              <w:tl2br w:val="nil"/>
              <w:tr2bl w:val="nil"/>
            </w:tcBorders>
            <w:noWrap w:val="0"/>
            <w:vAlign w:val="center"/>
          </w:tcPr>
          <w:p w14:paraId="306D9A50">
            <w:pPr>
              <w:pStyle w:val="32"/>
              <w:bidi w:val="0"/>
              <w:rPr>
                <w:rFonts w:hint="default"/>
                <w:highlight w:val="none"/>
              </w:rPr>
            </w:pPr>
            <w:r>
              <w:rPr>
                <w:rFonts w:hint="default"/>
                <w:highlight w:val="none"/>
              </w:rPr>
              <w:t>矿坑最大涌水量（</w:t>
            </w:r>
            <w:r>
              <w:rPr>
                <w:rFonts w:hint="default"/>
                <w:highlight w:val="none"/>
                <w:lang w:eastAsia="zh-CN"/>
              </w:rPr>
              <w:t>m³</w:t>
            </w:r>
            <w:r>
              <w:rPr>
                <w:rFonts w:hint="default"/>
                <w:highlight w:val="none"/>
              </w:rPr>
              <w:t>/d)</w:t>
            </w:r>
          </w:p>
        </w:tc>
      </w:tr>
      <w:tr w14:paraId="4B992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504" w:type="pct"/>
            <w:tcBorders>
              <w:tl2br w:val="nil"/>
              <w:tr2bl w:val="nil"/>
            </w:tcBorders>
            <w:noWrap w:val="0"/>
            <w:vAlign w:val="center"/>
          </w:tcPr>
          <w:p w14:paraId="5D38C539">
            <w:pPr>
              <w:pStyle w:val="32"/>
              <w:bidi w:val="0"/>
              <w:rPr>
                <w:rFonts w:hint="default"/>
                <w:highlight w:val="none"/>
                <w:lang w:val="en-US" w:eastAsia="zh-CN"/>
              </w:rPr>
            </w:pPr>
            <w:r>
              <w:rPr>
                <w:rFonts w:hint="eastAsia"/>
                <w:highlight w:val="none"/>
                <w:lang w:val="en-US" w:eastAsia="zh-CN"/>
              </w:rPr>
              <w:t>840.67</w:t>
            </w:r>
          </w:p>
        </w:tc>
        <w:tc>
          <w:tcPr>
            <w:tcW w:w="2495" w:type="pct"/>
            <w:tcBorders>
              <w:tl2br w:val="nil"/>
              <w:tr2bl w:val="nil"/>
            </w:tcBorders>
            <w:noWrap w:val="0"/>
            <w:vAlign w:val="center"/>
          </w:tcPr>
          <w:p w14:paraId="5F649145">
            <w:pPr>
              <w:pStyle w:val="32"/>
              <w:bidi w:val="0"/>
              <w:rPr>
                <w:rFonts w:hint="default"/>
                <w:highlight w:val="none"/>
                <w:lang w:val="en-US" w:eastAsia="zh-CN"/>
              </w:rPr>
            </w:pPr>
            <w:r>
              <w:rPr>
                <w:rFonts w:hint="eastAsia"/>
                <w:highlight w:val="none"/>
                <w:lang w:val="en-US" w:eastAsia="zh-CN"/>
              </w:rPr>
              <w:t>3545.72</w:t>
            </w:r>
          </w:p>
        </w:tc>
      </w:tr>
    </w:tbl>
    <w:p w14:paraId="369DAB95">
      <w:pPr>
        <w:pStyle w:val="22"/>
        <w:bidi w:val="0"/>
        <w:rPr>
          <w:rFonts w:hint="eastAsia"/>
          <w:highlight w:val="none"/>
          <w:lang w:val="en-US" w:eastAsia="zh-CN"/>
        </w:rPr>
      </w:pPr>
      <w:r>
        <w:rPr>
          <w:rFonts w:hint="eastAsia"/>
          <w:highlight w:val="none"/>
          <w:lang w:val="en-US" w:eastAsia="zh-CN"/>
        </w:rPr>
        <w:t>根据计算，正常涌水量840.67m³/d，最大涌水量3545.72m³/d。</w:t>
      </w:r>
    </w:p>
    <w:p w14:paraId="5EA5A453">
      <w:pPr>
        <w:pStyle w:val="22"/>
        <w:numPr>
          <w:ilvl w:val="0"/>
          <w:numId w:val="11"/>
        </w:numPr>
        <w:bidi w:val="0"/>
        <w:rPr>
          <w:rFonts w:hint="default"/>
          <w:highlight w:val="none"/>
          <w:lang w:val="en-US" w:eastAsia="zh-CN"/>
        </w:rPr>
      </w:pPr>
      <w:r>
        <w:rPr>
          <w:rFonts w:hint="default"/>
          <w:highlight w:val="none"/>
          <w:lang w:val="en-US" w:eastAsia="zh-CN"/>
        </w:rPr>
        <w:t>水文地质勘查类型</w:t>
      </w:r>
    </w:p>
    <w:p w14:paraId="1449C45B">
      <w:pPr>
        <w:pStyle w:val="22"/>
        <w:bidi w:val="0"/>
        <w:rPr>
          <w:rFonts w:hint="eastAsia"/>
          <w:highlight w:val="none"/>
        </w:rPr>
      </w:pPr>
      <w:r>
        <w:rPr>
          <w:rFonts w:hint="eastAsia"/>
          <w:highlight w:val="none"/>
        </w:rPr>
        <w:t>根据以上资料总结，矿山主要矿体位于当地侵蚀基准面以下，矿区基岩裂隙水富水性弱，区内未见较大的地表水体，很少的第四系覆盖，主要充水含水层的补给条件差，采空区内局部见少量积水，以往未发生过突水。</w:t>
      </w:r>
    </w:p>
    <w:p w14:paraId="2E60DBB4">
      <w:pPr>
        <w:pStyle w:val="22"/>
        <w:bidi w:val="0"/>
        <w:rPr>
          <w:rFonts w:hint="default"/>
          <w:highlight w:val="none"/>
          <w:lang w:val="en-US" w:eastAsia="zh-CN"/>
        </w:rPr>
      </w:pPr>
      <w:r>
        <w:rPr>
          <w:rFonts w:hint="eastAsia"/>
          <w:highlight w:val="none"/>
        </w:rPr>
        <w:t>根据《矿区水文地质工程地质勘查规范》（GB/T12719-2021），矿区水文地质条件为第二类，矿床以裂隙含水层充水为主，水文地质条件简单。</w:t>
      </w:r>
    </w:p>
    <w:p w14:paraId="2088E2D1">
      <w:pPr>
        <w:pStyle w:val="30"/>
        <w:bidi w:val="0"/>
        <w:rPr>
          <w:rFonts w:hint="default"/>
          <w:highlight w:val="none"/>
          <w:lang w:val="en-US" w:eastAsia="zh-CN"/>
        </w:rPr>
      </w:pPr>
      <w:r>
        <w:rPr>
          <w:rFonts w:hint="eastAsia"/>
          <w:highlight w:val="none"/>
          <w:lang w:val="en-US" w:eastAsia="zh-CN"/>
        </w:rPr>
        <w:t>工程地质概况</w:t>
      </w:r>
    </w:p>
    <w:p w14:paraId="5DB967BB">
      <w:pPr>
        <w:pStyle w:val="22"/>
        <w:numPr>
          <w:ilvl w:val="0"/>
          <w:numId w:val="12"/>
        </w:numPr>
        <w:bidi w:val="0"/>
        <w:rPr>
          <w:rFonts w:hint="default"/>
          <w:highlight w:val="none"/>
          <w:lang w:val="en-US" w:eastAsia="zh-CN"/>
        </w:rPr>
      </w:pPr>
      <w:r>
        <w:rPr>
          <w:rFonts w:hint="default"/>
          <w:highlight w:val="none"/>
          <w:lang w:val="en-US" w:eastAsia="zh-CN"/>
        </w:rPr>
        <w:t>工程地质岩组特征</w:t>
      </w:r>
    </w:p>
    <w:p w14:paraId="653C8E43">
      <w:pPr>
        <w:pStyle w:val="22"/>
        <w:bidi w:val="0"/>
        <w:rPr>
          <w:rFonts w:hint="default"/>
          <w:highlight w:val="none"/>
        </w:rPr>
      </w:pPr>
      <w:r>
        <w:rPr>
          <w:rFonts w:hint="default"/>
          <w:highlight w:val="none"/>
        </w:rPr>
        <w:t>工程地质岩组划分是研究岩体结构和岩体稳定性的基础，岩组的划分是在地层划分的基础上，本次针对矿体围岩和铁矿体共采集6个样品进行岩石物理力学指标测试，见表</w:t>
      </w:r>
      <w:r>
        <w:rPr>
          <w:rFonts w:hint="eastAsia"/>
          <w:highlight w:val="none"/>
          <w:lang w:val="en-US" w:eastAsia="zh-CN"/>
        </w:rPr>
        <w:t>2.3</w:t>
      </w:r>
      <w:r>
        <w:rPr>
          <w:rFonts w:hint="default"/>
          <w:highlight w:val="none"/>
        </w:rPr>
        <w:t>-</w:t>
      </w:r>
      <w:r>
        <w:rPr>
          <w:rFonts w:hint="eastAsia"/>
          <w:highlight w:val="none"/>
          <w:lang w:val="en-US" w:eastAsia="zh-CN"/>
        </w:rPr>
        <w:t>3</w:t>
      </w:r>
      <w:r>
        <w:rPr>
          <w:rFonts w:hint="default"/>
          <w:highlight w:val="none"/>
        </w:rPr>
        <w:t>。</w:t>
      </w:r>
    </w:p>
    <w:p w14:paraId="3B756911">
      <w:pPr>
        <w:pStyle w:val="22"/>
        <w:bidi w:val="0"/>
        <w:rPr>
          <w:rFonts w:hint="default"/>
          <w:highlight w:val="none"/>
          <w:lang w:val="en-US" w:eastAsia="zh-CN"/>
        </w:rPr>
      </w:pPr>
      <w:r>
        <w:rPr>
          <w:rFonts w:hint="default"/>
          <w:highlight w:val="none"/>
        </w:rPr>
        <w:t>根据岩石力学试验结果按单轴抗压强度划分，中细粒黑云母二长花岗岩抗压强度值为127.7～156.3MPa，岩石强度为坚硬岩；滑石化透闪岩抗压强度值为59.5～65.5MPa，岩石强度为坚硬岩；磁铁石英岩抗压强度值为67.4MPa，岩石强度为坚硬岩。以上说明</w:t>
      </w:r>
      <w:r>
        <w:rPr>
          <w:rFonts w:hint="eastAsia"/>
          <w:highlight w:val="none"/>
          <w:lang w:val="en-US" w:eastAsia="zh-CN"/>
        </w:rPr>
        <w:t>矿</w:t>
      </w:r>
      <w:r>
        <w:rPr>
          <w:rFonts w:hint="default"/>
          <w:highlight w:val="none"/>
        </w:rPr>
        <w:t>区岩石强度较大，所见的矿体的稳定性较好。</w:t>
      </w:r>
    </w:p>
    <w:p w14:paraId="4D1FCB38">
      <w:pPr>
        <w:pStyle w:val="31"/>
        <w:bidi w:val="0"/>
        <w:rPr>
          <w:rFonts w:hint="default"/>
          <w:highlight w:val="none"/>
          <w:lang w:val="en-US" w:eastAsia="zh-CN"/>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3  岩石物理力学性质试验成果表</w:t>
      </w:r>
    </w:p>
    <w:tbl>
      <w:tblPr>
        <w:tblStyle w:val="24"/>
        <w:tblW w:w="4998" w:type="pct"/>
        <w:jc w:val="center"/>
        <w:tblLayout w:type="autofit"/>
        <w:tblCellMar>
          <w:top w:w="0" w:type="dxa"/>
          <w:left w:w="108" w:type="dxa"/>
          <w:bottom w:w="0" w:type="dxa"/>
          <w:right w:w="108" w:type="dxa"/>
        </w:tblCellMar>
      </w:tblPr>
      <w:tblGrid>
        <w:gridCol w:w="1226"/>
        <w:gridCol w:w="3226"/>
        <w:gridCol w:w="1784"/>
        <w:gridCol w:w="1935"/>
        <w:gridCol w:w="1226"/>
      </w:tblGrid>
      <w:tr w14:paraId="649C324A">
        <w:tblPrEx>
          <w:tblCellMar>
            <w:top w:w="0" w:type="dxa"/>
            <w:left w:w="108" w:type="dxa"/>
            <w:bottom w:w="0" w:type="dxa"/>
            <w:right w:w="108" w:type="dxa"/>
          </w:tblCellMar>
        </w:tblPrEx>
        <w:trPr>
          <w:trHeight w:val="285" w:hRule="atLeast"/>
          <w:jc w:val="center"/>
        </w:trPr>
        <w:tc>
          <w:tcPr>
            <w:tcW w:w="65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3691758">
            <w:pPr>
              <w:pStyle w:val="32"/>
              <w:bidi w:val="0"/>
              <w:rPr>
                <w:rFonts w:hint="eastAsia"/>
                <w:highlight w:val="none"/>
                <w:lang w:val="en-US" w:eastAsia="zh-CN"/>
              </w:rPr>
            </w:pPr>
            <w:r>
              <w:rPr>
                <w:rFonts w:hint="eastAsia"/>
                <w:highlight w:val="none"/>
                <w:lang w:val="en-US" w:eastAsia="zh-CN"/>
              </w:rPr>
              <w:t>化验编号</w:t>
            </w:r>
          </w:p>
        </w:tc>
        <w:tc>
          <w:tcPr>
            <w:tcW w:w="171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F67F1C9">
            <w:pPr>
              <w:pStyle w:val="32"/>
              <w:bidi w:val="0"/>
              <w:rPr>
                <w:rFonts w:hint="eastAsia"/>
                <w:highlight w:val="none"/>
                <w:lang w:val="en-US" w:eastAsia="zh-CN"/>
              </w:rPr>
            </w:pPr>
            <w:r>
              <w:rPr>
                <w:rFonts w:hint="eastAsia"/>
                <w:highlight w:val="none"/>
                <w:lang w:val="en-US" w:eastAsia="zh-CN"/>
              </w:rPr>
              <w:t>岩性</w:t>
            </w:r>
          </w:p>
        </w:tc>
        <w:tc>
          <w:tcPr>
            <w:tcW w:w="94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A9F8EB8">
            <w:pPr>
              <w:pStyle w:val="32"/>
              <w:bidi w:val="0"/>
              <w:rPr>
                <w:rFonts w:hint="eastAsia"/>
                <w:highlight w:val="none"/>
                <w:lang w:val="en-US" w:eastAsia="zh-CN"/>
              </w:rPr>
            </w:pPr>
            <w:r>
              <w:rPr>
                <w:rFonts w:hint="eastAsia"/>
                <w:highlight w:val="none"/>
                <w:lang w:val="en-US" w:eastAsia="zh-CN"/>
              </w:rPr>
              <w:t>单轴抗压强度</w:t>
            </w:r>
            <w:r>
              <w:rPr>
                <w:rFonts w:hint="eastAsia"/>
                <w:highlight w:val="none"/>
                <w:lang w:val="en-US" w:eastAsia="zh-CN"/>
              </w:rPr>
              <w:br w:type="textWrapping"/>
            </w:r>
            <w:r>
              <w:rPr>
                <w:rFonts w:hint="eastAsia"/>
                <w:highlight w:val="none"/>
                <w:lang w:val="en-US" w:eastAsia="zh-CN"/>
              </w:rPr>
              <w:t>（MPa）</w:t>
            </w:r>
          </w:p>
        </w:tc>
        <w:tc>
          <w:tcPr>
            <w:tcW w:w="1029" w:type="pct"/>
            <w:tcBorders>
              <w:top w:val="single" w:color="auto" w:sz="4" w:space="0"/>
              <w:left w:val="nil"/>
              <w:bottom w:val="single" w:color="auto" w:sz="4" w:space="0"/>
              <w:right w:val="single" w:color="auto" w:sz="4" w:space="0"/>
            </w:tcBorders>
            <w:shd w:val="clear" w:color="auto" w:fill="auto"/>
            <w:noWrap/>
            <w:vAlign w:val="center"/>
          </w:tcPr>
          <w:p w14:paraId="33720B89">
            <w:pPr>
              <w:pStyle w:val="32"/>
              <w:bidi w:val="0"/>
              <w:rPr>
                <w:rFonts w:hint="eastAsia"/>
                <w:highlight w:val="none"/>
                <w:lang w:val="en-US" w:eastAsia="zh-CN"/>
              </w:rPr>
            </w:pPr>
            <w:r>
              <w:rPr>
                <w:rFonts w:hint="eastAsia"/>
                <w:highlight w:val="none"/>
                <w:lang w:val="en-US" w:eastAsia="zh-CN"/>
              </w:rPr>
              <w:t>抗剪强度</w:t>
            </w:r>
          </w:p>
        </w:tc>
        <w:tc>
          <w:tcPr>
            <w:tcW w:w="65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2F7195">
            <w:pPr>
              <w:pStyle w:val="32"/>
              <w:bidi w:val="0"/>
              <w:rPr>
                <w:rFonts w:hint="eastAsia"/>
                <w:highlight w:val="none"/>
                <w:lang w:val="en-US" w:eastAsia="zh-CN"/>
              </w:rPr>
            </w:pPr>
            <w:r>
              <w:rPr>
                <w:rFonts w:hint="eastAsia"/>
                <w:highlight w:val="none"/>
                <w:lang w:val="en-US" w:eastAsia="zh-CN"/>
              </w:rPr>
              <w:t>抗拉强度</w:t>
            </w:r>
            <w:r>
              <w:rPr>
                <w:rFonts w:hint="eastAsia"/>
                <w:highlight w:val="none"/>
                <w:lang w:val="en-US" w:eastAsia="zh-CN"/>
              </w:rPr>
              <w:br w:type="textWrapping"/>
            </w:r>
            <w:r>
              <w:rPr>
                <w:rFonts w:hint="eastAsia"/>
                <w:highlight w:val="none"/>
                <w:lang w:val="en-US" w:eastAsia="zh-CN"/>
              </w:rPr>
              <w:t>（MPa）</w:t>
            </w:r>
          </w:p>
        </w:tc>
      </w:tr>
      <w:tr w14:paraId="17C53786">
        <w:tblPrEx>
          <w:tblCellMar>
            <w:top w:w="0" w:type="dxa"/>
            <w:left w:w="108" w:type="dxa"/>
            <w:bottom w:w="0" w:type="dxa"/>
            <w:right w:w="108" w:type="dxa"/>
          </w:tblCellMar>
        </w:tblPrEx>
        <w:trPr>
          <w:trHeight w:val="285" w:hRule="atLeast"/>
          <w:jc w:val="center"/>
        </w:trPr>
        <w:tc>
          <w:tcPr>
            <w:tcW w:w="652" w:type="pct"/>
            <w:vMerge w:val="continue"/>
            <w:tcBorders>
              <w:top w:val="single" w:color="auto" w:sz="4" w:space="0"/>
              <w:left w:val="single" w:color="auto" w:sz="4" w:space="0"/>
              <w:bottom w:val="single" w:color="auto" w:sz="4" w:space="0"/>
              <w:right w:val="single" w:color="auto" w:sz="4" w:space="0"/>
            </w:tcBorders>
            <w:vAlign w:val="center"/>
          </w:tcPr>
          <w:p w14:paraId="37F201C9">
            <w:pPr>
              <w:pStyle w:val="32"/>
              <w:bidi w:val="0"/>
              <w:rPr>
                <w:rFonts w:hint="eastAsia"/>
                <w:highlight w:val="none"/>
                <w:lang w:val="en-US" w:eastAsia="zh-CN"/>
              </w:rPr>
            </w:pPr>
          </w:p>
        </w:tc>
        <w:tc>
          <w:tcPr>
            <w:tcW w:w="1716" w:type="pct"/>
            <w:vMerge w:val="continue"/>
            <w:tcBorders>
              <w:top w:val="single" w:color="auto" w:sz="4" w:space="0"/>
              <w:left w:val="single" w:color="auto" w:sz="4" w:space="0"/>
              <w:bottom w:val="single" w:color="auto" w:sz="4" w:space="0"/>
              <w:right w:val="single" w:color="auto" w:sz="4" w:space="0"/>
            </w:tcBorders>
            <w:vAlign w:val="center"/>
          </w:tcPr>
          <w:p w14:paraId="0327B3E4">
            <w:pPr>
              <w:pStyle w:val="32"/>
              <w:bidi w:val="0"/>
              <w:rPr>
                <w:rFonts w:hint="eastAsia"/>
                <w:highlight w:val="none"/>
                <w:lang w:val="en-US" w:eastAsia="zh-CN"/>
              </w:rPr>
            </w:pPr>
          </w:p>
        </w:tc>
        <w:tc>
          <w:tcPr>
            <w:tcW w:w="949" w:type="pct"/>
            <w:vMerge w:val="continue"/>
            <w:tcBorders>
              <w:top w:val="single" w:color="auto" w:sz="4" w:space="0"/>
              <w:left w:val="single" w:color="auto" w:sz="4" w:space="0"/>
              <w:bottom w:val="single" w:color="auto" w:sz="4" w:space="0"/>
              <w:right w:val="single" w:color="auto" w:sz="4" w:space="0"/>
            </w:tcBorders>
            <w:vAlign w:val="center"/>
          </w:tcPr>
          <w:p w14:paraId="4166D2DE">
            <w:pPr>
              <w:pStyle w:val="32"/>
              <w:bidi w:val="0"/>
              <w:rPr>
                <w:rFonts w:hint="eastAsia"/>
                <w:highlight w:val="none"/>
                <w:lang w:val="en-US" w:eastAsia="zh-CN"/>
              </w:rPr>
            </w:pPr>
          </w:p>
        </w:tc>
        <w:tc>
          <w:tcPr>
            <w:tcW w:w="1029" w:type="pct"/>
            <w:tcBorders>
              <w:top w:val="nil"/>
              <w:left w:val="nil"/>
              <w:bottom w:val="single" w:color="auto" w:sz="4" w:space="0"/>
              <w:right w:val="single" w:color="auto" w:sz="4" w:space="0"/>
            </w:tcBorders>
            <w:shd w:val="clear" w:color="auto" w:fill="auto"/>
            <w:noWrap/>
            <w:vAlign w:val="center"/>
          </w:tcPr>
          <w:p w14:paraId="0F0A4F6E">
            <w:pPr>
              <w:pStyle w:val="32"/>
              <w:bidi w:val="0"/>
              <w:rPr>
                <w:rFonts w:hint="eastAsia"/>
                <w:highlight w:val="none"/>
                <w:lang w:val="en-US" w:eastAsia="zh-CN"/>
              </w:rPr>
            </w:pPr>
            <w:r>
              <w:rPr>
                <w:rFonts w:hint="eastAsia"/>
                <w:highlight w:val="none"/>
                <w:lang w:val="en-US" w:eastAsia="zh-CN"/>
              </w:rPr>
              <w:t>粘聚力（MPa）</w:t>
            </w:r>
          </w:p>
        </w:tc>
        <w:tc>
          <w:tcPr>
            <w:tcW w:w="652" w:type="pct"/>
            <w:vMerge w:val="continue"/>
            <w:tcBorders>
              <w:top w:val="single" w:color="auto" w:sz="4" w:space="0"/>
              <w:left w:val="single" w:color="auto" w:sz="4" w:space="0"/>
              <w:bottom w:val="single" w:color="auto" w:sz="4" w:space="0"/>
              <w:right w:val="single" w:color="auto" w:sz="4" w:space="0"/>
            </w:tcBorders>
            <w:vAlign w:val="center"/>
          </w:tcPr>
          <w:p w14:paraId="6EA72759">
            <w:pPr>
              <w:pStyle w:val="32"/>
              <w:bidi w:val="0"/>
              <w:rPr>
                <w:rFonts w:hint="eastAsia"/>
                <w:highlight w:val="none"/>
                <w:lang w:val="en-US" w:eastAsia="zh-CN"/>
              </w:rPr>
            </w:pPr>
          </w:p>
        </w:tc>
      </w:tr>
      <w:tr w14:paraId="4E94CD4A">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0107A99E">
            <w:pPr>
              <w:pStyle w:val="32"/>
              <w:bidi w:val="0"/>
              <w:rPr>
                <w:rFonts w:hint="eastAsia"/>
                <w:highlight w:val="none"/>
                <w:lang w:val="en-US" w:eastAsia="zh-CN"/>
              </w:rPr>
            </w:pPr>
            <w:r>
              <w:rPr>
                <w:rFonts w:hint="eastAsia"/>
                <w:highlight w:val="none"/>
                <w:lang w:val="en-US" w:eastAsia="zh-CN"/>
              </w:rPr>
              <w:t>LX1</w:t>
            </w:r>
          </w:p>
        </w:tc>
        <w:tc>
          <w:tcPr>
            <w:tcW w:w="1716" w:type="pct"/>
            <w:tcBorders>
              <w:top w:val="nil"/>
              <w:left w:val="nil"/>
              <w:bottom w:val="single" w:color="auto" w:sz="4" w:space="0"/>
              <w:right w:val="single" w:color="auto" w:sz="4" w:space="0"/>
            </w:tcBorders>
            <w:shd w:val="clear" w:color="auto" w:fill="auto"/>
            <w:noWrap/>
            <w:vAlign w:val="center"/>
          </w:tcPr>
          <w:p w14:paraId="6DA89113">
            <w:pPr>
              <w:pStyle w:val="32"/>
              <w:bidi w:val="0"/>
              <w:rPr>
                <w:rFonts w:hint="eastAsia"/>
                <w:highlight w:val="none"/>
                <w:lang w:val="en-US" w:eastAsia="zh-CN"/>
              </w:rPr>
            </w:pPr>
            <w:r>
              <w:rPr>
                <w:rFonts w:hint="eastAsia"/>
                <w:highlight w:val="none"/>
                <w:lang w:val="en-US" w:eastAsia="zh-CN"/>
              </w:rPr>
              <w:t>中细粒黑云母二长花岗岩</w:t>
            </w:r>
          </w:p>
        </w:tc>
        <w:tc>
          <w:tcPr>
            <w:tcW w:w="949" w:type="pct"/>
            <w:tcBorders>
              <w:top w:val="nil"/>
              <w:left w:val="nil"/>
              <w:bottom w:val="single" w:color="auto" w:sz="4" w:space="0"/>
              <w:right w:val="single" w:color="auto" w:sz="4" w:space="0"/>
            </w:tcBorders>
            <w:shd w:val="clear" w:color="auto" w:fill="auto"/>
            <w:noWrap/>
            <w:vAlign w:val="center"/>
          </w:tcPr>
          <w:p w14:paraId="1A10EED8">
            <w:pPr>
              <w:pStyle w:val="32"/>
              <w:bidi w:val="0"/>
              <w:rPr>
                <w:rFonts w:hint="eastAsia"/>
                <w:highlight w:val="none"/>
                <w:lang w:val="en-US" w:eastAsia="zh-CN"/>
              </w:rPr>
            </w:pPr>
            <w:r>
              <w:rPr>
                <w:rFonts w:hint="eastAsia"/>
                <w:highlight w:val="none"/>
                <w:lang w:val="en-US" w:eastAsia="zh-CN"/>
              </w:rPr>
              <w:t>135.8</w:t>
            </w:r>
          </w:p>
        </w:tc>
        <w:tc>
          <w:tcPr>
            <w:tcW w:w="1029" w:type="pct"/>
            <w:tcBorders>
              <w:top w:val="nil"/>
              <w:left w:val="nil"/>
              <w:bottom w:val="single" w:color="auto" w:sz="4" w:space="0"/>
              <w:right w:val="single" w:color="auto" w:sz="4" w:space="0"/>
            </w:tcBorders>
            <w:shd w:val="clear" w:color="auto" w:fill="auto"/>
            <w:noWrap/>
            <w:vAlign w:val="center"/>
          </w:tcPr>
          <w:p w14:paraId="417AEDFF">
            <w:pPr>
              <w:pStyle w:val="32"/>
              <w:bidi w:val="0"/>
              <w:rPr>
                <w:rFonts w:hint="eastAsia"/>
                <w:highlight w:val="none"/>
                <w:lang w:val="en-US" w:eastAsia="zh-CN"/>
              </w:rPr>
            </w:pPr>
            <w:r>
              <w:rPr>
                <w:rFonts w:hint="eastAsia"/>
                <w:highlight w:val="none"/>
                <w:lang w:val="en-US" w:eastAsia="zh-CN"/>
              </w:rPr>
              <w:t>3.94</w:t>
            </w:r>
          </w:p>
        </w:tc>
        <w:tc>
          <w:tcPr>
            <w:tcW w:w="652" w:type="pct"/>
            <w:tcBorders>
              <w:top w:val="nil"/>
              <w:left w:val="nil"/>
              <w:bottom w:val="single" w:color="auto" w:sz="4" w:space="0"/>
              <w:right w:val="single" w:color="auto" w:sz="4" w:space="0"/>
            </w:tcBorders>
            <w:shd w:val="clear" w:color="auto" w:fill="auto"/>
            <w:noWrap/>
            <w:vAlign w:val="center"/>
          </w:tcPr>
          <w:p w14:paraId="1E819EDA">
            <w:pPr>
              <w:pStyle w:val="32"/>
              <w:bidi w:val="0"/>
              <w:rPr>
                <w:rFonts w:hint="eastAsia"/>
                <w:highlight w:val="none"/>
                <w:lang w:val="en-US" w:eastAsia="zh-CN"/>
              </w:rPr>
            </w:pPr>
            <w:r>
              <w:rPr>
                <w:rFonts w:hint="eastAsia"/>
                <w:highlight w:val="none"/>
                <w:lang w:val="en-US" w:eastAsia="zh-CN"/>
              </w:rPr>
              <w:t>4.48</w:t>
            </w:r>
          </w:p>
        </w:tc>
      </w:tr>
      <w:tr w14:paraId="649D1C0A">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4F66EE26">
            <w:pPr>
              <w:pStyle w:val="32"/>
              <w:bidi w:val="0"/>
              <w:rPr>
                <w:rFonts w:hint="eastAsia"/>
                <w:highlight w:val="none"/>
                <w:lang w:val="en-US" w:eastAsia="zh-CN"/>
              </w:rPr>
            </w:pPr>
            <w:r>
              <w:rPr>
                <w:rFonts w:hint="eastAsia"/>
                <w:highlight w:val="none"/>
                <w:lang w:val="en-US" w:eastAsia="zh-CN"/>
              </w:rPr>
              <w:t>LX2</w:t>
            </w:r>
          </w:p>
        </w:tc>
        <w:tc>
          <w:tcPr>
            <w:tcW w:w="1716" w:type="pct"/>
            <w:tcBorders>
              <w:top w:val="nil"/>
              <w:left w:val="nil"/>
              <w:bottom w:val="single" w:color="auto" w:sz="4" w:space="0"/>
              <w:right w:val="single" w:color="auto" w:sz="4" w:space="0"/>
            </w:tcBorders>
            <w:shd w:val="clear" w:color="auto" w:fill="auto"/>
            <w:noWrap/>
            <w:vAlign w:val="center"/>
          </w:tcPr>
          <w:p w14:paraId="0543798C">
            <w:pPr>
              <w:pStyle w:val="32"/>
              <w:bidi w:val="0"/>
              <w:rPr>
                <w:rFonts w:hint="eastAsia"/>
                <w:highlight w:val="none"/>
                <w:lang w:val="en-US" w:eastAsia="zh-CN"/>
              </w:rPr>
            </w:pPr>
            <w:r>
              <w:rPr>
                <w:rFonts w:hint="eastAsia"/>
                <w:highlight w:val="none"/>
                <w:lang w:val="en-US" w:eastAsia="zh-CN"/>
              </w:rPr>
              <w:t>中细粒黑云母二长花岗岩</w:t>
            </w:r>
          </w:p>
        </w:tc>
        <w:tc>
          <w:tcPr>
            <w:tcW w:w="949" w:type="pct"/>
            <w:tcBorders>
              <w:top w:val="nil"/>
              <w:left w:val="nil"/>
              <w:bottom w:val="single" w:color="auto" w:sz="4" w:space="0"/>
              <w:right w:val="single" w:color="auto" w:sz="4" w:space="0"/>
            </w:tcBorders>
            <w:shd w:val="clear" w:color="auto" w:fill="auto"/>
            <w:noWrap/>
            <w:vAlign w:val="center"/>
          </w:tcPr>
          <w:p w14:paraId="795679FF">
            <w:pPr>
              <w:pStyle w:val="32"/>
              <w:bidi w:val="0"/>
              <w:rPr>
                <w:rFonts w:hint="eastAsia"/>
                <w:highlight w:val="none"/>
                <w:lang w:val="en-US" w:eastAsia="zh-CN"/>
              </w:rPr>
            </w:pPr>
            <w:r>
              <w:rPr>
                <w:rFonts w:hint="eastAsia"/>
                <w:highlight w:val="none"/>
                <w:lang w:val="en-US" w:eastAsia="zh-CN"/>
              </w:rPr>
              <w:t>156.3</w:t>
            </w:r>
          </w:p>
        </w:tc>
        <w:tc>
          <w:tcPr>
            <w:tcW w:w="1029" w:type="pct"/>
            <w:tcBorders>
              <w:top w:val="nil"/>
              <w:left w:val="nil"/>
              <w:bottom w:val="single" w:color="auto" w:sz="4" w:space="0"/>
              <w:right w:val="single" w:color="auto" w:sz="4" w:space="0"/>
            </w:tcBorders>
            <w:shd w:val="clear" w:color="auto" w:fill="auto"/>
            <w:noWrap/>
            <w:vAlign w:val="center"/>
          </w:tcPr>
          <w:p w14:paraId="1E32FE84">
            <w:pPr>
              <w:pStyle w:val="32"/>
              <w:bidi w:val="0"/>
              <w:rPr>
                <w:rFonts w:hint="eastAsia"/>
                <w:highlight w:val="none"/>
                <w:lang w:val="en-US" w:eastAsia="zh-CN"/>
              </w:rPr>
            </w:pPr>
            <w:r>
              <w:rPr>
                <w:rFonts w:hint="eastAsia"/>
                <w:highlight w:val="none"/>
                <w:lang w:val="en-US" w:eastAsia="zh-CN"/>
              </w:rPr>
              <w:t>4.46</w:t>
            </w:r>
          </w:p>
        </w:tc>
        <w:tc>
          <w:tcPr>
            <w:tcW w:w="652" w:type="pct"/>
            <w:tcBorders>
              <w:top w:val="nil"/>
              <w:left w:val="nil"/>
              <w:bottom w:val="single" w:color="auto" w:sz="4" w:space="0"/>
              <w:right w:val="single" w:color="auto" w:sz="4" w:space="0"/>
            </w:tcBorders>
            <w:shd w:val="clear" w:color="auto" w:fill="auto"/>
            <w:noWrap/>
            <w:vAlign w:val="center"/>
          </w:tcPr>
          <w:p w14:paraId="4F30CD9F">
            <w:pPr>
              <w:pStyle w:val="32"/>
              <w:bidi w:val="0"/>
              <w:rPr>
                <w:rFonts w:hint="eastAsia"/>
                <w:highlight w:val="none"/>
                <w:lang w:val="en-US" w:eastAsia="zh-CN"/>
              </w:rPr>
            </w:pPr>
            <w:r>
              <w:rPr>
                <w:rFonts w:hint="eastAsia"/>
                <w:highlight w:val="none"/>
                <w:lang w:val="en-US" w:eastAsia="zh-CN"/>
              </w:rPr>
              <w:t>5.15</w:t>
            </w:r>
          </w:p>
        </w:tc>
      </w:tr>
      <w:tr w14:paraId="7D51A4B2">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7E741304">
            <w:pPr>
              <w:pStyle w:val="32"/>
              <w:bidi w:val="0"/>
              <w:rPr>
                <w:rFonts w:hint="eastAsia"/>
                <w:highlight w:val="none"/>
                <w:lang w:val="en-US" w:eastAsia="zh-CN"/>
              </w:rPr>
            </w:pPr>
            <w:r>
              <w:rPr>
                <w:rFonts w:hint="eastAsia"/>
                <w:highlight w:val="none"/>
                <w:lang w:val="en-US" w:eastAsia="zh-CN"/>
              </w:rPr>
              <w:t>LX3</w:t>
            </w:r>
          </w:p>
        </w:tc>
        <w:tc>
          <w:tcPr>
            <w:tcW w:w="1716" w:type="pct"/>
            <w:tcBorders>
              <w:top w:val="nil"/>
              <w:left w:val="nil"/>
              <w:bottom w:val="single" w:color="auto" w:sz="4" w:space="0"/>
              <w:right w:val="single" w:color="auto" w:sz="4" w:space="0"/>
            </w:tcBorders>
            <w:shd w:val="clear" w:color="auto" w:fill="auto"/>
            <w:noWrap/>
            <w:vAlign w:val="center"/>
          </w:tcPr>
          <w:p w14:paraId="26C0612E">
            <w:pPr>
              <w:pStyle w:val="32"/>
              <w:bidi w:val="0"/>
              <w:rPr>
                <w:rFonts w:hint="eastAsia"/>
                <w:highlight w:val="none"/>
                <w:lang w:val="en-US" w:eastAsia="zh-CN"/>
              </w:rPr>
            </w:pPr>
            <w:r>
              <w:rPr>
                <w:rFonts w:hint="eastAsia"/>
                <w:highlight w:val="none"/>
                <w:lang w:val="en-US" w:eastAsia="zh-CN"/>
              </w:rPr>
              <w:t>磁铁石英岩</w:t>
            </w:r>
          </w:p>
        </w:tc>
        <w:tc>
          <w:tcPr>
            <w:tcW w:w="949" w:type="pct"/>
            <w:tcBorders>
              <w:top w:val="nil"/>
              <w:left w:val="nil"/>
              <w:bottom w:val="single" w:color="auto" w:sz="4" w:space="0"/>
              <w:right w:val="single" w:color="auto" w:sz="4" w:space="0"/>
            </w:tcBorders>
            <w:shd w:val="clear" w:color="auto" w:fill="auto"/>
            <w:noWrap/>
            <w:vAlign w:val="center"/>
          </w:tcPr>
          <w:p w14:paraId="4865018E">
            <w:pPr>
              <w:pStyle w:val="32"/>
              <w:bidi w:val="0"/>
              <w:rPr>
                <w:rFonts w:hint="eastAsia"/>
                <w:highlight w:val="none"/>
                <w:lang w:val="en-US" w:eastAsia="zh-CN"/>
              </w:rPr>
            </w:pPr>
            <w:r>
              <w:rPr>
                <w:rFonts w:hint="eastAsia"/>
                <w:highlight w:val="none"/>
                <w:lang w:val="en-US" w:eastAsia="zh-CN"/>
              </w:rPr>
              <w:t>67.4</w:t>
            </w:r>
          </w:p>
        </w:tc>
        <w:tc>
          <w:tcPr>
            <w:tcW w:w="1029" w:type="pct"/>
            <w:tcBorders>
              <w:top w:val="nil"/>
              <w:left w:val="nil"/>
              <w:bottom w:val="single" w:color="auto" w:sz="4" w:space="0"/>
              <w:right w:val="single" w:color="auto" w:sz="4" w:space="0"/>
            </w:tcBorders>
            <w:shd w:val="clear" w:color="auto" w:fill="auto"/>
            <w:noWrap/>
            <w:vAlign w:val="center"/>
          </w:tcPr>
          <w:p w14:paraId="0BF4E966">
            <w:pPr>
              <w:pStyle w:val="32"/>
              <w:bidi w:val="0"/>
              <w:rPr>
                <w:rFonts w:hint="eastAsia"/>
                <w:highlight w:val="none"/>
                <w:lang w:val="en-US" w:eastAsia="zh-CN"/>
              </w:rPr>
            </w:pPr>
            <w:r>
              <w:rPr>
                <w:rFonts w:hint="eastAsia"/>
                <w:highlight w:val="none"/>
                <w:lang w:val="en-US" w:eastAsia="zh-CN"/>
              </w:rPr>
              <w:t>1.94</w:t>
            </w:r>
          </w:p>
        </w:tc>
        <w:tc>
          <w:tcPr>
            <w:tcW w:w="652" w:type="pct"/>
            <w:tcBorders>
              <w:top w:val="nil"/>
              <w:left w:val="nil"/>
              <w:bottom w:val="single" w:color="auto" w:sz="4" w:space="0"/>
              <w:right w:val="single" w:color="auto" w:sz="4" w:space="0"/>
            </w:tcBorders>
            <w:shd w:val="clear" w:color="auto" w:fill="auto"/>
            <w:noWrap/>
            <w:vAlign w:val="center"/>
          </w:tcPr>
          <w:p w14:paraId="17AAC314">
            <w:pPr>
              <w:pStyle w:val="32"/>
              <w:bidi w:val="0"/>
              <w:rPr>
                <w:rFonts w:hint="eastAsia"/>
                <w:highlight w:val="none"/>
                <w:lang w:val="en-US" w:eastAsia="zh-CN"/>
              </w:rPr>
            </w:pPr>
            <w:r>
              <w:rPr>
                <w:rFonts w:hint="eastAsia"/>
                <w:highlight w:val="none"/>
                <w:lang w:val="en-US" w:eastAsia="zh-CN"/>
              </w:rPr>
              <w:t>2.22</w:t>
            </w:r>
          </w:p>
        </w:tc>
      </w:tr>
      <w:tr w14:paraId="38DB3043">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1F2FCCFD">
            <w:pPr>
              <w:pStyle w:val="32"/>
              <w:bidi w:val="0"/>
              <w:rPr>
                <w:rFonts w:hint="eastAsia"/>
                <w:highlight w:val="none"/>
                <w:lang w:val="en-US" w:eastAsia="zh-CN"/>
              </w:rPr>
            </w:pPr>
            <w:r>
              <w:rPr>
                <w:rFonts w:hint="eastAsia"/>
                <w:highlight w:val="none"/>
                <w:lang w:val="en-US" w:eastAsia="zh-CN"/>
              </w:rPr>
              <w:t>LX4</w:t>
            </w:r>
          </w:p>
        </w:tc>
        <w:tc>
          <w:tcPr>
            <w:tcW w:w="1716" w:type="pct"/>
            <w:tcBorders>
              <w:top w:val="nil"/>
              <w:left w:val="nil"/>
              <w:bottom w:val="single" w:color="auto" w:sz="4" w:space="0"/>
              <w:right w:val="single" w:color="auto" w:sz="4" w:space="0"/>
            </w:tcBorders>
            <w:shd w:val="clear" w:color="auto" w:fill="auto"/>
            <w:noWrap/>
            <w:vAlign w:val="center"/>
          </w:tcPr>
          <w:p w14:paraId="3A301062">
            <w:pPr>
              <w:pStyle w:val="32"/>
              <w:bidi w:val="0"/>
              <w:rPr>
                <w:rFonts w:hint="eastAsia"/>
                <w:highlight w:val="none"/>
                <w:lang w:val="en-US" w:eastAsia="zh-CN"/>
              </w:rPr>
            </w:pPr>
            <w:r>
              <w:rPr>
                <w:rFonts w:hint="eastAsia"/>
                <w:highlight w:val="none"/>
                <w:lang w:val="en-US" w:eastAsia="zh-CN"/>
              </w:rPr>
              <w:t>滑石化透闪岩</w:t>
            </w:r>
          </w:p>
        </w:tc>
        <w:tc>
          <w:tcPr>
            <w:tcW w:w="949" w:type="pct"/>
            <w:tcBorders>
              <w:top w:val="nil"/>
              <w:left w:val="nil"/>
              <w:bottom w:val="single" w:color="auto" w:sz="4" w:space="0"/>
              <w:right w:val="single" w:color="auto" w:sz="4" w:space="0"/>
            </w:tcBorders>
            <w:shd w:val="clear" w:color="auto" w:fill="auto"/>
            <w:noWrap/>
            <w:vAlign w:val="center"/>
          </w:tcPr>
          <w:p w14:paraId="4E5A1D57">
            <w:pPr>
              <w:pStyle w:val="32"/>
              <w:bidi w:val="0"/>
              <w:rPr>
                <w:rFonts w:hint="eastAsia"/>
                <w:highlight w:val="none"/>
                <w:lang w:val="en-US" w:eastAsia="zh-CN"/>
              </w:rPr>
            </w:pPr>
            <w:r>
              <w:rPr>
                <w:rFonts w:hint="eastAsia"/>
                <w:highlight w:val="none"/>
                <w:lang w:val="en-US" w:eastAsia="zh-CN"/>
              </w:rPr>
              <w:t>59.5</w:t>
            </w:r>
          </w:p>
        </w:tc>
        <w:tc>
          <w:tcPr>
            <w:tcW w:w="1029" w:type="pct"/>
            <w:tcBorders>
              <w:top w:val="nil"/>
              <w:left w:val="nil"/>
              <w:bottom w:val="single" w:color="auto" w:sz="4" w:space="0"/>
              <w:right w:val="single" w:color="auto" w:sz="4" w:space="0"/>
            </w:tcBorders>
            <w:shd w:val="clear" w:color="auto" w:fill="auto"/>
            <w:noWrap/>
            <w:vAlign w:val="center"/>
          </w:tcPr>
          <w:p w14:paraId="1C02C9E6">
            <w:pPr>
              <w:pStyle w:val="32"/>
              <w:bidi w:val="0"/>
              <w:rPr>
                <w:rFonts w:hint="eastAsia"/>
                <w:highlight w:val="none"/>
                <w:lang w:val="en-US" w:eastAsia="zh-CN"/>
              </w:rPr>
            </w:pPr>
            <w:r>
              <w:rPr>
                <w:rFonts w:hint="eastAsia"/>
                <w:highlight w:val="none"/>
                <w:lang w:val="en-US" w:eastAsia="zh-CN"/>
              </w:rPr>
              <w:t>2.37</w:t>
            </w:r>
          </w:p>
        </w:tc>
        <w:tc>
          <w:tcPr>
            <w:tcW w:w="652" w:type="pct"/>
            <w:tcBorders>
              <w:top w:val="nil"/>
              <w:left w:val="nil"/>
              <w:bottom w:val="single" w:color="auto" w:sz="4" w:space="0"/>
              <w:right w:val="single" w:color="auto" w:sz="4" w:space="0"/>
            </w:tcBorders>
            <w:shd w:val="clear" w:color="auto" w:fill="auto"/>
            <w:noWrap/>
            <w:vAlign w:val="center"/>
          </w:tcPr>
          <w:p w14:paraId="1FA1E93F">
            <w:pPr>
              <w:pStyle w:val="32"/>
              <w:bidi w:val="0"/>
              <w:rPr>
                <w:rFonts w:hint="eastAsia"/>
                <w:highlight w:val="none"/>
                <w:lang w:val="en-US" w:eastAsia="zh-CN"/>
              </w:rPr>
            </w:pPr>
            <w:r>
              <w:rPr>
                <w:rFonts w:hint="eastAsia"/>
                <w:highlight w:val="none"/>
                <w:lang w:val="en-US" w:eastAsia="zh-CN"/>
              </w:rPr>
              <w:t>3.57</w:t>
            </w:r>
          </w:p>
        </w:tc>
      </w:tr>
      <w:tr w14:paraId="048A6A37">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3A05CADA">
            <w:pPr>
              <w:pStyle w:val="32"/>
              <w:bidi w:val="0"/>
              <w:rPr>
                <w:rFonts w:hint="eastAsia"/>
                <w:highlight w:val="none"/>
                <w:lang w:val="en-US" w:eastAsia="zh-CN"/>
              </w:rPr>
            </w:pPr>
            <w:r>
              <w:rPr>
                <w:rFonts w:hint="eastAsia"/>
                <w:highlight w:val="none"/>
                <w:lang w:val="en-US" w:eastAsia="zh-CN"/>
              </w:rPr>
              <w:t>LX5</w:t>
            </w:r>
          </w:p>
        </w:tc>
        <w:tc>
          <w:tcPr>
            <w:tcW w:w="1716" w:type="pct"/>
            <w:tcBorders>
              <w:top w:val="nil"/>
              <w:left w:val="nil"/>
              <w:bottom w:val="single" w:color="auto" w:sz="4" w:space="0"/>
              <w:right w:val="single" w:color="auto" w:sz="4" w:space="0"/>
            </w:tcBorders>
            <w:shd w:val="clear" w:color="auto" w:fill="auto"/>
            <w:noWrap/>
            <w:vAlign w:val="center"/>
          </w:tcPr>
          <w:p w14:paraId="0A30B29A">
            <w:pPr>
              <w:pStyle w:val="32"/>
              <w:bidi w:val="0"/>
              <w:rPr>
                <w:rFonts w:hint="eastAsia"/>
                <w:highlight w:val="none"/>
                <w:lang w:val="en-US" w:eastAsia="zh-CN"/>
              </w:rPr>
            </w:pPr>
            <w:r>
              <w:rPr>
                <w:rFonts w:hint="eastAsia"/>
                <w:highlight w:val="none"/>
                <w:lang w:val="en-US" w:eastAsia="zh-CN"/>
              </w:rPr>
              <w:t>中细粒黑云母二长花岗岩</w:t>
            </w:r>
          </w:p>
        </w:tc>
        <w:tc>
          <w:tcPr>
            <w:tcW w:w="949" w:type="pct"/>
            <w:tcBorders>
              <w:top w:val="nil"/>
              <w:left w:val="nil"/>
              <w:bottom w:val="single" w:color="auto" w:sz="4" w:space="0"/>
              <w:right w:val="single" w:color="auto" w:sz="4" w:space="0"/>
            </w:tcBorders>
            <w:shd w:val="clear" w:color="auto" w:fill="auto"/>
            <w:noWrap/>
            <w:vAlign w:val="center"/>
          </w:tcPr>
          <w:p w14:paraId="15F35CEF">
            <w:pPr>
              <w:pStyle w:val="32"/>
              <w:bidi w:val="0"/>
              <w:rPr>
                <w:rFonts w:hint="eastAsia"/>
                <w:highlight w:val="none"/>
                <w:lang w:val="en-US" w:eastAsia="zh-CN"/>
              </w:rPr>
            </w:pPr>
            <w:r>
              <w:rPr>
                <w:rFonts w:hint="eastAsia"/>
                <w:highlight w:val="none"/>
                <w:lang w:val="en-US" w:eastAsia="zh-CN"/>
              </w:rPr>
              <w:t>127.7</w:t>
            </w:r>
          </w:p>
        </w:tc>
        <w:tc>
          <w:tcPr>
            <w:tcW w:w="1029" w:type="pct"/>
            <w:tcBorders>
              <w:top w:val="nil"/>
              <w:left w:val="nil"/>
              <w:bottom w:val="single" w:color="auto" w:sz="4" w:space="0"/>
              <w:right w:val="single" w:color="auto" w:sz="4" w:space="0"/>
            </w:tcBorders>
            <w:shd w:val="clear" w:color="auto" w:fill="auto"/>
            <w:noWrap/>
            <w:vAlign w:val="center"/>
          </w:tcPr>
          <w:p w14:paraId="7AB0D6C7">
            <w:pPr>
              <w:pStyle w:val="32"/>
              <w:bidi w:val="0"/>
              <w:rPr>
                <w:rFonts w:hint="eastAsia"/>
                <w:highlight w:val="none"/>
                <w:lang w:val="en-US" w:eastAsia="zh-CN"/>
              </w:rPr>
            </w:pPr>
            <w:r>
              <w:rPr>
                <w:rFonts w:hint="eastAsia"/>
                <w:highlight w:val="none"/>
                <w:lang w:val="en-US" w:eastAsia="zh-CN"/>
              </w:rPr>
              <w:t>4.79</w:t>
            </w:r>
          </w:p>
        </w:tc>
        <w:tc>
          <w:tcPr>
            <w:tcW w:w="652" w:type="pct"/>
            <w:tcBorders>
              <w:top w:val="nil"/>
              <w:left w:val="nil"/>
              <w:bottom w:val="single" w:color="auto" w:sz="4" w:space="0"/>
              <w:right w:val="single" w:color="auto" w:sz="4" w:space="0"/>
            </w:tcBorders>
            <w:shd w:val="clear" w:color="auto" w:fill="auto"/>
            <w:noWrap/>
            <w:vAlign w:val="center"/>
          </w:tcPr>
          <w:p w14:paraId="24964DE4">
            <w:pPr>
              <w:pStyle w:val="32"/>
              <w:bidi w:val="0"/>
              <w:rPr>
                <w:rFonts w:hint="eastAsia"/>
                <w:highlight w:val="none"/>
                <w:lang w:val="en-US" w:eastAsia="zh-CN"/>
              </w:rPr>
            </w:pPr>
            <w:r>
              <w:rPr>
                <w:rFonts w:hint="eastAsia"/>
                <w:highlight w:val="none"/>
                <w:lang w:val="en-US" w:eastAsia="zh-CN"/>
              </w:rPr>
              <w:t>7.50</w:t>
            </w:r>
          </w:p>
        </w:tc>
      </w:tr>
      <w:tr w14:paraId="4B55744C">
        <w:tblPrEx>
          <w:tblCellMar>
            <w:top w:w="0" w:type="dxa"/>
            <w:left w:w="108" w:type="dxa"/>
            <w:bottom w:w="0" w:type="dxa"/>
            <w:right w:w="108" w:type="dxa"/>
          </w:tblCellMar>
        </w:tblPrEx>
        <w:trPr>
          <w:trHeight w:val="285" w:hRule="atLeast"/>
          <w:jc w:val="center"/>
        </w:trPr>
        <w:tc>
          <w:tcPr>
            <w:tcW w:w="652" w:type="pct"/>
            <w:tcBorders>
              <w:top w:val="nil"/>
              <w:left w:val="single" w:color="auto" w:sz="4" w:space="0"/>
              <w:bottom w:val="single" w:color="auto" w:sz="4" w:space="0"/>
              <w:right w:val="single" w:color="auto" w:sz="4" w:space="0"/>
            </w:tcBorders>
            <w:shd w:val="clear" w:color="auto" w:fill="auto"/>
            <w:noWrap/>
            <w:vAlign w:val="center"/>
          </w:tcPr>
          <w:p w14:paraId="08A7A73F">
            <w:pPr>
              <w:pStyle w:val="32"/>
              <w:bidi w:val="0"/>
              <w:rPr>
                <w:rFonts w:hint="eastAsia"/>
                <w:highlight w:val="none"/>
                <w:lang w:val="en-US" w:eastAsia="zh-CN"/>
              </w:rPr>
            </w:pPr>
            <w:r>
              <w:rPr>
                <w:rFonts w:hint="eastAsia"/>
                <w:highlight w:val="none"/>
                <w:lang w:val="en-US" w:eastAsia="zh-CN"/>
              </w:rPr>
              <w:t>LX6</w:t>
            </w:r>
          </w:p>
        </w:tc>
        <w:tc>
          <w:tcPr>
            <w:tcW w:w="1716" w:type="pct"/>
            <w:tcBorders>
              <w:top w:val="nil"/>
              <w:left w:val="nil"/>
              <w:bottom w:val="single" w:color="auto" w:sz="4" w:space="0"/>
              <w:right w:val="single" w:color="auto" w:sz="4" w:space="0"/>
            </w:tcBorders>
            <w:shd w:val="clear" w:color="auto" w:fill="auto"/>
            <w:noWrap/>
            <w:vAlign w:val="center"/>
          </w:tcPr>
          <w:p w14:paraId="35706BE7">
            <w:pPr>
              <w:pStyle w:val="32"/>
              <w:bidi w:val="0"/>
              <w:rPr>
                <w:rFonts w:hint="eastAsia"/>
                <w:highlight w:val="none"/>
                <w:lang w:val="en-US" w:eastAsia="zh-CN"/>
              </w:rPr>
            </w:pPr>
            <w:r>
              <w:rPr>
                <w:rFonts w:hint="eastAsia"/>
                <w:highlight w:val="none"/>
                <w:lang w:val="en-US" w:eastAsia="zh-CN"/>
              </w:rPr>
              <w:t>滑石化透闪岩</w:t>
            </w:r>
          </w:p>
        </w:tc>
        <w:tc>
          <w:tcPr>
            <w:tcW w:w="949" w:type="pct"/>
            <w:tcBorders>
              <w:top w:val="nil"/>
              <w:left w:val="nil"/>
              <w:bottom w:val="single" w:color="auto" w:sz="4" w:space="0"/>
              <w:right w:val="single" w:color="auto" w:sz="4" w:space="0"/>
            </w:tcBorders>
            <w:shd w:val="clear" w:color="auto" w:fill="auto"/>
            <w:noWrap/>
            <w:vAlign w:val="center"/>
          </w:tcPr>
          <w:p w14:paraId="4FFBBDE9">
            <w:pPr>
              <w:pStyle w:val="32"/>
              <w:bidi w:val="0"/>
              <w:rPr>
                <w:rFonts w:hint="eastAsia"/>
                <w:highlight w:val="none"/>
                <w:lang w:val="en-US" w:eastAsia="zh-CN"/>
              </w:rPr>
            </w:pPr>
            <w:r>
              <w:rPr>
                <w:rFonts w:hint="eastAsia"/>
                <w:highlight w:val="none"/>
                <w:lang w:val="en-US" w:eastAsia="zh-CN"/>
              </w:rPr>
              <w:t>65.5</w:t>
            </w:r>
          </w:p>
        </w:tc>
        <w:tc>
          <w:tcPr>
            <w:tcW w:w="1029" w:type="pct"/>
            <w:tcBorders>
              <w:top w:val="nil"/>
              <w:left w:val="nil"/>
              <w:bottom w:val="single" w:color="auto" w:sz="4" w:space="0"/>
              <w:right w:val="single" w:color="auto" w:sz="4" w:space="0"/>
            </w:tcBorders>
            <w:shd w:val="clear" w:color="auto" w:fill="auto"/>
            <w:noWrap/>
            <w:vAlign w:val="center"/>
          </w:tcPr>
          <w:p w14:paraId="43268EFD">
            <w:pPr>
              <w:pStyle w:val="32"/>
              <w:bidi w:val="0"/>
              <w:rPr>
                <w:rFonts w:hint="eastAsia"/>
                <w:highlight w:val="none"/>
                <w:lang w:val="en-US" w:eastAsia="zh-CN"/>
              </w:rPr>
            </w:pPr>
            <w:r>
              <w:rPr>
                <w:rFonts w:hint="eastAsia"/>
                <w:highlight w:val="none"/>
                <w:lang w:val="en-US" w:eastAsia="zh-CN"/>
              </w:rPr>
              <w:t>2.66</w:t>
            </w:r>
          </w:p>
        </w:tc>
        <w:tc>
          <w:tcPr>
            <w:tcW w:w="652" w:type="pct"/>
            <w:tcBorders>
              <w:top w:val="nil"/>
              <w:left w:val="nil"/>
              <w:bottom w:val="single" w:color="auto" w:sz="4" w:space="0"/>
              <w:right w:val="single" w:color="auto" w:sz="4" w:space="0"/>
            </w:tcBorders>
            <w:shd w:val="clear" w:color="auto" w:fill="auto"/>
            <w:noWrap/>
            <w:vAlign w:val="center"/>
          </w:tcPr>
          <w:p w14:paraId="4C2F568D">
            <w:pPr>
              <w:pStyle w:val="32"/>
              <w:bidi w:val="0"/>
              <w:rPr>
                <w:rFonts w:hint="eastAsia"/>
                <w:highlight w:val="none"/>
                <w:lang w:val="en-US" w:eastAsia="zh-CN"/>
              </w:rPr>
            </w:pPr>
            <w:r>
              <w:rPr>
                <w:rFonts w:hint="eastAsia"/>
                <w:highlight w:val="none"/>
                <w:lang w:val="en-US" w:eastAsia="zh-CN"/>
              </w:rPr>
              <w:t>3.92</w:t>
            </w:r>
          </w:p>
        </w:tc>
      </w:tr>
    </w:tbl>
    <w:p w14:paraId="0EB5F3BE">
      <w:pPr>
        <w:pStyle w:val="22"/>
        <w:bidi w:val="0"/>
        <w:rPr>
          <w:rFonts w:hint="default"/>
          <w:highlight w:val="none"/>
        </w:rPr>
      </w:pPr>
      <w:r>
        <w:rPr>
          <w:rFonts w:hint="default"/>
          <w:highlight w:val="none"/>
        </w:rPr>
        <w:t>根据地层条件，将矿区内工程地质划分为第四系松散碎石类岩组、较坚硬块状岩类岩组及坚硬岩组三种类型。</w:t>
      </w:r>
    </w:p>
    <w:p w14:paraId="0BD0E866">
      <w:pPr>
        <w:pStyle w:val="22"/>
        <w:bidi w:val="0"/>
        <w:rPr>
          <w:rFonts w:hint="default"/>
          <w:highlight w:val="none"/>
        </w:rPr>
      </w:pPr>
      <w:r>
        <w:rPr>
          <w:rFonts w:hint="eastAsia"/>
          <w:highlight w:val="none"/>
          <w:lang w:val="en-US" w:eastAsia="zh-CN"/>
        </w:rPr>
        <w:t>1、</w:t>
      </w:r>
      <w:r>
        <w:rPr>
          <w:rFonts w:hint="default"/>
          <w:highlight w:val="none"/>
        </w:rPr>
        <w:t>第四系松散碎石类岩组（Qh</w:t>
      </w:r>
      <w:r>
        <w:rPr>
          <w:rFonts w:hint="default"/>
          <w:highlight w:val="none"/>
          <w:vertAlign w:val="superscript"/>
        </w:rPr>
        <w:t>1alp</w:t>
      </w:r>
      <w:r>
        <w:rPr>
          <w:rFonts w:hint="default"/>
          <w:highlight w:val="none"/>
        </w:rPr>
        <w:t>）</w:t>
      </w:r>
    </w:p>
    <w:p w14:paraId="0B04B617">
      <w:pPr>
        <w:pStyle w:val="22"/>
        <w:bidi w:val="0"/>
        <w:rPr>
          <w:rFonts w:hint="default"/>
          <w:highlight w:val="none"/>
        </w:rPr>
      </w:pPr>
      <w:r>
        <w:rPr>
          <w:rFonts w:hint="default"/>
          <w:highlight w:val="none"/>
        </w:rPr>
        <w:t>该类岩组可以细分为两个亚类岩组，即全新统冲洪积碎石和更新统残坡积碎石。前者为河流冲洪积的砂、砾、卵石，夹有粘土、砂质粘土等，分布在河谷平原地带，厚度3～5m；后者为残坡积碎石，分布在丘陵、山坡及山麓地带，厚度1～4m。该层多呈松散状，工程地质性质差，矿山为深部井下开采，故该岩组与矿山开采无直接关系。</w:t>
      </w:r>
    </w:p>
    <w:p w14:paraId="767CEC65">
      <w:pPr>
        <w:pStyle w:val="22"/>
        <w:bidi w:val="0"/>
        <w:rPr>
          <w:rFonts w:hint="default"/>
          <w:highlight w:val="none"/>
        </w:rPr>
      </w:pPr>
      <w:r>
        <w:rPr>
          <w:rFonts w:hint="eastAsia"/>
          <w:highlight w:val="none"/>
          <w:lang w:val="en-US" w:eastAsia="zh-CN"/>
        </w:rPr>
        <w:t>2、较</w:t>
      </w:r>
      <w:r>
        <w:rPr>
          <w:rFonts w:hint="default"/>
          <w:highlight w:val="none"/>
        </w:rPr>
        <w:t>坚硬块状岩类岩组</w:t>
      </w:r>
    </w:p>
    <w:p w14:paraId="4CE6F56E">
      <w:pPr>
        <w:pStyle w:val="22"/>
        <w:bidi w:val="0"/>
        <w:rPr>
          <w:rFonts w:hint="default"/>
          <w:highlight w:val="none"/>
        </w:rPr>
      </w:pPr>
      <w:r>
        <w:rPr>
          <w:rFonts w:hint="default"/>
          <w:highlight w:val="none"/>
        </w:rPr>
        <w:t>该类岩组由滑石化透闪岩组成，广泛分布在矿区。</w:t>
      </w:r>
    </w:p>
    <w:p w14:paraId="47B5F8C4">
      <w:pPr>
        <w:pStyle w:val="22"/>
        <w:bidi w:val="0"/>
        <w:rPr>
          <w:rFonts w:hint="eastAsia"/>
          <w:highlight w:val="none"/>
          <w:lang w:val="en-US" w:eastAsia="zh-CN"/>
        </w:rPr>
      </w:pPr>
      <w:r>
        <w:rPr>
          <w:rFonts w:hint="eastAsia"/>
          <w:highlight w:val="none"/>
          <w:lang w:val="en-US" w:eastAsia="zh-CN"/>
        </w:rPr>
        <w:t>3、坚硬块状岩类岩组</w:t>
      </w:r>
    </w:p>
    <w:p w14:paraId="1E3F3803">
      <w:pPr>
        <w:pStyle w:val="22"/>
        <w:bidi w:val="0"/>
        <w:rPr>
          <w:rFonts w:hint="eastAsia"/>
          <w:highlight w:val="none"/>
          <w:lang w:val="en-US" w:eastAsia="zh-CN"/>
        </w:rPr>
      </w:pPr>
      <w:r>
        <w:rPr>
          <w:rFonts w:hint="eastAsia"/>
          <w:highlight w:val="none"/>
          <w:lang w:val="en-US" w:eastAsia="zh-CN"/>
        </w:rPr>
        <w:t>该类岩组由新太古代中细粒黑云母二长花岗岩和鞍山岩群茨沟岩组磁铁石英岩组成，广泛分布在矿区。</w:t>
      </w:r>
    </w:p>
    <w:p w14:paraId="238E47C3">
      <w:pPr>
        <w:pStyle w:val="22"/>
        <w:numPr>
          <w:ilvl w:val="0"/>
          <w:numId w:val="12"/>
        </w:numPr>
        <w:bidi w:val="0"/>
        <w:rPr>
          <w:rFonts w:hint="eastAsia"/>
          <w:highlight w:val="none"/>
          <w:lang w:val="en-US" w:eastAsia="zh-CN"/>
        </w:rPr>
      </w:pPr>
      <w:r>
        <w:rPr>
          <w:rFonts w:hint="eastAsia"/>
          <w:highlight w:val="none"/>
          <w:lang w:val="en-US" w:eastAsia="zh-CN"/>
        </w:rPr>
        <w:t>工程地质评价</w:t>
      </w:r>
    </w:p>
    <w:p w14:paraId="47A55495">
      <w:pPr>
        <w:pStyle w:val="22"/>
        <w:bidi w:val="0"/>
        <w:rPr>
          <w:rFonts w:hint="eastAsia"/>
          <w:highlight w:val="none"/>
        </w:rPr>
      </w:pPr>
      <w:r>
        <w:rPr>
          <w:rFonts w:hint="eastAsia"/>
          <w:highlight w:val="none"/>
        </w:rPr>
        <w:t>矿体为磁铁石英岩，其顶、底板岩性为滑石化透闪岩和中细粒黑云母二长花岗岩。通过坑道调查，其岩石比较坚硬、稳固，岩体整体节理裂隙不发育，因此矿区的工程地质条件简单。</w:t>
      </w:r>
    </w:p>
    <w:p w14:paraId="0CCE4DCC">
      <w:pPr>
        <w:pStyle w:val="22"/>
        <w:bidi w:val="0"/>
        <w:rPr>
          <w:rFonts w:hint="eastAsia"/>
          <w:highlight w:val="none"/>
        </w:rPr>
      </w:pPr>
      <w:r>
        <w:rPr>
          <w:rFonts w:hint="eastAsia"/>
          <w:highlight w:val="none"/>
          <w:lang w:val="en-US" w:eastAsia="zh-CN"/>
        </w:rPr>
        <w:t>1、</w:t>
      </w:r>
      <w:r>
        <w:rPr>
          <w:rFonts w:hint="eastAsia"/>
          <w:highlight w:val="none"/>
        </w:rPr>
        <w:t>结构面特征</w:t>
      </w:r>
    </w:p>
    <w:p w14:paraId="46DD6D56">
      <w:pPr>
        <w:pStyle w:val="22"/>
        <w:bidi w:val="0"/>
        <w:rPr>
          <w:rFonts w:hint="eastAsia"/>
          <w:highlight w:val="none"/>
        </w:rPr>
      </w:pPr>
      <w:r>
        <w:rPr>
          <w:rFonts w:hint="eastAsia"/>
          <w:highlight w:val="none"/>
          <w:lang w:val="en-US" w:eastAsia="zh-CN"/>
        </w:rPr>
        <w:t>矿区</w:t>
      </w:r>
      <w:r>
        <w:rPr>
          <w:rFonts w:hint="eastAsia"/>
          <w:highlight w:val="none"/>
        </w:rPr>
        <w:t>范围内结构面以断层、节理裂隙为主。根据这些结构面的规律，按规范要求，可划分出两个结构面类型，即Ⅳ、Ⅴ级结构面，现叙述如下：</w:t>
      </w:r>
    </w:p>
    <w:p w14:paraId="655A26BF">
      <w:pPr>
        <w:pStyle w:val="22"/>
        <w:bidi w:val="0"/>
        <w:rPr>
          <w:rFonts w:hint="eastAsia"/>
          <w:highlight w:val="none"/>
          <w:lang w:val="en-US" w:eastAsia="zh-CN"/>
        </w:rPr>
      </w:pPr>
      <w:r>
        <w:rPr>
          <w:rFonts w:hint="eastAsia"/>
          <w:highlight w:val="none"/>
          <w:lang w:val="en-US" w:eastAsia="zh-CN"/>
        </w:rPr>
        <w:t>依据《本溪市辉宏矿业有限公司本溪市辉宏矿业有限公司徐堡村矿区铁矿隐蔽致灾因素普查报告》显示，矿区Ⅳ、Ⅴ级结构面主要是指大小不等的节理裂隙以及3处小型破碎带（138m中段1处，168m中段2处），节理裂隙及小型破碎带多发于和茨沟岩组地层中，局部位置层间破碎带内岩石在多期强烈构造揉搓下均已成为断层泥，破坏了岩层的完整性和稳定性。</w:t>
      </w:r>
    </w:p>
    <w:p w14:paraId="559024DB">
      <w:pPr>
        <w:pStyle w:val="22"/>
        <w:bidi w:val="0"/>
        <w:rPr>
          <w:rFonts w:hint="eastAsia"/>
          <w:highlight w:val="none"/>
        </w:rPr>
      </w:pPr>
      <w:r>
        <w:rPr>
          <w:rFonts w:hint="eastAsia"/>
          <w:highlight w:val="none"/>
          <w:lang w:val="en-US" w:eastAsia="zh-CN"/>
        </w:rPr>
        <w:t>矿山在生产过程中应重视对构造破碎带的治理，断裂构造是本区的主要控矿因素，对破碎带及软弱夹层均采取了有效措施，进行喷浆加固，局部地段采取了支护，对开采完成后的构造破碎带部位及时进行了充填，保证了矿山的安全生产。</w:t>
      </w:r>
    </w:p>
    <w:p w14:paraId="762D1B67">
      <w:pPr>
        <w:pStyle w:val="22"/>
        <w:bidi w:val="0"/>
        <w:rPr>
          <w:rFonts w:hint="eastAsia"/>
          <w:highlight w:val="none"/>
        </w:rPr>
      </w:pPr>
      <w:r>
        <w:rPr>
          <w:rFonts w:hint="eastAsia"/>
          <w:highlight w:val="none"/>
          <w:lang w:val="en-US" w:eastAsia="zh-CN"/>
        </w:rPr>
        <w:t>2、</w:t>
      </w:r>
      <w:r>
        <w:rPr>
          <w:rFonts w:hint="eastAsia"/>
          <w:highlight w:val="none"/>
        </w:rPr>
        <w:t>主要矿体（层）顶底板特征</w:t>
      </w:r>
    </w:p>
    <w:p w14:paraId="34DFD278">
      <w:pPr>
        <w:pStyle w:val="22"/>
        <w:bidi w:val="0"/>
        <w:rPr>
          <w:rFonts w:hint="eastAsia"/>
          <w:highlight w:val="none"/>
        </w:rPr>
      </w:pPr>
      <w:r>
        <w:rPr>
          <w:rFonts w:hint="eastAsia"/>
          <w:highlight w:val="none"/>
        </w:rPr>
        <w:t>本矿区本次共施工26个钻孔，对矿体及围岩完整性进行过“RQD”值统计，矿体为铁矿体围岩主要为滑石化透闪岩和中细粒黑云母二长花岗岩。矿体与围岩产状基本一致。</w:t>
      </w:r>
    </w:p>
    <w:p w14:paraId="793AC2D4">
      <w:pPr>
        <w:pStyle w:val="22"/>
        <w:bidi w:val="0"/>
        <w:rPr>
          <w:rFonts w:hint="eastAsia"/>
          <w:highlight w:val="none"/>
        </w:rPr>
      </w:pPr>
      <w:r>
        <w:rPr>
          <w:rFonts w:hint="eastAsia"/>
          <w:highlight w:val="none"/>
        </w:rPr>
        <w:t>矿体赋存于鞍山岩群茨沟岩组中，与矿体直接接触的围岩主要可分为两部分：</w:t>
      </w:r>
    </w:p>
    <w:p w14:paraId="3F397D8A">
      <w:pPr>
        <w:pStyle w:val="22"/>
        <w:bidi w:val="0"/>
        <w:rPr>
          <w:rFonts w:hint="eastAsia"/>
          <w:highlight w:val="none"/>
        </w:rPr>
      </w:pPr>
      <w:r>
        <w:rPr>
          <w:rFonts w:hint="eastAsia"/>
          <w:highlight w:val="none"/>
          <w:lang w:val="en-US" w:eastAsia="zh-CN"/>
        </w:rPr>
        <w:t>①</w:t>
      </w:r>
      <w:r>
        <w:rPr>
          <w:rFonts w:hint="eastAsia"/>
          <w:highlight w:val="none"/>
        </w:rPr>
        <w:t>滑石化透闪岩与矿体呈整合接触。</w:t>
      </w:r>
    </w:p>
    <w:p w14:paraId="4CBCACAB">
      <w:pPr>
        <w:pStyle w:val="22"/>
        <w:bidi w:val="0"/>
        <w:rPr>
          <w:rFonts w:hint="eastAsia"/>
          <w:highlight w:val="none"/>
        </w:rPr>
      </w:pPr>
      <w:r>
        <w:rPr>
          <w:rFonts w:hint="eastAsia"/>
          <w:highlight w:val="none"/>
          <w:lang w:val="en-US" w:eastAsia="zh-CN"/>
        </w:rPr>
        <w:t>②</w:t>
      </w:r>
      <w:r>
        <w:rPr>
          <w:rFonts w:hint="eastAsia"/>
          <w:highlight w:val="none"/>
        </w:rPr>
        <w:t>中细粒黑云母二长花岗岩，与矿体呈侵入接触。</w:t>
      </w:r>
    </w:p>
    <w:p w14:paraId="72A21B8A">
      <w:pPr>
        <w:pStyle w:val="22"/>
        <w:bidi w:val="0"/>
        <w:rPr>
          <w:highlight w:val="none"/>
        </w:rPr>
      </w:pPr>
      <w:r>
        <w:rPr>
          <w:rFonts w:hint="eastAsia"/>
          <w:highlight w:val="none"/>
        </w:rPr>
        <w:t>矿体顶底板围岩情况详见下表。</w:t>
      </w:r>
    </w:p>
    <w:p w14:paraId="4B94F2C3">
      <w:pPr>
        <w:pStyle w:val="31"/>
        <w:bidi w:val="0"/>
        <w:rPr>
          <w:highlight w:val="none"/>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4  矿体顶底板围岩情况表</w:t>
      </w:r>
    </w:p>
    <w:tbl>
      <w:tblPr>
        <w:tblStyle w:val="2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0"/>
        <w:gridCol w:w="4219"/>
        <w:gridCol w:w="4170"/>
      </w:tblGrid>
      <w:tr w14:paraId="030BC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37" w:type="pct"/>
            <w:vMerge w:val="restart"/>
            <w:shd w:val="clear" w:color="auto" w:fill="auto"/>
            <w:vAlign w:val="center"/>
          </w:tcPr>
          <w:p w14:paraId="56516486">
            <w:pPr>
              <w:pStyle w:val="32"/>
              <w:bidi w:val="0"/>
              <w:rPr>
                <w:rFonts w:hint="eastAsia"/>
                <w:highlight w:val="none"/>
                <w:lang w:val="en-US" w:eastAsia="zh-CN"/>
              </w:rPr>
            </w:pPr>
            <w:r>
              <w:rPr>
                <w:rFonts w:hint="eastAsia"/>
                <w:highlight w:val="none"/>
                <w:lang w:val="en-US" w:eastAsia="zh-CN"/>
              </w:rPr>
              <w:t>矿体</w:t>
            </w:r>
          </w:p>
          <w:p w14:paraId="66C46CBB">
            <w:pPr>
              <w:pStyle w:val="32"/>
              <w:bidi w:val="0"/>
              <w:rPr>
                <w:rFonts w:hint="eastAsia"/>
                <w:highlight w:val="none"/>
                <w:lang w:val="en-US" w:eastAsia="zh-CN"/>
              </w:rPr>
            </w:pPr>
            <w:r>
              <w:rPr>
                <w:rFonts w:hint="eastAsia"/>
                <w:highlight w:val="none"/>
                <w:lang w:val="en-US" w:eastAsia="zh-CN"/>
              </w:rPr>
              <w:t>编号</w:t>
            </w:r>
          </w:p>
        </w:tc>
        <w:tc>
          <w:tcPr>
            <w:tcW w:w="4462" w:type="pct"/>
            <w:gridSpan w:val="2"/>
            <w:shd w:val="clear" w:color="auto" w:fill="auto"/>
          </w:tcPr>
          <w:p w14:paraId="01C3A744">
            <w:pPr>
              <w:pStyle w:val="32"/>
              <w:bidi w:val="0"/>
              <w:rPr>
                <w:rFonts w:hint="eastAsia"/>
                <w:highlight w:val="none"/>
                <w:lang w:val="en-US" w:eastAsia="zh-CN"/>
              </w:rPr>
            </w:pPr>
            <w:r>
              <w:rPr>
                <w:rFonts w:hint="eastAsia"/>
                <w:highlight w:val="none"/>
                <w:lang w:val="en-US" w:eastAsia="zh-CN"/>
              </w:rPr>
              <w:t>围岩岩性</w:t>
            </w:r>
          </w:p>
        </w:tc>
      </w:tr>
      <w:tr w14:paraId="36909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37" w:type="pct"/>
            <w:vMerge w:val="continue"/>
            <w:vAlign w:val="center"/>
          </w:tcPr>
          <w:p w14:paraId="37F1B1B8">
            <w:pPr>
              <w:pStyle w:val="32"/>
              <w:bidi w:val="0"/>
              <w:rPr>
                <w:rFonts w:hint="eastAsia"/>
                <w:highlight w:val="none"/>
                <w:lang w:val="en-US" w:eastAsia="zh-CN"/>
              </w:rPr>
            </w:pPr>
          </w:p>
        </w:tc>
        <w:tc>
          <w:tcPr>
            <w:tcW w:w="2244" w:type="pct"/>
            <w:shd w:val="clear" w:color="auto" w:fill="auto"/>
          </w:tcPr>
          <w:p w14:paraId="6320612B">
            <w:pPr>
              <w:pStyle w:val="32"/>
              <w:bidi w:val="0"/>
              <w:rPr>
                <w:rFonts w:hint="eastAsia"/>
                <w:highlight w:val="none"/>
                <w:lang w:val="en-US" w:eastAsia="zh-CN"/>
              </w:rPr>
            </w:pPr>
            <w:r>
              <w:rPr>
                <w:rFonts w:hint="eastAsia"/>
                <w:highlight w:val="none"/>
                <w:lang w:val="en-US" w:eastAsia="zh-CN"/>
              </w:rPr>
              <w:t>上盘围岩</w:t>
            </w:r>
          </w:p>
        </w:tc>
        <w:tc>
          <w:tcPr>
            <w:tcW w:w="2218" w:type="pct"/>
            <w:shd w:val="clear" w:color="auto" w:fill="auto"/>
          </w:tcPr>
          <w:p w14:paraId="70521DF5">
            <w:pPr>
              <w:pStyle w:val="32"/>
              <w:bidi w:val="0"/>
              <w:rPr>
                <w:rFonts w:hint="eastAsia"/>
                <w:highlight w:val="none"/>
                <w:lang w:val="en-US" w:eastAsia="zh-CN"/>
              </w:rPr>
            </w:pPr>
            <w:r>
              <w:rPr>
                <w:rFonts w:hint="eastAsia"/>
                <w:highlight w:val="none"/>
                <w:lang w:val="en-US" w:eastAsia="zh-CN"/>
              </w:rPr>
              <w:t>下盘围岩</w:t>
            </w:r>
          </w:p>
        </w:tc>
      </w:tr>
      <w:tr w14:paraId="3EAD1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537" w:type="pct"/>
            <w:shd w:val="clear" w:color="auto" w:fill="auto"/>
            <w:vAlign w:val="center"/>
          </w:tcPr>
          <w:p w14:paraId="3D96CF93">
            <w:pPr>
              <w:pStyle w:val="32"/>
              <w:bidi w:val="0"/>
              <w:rPr>
                <w:rFonts w:hint="eastAsia"/>
                <w:highlight w:val="none"/>
                <w:lang w:val="en-US" w:eastAsia="zh-CN"/>
              </w:rPr>
            </w:pPr>
            <w:r>
              <w:rPr>
                <w:rFonts w:hint="eastAsia"/>
                <w:highlight w:val="none"/>
                <w:lang w:val="en-US" w:eastAsia="zh-CN"/>
              </w:rPr>
              <w:t>Fe1</w:t>
            </w:r>
          </w:p>
        </w:tc>
        <w:tc>
          <w:tcPr>
            <w:tcW w:w="2244" w:type="pct"/>
            <w:shd w:val="clear" w:color="auto" w:fill="auto"/>
          </w:tcPr>
          <w:p w14:paraId="4390019A">
            <w:pPr>
              <w:pStyle w:val="32"/>
              <w:bidi w:val="0"/>
              <w:rPr>
                <w:rFonts w:hint="eastAsia"/>
                <w:highlight w:val="none"/>
                <w:lang w:val="en-US" w:eastAsia="zh-CN"/>
              </w:rPr>
            </w:pPr>
            <w:r>
              <w:rPr>
                <w:rFonts w:hint="eastAsia"/>
                <w:highlight w:val="none"/>
                <w:lang w:val="en-US" w:eastAsia="zh-CN"/>
              </w:rPr>
              <w:t>中细粒黑云母二长花岗岩</w:t>
            </w:r>
          </w:p>
        </w:tc>
        <w:tc>
          <w:tcPr>
            <w:tcW w:w="2218" w:type="pct"/>
            <w:shd w:val="clear" w:color="auto" w:fill="auto"/>
          </w:tcPr>
          <w:p w14:paraId="183FA9E4">
            <w:pPr>
              <w:pStyle w:val="32"/>
              <w:bidi w:val="0"/>
              <w:rPr>
                <w:rFonts w:hint="eastAsia"/>
                <w:highlight w:val="none"/>
                <w:lang w:val="en-US" w:eastAsia="zh-CN"/>
              </w:rPr>
            </w:pPr>
            <w:r>
              <w:rPr>
                <w:rFonts w:hint="eastAsia"/>
                <w:highlight w:val="none"/>
                <w:lang w:val="en-US" w:eastAsia="zh-CN"/>
              </w:rPr>
              <w:t>中细粒黑云母二长花岗岩</w:t>
            </w:r>
          </w:p>
        </w:tc>
      </w:tr>
      <w:tr w14:paraId="2A557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537" w:type="pct"/>
            <w:shd w:val="clear" w:color="auto" w:fill="auto"/>
            <w:vAlign w:val="center"/>
          </w:tcPr>
          <w:p w14:paraId="13B5020D">
            <w:pPr>
              <w:pStyle w:val="32"/>
              <w:bidi w:val="0"/>
              <w:rPr>
                <w:rFonts w:hint="eastAsia"/>
                <w:highlight w:val="none"/>
                <w:lang w:val="en-US" w:eastAsia="zh-CN"/>
              </w:rPr>
            </w:pPr>
            <w:r>
              <w:rPr>
                <w:rFonts w:hint="eastAsia"/>
                <w:highlight w:val="none"/>
                <w:lang w:val="en-US" w:eastAsia="zh-CN"/>
              </w:rPr>
              <w:t>Fe2</w:t>
            </w:r>
          </w:p>
        </w:tc>
        <w:tc>
          <w:tcPr>
            <w:tcW w:w="2244" w:type="pct"/>
            <w:shd w:val="clear" w:color="auto" w:fill="auto"/>
          </w:tcPr>
          <w:p w14:paraId="0F17DE5F">
            <w:pPr>
              <w:pStyle w:val="32"/>
              <w:bidi w:val="0"/>
              <w:rPr>
                <w:rFonts w:hint="eastAsia"/>
                <w:highlight w:val="none"/>
                <w:lang w:val="en-US" w:eastAsia="zh-CN"/>
              </w:rPr>
            </w:pPr>
            <w:r>
              <w:rPr>
                <w:rFonts w:hint="eastAsia"/>
                <w:highlight w:val="none"/>
                <w:lang w:val="en-US" w:eastAsia="zh-CN"/>
              </w:rPr>
              <w:t>滑石化透闪岩、中细粒黑云母二长花岗岩</w:t>
            </w:r>
          </w:p>
        </w:tc>
        <w:tc>
          <w:tcPr>
            <w:tcW w:w="2218" w:type="pct"/>
            <w:shd w:val="clear" w:color="auto" w:fill="auto"/>
          </w:tcPr>
          <w:p w14:paraId="47BA2E96">
            <w:pPr>
              <w:pStyle w:val="32"/>
              <w:bidi w:val="0"/>
              <w:rPr>
                <w:rFonts w:hint="eastAsia"/>
                <w:highlight w:val="none"/>
                <w:lang w:val="en-US" w:eastAsia="zh-CN"/>
              </w:rPr>
            </w:pPr>
            <w:r>
              <w:rPr>
                <w:rFonts w:hint="eastAsia"/>
                <w:highlight w:val="none"/>
                <w:lang w:val="en-US" w:eastAsia="zh-CN"/>
              </w:rPr>
              <w:t>滑石化透闪岩、中细粒黑云母二长花岗岩</w:t>
            </w:r>
          </w:p>
        </w:tc>
      </w:tr>
      <w:tr w14:paraId="1D097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537" w:type="pct"/>
            <w:shd w:val="clear" w:color="auto" w:fill="auto"/>
            <w:vAlign w:val="center"/>
          </w:tcPr>
          <w:p w14:paraId="267102A0">
            <w:pPr>
              <w:pStyle w:val="32"/>
              <w:bidi w:val="0"/>
              <w:rPr>
                <w:rFonts w:hint="eastAsia"/>
                <w:highlight w:val="none"/>
                <w:lang w:val="en-US" w:eastAsia="zh-CN"/>
              </w:rPr>
            </w:pPr>
            <w:r>
              <w:rPr>
                <w:rFonts w:hint="eastAsia"/>
                <w:highlight w:val="none"/>
                <w:lang w:val="en-US" w:eastAsia="zh-CN"/>
              </w:rPr>
              <w:t>Fe3</w:t>
            </w:r>
          </w:p>
        </w:tc>
        <w:tc>
          <w:tcPr>
            <w:tcW w:w="2244" w:type="pct"/>
            <w:shd w:val="clear" w:color="auto" w:fill="auto"/>
          </w:tcPr>
          <w:p w14:paraId="57ACB79C">
            <w:pPr>
              <w:pStyle w:val="32"/>
              <w:bidi w:val="0"/>
              <w:rPr>
                <w:rFonts w:hint="eastAsia"/>
                <w:highlight w:val="none"/>
                <w:lang w:val="en-US" w:eastAsia="zh-CN"/>
              </w:rPr>
            </w:pPr>
            <w:r>
              <w:rPr>
                <w:rFonts w:hint="eastAsia"/>
                <w:highlight w:val="none"/>
                <w:lang w:val="en-US" w:eastAsia="zh-CN"/>
              </w:rPr>
              <w:t>滑石化透闪岩、中细粒黑云母二长花岗岩</w:t>
            </w:r>
          </w:p>
        </w:tc>
        <w:tc>
          <w:tcPr>
            <w:tcW w:w="2218" w:type="pct"/>
            <w:shd w:val="clear" w:color="auto" w:fill="auto"/>
          </w:tcPr>
          <w:p w14:paraId="42764C9C">
            <w:pPr>
              <w:pStyle w:val="32"/>
              <w:bidi w:val="0"/>
              <w:rPr>
                <w:rFonts w:hint="eastAsia"/>
                <w:highlight w:val="none"/>
                <w:lang w:val="en-US" w:eastAsia="zh-CN"/>
              </w:rPr>
            </w:pPr>
            <w:r>
              <w:rPr>
                <w:rFonts w:hint="eastAsia"/>
                <w:highlight w:val="none"/>
                <w:lang w:val="en-US" w:eastAsia="zh-CN"/>
              </w:rPr>
              <w:t>滑石化透闪岩、中细粒黑云母二长花岗岩</w:t>
            </w:r>
          </w:p>
        </w:tc>
      </w:tr>
      <w:tr w14:paraId="51C84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537" w:type="pct"/>
            <w:shd w:val="clear" w:color="auto" w:fill="auto"/>
            <w:vAlign w:val="center"/>
          </w:tcPr>
          <w:p w14:paraId="73E3A624">
            <w:pPr>
              <w:pStyle w:val="32"/>
              <w:bidi w:val="0"/>
              <w:rPr>
                <w:rFonts w:hint="eastAsia"/>
                <w:highlight w:val="none"/>
                <w:lang w:val="en-US" w:eastAsia="zh-CN"/>
              </w:rPr>
            </w:pPr>
            <w:r>
              <w:rPr>
                <w:rFonts w:hint="eastAsia"/>
                <w:highlight w:val="none"/>
                <w:lang w:val="en-US" w:eastAsia="zh-CN"/>
              </w:rPr>
              <w:t>Fe4</w:t>
            </w:r>
          </w:p>
        </w:tc>
        <w:tc>
          <w:tcPr>
            <w:tcW w:w="2244" w:type="pct"/>
            <w:shd w:val="clear" w:color="auto" w:fill="auto"/>
          </w:tcPr>
          <w:p w14:paraId="76561056">
            <w:pPr>
              <w:pStyle w:val="32"/>
              <w:bidi w:val="0"/>
              <w:rPr>
                <w:rFonts w:hint="eastAsia"/>
                <w:highlight w:val="none"/>
                <w:lang w:val="en-US" w:eastAsia="zh-CN"/>
              </w:rPr>
            </w:pPr>
            <w:r>
              <w:rPr>
                <w:rFonts w:hint="eastAsia"/>
                <w:highlight w:val="none"/>
                <w:lang w:val="en-US" w:eastAsia="zh-CN"/>
              </w:rPr>
              <w:t>滑石化透闪岩</w:t>
            </w:r>
          </w:p>
        </w:tc>
        <w:tc>
          <w:tcPr>
            <w:tcW w:w="2218" w:type="pct"/>
            <w:shd w:val="clear" w:color="auto" w:fill="auto"/>
          </w:tcPr>
          <w:p w14:paraId="22E0B000">
            <w:pPr>
              <w:pStyle w:val="32"/>
              <w:bidi w:val="0"/>
              <w:rPr>
                <w:rFonts w:hint="eastAsia"/>
                <w:highlight w:val="none"/>
                <w:lang w:val="en-US" w:eastAsia="zh-CN"/>
              </w:rPr>
            </w:pPr>
            <w:r>
              <w:rPr>
                <w:rFonts w:hint="eastAsia"/>
                <w:highlight w:val="none"/>
                <w:lang w:val="en-US" w:eastAsia="zh-CN"/>
              </w:rPr>
              <w:t>中细粒黑云母二长花岗岩</w:t>
            </w:r>
          </w:p>
        </w:tc>
      </w:tr>
      <w:tr w14:paraId="3D5FE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537" w:type="pct"/>
            <w:shd w:val="clear" w:color="auto" w:fill="auto"/>
            <w:vAlign w:val="center"/>
          </w:tcPr>
          <w:p w14:paraId="0045E720">
            <w:pPr>
              <w:pStyle w:val="32"/>
              <w:bidi w:val="0"/>
              <w:rPr>
                <w:rFonts w:hint="eastAsia"/>
                <w:highlight w:val="none"/>
                <w:lang w:val="en-US" w:eastAsia="zh-CN"/>
              </w:rPr>
            </w:pPr>
            <w:r>
              <w:rPr>
                <w:rFonts w:hint="eastAsia"/>
                <w:highlight w:val="none"/>
                <w:lang w:val="en-US" w:eastAsia="zh-CN"/>
              </w:rPr>
              <w:t>Fe5</w:t>
            </w:r>
          </w:p>
        </w:tc>
        <w:tc>
          <w:tcPr>
            <w:tcW w:w="2244" w:type="pct"/>
            <w:shd w:val="clear" w:color="auto" w:fill="auto"/>
          </w:tcPr>
          <w:p w14:paraId="13A68B9A">
            <w:pPr>
              <w:pStyle w:val="32"/>
              <w:bidi w:val="0"/>
              <w:rPr>
                <w:rFonts w:hint="eastAsia"/>
                <w:highlight w:val="none"/>
                <w:lang w:val="en-US" w:eastAsia="zh-CN"/>
              </w:rPr>
            </w:pPr>
            <w:r>
              <w:rPr>
                <w:rFonts w:hint="eastAsia"/>
                <w:highlight w:val="none"/>
                <w:lang w:val="en-US" w:eastAsia="zh-CN"/>
              </w:rPr>
              <w:t>滑石化透闪岩</w:t>
            </w:r>
          </w:p>
        </w:tc>
        <w:tc>
          <w:tcPr>
            <w:tcW w:w="2218" w:type="pct"/>
            <w:shd w:val="clear" w:color="auto" w:fill="auto"/>
          </w:tcPr>
          <w:p w14:paraId="350A944A">
            <w:pPr>
              <w:pStyle w:val="32"/>
              <w:bidi w:val="0"/>
              <w:rPr>
                <w:rFonts w:hint="eastAsia"/>
                <w:highlight w:val="none"/>
                <w:lang w:val="en-US" w:eastAsia="zh-CN"/>
              </w:rPr>
            </w:pPr>
            <w:r>
              <w:rPr>
                <w:rFonts w:hint="eastAsia"/>
                <w:highlight w:val="none"/>
                <w:lang w:val="en-US" w:eastAsia="zh-CN"/>
              </w:rPr>
              <w:t>中细粒黑云母二长花岗岩</w:t>
            </w:r>
          </w:p>
        </w:tc>
      </w:tr>
      <w:tr w14:paraId="70BB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537" w:type="pct"/>
            <w:shd w:val="clear" w:color="auto" w:fill="auto"/>
            <w:vAlign w:val="center"/>
          </w:tcPr>
          <w:p w14:paraId="0AAF0BC7">
            <w:pPr>
              <w:pStyle w:val="32"/>
              <w:bidi w:val="0"/>
              <w:rPr>
                <w:rFonts w:hint="eastAsia"/>
                <w:highlight w:val="none"/>
                <w:lang w:val="en-US" w:eastAsia="zh-CN"/>
              </w:rPr>
            </w:pPr>
            <w:r>
              <w:rPr>
                <w:rFonts w:hint="eastAsia"/>
                <w:highlight w:val="none"/>
                <w:lang w:val="en-US" w:eastAsia="zh-CN"/>
              </w:rPr>
              <w:t>Fe6</w:t>
            </w:r>
          </w:p>
        </w:tc>
        <w:tc>
          <w:tcPr>
            <w:tcW w:w="2244" w:type="pct"/>
            <w:shd w:val="clear" w:color="auto" w:fill="auto"/>
          </w:tcPr>
          <w:p w14:paraId="178B4A14">
            <w:pPr>
              <w:pStyle w:val="32"/>
              <w:bidi w:val="0"/>
              <w:rPr>
                <w:rFonts w:hint="eastAsia"/>
                <w:highlight w:val="none"/>
                <w:lang w:val="en-US" w:eastAsia="zh-CN"/>
              </w:rPr>
            </w:pPr>
            <w:r>
              <w:rPr>
                <w:rFonts w:hint="eastAsia"/>
                <w:highlight w:val="none"/>
                <w:lang w:val="en-US" w:eastAsia="zh-CN"/>
              </w:rPr>
              <w:t>中细粒黑云母二长花岗岩</w:t>
            </w:r>
          </w:p>
        </w:tc>
        <w:tc>
          <w:tcPr>
            <w:tcW w:w="2218" w:type="pct"/>
            <w:shd w:val="clear" w:color="auto" w:fill="auto"/>
          </w:tcPr>
          <w:p w14:paraId="7B622689">
            <w:pPr>
              <w:pStyle w:val="32"/>
              <w:bidi w:val="0"/>
              <w:rPr>
                <w:rFonts w:hint="eastAsia"/>
                <w:highlight w:val="none"/>
                <w:lang w:val="en-US" w:eastAsia="zh-CN"/>
              </w:rPr>
            </w:pPr>
            <w:r>
              <w:rPr>
                <w:rFonts w:hint="eastAsia"/>
                <w:highlight w:val="none"/>
                <w:lang w:val="en-US" w:eastAsia="zh-CN"/>
              </w:rPr>
              <w:t>中细粒黑云母二长花岗岩</w:t>
            </w:r>
          </w:p>
        </w:tc>
      </w:tr>
    </w:tbl>
    <w:p w14:paraId="527BBC6D">
      <w:pPr>
        <w:pStyle w:val="22"/>
        <w:bidi w:val="0"/>
        <w:rPr>
          <w:rFonts w:hint="eastAsia"/>
          <w:highlight w:val="none"/>
        </w:rPr>
      </w:pPr>
      <w:r>
        <w:rPr>
          <w:rFonts w:hint="eastAsia"/>
          <w:highlight w:val="none"/>
        </w:rPr>
        <w:t>依据对</w:t>
      </w:r>
      <w:r>
        <w:rPr>
          <w:rFonts w:hint="eastAsia"/>
          <w:highlight w:val="none"/>
          <w:lang w:val="en-US" w:eastAsia="zh-CN"/>
        </w:rPr>
        <w:t>矿区</w:t>
      </w:r>
      <w:r>
        <w:rPr>
          <w:rFonts w:hint="eastAsia"/>
          <w:highlight w:val="none"/>
        </w:rPr>
        <w:t>钻孔的工程地质编录，现分述如下：</w:t>
      </w:r>
    </w:p>
    <w:p w14:paraId="756DBE9E">
      <w:pPr>
        <w:pStyle w:val="22"/>
        <w:bidi w:val="0"/>
        <w:rPr>
          <w:rFonts w:hint="eastAsia"/>
          <w:highlight w:val="none"/>
        </w:rPr>
      </w:pPr>
      <w:r>
        <w:rPr>
          <w:rFonts w:hint="eastAsia"/>
          <w:highlight w:val="none"/>
        </w:rPr>
        <w:t>滑石化透闪岩： RQD值为91％，岩石质量是极好的。</w:t>
      </w:r>
    </w:p>
    <w:p w14:paraId="7E06F62A">
      <w:pPr>
        <w:pStyle w:val="22"/>
        <w:bidi w:val="0"/>
        <w:rPr>
          <w:rFonts w:hint="eastAsia"/>
          <w:highlight w:val="none"/>
        </w:rPr>
      </w:pPr>
      <w:r>
        <w:rPr>
          <w:rFonts w:hint="eastAsia"/>
          <w:highlight w:val="none"/>
        </w:rPr>
        <w:t>中细粒黑云母二长花岗岩：RQD值为95％，岩石质量是极好的。</w:t>
      </w:r>
    </w:p>
    <w:p w14:paraId="3D711E33">
      <w:pPr>
        <w:pStyle w:val="22"/>
        <w:bidi w:val="0"/>
        <w:rPr>
          <w:rFonts w:hint="eastAsia"/>
          <w:highlight w:val="none"/>
        </w:rPr>
      </w:pPr>
      <w:r>
        <w:rPr>
          <w:rFonts w:hint="eastAsia"/>
          <w:highlight w:val="none"/>
        </w:rPr>
        <w:t>磁铁石英岩：RQD值为92％，岩石质量是极好的。</w:t>
      </w:r>
    </w:p>
    <w:p w14:paraId="6DD758FB">
      <w:pPr>
        <w:pStyle w:val="22"/>
        <w:bidi w:val="0"/>
        <w:rPr>
          <w:rFonts w:hint="eastAsia"/>
          <w:highlight w:val="none"/>
        </w:rPr>
      </w:pPr>
      <w:r>
        <w:rPr>
          <w:rFonts w:hint="eastAsia"/>
          <w:highlight w:val="none"/>
        </w:rPr>
        <w:t>岩体质量指标、岩体完整性系数利用工程地质编录孔，分别统计不同岩石的RQD值，取其平均值。</w:t>
      </w:r>
    </w:p>
    <w:p w14:paraId="67EE3F47">
      <w:pPr>
        <w:pStyle w:val="22"/>
        <w:bidi w:val="0"/>
        <w:rPr>
          <w:rFonts w:hint="eastAsia"/>
          <w:highlight w:val="none"/>
        </w:rPr>
      </w:pPr>
      <w:r>
        <w:rPr>
          <w:rFonts w:hint="eastAsia"/>
          <w:highlight w:val="none"/>
          <w:lang w:val="en-US" w:eastAsia="zh-CN"/>
        </w:rPr>
        <w:t>③</w:t>
      </w:r>
      <w:r>
        <w:rPr>
          <w:rFonts w:hint="eastAsia"/>
          <w:highlight w:val="none"/>
        </w:rPr>
        <w:t>岩体质量系数法：用下式求得，计算结果</w:t>
      </w:r>
      <w:r>
        <w:rPr>
          <w:rFonts w:hint="eastAsia"/>
          <w:highlight w:val="none"/>
          <w:lang w:val="en-US" w:eastAsia="zh-CN"/>
        </w:rPr>
        <w:t>见下表</w:t>
      </w:r>
      <w:r>
        <w:rPr>
          <w:rFonts w:hint="eastAsia"/>
          <w:highlight w:val="none"/>
        </w:rPr>
        <w:t>。</w:t>
      </w:r>
    </w:p>
    <w:p w14:paraId="6ED1D144">
      <w:pPr>
        <w:pStyle w:val="22"/>
        <w:bidi w:val="0"/>
        <w:rPr>
          <w:rFonts w:hint="eastAsia"/>
          <w:highlight w:val="none"/>
        </w:rPr>
      </w:pPr>
      <w:r>
        <w:rPr>
          <w:rFonts w:hint="eastAsia"/>
          <w:highlight w:val="none"/>
        </w:rPr>
        <w:t>Z=I×F×S</w:t>
      </w:r>
    </w:p>
    <w:p w14:paraId="4D5C08FD">
      <w:pPr>
        <w:pStyle w:val="22"/>
        <w:bidi w:val="0"/>
        <w:rPr>
          <w:rFonts w:hint="eastAsia"/>
          <w:highlight w:val="none"/>
        </w:rPr>
      </w:pPr>
      <w:r>
        <w:rPr>
          <w:rFonts w:hint="eastAsia"/>
          <w:highlight w:val="none"/>
        </w:rPr>
        <w:t>Z：岩体质量系数；</w:t>
      </w:r>
    </w:p>
    <w:p w14:paraId="48317690">
      <w:pPr>
        <w:pStyle w:val="22"/>
        <w:bidi w:val="0"/>
        <w:rPr>
          <w:rFonts w:hint="eastAsia"/>
          <w:highlight w:val="none"/>
        </w:rPr>
      </w:pPr>
      <w:r>
        <w:rPr>
          <w:rFonts w:hint="eastAsia"/>
          <w:highlight w:val="none"/>
        </w:rPr>
        <w:t>I：岩体完整性系数(用RQD值)；</w:t>
      </w:r>
    </w:p>
    <w:p w14:paraId="04A73F4D">
      <w:pPr>
        <w:pStyle w:val="22"/>
        <w:bidi w:val="0"/>
        <w:rPr>
          <w:rFonts w:hint="eastAsia"/>
          <w:highlight w:val="none"/>
        </w:rPr>
      </w:pPr>
      <w:r>
        <w:rPr>
          <w:rFonts w:hint="eastAsia"/>
          <w:highlight w:val="none"/>
        </w:rPr>
        <w:t>F：经验系数(取0.60)；</w:t>
      </w:r>
    </w:p>
    <w:p w14:paraId="00D3AC30">
      <w:pPr>
        <w:pStyle w:val="22"/>
        <w:bidi w:val="0"/>
        <w:rPr>
          <w:rFonts w:hint="eastAsia"/>
          <w:highlight w:val="none"/>
        </w:rPr>
      </w:pPr>
      <w:r>
        <w:rPr>
          <w:rFonts w:hint="eastAsia"/>
          <w:highlight w:val="none"/>
        </w:rPr>
        <w:t>S：岩石坚硬系数S= Rc/10（kg/cm</w:t>
      </w:r>
      <w:r>
        <w:rPr>
          <w:rFonts w:hint="eastAsia"/>
          <w:highlight w:val="none"/>
          <w:lang w:val="en-US" w:eastAsia="zh-CN"/>
        </w:rPr>
        <w:t>²</w:t>
      </w:r>
      <w:r>
        <w:rPr>
          <w:rFonts w:hint="eastAsia"/>
          <w:highlight w:val="none"/>
        </w:rPr>
        <w:t>）；</w:t>
      </w:r>
    </w:p>
    <w:p w14:paraId="4E8EF9E1">
      <w:pPr>
        <w:pStyle w:val="22"/>
        <w:bidi w:val="0"/>
        <w:rPr>
          <w:rFonts w:hint="eastAsia"/>
          <w:highlight w:val="none"/>
        </w:rPr>
      </w:pPr>
      <w:r>
        <w:rPr>
          <w:rFonts w:hint="eastAsia"/>
          <w:highlight w:val="none"/>
        </w:rPr>
        <w:t>Rc：岩块饱和轴向抗压强度（kg/cm</w:t>
      </w:r>
      <w:r>
        <w:rPr>
          <w:rFonts w:hint="eastAsia"/>
          <w:highlight w:val="none"/>
          <w:lang w:val="en-US" w:eastAsia="zh-CN"/>
        </w:rPr>
        <w:t>²</w:t>
      </w:r>
      <w:r>
        <w:rPr>
          <w:rFonts w:hint="eastAsia"/>
          <w:highlight w:val="none"/>
        </w:rPr>
        <w:t>）；</w:t>
      </w:r>
    </w:p>
    <w:p w14:paraId="4C7C5763">
      <w:pPr>
        <w:pStyle w:val="31"/>
        <w:bidi w:val="0"/>
        <w:rPr>
          <w:highlight w:val="none"/>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5  岩体质量系数（Z）计算结果表</w:t>
      </w:r>
    </w:p>
    <w:tbl>
      <w:tblPr>
        <w:tblStyle w:val="2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10"/>
        <w:gridCol w:w="904"/>
        <w:gridCol w:w="984"/>
        <w:gridCol w:w="1065"/>
        <w:gridCol w:w="1270"/>
        <w:gridCol w:w="935"/>
        <w:gridCol w:w="1633"/>
      </w:tblGrid>
      <w:tr w14:paraId="463C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388" w:type="pct"/>
            <w:vMerge w:val="restart"/>
            <w:vAlign w:val="center"/>
          </w:tcPr>
          <w:p w14:paraId="5B0A3A42">
            <w:pPr>
              <w:pStyle w:val="32"/>
              <w:bidi w:val="0"/>
              <w:rPr>
                <w:rFonts w:hint="eastAsia"/>
                <w:highlight w:val="none"/>
                <w:lang w:val="en-US" w:eastAsia="zh-CN"/>
              </w:rPr>
            </w:pPr>
            <w:r>
              <w:rPr>
                <w:rFonts w:hint="eastAsia"/>
                <w:highlight w:val="none"/>
                <w:lang w:val="en-US" w:eastAsia="zh-CN"/>
              </w:rPr>
              <w:t>岩性</w:t>
            </w:r>
          </w:p>
        </w:tc>
        <w:tc>
          <w:tcPr>
            <w:tcW w:w="2742" w:type="pct"/>
            <w:gridSpan w:val="5"/>
            <w:vAlign w:val="center"/>
          </w:tcPr>
          <w:p w14:paraId="511F4B63">
            <w:pPr>
              <w:pStyle w:val="32"/>
              <w:bidi w:val="0"/>
              <w:rPr>
                <w:rFonts w:hint="eastAsia"/>
                <w:highlight w:val="none"/>
                <w:lang w:val="en-US" w:eastAsia="zh-CN"/>
              </w:rPr>
            </w:pPr>
            <w:r>
              <w:rPr>
                <w:rFonts w:hint="eastAsia"/>
                <w:highlight w:val="none"/>
                <w:lang w:val="en-US" w:eastAsia="zh-CN"/>
              </w:rPr>
              <w:t>计算参数</w:t>
            </w:r>
          </w:p>
        </w:tc>
        <w:tc>
          <w:tcPr>
            <w:tcW w:w="868" w:type="pct"/>
            <w:vMerge w:val="restart"/>
            <w:vAlign w:val="center"/>
          </w:tcPr>
          <w:p w14:paraId="4A89A7BB">
            <w:pPr>
              <w:pStyle w:val="32"/>
              <w:bidi w:val="0"/>
              <w:rPr>
                <w:rFonts w:hint="eastAsia"/>
                <w:highlight w:val="none"/>
                <w:lang w:val="en-US" w:eastAsia="zh-CN"/>
              </w:rPr>
            </w:pPr>
            <w:r>
              <w:rPr>
                <w:rFonts w:hint="eastAsia"/>
                <w:highlight w:val="none"/>
                <w:lang w:val="en-US" w:eastAsia="zh-CN"/>
              </w:rPr>
              <w:t>质量等级</w:t>
            </w:r>
          </w:p>
        </w:tc>
      </w:tr>
      <w:tr w14:paraId="7CF00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 w:hRule="atLeast"/>
          <w:jc w:val="center"/>
        </w:trPr>
        <w:tc>
          <w:tcPr>
            <w:tcW w:w="1388" w:type="pct"/>
            <w:vMerge w:val="continue"/>
            <w:vAlign w:val="center"/>
          </w:tcPr>
          <w:p w14:paraId="6F71A41B">
            <w:pPr>
              <w:pStyle w:val="32"/>
              <w:bidi w:val="0"/>
              <w:rPr>
                <w:rFonts w:hint="eastAsia"/>
                <w:highlight w:val="none"/>
                <w:lang w:val="en-US" w:eastAsia="zh-CN"/>
              </w:rPr>
            </w:pPr>
          </w:p>
        </w:tc>
        <w:tc>
          <w:tcPr>
            <w:tcW w:w="481" w:type="pct"/>
            <w:vAlign w:val="center"/>
          </w:tcPr>
          <w:p w14:paraId="6BB67E31">
            <w:pPr>
              <w:pStyle w:val="32"/>
              <w:bidi w:val="0"/>
              <w:rPr>
                <w:rFonts w:hint="eastAsia"/>
                <w:highlight w:val="none"/>
                <w:lang w:val="en-US" w:eastAsia="zh-CN"/>
              </w:rPr>
            </w:pPr>
            <w:r>
              <w:rPr>
                <w:rFonts w:hint="eastAsia"/>
                <w:highlight w:val="none"/>
                <w:lang w:val="en-US" w:eastAsia="zh-CN"/>
              </w:rPr>
              <w:t>I</w:t>
            </w:r>
          </w:p>
        </w:tc>
        <w:tc>
          <w:tcPr>
            <w:tcW w:w="523" w:type="pct"/>
            <w:vAlign w:val="center"/>
          </w:tcPr>
          <w:p w14:paraId="6768131F">
            <w:pPr>
              <w:pStyle w:val="32"/>
              <w:bidi w:val="0"/>
              <w:rPr>
                <w:rFonts w:hint="eastAsia"/>
                <w:highlight w:val="none"/>
                <w:lang w:val="en-US" w:eastAsia="zh-CN"/>
              </w:rPr>
            </w:pPr>
            <w:r>
              <w:rPr>
                <w:rFonts w:hint="eastAsia"/>
                <w:highlight w:val="none"/>
                <w:lang w:val="en-US" w:eastAsia="zh-CN"/>
              </w:rPr>
              <w:t>F</w:t>
            </w:r>
          </w:p>
        </w:tc>
        <w:tc>
          <w:tcPr>
            <w:tcW w:w="566" w:type="pct"/>
            <w:vAlign w:val="center"/>
          </w:tcPr>
          <w:p w14:paraId="0373B025">
            <w:pPr>
              <w:pStyle w:val="32"/>
              <w:bidi w:val="0"/>
              <w:rPr>
                <w:rFonts w:hint="eastAsia"/>
                <w:highlight w:val="none"/>
                <w:lang w:val="en-US" w:eastAsia="zh-CN"/>
              </w:rPr>
            </w:pPr>
            <w:r>
              <w:rPr>
                <w:rFonts w:hint="eastAsia"/>
                <w:highlight w:val="none"/>
                <w:lang w:val="en-US" w:eastAsia="zh-CN"/>
              </w:rPr>
              <w:t>Rc</w:t>
            </w:r>
          </w:p>
        </w:tc>
        <w:tc>
          <w:tcPr>
            <w:tcW w:w="675" w:type="pct"/>
            <w:vAlign w:val="center"/>
          </w:tcPr>
          <w:p w14:paraId="01B30ACB">
            <w:pPr>
              <w:pStyle w:val="32"/>
              <w:bidi w:val="0"/>
              <w:rPr>
                <w:rFonts w:hint="eastAsia"/>
                <w:highlight w:val="none"/>
                <w:lang w:val="en-US" w:eastAsia="zh-CN"/>
              </w:rPr>
            </w:pPr>
            <w:r>
              <w:rPr>
                <w:rFonts w:hint="eastAsia"/>
                <w:highlight w:val="none"/>
                <w:lang w:val="en-US" w:eastAsia="zh-CN"/>
              </w:rPr>
              <w:t>S</w:t>
            </w:r>
          </w:p>
        </w:tc>
        <w:tc>
          <w:tcPr>
            <w:tcW w:w="496" w:type="pct"/>
            <w:vAlign w:val="center"/>
          </w:tcPr>
          <w:p w14:paraId="5696A7F0">
            <w:pPr>
              <w:pStyle w:val="32"/>
              <w:bidi w:val="0"/>
              <w:rPr>
                <w:rFonts w:hint="eastAsia"/>
                <w:highlight w:val="none"/>
                <w:lang w:val="en-US" w:eastAsia="zh-CN"/>
              </w:rPr>
            </w:pPr>
            <w:r>
              <w:rPr>
                <w:rFonts w:hint="eastAsia"/>
                <w:highlight w:val="none"/>
                <w:lang w:val="en-US" w:eastAsia="zh-CN"/>
              </w:rPr>
              <w:t>Z</w:t>
            </w:r>
          </w:p>
        </w:tc>
        <w:tc>
          <w:tcPr>
            <w:tcW w:w="868" w:type="pct"/>
            <w:vMerge w:val="continue"/>
            <w:vAlign w:val="center"/>
          </w:tcPr>
          <w:p w14:paraId="4D36BF9D">
            <w:pPr>
              <w:pStyle w:val="32"/>
              <w:bidi w:val="0"/>
              <w:rPr>
                <w:rFonts w:hint="eastAsia"/>
                <w:highlight w:val="none"/>
                <w:lang w:val="en-US" w:eastAsia="zh-CN"/>
              </w:rPr>
            </w:pPr>
          </w:p>
        </w:tc>
      </w:tr>
      <w:tr w14:paraId="653AD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388" w:type="pct"/>
            <w:vAlign w:val="center"/>
          </w:tcPr>
          <w:p w14:paraId="3AE795F4">
            <w:pPr>
              <w:pStyle w:val="32"/>
              <w:bidi w:val="0"/>
              <w:rPr>
                <w:rFonts w:hint="eastAsia"/>
                <w:highlight w:val="none"/>
                <w:lang w:val="en-US" w:eastAsia="zh-CN"/>
              </w:rPr>
            </w:pPr>
            <w:r>
              <w:rPr>
                <w:rFonts w:hint="eastAsia"/>
                <w:highlight w:val="none"/>
                <w:lang w:val="en-US" w:eastAsia="zh-CN"/>
              </w:rPr>
              <w:t>中细粒黑云母二长花岗岩</w:t>
            </w:r>
          </w:p>
        </w:tc>
        <w:tc>
          <w:tcPr>
            <w:tcW w:w="481" w:type="pct"/>
            <w:vAlign w:val="center"/>
          </w:tcPr>
          <w:p w14:paraId="2596DDA6">
            <w:pPr>
              <w:pStyle w:val="32"/>
              <w:bidi w:val="0"/>
              <w:rPr>
                <w:rFonts w:hint="eastAsia"/>
                <w:highlight w:val="none"/>
                <w:lang w:val="en-US" w:eastAsia="zh-CN"/>
              </w:rPr>
            </w:pPr>
            <w:r>
              <w:rPr>
                <w:rFonts w:hint="eastAsia"/>
                <w:highlight w:val="none"/>
                <w:lang w:val="en-US" w:eastAsia="zh-CN"/>
              </w:rPr>
              <w:t>0.95</w:t>
            </w:r>
          </w:p>
        </w:tc>
        <w:tc>
          <w:tcPr>
            <w:tcW w:w="523" w:type="pct"/>
            <w:vAlign w:val="center"/>
          </w:tcPr>
          <w:p w14:paraId="257AA9EE">
            <w:pPr>
              <w:pStyle w:val="32"/>
              <w:bidi w:val="0"/>
              <w:rPr>
                <w:rFonts w:hint="eastAsia"/>
                <w:highlight w:val="none"/>
                <w:lang w:val="en-US" w:eastAsia="zh-CN"/>
              </w:rPr>
            </w:pPr>
            <w:r>
              <w:rPr>
                <w:rFonts w:hint="eastAsia"/>
                <w:highlight w:val="none"/>
                <w:lang w:val="en-US" w:eastAsia="zh-CN"/>
              </w:rPr>
              <w:t>0.60</w:t>
            </w:r>
          </w:p>
        </w:tc>
        <w:tc>
          <w:tcPr>
            <w:tcW w:w="566" w:type="pct"/>
            <w:vAlign w:val="center"/>
          </w:tcPr>
          <w:p w14:paraId="215FC5C0">
            <w:pPr>
              <w:pStyle w:val="32"/>
              <w:bidi w:val="0"/>
              <w:rPr>
                <w:rFonts w:hint="eastAsia"/>
                <w:highlight w:val="none"/>
                <w:lang w:val="en-US" w:eastAsia="zh-CN"/>
              </w:rPr>
            </w:pPr>
            <w:r>
              <w:rPr>
                <w:rFonts w:hint="eastAsia"/>
                <w:highlight w:val="none"/>
                <w:lang w:val="en-US" w:eastAsia="zh-CN"/>
              </w:rPr>
              <w:t>139.93</w:t>
            </w:r>
          </w:p>
        </w:tc>
        <w:tc>
          <w:tcPr>
            <w:tcW w:w="675" w:type="pct"/>
            <w:vAlign w:val="center"/>
          </w:tcPr>
          <w:p w14:paraId="3C998F82">
            <w:pPr>
              <w:pStyle w:val="32"/>
              <w:bidi w:val="0"/>
              <w:rPr>
                <w:rFonts w:hint="eastAsia"/>
                <w:highlight w:val="none"/>
                <w:lang w:val="en-US" w:eastAsia="zh-CN"/>
              </w:rPr>
            </w:pPr>
            <w:r>
              <w:rPr>
                <w:rFonts w:hint="eastAsia"/>
                <w:highlight w:val="none"/>
                <w:lang w:val="en-US" w:eastAsia="zh-CN"/>
              </w:rPr>
              <w:t>13.993</w:t>
            </w:r>
          </w:p>
        </w:tc>
        <w:tc>
          <w:tcPr>
            <w:tcW w:w="496" w:type="pct"/>
            <w:vAlign w:val="center"/>
          </w:tcPr>
          <w:p w14:paraId="4CE3F7F3">
            <w:pPr>
              <w:pStyle w:val="32"/>
              <w:bidi w:val="0"/>
              <w:rPr>
                <w:rFonts w:hint="eastAsia"/>
                <w:highlight w:val="none"/>
                <w:lang w:val="en-US" w:eastAsia="zh-CN"/>
              </w:rPr>
            </w:pPr>
            <w:r>
              <w:rPr>
                <w:rFonts w:hint="eastAsia"/>
                <w:highlight w:val="none"/>
                <w:lang w:val="en-US" w:eastAsia="zh-CN"/>
              </w:rPr>
              <w:t>7.97</w:t>
            </w:r>
          </w:p>
        </w:tc>
        <w:tc>
          <w:tcPr>
            <w:tcW w:w="868" w:type="pct"/>
            <w:vAlign w:val="center"/>
          </w:tcPr>
          <w:p w14:paraId="7A81ED30">
            <w:pPr>
              <w:pStyle w:val="32"/>
              <w:bidi w:val="0"/>
              <w:rPr>
                <w:rFonts w:hint="eastAsia"/>
                <w:highlight w:val="none"/>
                <w:lang w:val="en-US" w:eastAsia="zh-CN"/>
              </w:rPr>
            </w:pPr>
            <w:r>
              <w:rPr>
                <w:rFonts w:hint="eastAsia"/>
                <w:highlight w:val="none"/>
                <w:lang w:val="en-US" w:eastAsia="zh-CN"/>
              </w:rPr>
              <w:t>好</w:t>
            </w:r>
          </w:p>
        </w:tc>
      </w:tr>
      <w:tr w14:paraId="4F9F8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388" w:type="pct"/>
            <w:vAlign w:val="center"/>
          </w:tcPr>
          <w:p w14:paraId="76E5052E">
            <w:pPr>
              <w:pStyle w:val="32"/>
              <w:bidi w:val="0"/>
              <w:rPr>
                <w:rFonts w:hint="eastAsia"/>
                <w:highlight w:val="none"/>
                <w:lang w:val="en-US" w:eastAsia="zh-CN"/>
              </w:rPr>
            </w:pPr>
            <w:r>
              <w:rPr>
                <w:rFonts w:hint="eastAsia"/>
                <w:highlight w:val="none"/>
                <w:lang w:val="en-US" w:eastAsia="zh-CN"/>
              </w:rPr>
              <w:t>滑石化透闪岩</w:t>
            </w:r>
          </w:p>
        </w:tc>
        <w:tc>
          <w:tcPr>
            <w:tcW w:w="481" w:type="pct"/>
            <w:vAlign w:val="center"/>
          </w:tcPr>
          <w:p w14:paraId="08A04C73">
            <w:pPr>
              <w:pStyle w:val="32"/>
              <w:bidi w:val="0"/>
              <w:rPr>
                <w:rFonts w:hint="eastAsia"/>
                <w:highlight w:val="none"/>
                <w:lang w:val="en-US" w:eastAsia="zh-CN"/>
              </w:rPr>
            </w:pPr>
            <w:r>
              <w:rPr>
                <w:rFonts w:hint="eastAsia"/>
                <w:highlight w:val="none"/>
                <w:lang w:val="en-US" w:eastAsia="zh-CN"/>
              </w:rPr>
              <w:t>0.91</w:t>
            </w:r>
          </w:p>
        </w:tc>
        <w:tc>
          <w:tcPr>
            <w:tcW w:w="523" w:type="pct"/>
            <w:vAlign w:val="center"/>
          </w:tcPr>
          <w:p w14:paraId="552FE949">
            <w:pPr>
              <w:pStyle w:val="32"/>
              <w:bidi w:val="0"/>
              <w:rPr>
                <w:rFonts w:hint="eastAsia"/>
                <w:highlight w:val="none"/>
                <w:lang w:val="en-US" w:eastAsia="zh-CN"/>
              </w:rPr>
            </w:pPr>
            <w:r>
              <w:rPr>
                <w:rFonts w:hint="eastAsia"/>
                <w:highlight w:val="none"/>
                <w:lang w:val="en-US" w:eastAsia="zh-CN"/>
              </w:rPr>
              <w:t>0.60</w:t>
            </w:r>
          </w:p>
        </w:tc>
        <w:tc>
          <w:tcPr>
            <w:tcW w:w="566" w:type="pct"/>
            <w:vAlign w:val="center"/>
          </w:tcPr>
          <w:p w14:paraId="31E870D1">
            <w:pPr>
              <w:pStyle w:val="32"/>
              <w:bidi w:val="0"/>
              <w:rPr>
                <w:rFonts w:hint="eastAsia"/>
                <w:highlight w:val="none"/>
                <w:lang w:val="en-US" w:eastAsia="zh-CN"/>
              </w:rPr>
            </w:pPr>
            <w:r>
              <w:rPr>
                <w:rFonts w:hint="eastAsia"/>
                <w:highlight w:val="none"/>
                <w:lang w:val="en-US" w:eastAsia="zh-CN"/>
              </w:rPr>
              <w:t>62.5</w:t>
            </w:r>
          </w:p>
        </w:tc>
        <w:tc>
          <w:tcPr>
            <w:tcW w:w="675" w:type="pct"/>
            <w:vAlign w:val="center"/>
          </w:tcPr>
          <w:p w14:paraId="683CF307">
            <w:pPr>
              <w:pStyle w:val="32"/>
              <w:bidi w:val="0"/>
              <w:rPr>
                <w:rFonts w:hint="eastAsia"/>
                <w:highlight w:val="none"/>
                <w:lang w:val="en-US" w:eastAsia="zh-CN"/>
              </w:rPr>
            </w:pPr>
            <w:r>
              <w:rPr>
                <w:rFonts w:hint="eastAsia"/>
                <w:highlight w:val="none"/>
                <w:lang w:val="en-US" w:eastAsia="zh-CN"/>
              </w:rPr>
              <w:t>6.25</w:t>
            </w:r>
          </w:p>
        </w:tc>
        <w:tc>
          <w:tcPr>
            <w:tcW w:w="496" w:type="pct"/>
            <w:vAlign w:val="center"/>
          </w:tcPr>
          <w:p w14:paraId="1F48013A">
            <w:pPr>
              <w:pStyle w:val="32"/>
              <w:bidi w:val="0"/>
              <w:rPr>
                <w:rFonts w:hint="eastAsia"/>
                <w:highlight w:val="none"/>
                <w:lang w:val="en-US" w:eastAsia="zh-CN"/>
              </w:rPr>
            </w:pPr>
            <w:r>
              <w:rPr>
                <w:rFonts w:hint="eastAsia"/>
                <w:highlight w:val="none"/>
                <w:lang w:val="en-US" w:eastAsia="zh-CN"/>
              </w:rPr>
              <w:t>3.13</w:t>
            </w:r>
          </w:p>
        </w:tc>
        <w:tc>
          <w:tcPr>
            <w:tcW w:w="868" w:type="pct"/>
            <w:vAlign w:val="center"/>
          </w:tcPr>
          <w:p w14:paraId="40BFB644">
            <w:pPr>
              <w:pStyle w:val="32"/>
              <w:bidi w:val="0"/>
              <w:rPr>
                <w:rFonts w:hint="eastAsia"/>
                <w:highlight w:val="none"/>
                <w:lang w:val="en-US" w:eastAsia="zh-CN"/>
              </w:rPr>
            </w:pPr>
            <w:r>
              <w:rPr>
                <w:rFonts w:hint="eastAsia"/>
                <w:highlight w:val="none"/>
                <w:lang w:val="en-US" w:eastAsia="zh-CN"/>
              </w:rPr>
              <w:t>好</w:t>
            </w:r>
          </w:p>
        </w:tc>
      </w:tr>
      <w:tr w14:paraId="55678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388" w:type="pct"/>
            <w:vAlign w:val="center"/>
          </w:tcPr>
          <w:p w14:paraId="0A9B964F">
            <w:pPr>
              <w:pStyle w:val="32"/>
              <w:bidi w:val="0"/>
              <w:rPr>
                <w:rFonts w:hint="eastAsia"/>
                <w:highlight w:val="none"/>
                <w:lang w:val="en-US" w:eastAsia="zh-CN"/>
              </w:rPr>
            </w:pPr>
            <w:r>
              <w:rPr>
                <w:rFonts w:hint="eastAsia"/>
                <w:highlight w:val="none"/>
                <w:lang w:val="en-US" w:eastAsia="zh-CN"/>
              </w:rPr>
              <w:t>磁铁石英岩</w:t>
            </w:r>
          </w:p>
        </w:tc>
        <w:tc>
          <w:tcPr>
            <w:tcW w:w="481" w:type="pct"/>
            <w:vAlign w:val="center"/>
          </w:tcPr>
          <w:p w14:paraId="1D31B0E1">
            <w:pPr>
              <w:pStyle w:val="32"/>
              <w:bidi w:val="0"/>
              <w:rPr>
                <w:rFonts w:hint="eastAsia"/>
                <w:highlight w:val="none"/>
                <w:lang w:val="en-US" w:eastAsia="zh-CN"/>
              </w:rPr>
            </w:pPr>
            <w:r>
              <w:rPr>
                <w:rFonts w:hint="eastAsia"/>
                <w:highlight w:val="none"/>
                <w:lang w:val="en-US" w:eastAsia="zh-CN"/>
              </w:rPr>
              <w:t>0.92</w:t>
            </w:r>
          </w:p>
        </w:tc>
        <w:tc>
          <w:tcPr>
            <w:tcW w:w="523" w:type="pct"/>
            <w:vAlign w:val="center"/>
          </w:tcPr>
          <w:p w14:paraId="74EF3659">
            <w:pPr>
              <w:pStyle w:val="32"/>
              <w:bidi w:val="0"/>
              <w:rPr>
                <w:rFonts w:hint="eastAsia"/>
                <w:highlight w:val="none"/>
                <w:lang w:val="en-US" w:eastAsia="zh-CN"/>
              </w:rPr>
            </w:pPr>
            <w:r>
              <w:rPr>
                <w:rFonts w:hint="eastAsia"/>
                <w:highlight w:val="none"/>
                <w:lang w:val="en-US" w:eastAsia="zh-CN"/>
              </w:rPr>
              <w:t>0.60</w:t>
            </w:r>
          </w:p>
        </w:tc>
        <w:tc>
          <w:tcPr>
            <w:tcW w:w="566" w:type="pct"/>
            <w:vAlign w:val="center"/>
          </w:tcPr>
          <w:p w14:paraId="09670DEB">
            <w:pPr>
              <w:pStyle w:val="32"/>
              <w:bidi w:val="0"/>
              <w:rPr>
                <w:rFonts w:hint="eastAsia"/>
                <w:highlight w:val="none"/>
                <w:lang w:val="en-US" w:eastAsia="zh-CN"/>
              </w:rPr>
            </w:pPr>
            <w:r>
              <w:rPr>
                <w:rFonts w:hint="eastAsia"/>
                <w:highlight w:val="none"/>
                <w:lang w:val="en-US" w:eastAsia="zh-CN"/>
              </w:rPr>
              <w:t>67.4</w:t>
            </w:r>
          </w:p>
        </w:tc>
        <w:tc>
          <w:tcPr>
            <w:tcW w:w="675" w:type="pct"/>
            <w:vAlign w:val="center"/>
          </w:tcPr>
          <w:p w14:paraId="4B47415C">
            <w:pPr>
              <w:pStyle w:val="32"/>
              <w:bidi w:val="0"/>
              <w:rPr>
                <w:rFonts w:hint="eastAsia"/>
                <w:highlight w:val="none"/>
                <w:lang w:val="en-US" w:eastAsia="zh-CN"/>
              </w:rPr>
            </w:pPr>
            <w:r>
              <w:rPr>
                <w:rFonts w:hint="eastAsia"/>
                <w:highlight w:val="none"/>
                <w:lang w:val="en-US" w:eastAsia="zh-CN"/>
              </w:rPr>
              <w:t>6.74</w:t>
            </w:r>
          </w:p>
        </w:tc>
        <w:tc>
          <w:tcPr>
            <w:tcW w:w="496" w:type="pct"/>
            <w:vAlign w:val="center"/>
          </w:tcPr>
          <w:p w14:paraId="035ADA8B">
            <w:pPr>
              <w:pStyle w:val="32"/>
              <w:bidi w:val="0"/>
              <w:rPr>
                <w:rFonts w:hint="eastAsia"/>
                <w:highlight w:val="none"/>
                <w:lang w:val="en-US" w:eastAsia="zh-CN"/>
              </w:rPr>
            </w:pPr>
            <w:r>
              <w:rPr>
                <w:rFonts w:hint="eastAsia"/>
                <w:highlight w:val="none"/>
                <w:lang w:val="en-US" w:eastAsia="zh-CN"/>
              </w:rPr>
              <w:t>3.72</w:t>
            </w:r>
          </w:p>
        </w:tc>
        <w:tc>
          <w:tcPr>
            <w:tcW w:w="868" w:type="pct"/>
            <w:vAlign w:val="center"/>
          </w:tcPr>
          <w:p w14:paraId="595E9671">
            <w:pPr>
              <w:pStyle w:val="32"/>
              <w:bidi w:val="0"/>
              <w:rPr>
                <w:rFonts w:hint="eastAsia"/>
                <w:highlight w:val="none"/>
                <w:lang w:val="en-US" w:eastAsia="zh-CN"/>
              </w:rPr>
            </w:pPr>
          </w:p>
        </w:tc>
      </w:tr>
    </w:tbl>
    <w:p w14:paraId="33CFD925">
      <w:pPr>
        <w:pStyle w:val="22"/>
        <w:bidi w:val="0"/>
        <w:rPr>
          <w:rFonts w:hint="eastAsia"/>
          <w:highlight w:val="none"/>
        </w:rPr>
      </w:pPr>
      <w:r>
        <w:rPr>
          <w:rFonts w:hint="eastAsia"/>
          <w:highlight w:val="none"/>
          <w:lang w:val="en-US" w:eastAsia="zh-CN"/>
        </w:rPr>
        <w:t>④</w:t>
      </w:r>
      <w:r>
        <w:rPr>
          <w:rFonts w:hint="eastAsia"/>
          <w:highlight w:val="none"/>
        </w:rPr>
        <w:t>依据相关规范，采用岩体质量指标（M）进行岩体质量分级评价。公式如下：</w:t>
      </w:r>
    </w:p>
    <w:p w14:paraId="221E6C0D">
      <w:pPr>
        <w:pStyle w:val="22"/>
        <w:bidi w:val="0"/>
        <w:rPr>
          <w:rFonts w:hint="eastAsia"/>
          <w:highlight w:val="none"/>
        </w:rPr>
      </w:pPr>
      <w:r>
        <w:rPr>
          <w:rFonts w:hint="eastAsia"/>
          <w:highlight w:val="none"/>
        </w:rPr>
        <w:t>M=fr/30×RQD</w:t>
      </w:r>
    </w:p>
    <w:p w14:paraId="2311DFE9">
      <w:pPr>
        <w:pStyle w:val="22"/>
        <w:bidi w:val="0"/>
        <w:rPr>
          <w:rFonts w:hint="eastAsia"/>
          <w:highlight w:val="none"/>
        </w:rPr>
      </w:pPr>
      <w:r>
        <w:rPr>
          <w:rFonts w:hint="eastAsia"/>
          <w:highlight w:val="none"/>
        </w:rPr>
        <w:t>其中：fr为岩石平均单轴抗压强度（Mpa），各类岩性取平均值；</w:t>
      </w:r>
    </w:p>
    <w:p w14:paraId="33D7827E">
      <w:pPr>
        <w:pStyle w:val="22"/>
        <w:bidi w:val="0"/>
        <w:rPr>
          <w:rFonts w:hint="eastAsia"/>
          <w:highlight w:val="none"/>
        </w:rPr>
      </w:pPr>
      <w:r>
        <w:rPr>
          <w:rFonts w:hint="eastAsia"/>
          <w:highlight w:val="none"/>
        </w:rPr>
        <w:t>RQD值利用本次及以往所编录钻孔统计不同岩组的平均RQD值进行计算所得，计算结果见</w:t>
      </w:r>
      <w:r>
        <w:rPr>
          <w:rFonts w:hint="eastAsia"/>
          <w:highlight w:val="none"/>
          <w:lang w:val="en-US" w:eastAsia="zh-CN"/>
        </w:rPr>
        <w:t>下表</w:t>
      </w:r>
      <w:r>
        <w:rPr>
          <w:rFonts w:hint="eastAsia"/>
          <w:highlight w:val="none"/>
        </w:rPr>
        <w:t>。</w:t>
      </w:r>
    </w:p>
    <w:p w14:paraId="3A563B54">
      <w:pPr>
        <w:pStyle w:val="31"/>
        <w:bidi w:val="0"/>
        <w:rPr>
          <w:highlight w:val="none"/>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6  岩体质量指标M统计表</w:t>
      </w:r>
    </w:p>
    <w:tbl>
      <w:tblPr>
        <w:tblStyle w:val="2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3"/>
        <w:gridCol w:w="1682"/>
        <w:gridCol w:w="1682"/>
        <w:gridCol w:w="1682"/>
        <w:gridCol w:w="1376"/>
        <w:gridCol w:w="1480"/>
      </w:tblGrid>
      <w:tr w14:paraId="50197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794" w:type="pct"/>
            <w:vAlign w:val="center"/>
          </w:tcPr>
          <w:p w14:paraId="21FF6FA1">
            <w:pPr>
              <w:pStyle w:val="32"/>
              <w:bidi w:val="0"/>
              <w:rPr>
                <w:rFonts w:hint="eastAsia"/>
                <w:highlight w:val="none"/>
                <w:lang w:val="en-US" w:eastAsia="zh-CN"/>
              </w:rPr>
            </w:pPr>
            <w:r>
              <w:rPr>
                <w:rFonts w:hint="eastAsia"/>
                <w:highlight w:val="none"/>
                <w:lang w:val="en-US" w:eastAsia="zh-CN"/>
              </w:rPr>
              <w:t>地层岩性</w:t>
            </w:r>
          </w:p>
        </w:tc>
        <w:tc>
          <w:tcPr>
            <w:tcW w:w="895" w:type="pct"/>
            <w:vAlign w:val="center"/>
          </w:tcPr>
          <w:p w14:paraId="34E6D6CB">
            <w:pPr>
              <w:pStyle w:val="32"/>
              <w:bidi w:val="0"/>
              <w:rPr>
                <w:rFonts w:hint="eastAsia"/>
                <w:highlight w:val="none"/>
                <w:lang w:val="en-US" w:eastAsia="zh-CN"/>
              </w:rPr>
            </w:pPr>
            <w:r>
              <w:rPr>
                <w:rFonts w:hint="eastAsia"/>
                <w:highlight w:val="none"/>
                <w:lang w:val="en-US" w:eastAsia="zh-CN"/>
              </w:rPr>
              <w:t>平均单轴</w:t>
            </w:r>
          </w:p>
          <w:p w14:paraId="4AD63617">
            <w:pPr>
              <w:pStyle w:val="32"/>
              <w:bidi w:val="0"/>
              <w:rPr>
                <w:rFonts w:hint="eastAsia"/>
                <w:highlight w:val="none"/>
                <w:lang w:val="en-US" w:eastAsia="zh-CN"/>
              </w:rPr>
            </w:pPr>
            <w:r>
              <w:rPr>
                <w:rFonts w:hint="eastAsia"/>
                <w:highlight w:val="none"/>
                <w:lang w:val="en-US" w:eastAsia="zh-CN"/>
              </w:rPr>
              <w:t>抗压强度</w:t>
            </w:r>
          </w:p>
          <w:p w14:paraId="247FF975">
            <w:pPr>
              <w:pStyle w:val="32"/>
              <w:bidi w:val="0"/>
              <w:rPr>
                <w:rFonts w:hint="eastAsia"/>
                <w:highlight w:val="none"/>
                <w:lang w:val="en-US" w:eastAsia="zh-CN"/>
              </w:rPr>
            </w:pPr>
            <w:r>
              <w:rPr>
                <w:rFonts w:hint="eastAsia"/>
                <w:highlight w:val="none"/>
                <w:lang w:val="en-US" w:eastAsia="zh-CN"/>
              </w:rPr>
              <w:t>（Mpa）</w:t>
            </w:r>
          </w:p>
        </w:tc>
        <w:tc>
          <w:tcPr>
            <w:tcW w:w="895" w:type="pct"/>
            <w:vAlign w:val="center"/>
          </w:tcPr>
          <w:p w14:paraId="6803A2C7">
            <w:pPr>
              <w:pStyle w:val="32"/>
              <w:bidi w:val="0"/>
              <w:rPr>
                <w:rFonts w:hint="eastAsia"/>
                <w:highlight w:val="none"/>
                <w:lang w:val="en-US" w:eastAsia="zh-CN"/>
              </w:rPr>
            </w:pPr>
            <w:r>
              <w:rPr>
                <w:rFonts w:hint="eastAsia"/>
                <w:highlight w:val="none"/>
                <w:lang w:val="en-US" w:eastAsia="zh-CN"/>
              </w:rPr>
              <w:t>岩组的平均</w:t>
            </w:r>
          </w:p>
          <w:p w14:paraId="14F56F25">
            <w:pPr>
              <w:pStyle w:val="32"/>
              <w:bidi w:val="0"/>
              <w:rPr>
                <w:rFonts w:hint="eastAsia"/>
                <w:highlight w:val="none"/>
                <w:lang w:val="en-US" w:eastAsia="zh-CN"/>
              </w:rPr>
            </w:pPr>
            <w:r>
              <w:rPr>
                <w:rFonts w:hint="eastAsia"/>
                <w:highlight w:val="none"/>
                <w:lang w:val="en-US" w:eastAsia="zh-CN"/>
              </w:rPr>
              <w:t>RQD值</w:t>
            </w:r>
          </w:p>
        </w:tc>
        <w:tc>
          <w:tcPr>
            <w:tcW w:w="895" w:type="pct"/>
            <w:vAlign w:val="center"/>
          </w:tcPr>
          <w:p w14:paraId="5E86E37D">
            <w:pPr>
              <w:pStyle w:val="32"/>
              <w:bidi w:val="0"/>
              <w:rPr>
                <w:rFonts w:hint="eastAsia"/>
                <w:highlight w:val="none"/>
                <w:lang w:val="en-US" w:eastAsia="zh-CN"/>
              </w:rPr>
            </w:pPr>
            <w:r>
              <w:rPr>
                <w:rFonts w:hint="eastAsia"/>
                <w:highlight w:val="none"/>
                <w:lang w:val="en-US" w:eastAsia="zh-CN"/>
              </w:rPr>
              <w:t>岩体质量</w:t>
            </w:r>
          </w:p>
          <w:p w14:paraId="25068CC8">
            <w:pPr>
              <w:pStyle w:val="32"/>
              <w:bidi w:val="0"/>
              <w:rPr>
                <w:rFonts w:hint="eastAsia"/>
                <w:highlight w:val="none"/>
                <w:lang w:val="en-US" w:eastAsia="zh-CN"/>
              </w:rPr>
            </w:pPr>
            <w:r>
              <w:rPr>
                <w:rFonts w:hint="eastAsia"/>
                <w:highlight w:val="none"/>
                <w:lang w:val="en-US" w:eastAsia="zh-CN"/>
              </w:rPr>
              <w:t>指标M</w:t>
            </w:r>
          </w:p>
        </w:tc>
        <w:tc>
          <w:tcPr>
            <w:tcW w:w="732" w:type="pct"/>
            <w:vAlign w:val="center"/>
          </w:tcPr>
          <w:p w14:paraId="3EFE7476">
            <w:pPr>
              <w:pStyle w:val="32"/>
              <w:bidi w:val="0"/>
              <w:rPr>
                <w:rFonts w:hint="eastAsia"/>
                <w:highlight w:val="none"/>
                <w:lang w:val="en-US" w:eastAsia="zh-CN"/>
              </w:rPr>
            </w:pPr>
            <w:r>
              <w:rPr>
                <w:rFonts w:hint="eastAsia"/>
                <w:highlight w:val="none"/>
                <w:lang w:val="en-US" w:eastAsia="zh-CN"/>
              </w:rPr>
              <w:t>岩体分类</w:t>
            </w:r>
          </w:p>
        </w:tc>
        <w:tc>
          <w:tcPr>
            <w:tcW w:w="787" w:type="pct"/>
            <w:vAlign w:val="center"/>
          </w:tcPr>
          <w:p w14:paraId="3BCD93E5">
            <w:pPr>
              <w:pStyle w:val="32"/>
              <w:bidi w:val="0"/>
              <w:rPr>
                <w:rFonts w:hint="eastAsia"/>
                <w:highlight w:val="none"/>
                <w:lang w:val="en-US" w:eastAsia="zh-CN"/>
              </w:rPr>
            </w:pPr>
            <w:r>
              <w:rPr>
                <w:rFonts w:hint="eastAsia"/>
                <w:highlight w:val="none"/>
                <w:lang w:val="en-US" w:eastAsia="zh-CN"/>
              </w:rPr>
              <w:t>岩体质量</w:t>
            </w:r>
          </w:p>
          <w:p w14:paraId="352F4229">
            <w:pPr>
              <w:pStyle w:val="32"/>
              <w:bidi w:val="0"/>
              <w:rPr>
                <w:rFonts w:hint="eastAsia"/>
                <w:highlight w:val="none"/>
                <w:lang w:val="en-US" w:eastAsia="zh-CN"/>
              </w:rPr>
            </w:pPr>
            <w:r>
              <w:rPr>
                <w:rFonts w:hint="eastAsia"/>
                <w:highlight w:val="none"/>
                <w:lang w:val="en-US" w:eastAsia="zh-CN"/>
              </w:rPr>
              <w:t>分   级</w:t>
            </w:r>
          </w:p>
        </w:tc>
      </w:tr>
      <w:tr w14:paraId="64651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94" w:type="pct"/>
            <w:vAlign w:val="center"/>
          </w:tcPr>
          <w:p w14:paraId="1A7BABD0">
            <w:pPr>
              <w:pStyle w:val="32"/>
              <w:bidi w:val="0"/>
              <w:rPr>
                <w:rFonts w:hint="eastAsia"/>
                <w:highlight w:val="none"/>
                <w:lang w:val="en-US" w:eastAsia="zh-CN"/>
              </w:rPr>
            </w:pPr>
            <w:r>
              <w:rPr>
                <w:rFonts w:hint="eastAsia"/>
                <w:highlight w:val="none"/>
                <w:lang w:val="en-US" w:eastAsia="zh-CN"/>
              </w:rPr>
              <w:t>中细粒黑云母二长花岗岩</w:t>
            </w:r>
          </w:p>
        </w:tc>
        <w:tc>
          <w:tcPr>
            <w:tcW w:w="895" w:type="pct"/>
            <w:vAlign w:val="center"/>
          </w:tcPr>
          <w:p w14:paraId="47265637">
            <w:pPr>
              <w:pStyle w:val="32"/>
              <w:bidi w:val="0"/>
              <w:rPr>
                <w:rFonts w:hint="eastAsia"/>
                <w:highlight w:val="none"/>
                <w:lang w:val="en-US" w:eastAsia="zh-CN"/>
              </w:rPr>
            </w:pPr>
            <w:r>
              <w:rPr>
                <w:rFonts w:hint="eastAsia"/>
                <w:highlight w:val="none"/>
                <w:lang w:val="en-US" w:eastAsia="zh-CN"/>
              </w:rPr>
              <w:t>139.93</w:t>
            </w:r>
          </w:p>
        </w:tc>
        <w:tc>
          <w:tcPr>
            <w:tcW w:w="895" w:type="pct"/>
            <w:vAlign w:val="center"/>
          </w:tcPr>
          <w:p w14:paraId="24D5160F">
            <w:pPr>
              <w:pStyle w:val="32"/>
              <w:bidi w:val="0"/>
              <w:rPr>
                <w:rFonts w:hint="eastAsia"/>
                <w:highlight w:val="none"/>
                <w:lang w:val="en-US" w:eastAsia="zh-CN"/>
              </w:rPr>
            </w:pPr>
            <w:r>
              <w:rPr>
                <w:rFonts w:hint="eastAsia"/>
                <w:highlight w:val="none"/>
                <w:lang w:val="en-US" w:eastAsia="zh-CN"/>
              </w:rPr>
              <w:t>0.95</w:t>
            </w:r>
          </w:p>
        </w:tc>
        <w:tc>
          <w:tcPr>
            <w:tcW w:w="895" w:type="pct"/>
            <w:vAlign w:val="center"/>
          </w:tcPr>
          <w:p w14:paraId="3224433C">
            <w:pPr>
              <w:pStyle w:val="32"/>
              <w:bidi w:val="0"/>
              <w:rPr>
                <w:rFonts w:hint="eastAsia"/>
                <w:highlight w:val="none"/>
                <w:lang w:val="en-US" w:eastAsia="zh-CN"/>
              </w:rPr>
            </w:pPr>
            <w:r>
              <w:rPr>
                <w:rFonts w:hint="eastAsia"/>
                <w:highlight w:val="none"/>
                <w:lang w:val="en-US" w:eastAsia="zh-CN"/>
              </w:rPr>
              <w:t>4.43</w:t>
            </w:r>
          </w:p>
        </w:tc>
        <w:tc>
          <w:tcPr>
            <w:tcW w:w="732" w:type="pct"/>
            <w:vAlign w:val="center"/>
          </w:tcPr>
          <w:p w14:paraId="3F128117">
            <w:pPr>
              <w:pStyle w:val="32"/>
              <w:bidi w:val="0"/>
              <w:rPr>
                <w:rFonts w:hint="eastAsia"/>
                <w:highlight w:val="none"/>
                <w:lang w:val="en-US" w:eastAsia="zh-CN"/>
              </w:rPr>
            </w:pPr>
            <w:r>
              <w:rPr>
                <w:rFonts w:hint="eastAsia"/>
                <w:highlight w:val="none"/>
                <w:lang w:val="en-US" w:eastAsia="zh-CN"/>
              </w:rPr>
              <w:t>Ⅱ</w:t>
            </w:r>
          </w:p>
        </w:tc>
        <w:tc>
          <w:tcPr>
            <w:tcW w:w="787" w:type="pct"/>
            <w:vAlign w:val="center"/>
          </w:tcPr>
          <w:p w14:paraId="7143F258">
            <w:pPr>
              <w:pStyle w:val="32"/>
              <w:bidi w:val="0"/>
              <w:rPr>
                <w:rFonts w:hint="eastAsia"/>
                <w:highlight w:val="none"/>
                <w:lang w:val="en-US" w:eastAsia="zh-CN"/>
              </w:rPr>
            </w:pPr>
            <w:r>
              <w:rPr>
                <w:rFonts w:hint="eastAsia"/>
                <w:highlight w:val="none"/>
                <w:lang w:val="en-US" w:eastAsia="zh-CN"/>
              </w:rPr>
              <w:t>良</w:t>
            </w:r>
          </w:p>
        </w:tc>
      </w:tr>
      <w:tr w14:paraId="79350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94" w:type="pct"/>
            <w:vAlign w:val="center"/>
          </w:tcPr>
          <w:p w14:paraId="5DF97299">
            <w:pPr>
              <w:pStyle w:val="32"/>
              <w:bidi w:val="0"/>
              <w:rPr>
                <w:rFonts w:hint="eastAsia"/>
                <w:highlight w:val="none"/>
                <w:lang w:val="en-US" w:eastAsia="zh-CN"/>
              </w:rPr>
            </w:pPr>
            <w:r>
              <w:rPr>
                <w:rFonts w:hint="eastAsia"/>
                <w:highlight w:val="none"/>
                <w:lang w:val="en-US" w:eastAsia="zh-CN"/>
              </w:rPr>
              <w:t>滑石化透闪岩</w:t>
            </w:r>
          </w:p>
        </w:tc>
        <w:tc>
          <w:tcPr>
            <w:tcW w:w="895" w:type="pct"/>
            <w:vAlign w:val="center"/>
          </w:tcPr>
          <w:p w14:paraId="08C7D3CB">
            <w:pPr>
              <w:pStyle w:val="32"/>
              <w:bidi w:val="0"/>
              <w:rPr>
                <w:rFonts w:hint="eastAsia"/>
                <w:highlight w:val="none"/>
                <w:lang w:val="en-US" w:eastAsia="zh-CN"/>
              </w:rPr>
            </w:pPr>
            <w:r>
              <w:rPr>
                <w:rFonts w:hint="eastAsia"/>
                <w:highlight w:val="none"/>
                <w:lang w:val="en-US" w:eastAsia="zh-CN"/>
              </w:rPr>
              <w:t>62.5</w:t>
            </w:r>
          </w:p>
        </w:tc>
        <w:tc>
          <w:tcPr>
            <w:tcW w:w="895" w:type="pct"/>
            <w:vAlign w:val="center"/>
          </w:tcPr>
          <w:p w14:paraId="08ADA26C">
            <w:pPr>
              <w:pStyle w:val="32"/>
              <w:bidi w:val="0"/>
              <w:rPr>
                <w:rFonts w:hint="eastAsia"/>
                <w:highlight w:val="none"/>
                <w:lang w:val="en-US" w:eastAsia="zh-CN"/>
              </w:rPr>
            </w:pPr>
            <w:r>
              <w:rPr>
                <w:rFonts w:hint="eastAsia"/>
                <w:highlight w:val="none"/>
                <w:lang w:val="en-US" w:eastAsia="zh-CN"/>
              </w:rPr>
              <w:t>0.91</w:t>
            </w:r>
          </w:p>
        </w:tc>
        <w:tc>
          <w:tcPr>
            <w:tcW w:w="895" w:type="pct"/>
            <w:vAlign w:val="center"/>
          </w:tcPr>
          <w:p w14:paraId="1BEB0053">
            <w:pPr>
              <w:pStyle w:val="32"/>
              <w:bidi w:val="0"/>
              <w:rPr>
                <w:rFonts w:hint="eastAsia"/>
                <w:highlight w:val="none"/>
                <w:lang w:val="en-US" w:eastAsia="zh-CN"/>
              </w:rPr>
            </w:pPr>
            <w:r>
              <w:rPr>
                <w:rFonts w:hint="eastAsia"/>
                <w:highlight w:val="none"/>
                <w:lang w:val="en-US" w:eastAsia="zh-CN"/>
              </w:rPr>
              <w:t>1.89</w:t>
            </w:r>
          </w:p>
        </w:tc>
        <w:tc>
          <w:tcPr>
            <w:tcW w:w="732" w:type="pct"/>
            <w:vAlign w:val="center"/>
          </w:tcPr>
          <w:p w14:paraId="561DC458">
            <w:pPr>
              <w:pStyle w:val="32"/>
              <w:bidi w:val="0"/>
              <w:rPr>
                <w:rFonts w:hint="eastAsia"/>
                <w:highlight w:val="none"/>
                <w:lang w:val="en-US" w:eastAsia="zh-CN"/>
              </w:rPr>
            </w:pPr>
            <w:r>
              <w:rPr>
                <w:rFonts w:hint="eastAsia"/>
                <w:highlight w:val="none"/>
                <w:lang w:val="en-US" w:eastAsia="zh-CN"/>
              </w:rPr>
              <w:t>Ⅱ</w:t>
            </w:r>
          </w:p>
        </w:tc>
        <w:tc>
          <w:tcPr>
            <w:tcW w:w="787" w:type="pct"/>
            <w:vAlign w:val="center"/>
          </w:tcPr>
          <w:p w14:paraId="6C7574D7">
            <w:pPr>
              <w:pStyle w:val="32"/>
              <w:bidi w:val="0"/>
              <w:rPr>
                <w:rFonts w:hint="eastAsia"/>
                <w:highlight w:val="none"/>
                <w:lang w:val="en-US" w:eastAsia="zh-CN"/>
              </w:rPr>
            </w:pPr>
            <w:r>
              <w:rPr>
                <w:rFonts w:hint="eastAsia"/>
                <w:highlight w:val="none"/>
                <w:lang w:val="en-US" w:eastAsia="zh-CN"/>
              </w:rPr>
              <w:t>良</w:t>
            </w:r>
          </w:p>
        </w:tc>
      </w:tr>
      <w:tr w14:paraId="1631D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94" w:type="pct"/>
            <w:vAlign w:val="center"/>
          </w:tcPr>
          <w:p w14:paraId="5DC036E9">
            <w:pPr>
              <w:pStyle w:val="32"/>
              <w:bidi w:val="0"/>
              <w:rPr>
                <w:rFonts w:hint="eastAsia"/>
                <w:highlight w:val="none"/>
                <w:lang w:val="en-US" w:eastAsia="zh-CN"/>
              </w:rPr>
            </w:pPr>
            <w:r>
              <w:rPr>
                <w:rFonts w:hint="eastAsia"/>
                <w:highlight w:val="none"/>
                <w:lang w:val="en-US" w:eastAsia="zh-CN"/>
              </w:rPr>
              <w:t>磁铁石英岩</w:t>
            </w:r>
          </w:p>
        </w:tc>
        <w:tc>
          <w:tcPr>
            <w:tcW w:w="895" w:type="pct"/>
            <w:vAlign w:val="center"/>
          </w:tcPr>
          <w:p w14:paraId="12F0E2AA">
            <w:pPr>
              <w:pStyle w:val="32"/>
              <w:bidi w:val="0"/>
              <w:rPr>
                <w:rFonts w:hint="eastAsia"/>
                <w:highlight w:val="none"/>
                <w:lang w:val="en-US" w:eastAsia="zh-CN"/>
              </w:rPr>
            </w:pPr>
            <w:r>
              <w:rPr>
                <w:rFonts w:hint="eastAsia"/>
                <w:highlight w:val="none"/>
                <w:lang w:val="en-US" w:eastAsia="zh-CN"/>
              </w:rPr>
              <w:t>67.4</w:t>
            </w:r>
          </w:p>
        </w:tc>
        <w:tc>
          <w:tcPr>
            <w:tcW w:w="895" w:type="pct"/>
            <w:vAlign w:val="center"/>
          </w:tcPr>
          <w:p w14:paraId="24219084">
            <w:pPr>
              <w:pStyle w:val="32"/>
              <w:bidi w:val="0"/>
              <w:rPr>
                <w:rFonts w:hint="eastAsia"/>
                <w:highlight w:val="none"/>
                <w:lang w:val="en-US" w:eastAsia="zh-CN"/>
              </w:rPr>
            </w:pPr>
            <w:r>
              <w:rPr>
                <w:rFonts w:hint="eastAsia"/>
                <w:highlight w:val="none"/>
                <w:lang w:val="en-US" w:eastAsia="zh-CN"/>
              </w:rPr>
              <w:t>0.92</w:t>
            </w:r>
          </w:p>
        </w:tc>
        <w:tc>
          <w:tcPr>
            <w:tcW w:w="895" w:type="pct"/>
            <w:vAlign w:val="center"/>
          </w:tcPr>
          <w:p w14:paraId="36DA7508">
            <w:pPr>
              <w:pStyle w:val="32"/>
              <w:bidi w:val="0"/>
              <w:rPr>
                <w:rFonts w:hint="eastAsia"/>
                <w:highlight w:val="none"/>
                <w:lang w:val="en-US" w:eastAsia="zh-CN"/>
              </w:rPr>
            </w:pPr>
            <w:r>
              <w:rPr>
                <w:rFonts w:hint="eastAsia"/>
                <w:highlight w:val="none"/>
                <w:lang w:val="en-US" w:eastAsia="zh-CN"/>
              </w:rPr>
              <w:t>2.06</w:t>
            </w:r>
          </w:p>
        </w:tc>
        <w:tc>
          <w:tcPr>
            <w:tcW w:w="732" w:type="pct"/>
            <w:vAlign w:val="center"/>
          </w:tcPr>
          <w:p w14:paraId="720733D0">
            <w:pPr>
              <w:pStyle w:val="32"/>
              <w:bidi w:val="0"/>
              <w:rPr>
                <w:rFonts w:hint="eastAsia"/>
                <w:highlight w:val="none"/>
                <w:lang w:val="en-US" w:eastAsia="zh-CN"/>
              </w:rPr>
            </w:pPr>
            <w:r>
              <w:rPr>
                <w:rFonts w:hint="eastAsia"/>
                <w:highlight w:val="none"/>
                <w:lang w:val="en-US" w:eastAsia="zh-CN"/>
              </w:rPr>
              <w:t>Ⅱ</w:t>
            </w:r>
          </w:p>
        </w:tc>
        <w:tc>
          <w:tcPr>
            <w:tcW w:w="787" w:type="pct"/>
            <w:vAlign w:val="center"/>
          </w:tcPr>
          <w:p w14:paraId="50901BD7">
            <w:pPr>
              <w:pStyle w:val="32"/>
              <w:bidi w:val="0"/>
              <w:rPr>
                <w:rFonts w:hint="eastAsia"/>
                <w:highlight w:val="none"/>
                <w:lang w:val="en-US" w:eastAsia="zh-CN"/>
              </w:rPr>
            </w:pPr>
            <w:r>
              <w:rPr>
                <w:rFonts w:hint="eastAsia"/>
                <w:highlight w:val="none"/>
                <w:lang w:val="en-US" w:eastAsia="zh-CN"/>
              </w:rPr>
              <w:t>良</w:t>
            </w:r>
          </w:p>
        </w:tc>
      </w:tr>
    </w:tbl>
    <w:p w14:paraId="1B94F2BC">
      <w:pPr>
        <w:pStyle w:val="22"/>
        <w:bidi w:val="0"/>
        <w:rPr>
          <w:rFonts w:hint="default"/>
          <w:highlight w:val="none"/>
          <w:lang w:val="en-US" w:eastAsia="zh-CN"/>
        </w:rPr>
      </w:pPr>
      <w:r>
        <w:rPr>
          <w:rFonts w:hint="default"/>
          <w:highlight w:val="none"/>
          <w:lang w:val="en-US" w:eastAsia="zh-CN"/>
        </w:rPr>
        <w:t>由上述可知，矿体及围岩为磁铁石英岩、滑石化透闪岩和中细粒黑云母二长花岗岩。岩体质量分级良，岩体较完整，围岩完整性程度较完整，岩石质量好。说明岩石强度较大，所见的矿体的稳定性较好。</w:t>
      </w:r>
    </w:p>
    <w:p w14:paraId="4E960711">
      <w:pPr>
        <w:pStyle w:val="22"/>
        <w:bidi w:val="0"/>
        <w:rPr>
          <w:rFonts w:hint="default"/>
          <w:highlight w:val="none"/>
          <w:lang w:val="en-US" w:eastAsia="zh-CN"/>
        </w:rPr>
      </w:pPr>
      <w:r>
        <w:rPr>
          <w:rFonts w:hint="default"/>
          <w:highlight w:val="none"/>
          <w:lang w:val="en-US" w:eastAsia="zh-CN"/>
        </w:rPr>
        <w:t>根据《本溪市辉宏矿业有限公司本溪市辉宏矿业有限公司徐堡村矿区铁矿隐蔽致灾因素普查报告》可知，矿体与围岩、夹石产状较稳定，属硬质岩石。矿体及围岩节理、裂隙较发育，间距0.3～1.1米，为闭合型，透水性较差。自然块度大小不等，块径一般0.4～1.0米。风化带深度0.5～4.5米，风化岩石呈碎片、碎块状。通过钻孔统计RQD值，围岩90以上，矿体为75。</w:t>
      </w:r>
    </w:p>
    <w:p w14:paraId="3C0F7A07">
      <w:pPr>
        <w:pStyle w:val="22"/>
        <w:numPr>
          <w:ilvl w:val="0"/>
          <w:numId w:val="12"/>
        </w:numPr>
        <w:bidi w:val="0"/>
        <w:rPr>
          <w:rFonts w:hint="default"/>
          <w:highlight w:val="none"/>
          <w:lang w:val="en-US" w:eastAsia="zh-CN"/>
        </w:rPr>
      </w:pPr>
      <w:r>
        <w:rPr>
          <w:rFonts w:hint="default"/>
          <w:highlight w:val="none"/>
          <w:lang w:val="en-US" w:eastAsia="zh-CN"/>
        </w:rPr>
        <w:t>工程地质勘查类型</w:t>
      </w:r>
    </w:p>
    <w:p w14:paraId="06E5DD92">
      <w:pPr>
        <w:pStyle w:val="22"/>
        <w:bidi w:val="0"/>
        <w:rPr>
          <w:rFonts w:hint="eastAsia"/>
          <w:highlight w:val="none"/>
        </w:rPr>
      </w:pPr>
      <w:r>
        <w:rPr>
          <w:rFonts w:hint="eastAsia"/>
          <w:highlight w:val="none"/>
        </w:rPr>
        <w:t>该矿床为沉积变质型的“鞍山式”铁矿，矿层主要为磁铁石英岩，夹层较少，厚度变化较大，分布较连续，稳固性较好。矿体围岩主要为主要为滑石化透闪岩和中细粒黑云母二长花岗岩。对于深部井巷开采，矿床内基岩多属于坚硬的层状工程地质岩组，岩体完整性为较完整到完整。深部相对完整的岩体中存在局部破碎，岩石质量劣的现象。总的来看除局部破碎发育地段外，矿床岩石质量较好，岩体完整，矿体及围岩稳定性较好。</w:t>
      </w:r>
    </w:p>
    <w:p w14:paraId="5FA07EA5">
      <w:pPr>
        <w:pStyle w:val="22"/>
        <w:bidi w:val="0"/>
        <w:rPr>
          <w:rFonts w:hint="default"/>
          <w:highlight w:val="none"/>
          <w:lang w:val="en-US" w:eastAsia="zh-CN"/>
        </w:rPr>
      </w:pPr>
      <w:r>
        <w:rPr>
          <w:rFonts w:hint="eastAsia"/>
          <w:highlight w:val="none"/>
        </w:rPr>
        <w:t>综合上述，</w:t>
      </w:r>
      <w:r>
        <w:rPr>
          <w:rFonts w:hint="eastAsia"/>
          <w:highlight w:val="none"/>
          <w:lang w:val="en-US" w:eastAsia="zh-CN"/>
        </w:rPr>
        <w:t>矿区</w:t>
      </w:r>
      <w:r>
        <w:rPr>
          <w:rFonts w:hint="eastAsia"/>
          <w:highlight w:val="none"/>
        </w:rPr>
        <w:t>工程地质勘查类型为第三类，以块状岩类为主，工程地质条件复杂程度为简单</w:t>
      </w:r>
      <w:r>
        <w:rPr>
          <w:rFonts w:hint="eastAsia"/>
          <w:highlight w:val="none"/>
          <w:lang w:val="en-US" w:eastAsia="zh-CN"/>
        </w:rPr>
        <w:t>。</w:t>
      </w:r>
    </w:p>
    <w:p w14:paraId="7C1D4DBD">
      <w:pPr>
        <w:pStyle w:val="30"/>
        <w:bidi w:val="0"/>
        <w:rPr>
          <w:rFonts w:hint="default"/>
          <w:highlight w:val="none"/>
          <w:lang w:val="en-US" w:eastAsia="zh-CN"/>
        </w:rPr>
      </w:pPr>
      <w:r>
        <w:rPr>
          <w:rFonts w:hint="default"/>
          <w:highlight w:val="none"/>
          <w:lang w:val="en-US" w:eastAsia="zh-CN"/>
        </w:rPr>
        <w:t>矿床地质特征</w:t>
      </w:r>
    </w:p>
    <w:p w14:paraId="0F4072F0">
      <w:pPr>
        <w:pStyle w:val="22"/>
        <w:numPr>
          <w:ilvl w:val="0"/>
          <w:numId w:val="13"/>
        </w:numPr>
        <w:bidi w:val="0"/>
        <w:rPr>
          <w:rFonts w:hint="default"/>
          <w:highlight w:val="none"/>
          <w:lang w:val="en-US" w:eastAsia="zh-CN"/>
        </w:rPr>
      </w:pPr>
      <w:r>
        <w:rPr>
          <w:rFonts w:hint="default"/>
          <w:highlight w:val="none"/>
          <w:lang w:val="en-US" w:eastAsia="zh-CN"/>
        </w:rPr>
        <w:t>矿体特征</w:t>
      </w:r>
    </w:p>
    <w:p w14:paraId="78D5307C">
      <w:pPr>
        <w:pStyle w:val="22"/>
        <w:bidi w:val="0"/>
        <w:rPr>
          <w:rFonts w:hint="eastAsia"/>
          <w:highlight w:val="none"/>
        </w:rPr>
      </w:pPr>
      <w:r>
        <w:rPr>
          <w:rFonts w:hint="eastAsia"/>
          <w:highlight w:val="none"/>
        </w:rPr>
        <w:t>根据《辽宁省本溪县草河城镇徐堡村矿区铁矿资源储量核实报告》矿区内共圈定7条铁矿体。铁矿床类型为“鞍山式”火山-沉积变质型铁矿床，磁铁矿体呈似层状、透镜状赋存于鞍山岩群茨沟岩组地层中。</w:t>
      </w:r>
    </w:p>
    <w:p w14:paraId="05F0BA58">
      <w:pPr>
        <w:pStyle w:val="22"/>
        <w:bidi w:val="0"/>
        <w:rPr>
          <w:rFonts w:hint="eastAsia"/>
        </w:rPr>
      </w:pPr>
      <w:r>
        <w:rPr>
          <w:rFonts w:hint="eastAsia"/>
          <w:lang w:val="en-US" w:eastAsia="zh-CN"/>
        </w:rPr>
        <w:t>此次储量核实</w:t>
      </w:r>
      <w:r>
        <w:rPr>
          <w:rFonts w:hint="eastAsia"/>
        </w:rPr>
        <w:t>与2017年9月，沈阳鼎唐矿业咨询有限公司编制的《辽宁省本溪满族自治县草河城镇徐家堡村贺家铁矿资源储量核实报告》（辽国土资储备字［2018］005号）进行对比，原核实Fe1矿体特征：长450m，厚度8.11m，倾向北东，倾角64～74°，TFe平均品位30.66%，矿体赋存标高80～340m。顶底板围岩为滑石化透闪岩和中细粒黑云母二长花岗岩。矿体的厚度沿倾向变化较小，走向变化较小。经对比发现，随着矿山不断开采，深部矿体形态发生较大变化，原Fe1由于深部巷道规模较小，矿体圈连过于理想化，深部矿体延深较差，故本次将勘探网度有原来的100×100m调整为50×50m，重新对矿体进行核实工作。</w:t>
      </w:r>
    </w:p>
    <w:p w14:paraId="3199BD44">
      <w:pPr>
        <w:pStyle w:val="22"/>
        <w:bidi w:val="0"/>
        <w:rPr>
          <w:rFonts w:hint="eastAsia"/>
          <w:highlight w:val="none"/>
        </w:rPr>
      </w:pPr>
      <w:r>
        <w:rPr>
          <w:rFonts w:hint="eastAsia"/>
          <w:highlight w:val="none"/>
        </w:rPr>
        <w:t>矿区有主矿体3条，即Fe1、Fe2、Fe3。其地质特征分述如下：</w:t>
      </w:r>
    </w:p>
    <w:p w14:paraId="12ECCE29">
      <w:pPr>
        <w:pStyle w:val="22"/>
        <w:bidi w:val="0"/>
        <w:rPr>
          <w:rFonts w:hint="eastAsia"/>
          <w:highlight w:val="none"/>
        </w:rPr>
      </w:pPr>
      <w:r>
        <w:rPr>
          <w:rFonts w:hint="eastAsia"/>
          <w:highlight w:val="none"/>
        </w:rPr>
        <w:t>Fe1：矿体出露地表，分布在矿区中部，矿体呈似层状产出，控制长度144.3m，延深59m，厚度为3.63～8.47m，平均厚度为5.59m，厚度变化系数为19.85%，厚度变化较稳定，产状为30°∠18～65°。矿体由ZK404，ZK405、ZK602、ZK603控制。TFe品位23.5～36.86%，平均品位28.95%，品位变化系数7%，mFe品位16.17～25.77%，平均品位22.25%，品位变化系数14%。赋矿岩石为磁铁石英岩，顶底板围岩为中细粒黑云母二长花岗岩。赋存标高15.5～156m，埋深为117.3～279.5m。</w:t>
      </w:r>
    </w:p>
    <w:p w14:paraId="26C31B2C">
      <w:pPr>
        <w:pStyle w:val="22"/>
        <w:bidi w:val="0"/>
        <w:rPr>
          <w:rFonts w:hint="eastAsia"/>
          <w:highlight w:val="none"/>
        </w:rPr>
      </w:pPr>
      <w:r>
        <w:rPr>
          <w:rFonts w:hint="eastAsia"/>
          <w:highlight w:val="none"/>
        </w:rPr>
        <w:t>Fe2：隐伏矿体，分布在矿区东部，呈似层状产出，控制长度243.5m，延深114m，厚度2.85～16.45m，平均厚度8.34m，厚度变化系数为56.84%，厚度变化较稳定，产状为30°∠43～79°，矿体由ZK404，ZK405、ZK406、ZK602、ZK603、ZK801、ZK1001、ZK1002、168中段、144中段工程控制。赋存标高-67～168m，埋深117.9～367m。TFe品位19.71～47.37%，平均品位29.92%，品位变化系数4%，mFe品位12.36～45.19%，平均品位24.42%，品位变化系数10%。赋矿岩石为磁铁石英岩，顶底板围岩为中细粒黑云母二长花岗岩。</w:t>
      </w:r>
    </w:p>
    <w:p w14:paraId="05E26CB7">
      <w:pPr>
        <w:pStyle w:val="22"/>
        <w:bidi w:val="0"/>
        <w:rPr>
          <w:rFonts w:hint="default"/>
          <w:highlight w:val="none"/>
        </w:rPr>
      </w:pPr>
      <w:r>
        <w:rPr>
          <w:rFonts w:hint="eastAsia"/>
          <w:highlight w:val="none"/>
        </w:rPr>
        <w:t>Fe3：隐伏矿体，分布在矿区中部，呈似层状产出，控制长度131.9m，延深55m，厚度4.35～19.01m，平均厚度13.02m，厚度变化系数为38%，厚度变化较稳定，产状为30°∠43°～52°，矿体由ZK001、ZK003、ZK102、ZK205、ZK207、138中段工程控制。赋存标高81.2～139m，埋深145.2～208m。TFe品位19.08～38.13%，平均品位29.98%，品位变化系数3%，mFe品位12.93～33.99%，平均品位24.34%，品位变化系数6%。赋矿岩石为磁铁石英岩，顶底板围岩为中细粒黑云母二长花岗岩和滑石化透闪岩。</w:t>
      </w:r>
    </w:p>
    <w:p w14:paraId="517F20A2">
      <w:pPr>
        <w:pStyle w:val="22"/>
        <w:bidi w:val="0"/>
        <w:rPr>
          <w:rFonts w:hint="eastAsia"/>
          <w:highlight w:val="none"/>
          <w:lang w:eastAsia="zh-CN"/>
        </w:rPr>
        <w:sectPr>
          <w:headerReference r:id="rId3" w:type="default"/>
          <w:footerReference r:id="rId4" w:type="default"/>
          <w:pgSz w:w="11906" w:h="16838"/>
          <w:pgMar w:top="1417" w:right="1134" w:bottom="1134" w:left="1587" w:header="851" w:footer="992" w:gutter="0"/>
          <w:pgBorders>
            <w:top w:val="none" w:sz="0" w:space="0"/>
            <w:left w:val="none" w:sz="0" w:space="0"/>
            <w:bottom w:val="none" w:sz="0" w:space="0"/>
            <w:right w:val="none" w:sz="0" w:space="0"/>
          </w:pgBorders>
          <w:pgNumType w:fmt="decimal" w:start="1"/>
          <w:cols w:space="0" w:num="1"/>
          <w:rtlGutter w:val="0"/>
          <w:docGrid w:type="lines" w:linePitch="312" w:charSpace="0"/>
        </w:sectPr>
      </w:pPr>
      <w:r>
        <w:rPr>
          <w:rFonts w:hint="eastAsia"/>
          <w:highlight w:val="none"/>
        </w:rPr>
        <w:t>其余矿体规模较小，各矿体的地质特征见</w:t>
      </w:r>
      <w:r>
        <w:rPr>
          <w:rFonts w:hint="eastAsia"/>
          <w:highlight w:val="none"/>
          <w:lang w:val="en-US" w:eastAsia="zh-CN"/>
        </w:rPr>
        <w:t>下表</w:t>
      </w:r>
      <w:r>
        <w:rPr>
          <w:rFonts w:hint="eastAsia"/>
          <w:highlight w:val="none"/>
          <w:lang w:eastAsia="zh-CN"/>
        </w:rPr>
        <w:t>。</w:t>
      </w:r>
    </w:p>
    <w:p w14:paraId="441EA694">
      <w:pPr>
        <w:pStyle w:val="31"/>
        <w:bidi w:val="0"/>
        <w:rPr>
          <w:rFonts w:hint="eastAsia"/>
          <w:highlight w:val="none"/>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6  矿体特征一览表</w:t>
      </w:r>
    </w:p>
    <w:tbl>
      <w:tblPr>
        <w:tblStyle w:val="2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756"/>
        <w:gridCol w:w="851"/>
        <w:gridCol w:w="896"/>
        <w:gridCol w:w="996"/>
        <w:gridCol w:w="896"/>
        <w:gridCol w:w="906"/>
        <w:gridCol w:w="996"/>
        <w:gridCol w:w="896"/>
        <w:gridCol w:w="906"/>
        <w:gridCol w:w="552"/>
        <w:gridCol w:w="698"/>
        <w:gridCol w:w="485"/>
        <w:gridCol w:w="1581"/>
        <w:gridCol w:w="997"/>
        <w:gridCol w:w="756"/>
        <w:gridCol w:w="759"/>
      </w:tblGrid>
      <w:tr w14:paraId="1359D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1855A">
            <w:pPr>
              <w:pStyle w:val="32"/>
              <w:bidi w:val="0"/>
              <w:rPr>
                <w:rFonts w:hint="default"/>
                <w:highlight w:val="none"/>
              </w:rPr>
            </w:pPr>
            <w:r>
              <w:rPr>
                <w:rFonts w:hint="default"/>
                <w:highlight w:val="none"/>
                <w:lang w:val="en-US" w:eastAsia="zh-CN"/>
              </w:rPr>
              <w:t>矿体</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81862">
            <w:pPr>
              <w:pStyle w:val="32"/>
              <w:bidi w:val="0"/>
              <w:rPr>
                <w:rFonts w:hint="default"/>
                <w:highlight w:val="none"/>
              </w:rPr>
            </w:pPr>
            <w:r>
              <w:rPr>
                <w:rFonts w:hint="default"/>
                <w:highlight w:val="none"/>
                <w:lang w:val="en-US" w:eastAsia="zh-CN"/>
              </w:rPr>
              <w:t>延长</w:t>
            </w:r>
          </w:p>
        </w:tc>
        <w:tc>
          <w:tcPr>
            <w:tcW w:w="2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D226CC">
            <w:pPr>
              <w:pStyle w:val="32"/>
              <w:bidi w:val="0"/>
              <w:rPr>
                <w:rFonts w:hint="default"/>
                <w:highlight w:val="none"/>
              </w:rPr>
            </w:pPr>
            <w:r>
              <w:rPr>
                <w:rFonts w:hint="default"/>
                <w:highlight w:val="none"/>
                <w:lang w:val="en-US" w:eastAsia="zh-CN"/>
              </w:rPr>
              <w:t>矿体厚度（m)</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AC555">
            <w:pPr>
              <w:pStyle w:val="32"/>
              <w:bidi w:val="0"/>
              <w:rPr>
                <w:rFonts w:hint="default"/>
                <w:highlight w:val="none"/>
              </w:rPr>
            </w:pPr>
            <w:r>
              <w:rPr>
                <w:rFonts w:hint="default"/>
                <w:highlight w:val="none"/>
                <w:lang w:val="en-US" w:eastAsia="zh-CN"/>
              </w:rPr>
              <w:t>厚度变化</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4808">
            <w:pPr>
              <w:pStyle w:val="32"/>
              <w:bidi w:val="0"/>
              <w:rPr>
                <w:rFonts w:hint="default"/>
                <w:highlight w:val="none"/>
              </w:rPr>
            </w:pPr>
            <w:r>
              <w:rPr>
                <w:rFonts w:hint="default"/>
                <w:highlight w:val="none"/>
                <w:lang w:val="en-US" w:eastAsia="zh-CN"/>
              </w:rPr>
              <w:t>品位</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BD3FE">
            <w:pPr>
              <w:pStyle w:val="32"/>
              <w:bidi w:val="0"/>
              <w:rPr>
                <w:rFonts w:hint="default"/>
                <w:highlight w:val="none"/>
              </w:rPr>
            </w:pPr>
            <w:r>
              <w:rPr>
                <w:rFonts w:hint="default"/>
                <w:highlight w:val="none"/>
                <w:lang w:val="en-US" w:eastAsia="zh-CN"/>
              </w:rPr>
              <w:t>平均品位</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5B56B">
            <w:pPr>
              <w:pStyle w:val="32"/>
              <w:bidi w:val="0"/>
              <w:rPr>
                <w:rFonts w:hint="default"/>
                <w:highlight w:val="none"/>
              </w:rPr>
            </w:pPr>
            <w:r>
              <w:rPr>
                <w:rFonts w:hint="default"/>
                <w:highlight w:val="none"/>
                <w:lang w:val="en-US" w:eastAsia="zh-CN"/>
              </w:rPr>
              <w:t>品位变化系数</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4E088">
            <w:pPr>
              <w:pStyle w:val="32"/>
              <w:bidi w:val="0"/>
              <w:rPr>
                <w:rFonts w:hint="default"/>
                <w:highlight w:val="none"/>
              </w:rPr>
            </w:pPr>
            <w:r>
              <w:rPr>
                <w:rFonts w:hint="default"/>
                <w:highlight w:val="none"/>
                <w:lang w:val="en-US" w:eastAsia="zh-CN"/>
              </w:rPr>
              <w:t>品位</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7136F">
            <w:pPr>
              <w:pStyle w:val="32"/>
              <w:bidi w:val="0"/>
              <w:rPr>
                <w:rFonts w:hint="default"/>
                <w:highlight w:val="none"/>
              </w:rPr>
            </w:pPr>
            <w:r>
              <w:rPr>
                <w:rFonts w:hint="default"/>
                <w:highlight w:val="none"/>
                <w:lang w:val="en-US" w:eastAsia="zh-CN"/>
              </w:rPr>
              <w:t>平均品位</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0BE5C">
            <w:pPr>
              <w:pStyle w:val="32"/>
              <w:bidi w:val="0"/>
              <w:rPr>
                <w:rFonts w:hint="default"/>
                <w:highlight w:val="none"/>
              </w:rPr>
            </w:pPr>
            <w:r>
              <w:rPr>
                <w:rFonts w:hint="default"/>
                <w:highlight w:val="none"/>
                <w:lang w:val="en-US" w:eastAsia="zh-CN"/>
              </w:rPr>
              <w:t>品位变化系数</w:t>
            </w:r>
          </w:p>
        </w:tc>
        <w:tc>
          <w:tcPr>
            <w:tcW w:w="4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BA511">
            <w:pPr>
              <w:pStyle w:val="32"/>
              <w:bidi w:val="0"/>
              <w:rPr>
                <w:rFonts w:hint="default"/>
                <w:highlight w:val="none"/>
              </w:rPr>
            </w:pPr>
            <w:r>
              <w:rPr>
                <w:rFonts w:hint="default"/>
                <w:highlight w:val="none"/>
                <w:lang w:val="en-US" w:eastAsia="zh-CN"/>
              </w:rPr>
              <w:t>产状</w:t>
            </w:r>
          </w:p>
        </w:tc>
        <w:tc>
          <w:tcPr>
            <w:tcW w:w="1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54751D">
            <w:pPr>
              <w:pStyle w:val="32"/>
              <w:bidi w:val="0"/>
              <w:rPr>
                <w:rFonts w:hint="default"/>
                <w:highlight w:val="none"/>
              </w:rPr>
            </w:pPr>
            <w:r>
              <w:rPr>
                <w:rFonts w:hint="default"/>
                <w:highlight w:val="none"/>
                <w:lang w:val="en-US" w:eastAsia="zh-CN"/>
              </w:rPr>
              <w:t>矿体形态</w:t>
            </w:r>
          </w:p>
        </w:tc>
        <w:tc>
          <w:tcPr>
            <w:tcW w:w="5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97955D">
            <w:pPr>
              <w:pStyle w:val="32"/>
              <w:bidi w:val="0"/>
              <w:rPr>
                <w:rFonts w:hint="default"/>
                <w:highlight w:val="none"/>
              </w:rPr>
            </w:pPr>
            <w:r>
              <w:rPr>
                <w:rFonts w:hint="default"/>
                <w:highlight w:val="none"/>
                <w:lang w:val="en-US" w:eastAsia="zh-CN"/>
              </w:rPr>
              <w:t>围岩</w:t>
            </w:r>
          </w:p>
        </w:tc>
        <w:tc>
          <w:tcPr>
            <w:tcW w:w="3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02C960">
            <w:pPr>
              <w:pStyle w:val="32"/>
              <w:bidi w:val="0"/>
              <w:rPr>
                <w:rFonts w:hint="default"/>
                <w:highlight w:val="none"/>
              </w:rPr>
            </w:pPr>
            <w:r>
              <w:rPr>
                <w:rFonts w:hint="default"/>
                <w:highlight w:val="none"/>
                <w:lang w:val="en-US" w:eastAsia="zh-CN"/>
              </w:rPr>
              <w:t>赋存标高（m)</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7C3F36">
            <w:pPr>
              <w:pStyle w:val="32"/>
              <w:bidi w:val="0"/>
              <w:rPr>
                <w:rFonts w:hint="default"/>
                <w:highlight w:val="none"/>
              </w:rPr>
            </w:pPr>
            <w:r>
              <w:rPr>
                <w:rFonts w:hint="default"/>
                <w:highlight w:val="none"/>
                <w:lang w:val="en-US" w:eastAsia="zh-CN"/>
              </w:rPr>
              <w:t>埋深（m)</w:t>
            </w:r>
          </w:p>
        </w:tc>
      </w:tr>
      <w:tr w14:paraId="5720A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A9662">
            <w:pPr>
              <w:pStyle w:val="32"/>
              <w:bidi w:val="0"/>
              <w:rPr>
                <w:rFonts w:hint="default"/>
                <w:highlight w:val="none"/>
              </w:rPr>
            </w:pPr>
            <w:r>
              <w:rPr>
                <w:rFonts w:hint="default"/>
                <w:highlight w:val="none"/>
                <w:lang w:val="en-US" w:eastAsia="zh-CN"/>
              </w:rPr>
              <w:t>编号</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18265">
            <w:pPr>
              <w:pStyle w:val="32"/>
              <w:bidi w:val="0"/>
              <w:rPr>
                <w:rFonts w:hint="default"/>
                <w:highlight w:val="none"/>
              </w:rPr>
            </w:pPr>
            <w:r>
              <w:rPr>
                <w:rFonts w:hint="default"/>
                <w:highlight w:val="none"/>
                <w:lang w:val="en-US" w:eastAsia="zh-CN"/>
              </w:rPr>
              <w:t>（m)</w:t>
            </w:r>
          </w:p>
        </w:tc>
        <w:tc>
          <w:tcPr>
            <w:tcW w:w="2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4144B">
            <w:pPr>
              <w:pStyle w:val="32"/>
              <w:bidi w:val="0"/>
              <w:rPr>
                <w:rFonts w:hint="default"/>
                <w:highlight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ECE06">
            <w:pPr>
              <w:pStyle w:val="32"/>
              <w:bidi w:val="0"/>
              <w:rPr>
                <w:rFonts w:hint="default"/>
                <w:highlight w:val="none"/>
              </w:rPr>
            </w:pPr>
            <w:r>
              <w:rPr>
                <w:rFonts w:hint="default"/>
                <w:highlight w:val="none"/>
                <w:lang w:val="en-US" w:eastAsia="zh-CN"/>
              </w:rPr>
              <w:t>系数（%）</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8CAE0">
            <w:pPr>
              <w:pStyle w:val="32"/>
              <w:bidi w:val="0"/>
              <w:rPr>
                <w:rFonts w:hint="default"/>
                <w:highlight w:val="none"/>
              </w:rPr>
            </w:pPr>
            <w:r>
              <w:rPr>
                <w:rFonts w:hint="default"/>
                <w:highlight w:val="none"/>
                <w:lang w:val="en-US" w:eastAsia="zh-CN"/>
              </w:rPr>
              <w:t>TFe（%）</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5CC0F">
            <w:pPr>
              <w:pStyle w:val="32"/>
              <w:bidi w:val="0"/>
              <w:rPr>
                <w:rFonts w:hint="default"/>
                <w:highlight w:val="none"/>
              </w:rPr>
            </w:pPr>
            <w:r>
              <w:rPr>
                <w:rFonts w:hint="default"/>
                <w:highlight w:val="none"/>
                <w:lang w:val="en-US" w:eastAsia="zh-CN"/>
              </w:rPr>
              <w:t>TFe（%）</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DD614">
            <w:pPr>
              <w:pStyle w:val="32"/>
              <w:bidi w:val="0"/>
              <w:rPr>
                <w:rFonts w:hint="default"/>
                <w:highlight w:val="none"/>
              </w:rPr>
            </w:pPr>
            <w:r>
              <w:rPr>
                <w:rFonts w:hint="default"/>
                <w:highlight w:val="none"/>
                <w:lang w:val="en-US" w:eastAsia="zh-CN"/>
              </w:rPr>
              <w:t>TFe（%）</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50DFB">
            <w:pPr>
              <w:pStyle w:val="32"/>
              <w:bidi w:val="0"/>
              <w:rPr>
                <w:rFonts w:hint="default"/>
                <w:highlight w:val="none"/>
              </w:rPr>
            </w:pPr>
            <w:r>
              <w:rPr>
                <w:rFonts w:hint="default"/>
                <w:highlight w:val="none"/>
                <w:lang w:val="en-US" w:eastAsia="zh-CN"/>
              </w:rPr>
              <w:t>mFe（%）</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4B823">
            <w:pPr>
              <w:pStyle w:val="32"/>
              <w:bidi w:val="0"/>
              <w:rPr>
                <w:rFonts w:hint="default"/>
                <w:highlight w:val="none"/>
              </w:rPr>
            </w:pPr>
            <w:r>
              <w:rPr>
                <w:rFonts w:hint="default"/>
                <w:highlight w:val="none"/>
                <w:lang w:val="en-US" w:eastAsia="zh-CN"/>
              </w:rPr>
              <w:t>mFe（%）</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15B9E">
            <w:pPr>
              <w:pStyle w:val="32"/>
              <w:bidi w:val="0"/>
              <w:rPr>
                <w:rFonts w:hint="default"/>
                <w:highlight w:val="none"/>
              </w:rPr>
            </w:pPr>
            <w:r>
              <w:rPr>
                <w:rFonts w:hint="default"/>
                <w:highlight w:val="none"/>
                <w:lang w:val="en-US" w:eastAsia="zh-CN"/>
              </w:rPr>
              <w:t>mFe（%）</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4474E">
            <w:pPr>
              <w:pStyle w:val="32"/>
              <w:bidi w:val="0"/>
              <w:rPr>
                <w:rFonts w:hint="default"/>
                <w:highlight w:val="none"/>
              </w:rPr>
            </w:pPr>
            <w:r>
              <w:rPr>
                <w:rFonts w:hint="default"/>
                <w:highlight w:val="none"/>
                <w:lang w:val="en-US" w:eastAsia="zh-CN"/>
              </w:rPr>
              <w:t>倾向</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4FFF7">
            <w:pPr>
              <w:pStyle w:val="32"/>
              <w:bidi w:val="0"/>
              <w:rPr>
                <w:rFonts w:hint="default"/>
                <w:highlight w:val="none"/>
              </w:rPr>
            </w:pPr>
            <w:r>
              <w:rPr>
                <w:rFonts w:hint="default"/>
                <w:highlight w:val="none"/>
                <w:lang w:val="en-US" w:eastAsia="zh-CN"/>
              </w:rPr>
              <w:t>倾角</w:t>
            </w:r>
          </w:p>
        </w:tc>
        <w:tc>
          <w:tcPr>
            <w:tcW w:w="1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2B41F">
            <w:pPr>
              <w:pStyle w:val="32"/>
              <w:bidi w:val="0"/>
              <w:rPr>
                <w:rFonts w:hint="default"/>
                <w:highlight w:val="none"/>
              </w:rPr>
            </w:pPr>
          </w:p>
        </w:tc>
        <w:tc>
          <w:tcPr>
            <w:tcW w:w="5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EAE4CE">
            <w:pPr>
              <w:pStyle w:val="32"/>
              <w:bidi w:val="0"/>
              <w:rPr>
                <w:rFonts w:hint="default"/>
                <w:highlight w:val="none"/>
              </w:rPr>
            </w:pPr>
          </w:p>
        </w:tc>
        <w:tc>
          <w:tcPr>
            <w:tcW w:w="3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9FFA2F">
            <w:pPr>
              <w:pStyle w:val="32"/>
              <w:bidi w:val="0"/>
              <w:rPr>
                <w:rFonts w:hint="default"/>
                <w:highlight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AC8D5">
            <w:pPr>
              <w:pStyle w:val="32"/>
              <w:bidi w:val="0"/>
              <w:rPr>
                <w:rFonts w:hint="default"/>
                <w:highlight w:val="none"/>
              </w:rPr>
            </w:pPr>
            <w:r>
              <w:rPr>
                <w:rFonts w:hint="default"/>
                <w:highlight w:val="none"/>
                <w:lang w:val="en-US" w:eastAsia="zh-CN"/>
              </w:rPr>
              <w:t>最小</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5A4D1">
            <w:pPr>
              <w:pStyle w:val="32"/>
              <w:bidi w:val="0"/>
              <w:rPr>
                <w:rFonts w:hint="default"/>
                <w:highlight w:val="none"/>
              </w:rPr>
            </w:pPr>
            <w:r>
              <w:rPr>
                <w:rFonts w:hint="default"/>
                <w:highlight w:val="none"/>
                <w:lang w:val="en-US" w:eastAsia="zh-CN"/>
              </w:rPr>
              <w:t>最大</w:t>
            </w:r>
          </w:p>
        </w:tc>
      </w:tr>
      <w:tr w14:paraId="6FC17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8FB42">
            <w:pPr>
              <w:pStyle w:val="32"/>
              <w:bidi w:val="0"/>
              <w:rPr>
                <w:rFonts w:hint="default"/>
                <w:highlight w:val="none"/>
              </w:rPr>
            </w:pPr>
            <w:r>
              <w:rPr>
                <w:rFonts w:hint="default"/>
                <w:highlight w:val="none"/>
                <w:lang w:val="en-US" w:eastAsia="zh-CN"/>
              </w:rPr>
              <w:t>Fe1</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BC56B">
            <w:pPr>
              <w:pStyle w:val="32"/>
              <w:bidi w:val="0"/>
              <w:rPr>
                <w:rFonts w:hint="default"/>
                <w:highlight w:val="none"/>
              </w:rPr>
            </w:pPr>
            <w:r>
              <w:rPr>
                <w:rFonts w:hint="default"/>
                <w:highlight w:val="none"/>
                <w:lang w:val="en-US" w:eastAsia="zh-CN"/>
              </w:rPr>
              <w:t>144.3</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FCA98">
            <w:pPr>
              <w:pStyle w:val="32"/>
              <w:bidi w:val="0"/>
              <w:rPr>
                <w:rFonts w:hint="default"/>
                <w:highlight w:val="none"/>
              </w:rPr>
            </w:pPr>
            <w:r>
              <w:rPr>
                <w:rFonts w:hint="default"/>
                <w:highlight w:val="none"/>
                <w:lang w:val="en-US" w:eastAsia="zh-CN"/>
              </w:rPr>
              <w:t>5.59</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844F9">
            <w:pPr>
              <w:pStyle w:val="32"/>
              <w:bidi w:val="0"/>
              <w:rPr>
                <w:rFonts w:hint="default"/>
                <w:highlight w:val="none"/>
              </w:rPr>
            </w:pPr>
            <w:r>
              <w:rPr>
                <w:rFonts w:hint="default"/>
                <w:highlight w:val="none"/>
                <w:lang w:val="en-US" w:eastAsia="zh-CN"/>
              </w:rPr>
              <w:t>19.85</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D32C6">
            <w:pPr>
              <w:pStyle w:val="32"/>
              <w:bidi w:val="0"/>
              <w:rPr>
                <w:rFonts w:hint="default"/>
                <w:highlight w:val="none"/>
              </w:rPr>
            </w:pPr>
            <w:r>
              <w:rPr>
                <w:rFonts w:hint="default"/>
                <w:highlight w:val="none"/>
                <w:lang w:val="en-US" w:eastAsia="zh-CN"/>
              </w:rPr>
              <w:t>23.5～36.86</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564D8">
            <w:pPr>
              <w:pStyle w:val="32"/>
              <w:bidi w:val="0"/>
              <w:rPr>
                <w:rFonts w:hint="default"/>
                <w:highlight w:val="none"/>
              </w:rPr>
            </w:pPr>
            <w:r>
              <w:rPr>
                <w:rFonts w:hint="default"/>
                <w:highlight w:val="none"/>
                <w:lang w:val="en-US" w:eastAsia="zh-CN"/>
              </w:rPr>
              <w:t>28.95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267F0">
            <w:pPr>
              <w:pStyle w:val="32"/>
              <w:bidi w:val="0"/>
              <w:rPr>
                <w:rFonts w:hint="default"/>
                <w:highlight w:val="none"/>
              </w:rPr>
            </w:pPr>
            <w:r>
              <w:rPr>
                <w:rFonts w:hint="default"/>
                <w:highlight w:val="none"/>
                <w:lang w:val="en-US" w:eastAsia="zh-CN"/>
              </w:rPr>
              <w:t>7</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0FB90">
            <w:pPr>
              <w:pStyle w:val="32"/>
              <w:bidi w:val="0"/>
              <w:rPr>
                <w:rFonts w:hint="default"/>
                <w:highlight w:val="none"/>
              </w:rPr>
            </w:pPr>
            <w:r>
              <w:rPr>
                <w:rFonts w:hint="default"/>
                <w:highlight w:val="none"/>
                <w:lang w:val="en-US" w:eastAsia="zh-CN"/>
              </w:rPr>
              <w:t>16.17～25.77</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3E03F">
            <w:pPr>
              <w:pStyle w:val="32"/>
              <w:bidi w:val="0"/>
              <w:rPr>
                <w:rFonts w:hint="default"/>
                <w:highlight w:val="none"/>
              </w:rPr>
            </w:pPr>
            <w:r>
              <w:rPr>
                <w:rFonts w:hint="default"/>
                <w:highlight w:val="none"/>
                <w:lang w:val="en-US" w:eastAsia="zh-CN"/>
              </w:rPr>
              <w:t>22.25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F9AA0">
            <w:pPr>
              <w:pStyle w:val="32"/>
              <w:bidi w:val="0"/>
              <w:rPr>
                <w:rFonts w:hint="default"/>
                <w:highlight w:val="none"/>
              </w:rPr>
            </w:pPr>
            <w:r>
              <w:rPr>
                <w:rFonts w:hint="default"/>
                <w:highlight w:val="none"/>
                <w:lang w:val="en-US" w:eastAsia="zh-CN"/>
              </w:rPr>
              <w:t>14</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C5B19">
            <w:pPr>
              <w:pStyle w:val="32"/>
              <w:bidi w:val="0"/>
              <w:rPr>
                <w:rFonts w:hint="default"/>
                <w:highlight w:val="none"/>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53C61">
            <w:pPr>
              <w:pStyle w:val="32"/>
              <w:bidi w:val="0"/>
              <w:rPr>
                <w:rFonts w:hint="default"/>
                <w:highlight w:val="none"/>
              </w:rPr>
            </w:pPr>
            <w:r>
              <w:rPr>
                <w:rFonts w:hint="default"/>
                <w:highlight w:val="none"/>
                <w:lang w:val="en-US" w:eastAsia="zh-CN"/>
              </w:rPr>
              <w:t>18～65°</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748CA">
            <w:pPr>
              <w:pStyle w:val="32"/>
              <w:bidi w:val="0"/>
              <w:rPr>
                <w:rFonts w:hint="default"/>
                <w:highlight w:val="none"/>
              </w:rPr>
            </w:pPr>
            <w:r>
              <w:rPr>
                <w:rFonts w:hint="default"/>
                <w:highlight w:val="none"/>
                <w:lang w:val="en-US" w:eastAsia="zh-CN"/>
              </w:rPr>
              <w:t>似层状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8EF6F">
            <w:pPr>
              <w:pStyle w:val="32"/>
              <w:bidi w:val="0"/>
              <w:rPr>
                <w:rFonts w:hint="default"/>
                <w:highlight w:val="none"/>
              </w:rPr>
            </w:pPr>
            <w:r>
              <w:rPr>
                <w:rFonts w:hint="default"/>
                <w:highlight w:val="none"/>
                <w:lang w:val="en-US" w:eastAsia="zh-CN"/>
              </w:rPr>
              <w:t>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F7186">
            <w:pPr>
              <w:pStyle w:val="32"/>
              <w:bidi w:val="0"/>
              <w:rPr>
                <w:rFonts w:hint="default"/>
                <w:highlight w:val="none"/>
              </w:rPr>
            </w:pPr>
            <w:r>
              <w:rPr>
                <w:rFonts w:hint="default"/>
                <w:highlight w:val="none"/>
                <w:lang w:val="en-US" w:eastAsia="zh-CN"/>
              </w:rPr>
              <w:t>15.5～156</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FEE72">
            <w:pPr>
              <w:pStyle w:val="32"/>
              <w:bidi w:val="0"/>
              <w:rPr>
                <w:rFonts w:hint="default"/>
                <w:highlight w:val="none"/>
              </w:rPr>
            </w:pPr>
            <w:r>
              <w:rPr>
                <w:rFonts w:hint="default"/>
                <w:highlight w:val="none"/>
                <w:lang w:val="en-US" w:eastAsia="zh-CN"/>
              </w:rPr>
              <w:t>117.3</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1F90E">
            <w:pPr>
              <w:pStyle w:val="32"/>
              <w:bidi w:val="0"/>
              <w:rPr>
                <w:rFonts w:hint="default"/>
                <w:highlight w:val="none"/>
              </w:rPr>
            </w:pPr>
            <w:r>
              <w:rPr>
                <w:rFonts w:hint="default"/>
                <w:highlight w:val="none"/>
                <w:lang w:val="en-US" w:eastAsia="zh-CN"/>
              </w:rPr>
              <w:t>279.5</w:t>
            </w:r>
          </w:p>
        </w:tc>
      </w:tr>
      <w:tr w14:paraId="0BC58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9A408">
            <w:pPr>
              <w:pStyle w:val="32"/>
              <w:bidi w:val="0"/>
              <w:rPr>
                <w:rFonts w:hint="default"/>
                <w:highlight w:val="none"/>
              </w:rPr>
            </w:pPr>
            <w:r>
              <w:rPr>
                <w:rFonts w:hint="default"/>
                <w:highlight w:val="none"/>
                <w:lang w:val="en-US" w:eastAsia="zh-CN"/>
              </w:rPr>
              <w:t>Fe2</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897AD">
            <w:pPr>
              <w:pStyle w:val="32"/>
              <w:bidi w:val="0"/>
              <w:rPr>
                <w:rFonts w:hint="default"/>
                <w:highlight w:val="none"/>
              </w:rPr>
            </w:pPr>
            <w:r>
              <w:rPr>
                <w:rFonts w:hint="default"/>
                <w:highlight w:val="none"/>
                <w:lang w:val="en-US" w:eastAsia="zh-CN"/>
              </w:rPr>
              <w:t>243.5</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45D30">
            <w:pPr>
              <w:pStyle w:val="32"/>
              <w:bidi w:val="0"/>
              <w:rPr>
                <w:rFonts w:hint="default"/>
                <w:highlight w:val="none"/>
              </w:rPr>
            </w:pPr>
            <w:r>
              <w:rPr>
                <w:rFonts w:hint="default"/>
                <w:highlight w:val="none"/>
                <w:lang w:val="en-US" w:eastAsia="zh-CN"/>
              </w:rPr>
              <w:t>8.34</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9A23E">
            <w:pPr>
              <w:pStyle w:val="32"/>
              <w:bidi w:val="0"/>
              <w:rPr>
                <w:rFonts w:hint="default"/>
                <w:highlight w:val="none"/>
              </w:rPr>
            </w:pPr>
            <w:r>
              <w:rPr>
                <w:rFonts w:hint="default"/>
                <w:highlight w:val="none"/>
                <w:lang w:val="en-US" w:eastAsia="zh-CN"/>
              </w:rPr>
              <w:t>56.84</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25665">
            <w:pPr>
              <w:pStyle w:val="32"/>
              <w:bidi w:val="0"/>
              <w:rPr>
                <w:rFonts w:hint="default"/>
                <w:highlight w:val="none"/>
              </w:rPr>
            </w:pPr>
            <w:r>
              <w:rPr>
                <w:rFonts w:hint="default"/>
                <w:highlight w:val="none"/>
                <w:lang w:val="en-US" w:eastAsia="zh-CN"/>
              </w:rPr>
              <w:t>19.71～47.37</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F11CD">
            <w:pPr>
              <w:pStyle w:val="32"/>
              <w:bidi w:val="0"/>
              <w:rPr>
                <w:rFonts w:hint="default"/>
                <w:highlight w:val="none"/>
              </w:rPr>
            </w:pPr>
            <w:r>
              <w:rPr>
                <w:rFonts w:hint="default"/>
                <w:highlight w:val="none"/>
                <w:lang w:val="en-US" w:eastAsia="zh-CN"/>
              </w:rPr>
              <w:t>29.92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E429C">
            <w:pPr>
              <w:pStyle w:val="32"/>
              <w:bidi w:val="0"/>
              <w:rPr>
                <w:rFonts w:hint="default"/>
                <w:highlight w:val="none"/>
              </w:rPr>
            </w:pPr>
            <w:r>
              <w:rPr>
                <w:rFonts w:hint="default"/>
                <w:highlight w:val="none"/>
                <w:lang w:val="en-US" w:eastAsia="zh-CN"/>
              </w:rPr>
              <w:t>4</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AE535">
            <w:pPr>
              <w:pStyle w:val="32"/>
              <w:bidi w:val="0"/>
              <w:rPr>
                <w:rFonts w:hint="default"/>
                <w:highlight w:val="none"/>
              </w:rPr>
            </w:pPr>
            <w:r>
              <w:rPr>
                <w:rFonts w:hint="default"/>
                <w:highlight w:val="none"/>
                <w:lang w:val="en-US" w:eastAsia="zh-CN"/>
              </w:rPr>
              <w:t>12.36～45.19</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C86C5">
            <w:pPr>
              <w:pStyle w:val="32"/>
              <w:bidi w:val="0"/>
              <w:rPr>
                <w:rFonts w:hint="default"/>
                <w:highlight w:val="none"/>
              </w:rPr>
            </w:pPr>
            <w:r>
              <w:rPr>
                <w:rFonts w:hint="default"/>
                <w:highlight w:val="none"/>
                <w:lang w:val="en-US" w:eastAsia="zh-CN"/>
              </w:rPr>
              <w:t>24.42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F93FC">
            <w:pPr>
              <w:pStyle w:val="32"/>
              <w:bidi w:val="0"/>
              <w:rPr>
                <w:rFonts w:hint="default"/>
                <w:highlight w:val="none"/>
              </w:rPr>
            </w:pPr>
            <w:r>
              <w:rPr>
                <w:rFonts w:hint="default"/>
                <w:highlight w:val="none"/>
                <w:lang w:val="en-US" w:eastAsia="zh-CN"/>
              </w:rPr>
              <w:t>10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23698">
            <w:pPr>
              <w:pStyle w:val="32"/>
              <w:bidi w:val="0"/>
              <w:rPr>
                <w:rFonts w:hint="default"/>
                <w:highlight w:val="none"/>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7777E">
            <w:pPr>
              <w:pStyle w:val="32"/>
              <w:bidi w:val="0"/>
              <w:rPr>
                <w:rFonts w:hint="default"/>
                <w:highlight w:val="none"/>
              </w:rPr>
            </w:pPr>
            <w:r>
              <w:rPr>
                <w:rFonts w:hint="default"/>
                <w:highlight w:val="none"/>
                <w:lang w:val="en-US" w:eastAsia="zh-CN"/>
              </w:rPr>
              <w:t>43～79°</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15A6A">
            <w:pPr>
              <w:pStyle w:val="32"/>
              <w:bidi w:val="0"/>
              <w:rPr>
                <w:rFonts w:hint="default"/>
                <w:highlight w:val="none"/>
              </w:rPr>
            </w:pPr>
            <w:r>
              <w:rPr>
                <w:rFonts w:hint="default"/>
                <w:highlight w:val="none"/>
                <w:lang w:val="en-US" w:eastAsia="zh-CN"/>
              </w:rPr>
              <w:t>似层状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F6F35">
            <w:pPr>
              <w:pStyle w:val="32"/>
              <w:bidi w:val="0"/>
              <w:rPr>
                <w:rFonts w:hint="default"/>
                <w:highlight w:val="none"/>
              </w:rPr>
            </w:pPr>
            <w:r>
              <w:rPr>
                <w:rFonts w:hint="default"/>
                <w:highlight w:val="none"/>
                <w:lang w:val="en-US" w:eastAsia="zh-CN"/>
              </w:rPr>
              <w:t>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AEFB3">
            <w:pPr>
              <w:pStyle w:val="32"/>
              <w:bidi w:val="0"/>
              <w:rPr>
                <w:rFonts w:hint="default"/>
                <w:highlight w:val="none"/>
              </w:rPr>
            </w:pPr>
            <w:r>
              <w:rPr>
                <w:rFonts w:hint="default"/>
                <w:highlight w:val="none"/>
                <w:lang w:val="en-US" w:eastAsia="zh-CN"/>
              </w:rPr>
              <w:t>-67～168</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A73AD">
            <w:pPr>
              <w:pStyle w:val="32"/>
              <w:bidi w:val="0"/>
              <w:rPr>
                <w:rFonts w:hint="default"/>
                <w:highlight w:val="none"/>
              </w:rPr>
            </w:pPr>
            <w:r>
              <w:rPr>
                <w:rFonts w:hint="default"/>
                <w:highlight w:val="none"/>
                <w:lang w:val="en-US" w:eastAsia="zh-CN"/>
              </w:rPr>
              <w:t>117.9</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80D77">
            <w:pPr>
              <w:pStyle w:val="32"/>
              <w:bidi w:val="0"/>
              <w:rPr>
                <w:rFonts w:hint="default"/>
                <w:highlight w:val="none"/>
              </w:rPr>
            </w:pPr>
            <w:r>
              <w:rPr>
                <w:rFonts w:hint="default"/>
                <w:highlight w:val="none"/>
                <w:lang w:val="en-US" w:eastAsia="zh-CN"/>
              </w:rPr>
              <w:t>367</w:t>
            </w:r>
          </w:p>
        </w:tc>
      </w:tr>
      <w:tr w14:paraId="4F19F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exac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5ED12">
            <w:pPr>
              <w:pStyle w:val="32"/>
              <w:bidi w:val="0"/>
              <w:rPr>
                <w:rFonts w:hint="default"/>
                <w:highlight w:val="none"/>
              </w:rPr>
            </w:pPr>
            <w:r>
              <w:rPr>
                <w:rFonts w:hint="default"/>
                <w:highlight w:val="none"/>
                <w:lang w:val="en-US" w:eastAsia="zh-CN"/>
              </w:rPr>
              <w:t>Fe3</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248BF">
            <w:pPr>
              <w:pStyle w:val="32"/>
              <w:bidi w:val="0"/>
              <w:rPr>
                <w:rFonts w:hint="default"/>
                <w:highlight w:val="none"/>
              </w:rPr>
            </w:pPr>
            <w:r>
              <w:rPr>
                <w:rFonts w:hint="default"/>
                <w:highlight w:val="none"/>
                <w:lang w:val="en-US" w:eastAsia="zh-CN"/>
              </w:rPr>
              <w:t>131.9</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97499">
            <w:pPr>
              <w:pStyle w:val="32"/>
              <w:bidi w:val="0"/>
              <w:rPr>
                <w:rFonts w:hint="default"/>
                <w:highlight w:val="none"/>
              </w:rPr>
            </w:pPr>
            <w:r>
              <w:rPr>
                <w:rFonts w:hint="default"/>
                <w:highlight w:val="none"/>
                <w:lang w:val="en-US" w:eastAsia="zh-CN"/>
              </w:rPr>
              <w:t>13.02</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B1D74">
            <w:pPr>
              <w:pStyle w:val="32"/>
              <w:bidi w:val="0"/>
              <w:rPr>
                <w:rFonts w:hint="default"/>
                <w:highlight w:val="none"/>
              </w:rPr>
            </w:pPr>
            <w:r>
              <w:rPr>
                <w:rFonts w:hint="default"/>
                <w:highlight w:val="none"/>
                <w:lang w:val="en-US" w:eastAsia="zh-CN"/>
              </w:rPr>
              <w:t>38</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A6D5B">
            <w:pPr>
              <w:pStyle w:val="32"/>
              <w:bidi w:val="0"/>
              <w:rPr>
                <w:rFonts w:hint="default"/>
                <w:highlight w:val="none"/>
              </w:rPr>
            </w:pPr>
            <w:r>
              <w:rPr>
                <w:rFonts w:hint="default"/>
                <w:highlight w:val="none"/>
                <w:lang w:val="en-US" w:eastAsia="zh-CN"/>
              </w:rPr>
              <w:t>19.08～38.13</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F1CC5">
            <w:pPr>
              <w:pStyle w:val="32"/>
              <w:bidi w:val="0"/>
              <w:rPr>
                <w:rFonts w:hint="default"/>
                <w:highlight w:val="none"/>
              </w:rPr>
            </w:pPr>
            <w:r>
              <w:rPr>
                <w:rFonts w:hint="default"/>
                <w:highlight w:val="none"/>
                <w:lang w:val="en-US" w:eastAsia="zh-CN"/>
              </w:rPr>
              <w:t>29.98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6A429">
            <w:pPr>
              <w:pStyle w:val="32"/>
              <w:bidi w:val="0"/>
              <w:rPr>
                <w:rFonts w:hint="default"/>
                <w:highlight w:val="none"/>
              </w:rPr>
            </w:pPr>
            <w:r>
              <w:rPr>
                <w:rFonts w:hint="default"/>
                <w:highlight w:val="none"/>
                <w:lang w:val="en-US" w:eastAsia="zh-CN"/>
              </w:rPr>
              <w:t>3</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69E40">
            <w:pPr>
              <w:pStyle w:val="32"/>
              <w:bidi w:val="0"/>
              <w:rPr>
                <w:rFonts w:hint="default"/>
                <w:highlight w:val="none"/>
              </w:rPr>
            </w:pPr>
            <w:r>
              <w:rPr>
                <w:rFonts w:hint="default"/>
                <w:highlight w:val="none"/>
                <w:lang w:val="en-US" w:eastAsia="zh-CN"/>
              </w:rPr>
              <w:t>12.93～33.99</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968E5">
            <w:pPr>
              <w:pStyle w:val="32"/>
              <w:bidi w:val="0"/>
              <w:rPr>
                <w:rFonts w:hint="default"/>
                <w:highlight w:val="none"/>
              </w:rPr>
            </w:pPr>
            <w:r>
              <w:rPr>
                <w:rFonts w:hint="default"/>
                <w:highlight w:val="none"/>
                <w:lang w:val="en-US" w:eastAsia="zh-CN"/>
              </w:rPr>
              <w:t>24.34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C1A04">
            <w:pPr>
              <w:pStyle w:val="32"/>
              <w:bidi w:val="0"/>
              <w:rPr>
                <w:rFonts w:hint="default"/>
                <w:highlight w:val="none"/>
              </w:rPr>
            </w:pPr>
            <w:r>
              <w:rPr>
                <w:rFonts w:hint="default"/>
                <w:highlight w:val="none"/>
                <w:lang w:val="en-US" w:eastAsia="zh-CN"/>
              </w:rPr>
              <w:t>6</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69263">
            <w:pPr>
              <w:pStyle w:val="32"/>
              <w:bidi w:val="0"/>
              <w:rPr>
                <w:rFonts w:hint="default"/>
                <w:highlight w:val="none"/>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3D9FD">
            <w:pPr>
              <w:pStyle w:val="32"/>
              <w:bidi w:val="0"/>
              <w:rPr>
                <w:rFonts w:hint="default"/>
                <w:highlight w:val="none"/>
              </w:rPr>
            </w:pPr>
            <w:r>
              <w:rPr>
                <w:rFonts w:hint="default"/>
                <w:highlight w:val="none"/>
                <w:lang w:val="en-US" w:eastAsia="zh-CN"/>
              </w:rPr>
              <w:t>43～52°</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47E54">
            <w:pPr>
              <w:pStyle w:val="32"/>
              <w:bidi w:val="0"/>
              <w:rPr>
                <w:rFonts w:hint="default"/>
                <w:highlight w:val="none"/>
              </w:rPr>
            </w:pPr>
            <w:r>
              <w:rPr>
                <w:rFonts w:hint="default"/>
                <w:highlight w:val="none"/>
                <w:lang w:val="en-US" w:eastAsia="zh-CN"/>
              </w:rPr>
              <w:t>似层状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069FF">
            <w:pPr>
              <w:pStyle w:val="32"/>
              <w:bidi w:val="0"/>
              <w:rPr>
                <w:rFonts w:hint="default"/>
                <w:highlight w:val="none"/>
              </w:rPr>
            </w:pPr>
            <w:r>
              <w:rPr>
                <w:rFonts w:hint="default"/>
                <w:highlight w:val="none"/>
                <w:lang w:val="en-US" w:eastAsia="zh-CN"/>
              </w:rPr>
              <w:t>滑石化透闪岩岩、中细粒二长花岗岩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0AC6A">
            <w:pPr>
              <w:pStyle w:val="32"/>
              <w:bidi w:val="0"/>
              <w:rPr>
                <w:rFonts w:hint="default"/>
                <w:highlight w:val="none"/>
              </w:rPr>
            </w:pPr>
            <w:r>
              <w:rPr>
                <w:rFonts w:hint="default"/>
                <w:highlight w:val="none"/>
                <w:lang w:val="en-US" w:eastAsia="zh-CN"/>
              </w:rPr>
              <w:t>81.2～139</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28D7D">
            <w:pPr>
              <w:pStyle w:val="32"/>
              <w:bidi w:val="0"/>
              <w:rPr>
                <w:rFonts w:hint="default"/>
                <w:highlight w:val="none"/>
              </w:rPr>
            </w:pPr>
            <w:r>
              <w:rPr>
                <w:rFonts w:hint="default"/>
                <w:highlight w:val="none"/>
                <w:lang w:val="en-US" w:eastAsia="zh-CN"/>
              </w:rPr>
              <w:t>145.2</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4822C">
            <w:pPr>
              <w:pStyle w:val="32"/>
              <w:bidi w:val="0"/>
              <w:rPr>
                <w:rFonts w:hint="default"/>
                <w:highlight w:val="none"/>
              </w:rPr>
            </w:pPr>
            <w:r>
              <w:rPr>
                <w:rFonts w:hint="default"/>
                <w:highlight w:val="none"/>
                <w:lang w:val="en-US" w:eastAsia="zh-CN"/>
              </w:rPr>
              <w:t>208</w:t>
            </w:r>
          </w:p>
        </w:tc>
      </w:tr>
      <w:tr w14:paraId="2613E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exac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5B231">
            <w:pPr>
              <w:pStyle w:val="32"/>
              <w:bidi w:val="0"/>
              <w:rPr>
                <w:rFonts w:hint="default"/>
                <w:highlight w:val="none"/>
                <w:lang w:val="en-US" w:eastAsia="zh-CN"/>
              </w:rPr>
            </w:pPr>
            <w:r>
              <w:rPr>
                <w:rFonts w:hint="default"/>
                <w:highlight w:val="none"/>
                <w:lang w:val="en-US" w:eastAsia="zh-CN"/>
              </w:rPr>
              <w:t>Fe4</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1B111">
            <w:pPr>
              <w:pStyle w:val="32"/>
              <w:bidi w:val="0"/>
              <w:rPr>
                <w:rFonts w:hint="default"/>
                <w:highlight w:val="none"/>
                <w:lang w:val="en-US" w:eastAsia="zh-CN"/>
              </w:rPr>
            </w:pPr>
            <w:r>
              <w:rPr>
                <w:rFonts w:hint="default"/>
                <w:highlight w:val="none"/>
                <w:lang w:val="en-US" w:eastAsia="zh-CN"/>
              </w:rPr>
              <w:t>48.8</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99442">
            <w:pPr>
              <w:pStyle w:val="32"/>
              <w:bidi w:val="0"/>
              <w:rPr>
                <w:rFonts w:hint="default"/>
                <w:highlight w:val="none"/>
                <w:lang w:val="en-US" w:eastAsia="zh-CN"/>
              </w:rPr>
            </w:pPr>
            <w:r>
              <w:rPr>
                <w:rFonts w:hint="default"/>
                <w:highlight w:val="none"/>
                <w:lang w:val="en-US" w:eastAsia="zh-CN"/>
              </w:rPr>
              <w:t>5.9</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B425D">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E6407">
            <w:pPr>
              <w:pStyle w:val="32"/>
              <w:bidi w:val="0"/>
              <w:rPr>
                <w:rFonts w:hint="default"/>
                <w:highlight w:val="none"/>
                <w:lang w:val="en-US" w:eastAsia="zh-CN"/>
              </w:rPr>
            </w:pPr>
            <w:r>
              <w:rPr>
                <w:rFonts w:hint="default"/>
                <w:highlight w:val="none"/>
                <w:lang w:val="en-US" w:eastAsia="zh-CN"/>
              </w:rPr>
              <w:t>22.08～34.7</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3B8D5">
            <w:pPr>
              <w:pStyle w:val="32"/>
              <w:bidi w:val="0"/>
              <w:rPr>
                <w:rFonts w:hint="default"/>
                <w:highlight w:val="none"/>
                <w:lang w:val="en-US" w:eastAsia="zh-CN"/>
              </w:rPr>
            </w:pPr>
            <w:r>
              <w:rPr>
                <w:rFonts w:hint="default"/>
                <w:highlight w:val="none"/>
                <w:lang w:val="en-US" w:eastAsia="zh-CN"/>
              </w:rPr>
              <w:t>29.99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DA003">
            <w:pPr>
              <w:pStyle w:val="32"/>
              <w:bidi w:val="0"/>
              <w:rPr>
                <w:rFonts w:hint="default"/>
                <w:highlight w:val="none"/>
                <w:lang w:val="en-US" w:eastAsia="zh-CN"/>
              </w:rPr>
            </w:pPr>
            <w:r>
              <w:rPr>
                <w:rFonts w:hint="default"/>
                <w:highlight w:val="none"/>
                <w:lang w:val="en-US" w:eastAsia="zh-CN"/>
              </w:rPr>
              <w:t>3</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7F6BF">
            <w:pPr>
              <w:pStyle w:val="32"/>
              <w:bidi w:val="0"/>
              <w:rPr>
                <w:rFonts w:hint="default"/>
                <w:highlight w:val="none"/>
                <w:lang w:val="en-US" w:eastAsia="zh-CN"/>
              </w:rPr>
            </w:pPr>
            <w:r>
              <w:rPr>
                <w:rFonts w:hint="default"/>
                <w:highlight w:val="none"/>
                <w:lang w:val="en-US" w:eastAsia="zh-CN"/>
              </w:rPr>
              <w:t>14.93～30.14</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1BCBB">
            <w:pPr>
              <w:pStyle w:val="32"/>
              <w:bidi w:val="0"/>
              <w:rPr>
                <w:rFonts w:hint="default"/>
                <w:highlight w:val="none"/>
                <w:lang w:val="en-US" w:eastAsia="zh-CN"/>
              </w:rPr>
            </w:pPr>
            <w:r>
              <w:rPr>
                <w:rFonts w:hint="default"/>
                <w:highlight w:val="none"/>
                <w:lang w:val="en-US" w:eastAsia="zh-CN"/>
              </w:rPr>
              <w:t>24.34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0B885">
            <w:pPr>
              <w:pStyle w:val="32"/>
              <w:bidi w:val="0"/>
              <w:rPr>
                <w:rFonts w:hint="default"/>
                <w:highlight w:val="none"/>
                <w:lang w:val="en-US" w:eastAsia="zh-CN"/>
              </w:rPr>
            </w:pPr>
            <w:r>
              <w:rPr>
                <w:rFonts w:hint="default"/>
                <w:highlight w:val="none"/>
                <w:lang w:val="en-US" w:eastAsia="zh-CN"/>
              </w:rPr>
              <w:t>6</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33A0E">
            <w:pPr>
              <w:pStyle w:val="32"/>
              <w:bidi w:val="0"/>
              <w:rPr>
                <w:rFonts w:hint="default"/>
                <w:highlight w:val="none"/>
                <w:lang w:val="en-US" w:eastAsia="zh-CN"/>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2B0D6">
            <w:pPr>
              <w:pStyle w:val="32"/>
              <w:bidi w:val="0"/>
              <w:rPr>
                <w:rFonts w:hint="default"/>
                <w:highlight w:val="none"/>
                <w:lang w:val="en-US" w:eastAsia="zh-CN"/>
              </w:rPr>
            </w:pPr>
            <w:r>
              <w:rPr>
                <w:rFonts w:hint="default"/>
                <w:highlight w:val="none"/>
                <w:lang w:val="en-US" w:eastAsia="zh-CN"/>
              </w:rPr>
              <w:t>44～80°</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8CBF8">
            <w:pPr>
              <w:pStyle w:val="32"/>
              <w:bidi w:val="0"/>
              <w:rPr>
                <w:rFonts w:hint="default"/>
                <w:highlight w:val="none"/>
                <w:lang w:val="en-US" w:eastAsia="zh-CN"/>
              </w:rPr>
            </w:pPr>
            <w:r>
              <w:rPr>
                <w:rFonts w:hint="default"/>
                <w:highlight w:val="none"/>
                <w:lang w:val="en-US" w:eastAsia="zh-CN"/>
              </w:rPr>
              <w:t>透镜状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A94F1">
            <w:pPr>
              <w:pStyle w:val="32"/>
              <w:bidi w:val="0"/>
              <w:rPr>
                <w:rFonts w:hint="default"/>
                <w:highlight w:val="none"/>
                <w:lang w:val="en-US" w:eastAsia="zh-CN"/>
              </w:rPr>
            </w:pPr>
            <w:r>
              <w:rPr>
                <w:rFonts w:hint="default"/>
                <w:highlight w:val="none"/>
                <w:lang w:val="en-US" w:eastAsia="zh-CN"/>
              </w:rPr>
              <w:t>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7A985">
            <w:pPr>
              <w:pStyle w:val="32"/>
              <w:bidi w:val="0"/>
              <w:rPr>
                <w:rFonts w:hint="default"/>
                <w:highlight w:val="none"/>
                <w:lang w:val="en-US" w:eastAsia="zh-CN"/>
              </w:rPr>
            </w:pPr>
            <w:r>
              <w:rPr>
                <w:rFonts w:hint="default"/>
                <w:highlight w:val="none"/>
                <w:lang w:val="en-US" w:eastAsia="zh-CN"/>
              </w:rPr>
              <w:t>120.6～145.5</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BA658">
            <w:pPr>
              <w:pStyle w:val="32"/>
              <w:bidi w:val="0"/>
              <w:rPr>
                <w:rFonts w:hint="default"/>
                <w:highlight w:val="none"/>
                <w:lang w:val="en-US" w:eastAsia="zh-CN"/>
              </w:rPr>
            </w:pPr>
            <w:r>
              <w:rPr>
                <w:rFonts w:hint="default"/>
                <w:highlight w:val="none"/>
                <w:lang w:val="en-US" w:eastAsia="zh-CN"/>
              </w:rPr>
              <w:t>151</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79217">
            <w:pPr>
              <w:pStyle w:val="32"/>
              <w:bidi w:val="0"/>
              <w:rPr>
                <w:rFonts w:hint="default"/>
                <w:highlight w:val="none"/>
                <w:lang w:val="en-US" w:eastAsia="zh-CN"/>
              </w:rPr>
            </w:pPr>
            <w:r>
              <w:rPr>
                <w:rFonts w:hint="default"/>
                <w:highlight w:val="none"/>
                <w:lang w:val="en-US" w:eastAsia="zh-CN"/>
              </w:rPr>
              <w:t>161.6</w:t>
            </w:r>
          </w:p>
        </w:tc>
      </w:tr>
      <w:tr w14:paraId="2F043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exac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8694B">
            <w:pPr>
              <w:pStyle w:val="32"/>
              <w:bidi w:val="0"/>
              <w:rPr>
                <w:rFonts w:hint="default"/>
                <w:highlight w:val="none"/>
                <w:lang w:val="en-US" w:eastAsia="zh-CN"/>
              </w:rPr>
            </w:pPr>
            <w:r>
              <w:rPr>
                <w:rFonts w:hint="default"/>
                <w:highlight w:val="none"/>
                <w:lang w:val="en-US" w:eastAsia="zh-CN"/>
              </w:rPr>
              <w:t>Fe5</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6C9CD">
            <w:pPr>
              <w:pStyle w:val="32"/>
              <w:bidi w:val="0"/>
              <w:rPr>
                <w:rFonts w:hint="default"/>
                <w:highlight w:val="none"/>
                <w:lang w:val="en-US" w:eastAsia="zh-CN"/>
              </w:rPr>
            </w:pPr>
            <w:r>
              <w:rPr>
                <w:rFonts w:hint="default"/>
                <w:highlight w:val="none"/>
                <w:lang w:val="en-US" w:eastAsia="zh-CN"/>
              </w:rPr>
              <w:t>44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AD4B0">
            <w:pPr>
              <w:pStyle w:val="32"/>
              <w:bidi w:val="0"/>
              <w:rPr>
                <w:rFonts w:hint="default"/>
                <w:highlight w:val="none"/>
                <w:lang w:val="en-US" w:eastAsia="zh-CN"/>
              </w:rPr>
            </w:pPr>
            <w:r>
              <w:rPr>
                <w:rFonts w:hint="default"/>
                <w:highlight w:val="none"/>
                <w:lang w:val="en-US" w:eastAsia="zh-CN"/>
              </w:rPr>
              <w:t>2.94</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CF6D3">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83D77">
            <w:pPr>
              <w:pStyle w:val="32"/>
              <w:bidi w:val="0"/>
              <w:rPr>
                <w:rFonts w:hint="default"/>
                <w:highlight w:val="none"/>
                <w:lang w:val="en-US" w:eastAsia="zh-CN"/>
              </w:rPr>
            </w:pPr>
            <w:r>
              <w:rPr>
                <w:rFonts w:hint="default"/>
                <w:highlight w:val="none"/>
                <w:lang w:val="en-US" w:eastAsia="zh-CN"/>
              </w:rPr>
              <w:t>37.25～38.48</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EDA34">
            <w:pPr>
              <w:pStyle w:val="32"/>
              <w:bidi w:val="0"/>
              <w:rPr>
                <w:rFonts w:hint="default"/>
                <w:highlight w:val="none"/>
                <w:lang w:val="en-US" w:eastAsia="zh-CN"/>
              </w:rPr>
            </w:pPr>
            <w:r>
              <w:rPr>
                <w:rFonts w:hint="default"/>
                <w:highlight w:val="none"/>
                <w:lang w:val="en-US" w:eastAsia="zh-CN"/>
              </w:rPr>
              <w:t>36.67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6A2C8">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77F72">
            <w:pPr>
              <w:pStyle w:val="32"/>
              <w:bidi w:val="0"/>
              <w:rPr>
                <w:rFonts w:hint="default"/>
                <w:highlight w:val="none"/>
                <w:lang w:val="en-US" w:eastAsia="zh-CN"/>
              </w:rPr>
            </w:pPr>
            <w:r>
              <w:rPr>
                <w:rFonts w:hint="default"/>
                <w:highlight w:val="none"/>
                <w:lang w:val="en-US" w:eastAsia="zh-CN"/>
              </w:rPr>
              <w:t>30.86～33.25</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5E21B">
            <w:pPr>
              <w:pStyle w:val="32"/>
              <w:bidi w:val="0"/>
              <w:rPr>
                <w:rFonts w:hint="default"/>
                <w:highlight w:val="none"/>
                <w:lang w:val="en-US" w:eastAsia="zh-CN"/>
              </w:rPr>
            </w:pPr>
            <w:r>
              <w:rPr>
                <w:rFonts w:hint="default"/>
                <w:highlight w:val="none"/>
                <w:lang w:val="en-US" w:eastAsia="zh-CN"/>
              </w:rPr>
              <w:t>31.95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07139">
            <w:pPr>
              <w:pStyle w:val="32"/>
              <w:bidi w:val="0"/>
              <w:rPr>
                <w:rFonts w:hint="default"/>
                <w:highlight w:val="none"/>
                <w:lang w:val="en-US" w:eastAsia="zh-CN"/>
              </w:rPr>
            </w:pPr>
            <w:r>
              <w:rPr>
                <w:rFonts w:hint="default"/>
                <w:highlight w:val="none"/>
                <w:lang w:val="en-US" w:eastAsia="zh-CN"/>
              </w:rPr>
              <w:t>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1E6CC">
            <w:pPr>
              <w:pStyle w:val="32"/>
              <w:bidi w:val="0"/>
              <w:rPr>
                <w:rFonts w:hint="default"/>
                <w:highlight w:val="none"/>
                <w:lang w:val="en-US" w:eastAsia="zh-CN"/>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0F7B5">
            <w:pPr>
              <w:pStyle w:val="32"/>
              <w:bidi w:val="0"/>
              <w:rPr>
                <w:rFonts w:hint="default"/>
                <w:highlight w:val="none"/>
                <w:lang w:val="en-US" w:eastAsia="zh-CN"/>
              </w:rPr>
            </w:pPr>
            <w:r>
              <w:rPr>
                <w:rFonts w:hint="default"/>
                <w:highlight w:val="none"/>
                <w:lang w:val="en-US" w:eastAsia="zh-CN"/>
              </w:rPr>
              <w:t>52°</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B3590">
            <w:pPr>
              <w:pStyle w:val="32"/>
              <w:bidi w:val="0"/>
              <w:rPr>
                <w:rFonts w:hint="default"/>
                <w:highlight w:val="none"/>
                <w:lang w:val="en-US" w:eastAsia="zh-CN"/>
              </w:rPr>
            </w:pPr>
            <w:r>
              <w:rPr>
                <w:rFonts w:hint="default"/>
                <w:highlight w:val="none"/>
                <w:lang w:val="en-US" w:eastAsia="zh-CN"/>
              </w:rPr>
              <w:t>透镜状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6F737">
            <w:pPr>
              <w:pStyle w:val="32"/>
              <w:bidi w:val="0"/>
              <w:rPr>
                <w:rFonts w:hint="default"/>
                <w:highlight w:val="none"/>
                <w:lang w:val="en-US" w:eastAsia="zh-CN"/>
              </w:rPr>
            </w:pPr>
            <w:r>
              <w:rPr>
                <w:rFonts w:hint="default"/>
                <w:highlight w:val="none"/>
                <w:lang w:val="en-US" w:eastAsia="zh-CN"/>
              </w:rPr>
              <w:t>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DE727">
            <w:pPr>
              <w:pStyle w:val="32"/>
              <w:bidi w:val="0"/>
              <w:rPr>
                <w:rFonts w:hint="default"/>
                <w:highlight w:val="none"/>
                <w:lang w:val="en-US" w:eastAsia="zh-CN"/>
              </w:rPr>
            </w:pPr>
            <w:r>
              <w:rPr>
                <w:rFonts w:hint="default"/>
                <w:highlight w:val="none"/>
                <w:lang w:val="en-US" w:eastAsia="zh-CN"/>
              </w:rPr>
              <w:t>16.6～41.20</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528CF">
            <w:pPr>
              <w:pStyle w:val="32"/>
              <w:bidi w:val="0"/>
              <w:rPr>
                <w:rFonts w:hint="default"/>
                <w:highlight w:val="none"/>
                <w:lang w:val="en-US" w:eastAsia="zh-CN"/>
              </w:rPr>
            </w:pPr>
            <w:r>
              <w:rPr>
                <w:rFonts w:hint="default"/>
                <w:highlight w:val="none"/>
                <w:lang w:val="en-US" w:eastAsia="zh-CN"/>
              </w:rPr>
              <w:t>232.7</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93CE8">
            <w:pPr>
              <w:pStyle w:val="32"/>
              <w:bidi w:val="0"/>
              <w:rPr>
                <w:rFonts w:hint="default"/>
                <w:highlight w:val="none"/>
                <w:lang w:val="en-US" w:eastAsia="zh-CN"/>
              </w:rPr>
            </w:pPr>
            <w:r>
              <w:rPr>
                <w:rFonts w:hint="default"/>
                <w:highlight w:val="none"/>
                <w:lang w:val="en-US" w:eastAsia="zh-CN"/>
              </w:rPr>
              <w:t>260.3</w:t>
            </w:r>
          </w:p>
        </w:tc>
      </w:tr>
      <w:tr w14:paraId="1E135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exac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86329">
            <w:pPr>
              <w:pStyle w:val="32"/>
              <w:bidi w:val="0"/>
              <w:rPr>
                <w:rFonts w:hint="default"/>
                <w:highlight w:val="none"/>
                <w:lang w:val="en-US" w:eastAsia="zh-CN"/>
              </w:rPr>
            </w:pPr>
            <w:r>
              <w:rPr>
                <w:rFonts w:hint="default"/>
                <w:highlight w:val="none"/>
                <w:lang w:val="en-US" w:eastAsia="zh-CN"/>
              </w:rPr>
              <w:t>Fe6</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D8D72">
            <w:pPr>
              <w:pStyle w:val="32"/>
              <w:bidi w:val="0"/>
              <w:rPr>
                <w:rFonts w:hint="default"/>
                <w:highlight w:val="none"/>
                <w:lang w:val="en-US" w:eastAsia="zh-CN"/>
              </w:rPr>
            </w:pPr>
            <w:r>
              <w:rPr>
                <w:rFonts w:hint="default"/>
                <w:highlight w:val="none"/>
                <w:lang w:val="en-US" w:eastAsia="zh-CN"/>
              </w:rPr>
              <w:t>48</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98B29">
            <w:pPr>
              <w:pStyle w:val="32"/>
              <w:bidi w:val="0"/>
              <w:rPr>
                <w:rFonts w:hint="default"/>
                <w:highlight w:val="none"/>
                <w:lang w:val="en-US" w:eastAsia="zh-CN"/>
              </w:rPr>
            </w:pPr>
            <w:r>
              <w:rPr>
                <w:rFonts w:hint="default"/>
                <w:highlight w:val="none"/>
                <w:lang w:val="en-US" w:eastAsia="zh-CN"/>
              </w:rPr>
              <w:t>3.52</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26CB9">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D75F8">
            <w:pPr>
              <w:pStyle w:val="32"/>
              <w:bidi w:val="0"/>
              <w:rPr>
                <w:rFonts w:hint="default"/>
                <w:highlight w:val="none"/>
                <w:lang w:val="en-US" w:eastAsia="zh-CN"/>
              </w:rPr>
            </w:pPr>
            <w:r>
              <w:rPr>
                <w:rFonts w:hint="default"/>
                <w:highlight w:val="none"/>
                <w:lang w:val="en-US" w:eastAsia="zh-CN"/>
              </w:rPr>
              <w:t>28.6～31.57</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2296B">
            <w:pPr>
              <w:pStyle w:val="32"/>
              <w:bidi w:val="0"/>
              <w:rPr>
                <w:rFonts w:hint="default"/>
                <w:highlight w:val="none"/>
                <w:lang w:val="en-US" w:eastAsia="zh-CN"/>
              </w:rPr>
            </w:pPr>
            <w:r>
              <w:rPr>
                <w:rFonts w:hint="default"/>
                <w:highlight w:val="none"/>
                <w:lang w:val="en-US" w:eastAsia="zh-CN"/>
              </w:rPr>
              <w:t>30.91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A9160">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08F1E">
            <w:pPr>
              <w:pStyle w:val="32"/>
              <w:bidi w:val="0"/>
              <w:rPr>
                <w:rFonts w:hint="default"/>
                <w:highlight w:val="none"/>
                <w:lang w:val="en-US" w:eastAsia="zh-CN"/>
              </w:rPr>
            </w:pPr>
            <w:r>
              <w:rPr>
                <w:rFonts w:hint="default"/>
                <w:highlight w:val="none"/>
                <w:lang w:val="en-US" w:eastAsia="zh-CN"/>
              </w:rPr>
              <w:t>19.89～23.69</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FD6FD">
            <w:pPr>
              <w:pStyle w:val="32"/>
              <w:bidi w:val="0"/>
              <w:rPr>
                <w:rFonts w:hint="default"/>
                <w:highlight w:val="none"/>
                <w:lang w:val="en-US" w:eastAsia="zh-CN"/>
              </w:rPr>
            </w:pPr>
            <w:r>
              <w:rPr>
                <w:rFonts w:hint="default"/>
                <w:highlight w:val="none"/>
                <w:lang w:val="en-US" w:eastAsia="zh-CN"/>
              </w:rPr>
              <w:t>23.33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259EA">
            <w:pPr>
              <w:pStyle w:val="32"/>
              <w:bidi w:val="0"/>
              <w:rPr>
                <w:rFonts w:hint="default"/>
                <w:highlight w:val="none"/>
                <w:lang w:val="en-US" w:eastAsia="zh-CN"/>
              </w:rPr>
            </w:pPr>
            <w:r>
              <w:rPr>
                <w:rFonts w:hint="default"/>
                <w:highlight w:val="none"/>
                <w:lang w:val="en-US" w:eastAsia="zh-CN"/>
              </w:rPr>
              <w:t>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14249">
            <w:pPr>
              <w:pStyle w:val="32"/>
              <w:bidi w:val="0"/>
              <w:rPr>
                <w:rFonts w:hint="default"/>
                <w:highlight w:val="none"/>
                <w:lang w:val="en-US" w:eastAsia="zh-CN"/>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DDA1D">
            <w:pPr>
              <w:pStyle w:val="32"/>
              <w:bidi w:val="0"/>
              <w:rPr>
                <w:rFonts w:hint="default"/>
                <w:highlight w:val="none"/>
                <w:lang w:val="en-US" w:eastAsia="zh-CN"/>
              </w:rPr>
            </w:pPr>
            <w:r>
              <w:rPr>
                <w:rFonts w:hint="default"/>
                <w:highlight w:val="none"/>
                <w:lang w:val="en-US" w:eastAsia="zh-CN"/>
              </w:rPr>
              <w:t>60°</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2B6FD">
            <w:pPr>
              <w:pStyle w:val="32"/>
              <w:bidi w:val="0"/>
              <w:rPr>
                <w:rFonts w:hint="default"/>
                <w:highlight w:val="none"/>
                <w:lang w:val="en-US" w:eastAsia="zh-CN"/>
              </w:rPr>
            </w:pPr>
            <w:r>
              <w:rPr>
                <w:rFonts w:hint="default"/>
                <w:highlight w:val="none"/>
                <w:lang w:val="en-US" w:eastAsia="zh-CN"/>
              </w:rPr>
              <w:t>透镜状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096FD">
            <w:pPr>
              <w:pStyle w:val="32"/>
              <w:bidi w:val="0"/>
              <w:rPr>
                <w:rFonts w:hint="default"/>
                <w:highlight w:val="none"/>
                <w:lang w:val="en-US" w:eastAsia="zh-CN"/>
              </w:rPr>
            </w:pPr>
            <w:r>
              <w:rPr>
                <w:rFonts w:hint="default"/>
                <w:highlight w:val="none"/>
                <w:lang w:val="en-US" w:eastAsia="zh-CN"/>
              </w:rPr>
              <w:t>中细粒二长花岗岩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46A06">
            <w:pPr>
              <w:pStyle w:val="32"/>
              <w:bidi w:val="0"/>
              <w:rPr>
                <w:rFonts w:hint="default"/>
                <w:highlight w:val="none"/>
                <w:lang w:val="en-US" w:eastAsia="zh-CN"/>
              </w:rPr>
            </w:pPr>
            <w:r>
              <w:rPr>
                <w:rFonts w:hint="default"/>
                <w:highlight w:val="none"/>
                <w:lang w:val="en-US" w:eastAsia="zh-CN"/>
              </w:rPr>
              <w:t>82.4～110.6</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E3A67">
            <w:pPr>
              <w:pStyle w:val="32"/>
              <w:bidi w:val="0"/>
              <w:rPr>
                <w:rFonts w:hint="default"/>
                <w:highlight w:val="none"/>
                <w:lang w:val="en-US" w:eastAsia="zh-CN"/>
              </w:rPr>
            </w:pPr>
            <w:r>
              <w:rPr>
                <w:rFonts w:hint="default"/>
                <w:highlight w:val="none"/>
                <w:lang w:val="en-US" w:eastAsia="zh-CN"/>
              </w:rPr>
              <w:t>191.6</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0C313">
            <w:pPr>
              <w:pStyle w:val="32"/>
              <w:bidi w:val="0"/>
              <w:rPr>
                <w:rFonts w:hint="default"/>
                <w:highlight w:val="none"/>
                <w:lang w:val="en-US" w:eastAsia="zh-CN"/>
              </w:rPr>
            </w:pPr>
            <w:r>
              <w:rPr>
                <w:rFonts w:hint="default"/>
                <w:highlight w:val="none"/>
                <w:lang w:val="en-US" w:eastAsia="zh-CN"/>
              </w:rPr>
              <w:t>221</w:t>
            </w:r>
          </w:p>
        </w:tc>
      </w:tr>
      <w:tr w14:paraId="5FAB4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exact"/>
        </w:trPr>
        <w:tc>
          <w:tcPr>
            <w:tcW w:w="1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8D31C">
            <w:pPr>
              <w:pStyle w:val="32"/>
              <w:bidi w:val="0"/>
              <w:rPr>
                <w:rFonts w:hint="default"/>
                <w:highlight w:val="none"/>
                <w:lang w:val="en-US" w:eastAsia="zh-CN"/>
              </w:rPr>
            </w:pPr>
            <w:r>
              <w:rPr>
                <w:rFonts w:hint="default"/>
                <w:highlight w:val="none"/>
                <w:lang w:val="en-US" w:eastAsia="zh-CN"/>
              </w:rPr>
              <w:t>Fe7</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7021A">
            <w:pPr>
              <w:pStyle w:val="32"/>
              <w:bidi w:val="0"/>
              <w:rPr>
                <w:rFonts w:hint="default"/>
                <w:highlight w:val="none"/>
                <w:lang w:val="en-US" w:eastAsia="zh-CN"/>
              </w:rPr>
            </w:pPr>
            <w:r>
              <w:rPr>
                <w:rFonts w:hint="default"/>
                <w:highlight w:val="none"/>
                <w:lang w:val="en-US" w:eastAsia="zh-CN"/>
              </w:rPr>
              <w:t>40</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B75AC">
            <w:pPr>
              <w:pStyle w:val="32"/>
              <w:bidi w:val="0"/>
              <w:rPr>
                <w:rFonts w:hint="default"/>
                <w:highlight w:val="none"/>
                <w:lang w:val="en-US" w:eastAsia="zh-CN"/>
              </w:rPr>
            </w:pPr>
            <w:r>
              <w:rPr>
                <w:rFonts w:hint="default"/>
                <w:highlight w:val="none"/>
                <w:lang w:val="en-US" w:eastAsia="zh-CN"/>
              </w:rPr>
              <w:t>10.24</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2B1B7">
            <w:pPr>
              <w:pStyle w:val="32"/>
              <w:bidi w:val="0"/>
              <w:rPr>
                <w:rFonts w:hint="default"/>
                <w:highlight w:val="none"/>
                <w:lang w:val="en-US" w:eastAsia="zh-CN"/>
              </w:rPr>
            </w:pPr>
            <w:r>
              <w:rPr>
                <w:rFonts w:hint="default"/>
                <w:highlight w:val="none"/>
                <w:lang w:val="en-US" w:eastAsia="zh-CN"/>
              </w:rPr>
              <w:t>71</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22DC9">
            <w:pPr>
              <w:pStyle w:val="32"/>
              <w:bidi w:val="0"/>
              <w:rPr>
                <w:rFonts w:hint="default"/>
                <w:highlight w:val="none"/>
                <w:lang w:val="en-US" w:eastAsia="zh-CN"/>
              </w:rPr>
            </w:pPr>
            <w:r>
              <w:rPr>
                <w:rFonts w:hint="default"/>
                <w:highlight w:val="none"/>
                <w:lang w:val="en-US" w:eastAsia="zh-CN"/>
              </w:rPr>
              <w:t>22.4～34.55</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F3551">
            <w:pPr>
              <w:pStyle w:val="32"/>
              <w:bidi w:val="0"/>
              <w:rPr>
                <w:rFonts w:hint="default"/>
                <w:highlight w:val="none"/>
                <w:lang w:val="en-US" w:eastAsia="zh-CN"/>
              </w:rPr>
            </w:pPr>
            <w:r>
              <w:rPr>
                <w:rFonts w:hint="default"/>
                <w:highlight w:val="none"/>
                <w:lang w:val="en-US" w:eastAsia="zh-CN"/>
              </w:rPr>
              <w:t>28.78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ED2F2">
            <w:pPr>
              <w:pStyle w:val="32"/>
              <w:bidi w:val="0"/>
              <w:rPr>
                <w:rFonts w:hint="default"/>
                <w:highlight w:val="none"/>
                <w:lang w:val="en-US" w:eastAsia="zh-CN"/>
              </w:rPr>
            </w:pPr>
            <w:r>
              <w:rPr>
                <w:rFonts w:hint="default"/>
                <w:highlight w:val="none"/>
                <w:lang w:val="en-US" w:eastAsia="zh-CN"/>
              </w:rPr>
              <w:t>0</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C5BD2">
            <w:pPr>
              <w:pStyle w:val="32"/>
              <w:bidi w:val="0"/>
              <w:rPr>
                <w:rFonts w:hint="default"/>
                <w:highlight w:val="none"/>
                <w:lang w:val="en-US" w:eastAsia="zh-CN"/>
              </w:rPr>
            </w:pPr>
            <w:r>
              <w:rPr>
                <w:rFonts w:hint="default"/>
                <w:highlight w:val="none"/>
                <w:lang w:val="en-US" w:eastAsia="zh-CN"/>
              </w:rPr>
              <w:t>13.55～30.76</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FFAD3">
            <w:pPr>
              <w:pStyle w:val="32"/>
              <w:bidi w:val="0"/>
              <w:rPr>
                <w:rFonts w:hint="default"/>
                <w:highlight w:val="none"/>
                <w:lang w:val="en-US" w:eastAsia="zh-CN"/>
              </w:rPr>
            </w:pPr>
            <w:r>
              <w:rPr>
                <w:rFonts w:hint="default"/>
                <w:highlight w:val="none"/>
                <w:lang w:val="en-US" w:eastAsia="zh-CN"/>
              </w:rPr>
              <w:t>23.42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E14CD">
            <w:pPr>
              <w:pStyle w:val="32"/>
              <w:bidi w:val="0"/>
              <w:rPr>
                <w:rFonts w:hint="default"/>
                <w:highlight w:val="none"/>
                <w:lang w:val="en-US" w:eastAsia="zh-CN"/>
              </w:rPr>
            </w:pPr>
            <w:r>
              <w:rPr>
                <w:rFonts w:hint="default"/>
                <w:highlight w:val="none"/>
                <w:lang w:val="en-US" w:eastAsia="zh-CN"/>
              </w:rPr>
              <w:t>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FFCC7">
            <w:pPr>
              <w:pStyle w:val="32"/>
              <w:bidi w:val="0"/>
              <w:rPr>
                <w:rFonts w:hint="default"/>
                <w:highlight w:val="none"/>
                <w:lang w:val="en-US" w:eastAsia="zh-CN"/>
              </w:rPr>
            </w:pPr>
            <w:r>
              <w:rPr>
                <w:rFonts w:hint="default"/>
                <w:highlight w:val="none"/>
                <w:lang w:val="en-US" w:eastAsia="zh-CN"/>
              </w:rPr>
              <w:t>30°</w:t>
            </w:r>
          </w:p>
        </w:tc>
        <w:tc>
          <w:tcPr>
            <w:tcW w:w="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2A2BF">
            <w:pPr>
              <w:pStyle w:val="32"/>
              <w:bidi w:val="0"/>
              <w:rPr>
                <w:rFonts w:hint="default"/>
                <w:highlight w:val="none"/>
                <w:lang w:val="en-US" w:eastAsia="zh-CN"/>
              </w:rPr>
            </w:pPr>
            <w:r>
              <w:rPr>
                <w:rFonts w:hint="default"/>
                <w:highlight w:val="none"/>
                <w:lang w:val="en-US" w:eastAsia="zh-CN"/>
              </w:rPr>
              <w:t>60°</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60F21">
            <w:pPr>
              <w:pStyle w:val="32"/>
              <w:bidi w:val="0"/>
              <w:rPr>
                <w:rFonts w:hint="default"/>
                <w:highlight w:val="none"/>
                <w:lang w:val="en-US" w:eastAsia="zh-CN"/>
              </w:rPr>
            </w:pPr>
            <w:r>
              <w:rPr>
                <w:rFonts w:hint="default"/>
                <w:highlight w:val="none"/>
                <w:lang w:val="en-US" w:eastAsia="zh-CN"/>
              </w:rPr>
              <w:t>透镜状</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EA342">
            <w:pPr>
              <w:pStyle w:val="32"/>
              <w:bidi w:val="0"/>
              <w:rPr>
                <w:rFonts w:hint="default"/>
                <w:highlight w:val="none"/>
                <w:lang w:val="en-US" w:eastAsia="zh-CN"/>
              </w:rPr>
            </w:pPr>
            <w:r>
              <w:rPr>
                <w:rFonts w:hint="default"/>
                <w:highlight w:val="none"/>
                <w:lang w:val="en-US" w:eastAsia="zh-CN"/>
              </w:rPr>
              <w:t>中细粒二长花岗岩、滑石化透闪岩</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8878">
            <w:pPr>
              <w:pStyle w:val="32"/>
              <w:bidi w:val="0"/>
              <w:rPr>
                <w:rFonts w:hint="default"/>
                <w:highlight w:val="none"/>
                <w:lang w:val="en-US" w:eastAsia="zh-CN"/>
              </w:rPr>
            </w:pPr>
            <w:r>
              <w:rPr>
                <w:rFonts w:hint="default"/>
                <w:highlight w:val="none"/>
                <w:lang w:val="en-US" w:eastAsia="zh-CN"/>
              </w:rPr>
              <w:t>102.5～138</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433A">
            <w:pPr>
              <w:pStyle w:val="32"/>
              <w:bidi w:val="0"/>
              <w:rPr>
                <w:rFonts w:hint="default"/>
                <w:highlight w:val="none"/>
                <w:lang w:val="en-US" w:eastAsia="zh-CN"/>
              </w:rPr>
            </w:pPr>
            <w:r>
              <w:rPr>
                <w:rFonts w:hint="default"/>
                <w:highlight w:val="none"/>
                <w:lang w:val="en-US" w:eastAsia="zh-CN"/>
              </w:rPr>
              <w:t>149.6</w:t>
            </w:r>
          </w:p>
        </w:tc>
        <w:tc>
          <w:tcPr>
            <w:tcW w:w="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53DF3">
            <w:pPr>
              <w:pStyle w:val="32"/>
              <w:bidi w:val="0"/>
              <w:rPr>
                <w:rFonts w:hint="default"/>
                <w:highlight w:val="none"/>
                <w:lang w:val="en-US" w:eastAsia="zh-CN"/>
              </w:rPr>
            </w:pPr>
            <w:r>
              <w:rPr>
                <w:rFonts w:hint="default"/>
                <w:highlight w:val="none"/>
                <w:lang w:val="en-US" w:eastAsia="zh-CN"/>
              </w:rPr>
              <w:t>187</w:t>
            </w:r>
          </w:p>
        </w:tc>
      </w:tr>
    </w:tbl>
    <w:p w14:paraId="29CB4587">
      <w:pPr>
        <w:pStyle w:val="22"/>
        <w:bidi w:val="0"/>
        <w:rPr>
          <w:rFonts w:hint="eastAsia"/>
          <w:highlight w:val="none"/>
          <w:lang w:eastAsia="zh-CN"/>
        </w:rPr>
        <w:sectPr>
          <w:pgSz w:w="16838" w:h="11906" w:orient="landscape"/>
          <w:pgMar w:top="1587" w:right="1417" w:bottom="1134" w:left="1134"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4FEB4921">
      <w:pPr>
        <w:pStyle w:val="22"/>
        <w:numPr>
          <w:ilvl w:val="0"/>
          <w:numId w:val="13"/>
        </w:numPr>
        <w:bidi w:val="0"/>
        <w:rPr>
          <w:rFonts w:hint="default"/>
          <w:highlight w:val="none"/>
          <w:lang w:val="en-US" w:eastAsia="zh-CN"/>
        </w:rPr>
      </w:pPr>
      <w:r>
        <w:rPr>
          <w:rFonts w:hint="default"/>
          <w:highlight w:val="none"/>
          <w:lang w:val="en-US" w:eastAsia="zh-CN"/>
        </w:rPr>
        <w:t>矿石</w:t>
      </w:r>
      <w:r>
        <w:rPr>
          <w:rFonts w:hint="eastAsia"/>
          <w:highlight w:val="none"/>
          <w:lang w:val="en-US" w:eastAsia="zh-CN"/>
        </w:rPr>
        <w:t>组成与结构构造</w:t>
      </w:r>
    </w:p>
    <w:p w14:paraId="01E38DC4">
      <w:pPr>
        <w:pStyle w:val="22"/>
        <w:bidi w:val="0"/>
        <w:rPr>
          <w:rFonts w:hint="eastAsia"/>
          <w:highlight w:val="none"/>
          <w:lang w:val="en-US" w:eastAsia="zh-CN"/>
        </w:rPr>
      </w:pPr>
      <w:r>
        <w:rPr>
          <w:rFonts w:hint="eastAsia"/>
          <w:highlight w:val="none"/>
          <w:lang w:val="en-US" w:eastAsia="zh-CN"/>
        </w:rPr>
        <w:t>1、矿石物质组成</w:t>
      </w:r>
    </w:p>
    <w:p w14:paraId="2F25B175">
      <w:pPr>
        <w:pStyle w:val="22"/>
        <w:bidi w:val="0"/>
        <w:rPr>
          <w:rFonts w:hint="eastAsia"/>
          <w:highlight w:val="none"/>
        </w:rPr>
      </w:pPr>
      <w:r>
        <w:rPr>
          <w:rFonts w:hint="eastAsia"/>
          <w:highlight w:val="none"/>
        </w:rPr>
        <w:t>矿石粒度以中细粒为主，偶见粗粒，总体粒径约为0.05～2mm。结构主要为粒状结构，其次为自形晶和包含结构，少量侵蚀结构；构造以条纹状为主，少量脉状、团块状和斑杂状构造。</w:t>
      </w:r>
    </w:p>
    <w:p w14:paraId="6C0D03F1">
      <w:pPr>
        <w:pStyle w:val="22"/>
        <w:bidi w:val="0"/>
        <w:rPr>
          <w:rFonts w:hint="default"/>
          <w:highlight w:val="none"/>
          <w:lang w:val="en-US" w:eastAsia="zh-CN"/>
        </w:rPr>
      </w:pPr>
      <w:r>
        <w:rPr>
          <w:rFonts w:hint="eastAsia"/>
          <w:highlight w:val="none"/>
        </w:rPr>
        <w:t>主要由矿石矿物磁铁矿及脉石矿物石英、透闪石组成，其中磁铁矿含量占25%、石英含量占65%、透闪石含量占10%。磁铁矿平均粒度为0.4mm，石英平均粒度为0.3mm，透闪石平均粒度为0.5mm</w:t>
      </w:r>
      <w:r>
        <w:rPr>
          <w:rFonts w:hint="default"/>
          <w:highlight w:val="none"/>
          <w:lang w:eastAsia="zh-CN"/>
        </w:rPr>
        <w:t>。</w:t>
      </w:r>
    </w:p>
    <w:p w14:paraId="54888EB2">
      <w:pPr>
        <w:pStyle w:val="22"/>
        <w:bidi w:val="0"/>
        <w:rPr>
          <w:rFonts w:hint="eastAsia"/>
          <w:highlight w:val="none"/>
          <w:lang w:val="en-US" w:eastAsia="zh-CN"/>
        </w:rPr>
      </w:pPr>
      <w:r>
        <w:rPr>
          <w:rFonts w:hint="eastAsia"/>
          <w:highlight w:val="none"/>
          <w:lang w:val="en-US" w:eastAsia="zh-CN"/>
        </w:rPr>
        <w:t>2、矿石化学成分</w:t>
      </w:r>
    </w:p>
    <w:p w14:paraId="7910FEA0">
      <w:pPr>
        <w:pStyle w:val="22"/>
        <w:bidi w:val="0"/>
        <w:rPr>
          <w:rFonts w:hint="eastAsia"/>
          <w:highlight w:val="none"/>
        </w:rPr>
      </w:pPr>
      <w:r>
        <w:rPr>
          <w:rFonts w:hint="eastAsia"/>
          <w:highlight w:val="none"/>
        </w:rPr>
        <w:t>矿区内铁矿体有益组分：TFe品位在19.08%～47.37%之间，mFe品位在12.36%～45.19%之间，mFe平均品位24.1%。；有害组分主要为S、P及SiO2，S平均含量0.091%、P平均含量0.083%、SiO</w:t>
      </w:r>
      <w:r>
        <w:rPr>
          <w:rFonts w:hint="eastAsia"/>
          <w:highlight w:val="none"/>
          <w:vertAlign w:val="subscript"/>
        </w:rPr>
        <w:t>2</w:t>
      </w:r>
      <w:r>
        <w:rPr>
          <w:rFonts w:hint="eastAsia"/>
          <w:highlight w:val="none"/>
        </w:rPr>
        <w:t>平均含量48.73%，有害组分含量较低，符合标准。矿体有害组分S、P含量较低，是质量较好的需选磁铁矿石。</w:t>
      </w:r>
    </w:p>
    <w:p w14:paraId="66D68AD8">
      <w:pPr>
        <w:pStyle w:val="31"/>
        <w:bidi w:val="0"/>
        <w:rPr>
          <w:rFonts w:hint="default"/>
          <w:highlight w:val="none"/>
          <w:lang w:val="en-US" w:eastAsia="zh-CN"/>
        </w:rPr>
      </w:pPr>
      <w:r>
        <w:rPr>
          <w:rFonts w:hint="default"/>
          <w:highlight w:val="none"/>
        </w:rPr>
        <w:t>表</w:t>
      </w:r>
      <w:r>
        <w:rPr>
          <w:rFonts w:hint="eastAsia"/>
          <w:highlight w:val="none"/>
          <w:lang w:val="en-US" w:eastAsia="zh-CN"/>
        </w:rPr>
        <w:t>2.3</w:t>
      </w:r>
      <w:r>
        <w:rPr>
          <w:rFonts w:hint="default"/>
          <w:highlight w:val="none"/>
        </w:rPr>
        <w:t>-</w:t>
      </w:r>
      <w:r>
        <w:rPr>
          <w:rFonts w:hint="eastAsia"/>
          <w:highlight w:val="none"/>
          <w:lang w:val="en-US" w:eastAsia="zh-CN"/>
        </w:rPr>
        <w:t xml:space="preserve">7  </w:t>
      </w:r>
      <w:r>
        <w:rPr>
          <w:rFonts w:hint="default"/>
          <w:highlight w:val="none"/>
          <w:lang w:val="en-US" w:eastAsia="zh-CN"/>
        </w:rPr>
        <w:t>化学全分析结果表</w:t>
      </w:r>
    </w:p>
    <w:tbl>
      <w:tblPr>
        <w:tblStyle w:val="24"/>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19"/>
        <w:gridCol w:w="2325"/>
        <w:gridCol w:w="2325"/>
        <w:gridCol w:w="2328"/>
      </w:tblGrid>
      <w:tr w14:paraId="1A971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5EE17">
            <w:pPr>
              <w:pStyle w:val="32"/>
              <w:bidi w:val="0"/>
              <w:rPr>
                <w:rFonts w:hint="default"/>
                <w:highlight w:val="none"/>
              </w:rPr>
            </w:pPr>
            <w:r>
              <w:rPr>
                <w:rFonts w:hint="default"/>
                <w:highlight w:val="none"/>
                <w:lang w:val="en-US" w:eastAsia="zh-CN"/>
              </w:rPr>
              <w:t>分析项目</w:t>
            </w:r>
          </w:p>
        </w:tc>
        <w:tc>
          <w:tcPr>
            <w:tcW w:w="371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852A7">
            <w:pPr>
              <w:pStyle w:val="32"/>
              <w:bidi w:val="0"/>
              <w:rPr>
                <w:rFonts w:hint="default"/>
                <w:highlight w:val="none"/>
              </w:rPr>
            </w:pPr>
            <w:r>
              <w:rPr>
                <w:rFonts w:hint="default"/>
                <w:highlight w:val="none"/>
                <w:lang w:val="en-US" w:eastAsia="zh-CN"/>
              </w:rPr>
              <w:t>送样编号</w:t>
            </w:r>
          </w:p>
        </w:tc>
      </w:tr>
      <w:tr w14:paraId="2EFE8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C621E">
            <w:pPr>
              <w:pStyle w:val="32"/>
              <w:bidi w:val="0"/>
              <w:rPr>
                <w:rFonts w:hint="default"/>
                <w:highlight w:val="none"/>
              </w:rPr>
            </w:pP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DF2CF">
            <w:pPr>
              <w:pStyle w:val="32"/>
              <w:bidi w:val="0"/>
              <w:rPr>
                <w:rFonts w:hint="default"/>
                <w:highlight w:val="none"/>
              </w:rPr>
            </w:pPr>
            <w:r>
              <w:rPr>
                <w:rFonts w:hint="default"/>
                <w:highlight w:val="none"/>
                <w:lang w:val="en-US" w:eastAsia="zh-CN"/>
              </w:rPr>
              <w:t>ZK801H10</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1E224">
            <w:pPr>
              <w:pStyle w:val="32"/>
              <w:bidi w:val="0"/>
              <w:rPr>
                <w:rFonts w:hint="default"/>
                <w:highlight w:val="none"/>
              </w:rPr>
            </w:pPr>
            <w:r>
              <w:rPr>
                <w:rFonts w:hint="default"/>
                <w:highlight w:val="none"/>
                <w:lang w:val="en-US" w:eastAsia="zh-CN"/>
              </w:rPr>
              <w:t>ZK801H11</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26384">
            <w:pPr>
              <w:pStyle w:val="32"/>
              <w:bidi w:val="0"/>
              <w:rPr>
                <w:rFonts w:hint="default"/>
                <w:highlight w:val="none"/>
              </w:rPr>
            </w:pPr>
            <w:r>
              <w:rPr>
                <w:rFonts w:hint="default"/>
                <w:highlight w:val="none"/>
                <w:lang w:val="en-US" w:eastAsia="zh-CN"/>
              </w:rPr>
              <w:t>ZK801H12</w:t>
            </w:r>
          </w:p>
        </w:tc>
      </w:tr>
      <w:tr w14:paraId="3955F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F824E">
            <w:pPr>
              <w:pStyle w:val="32"/>
              <w:bidi w:val="0"/>
              <w:rPr>
                <w:rFonts w:hint="default"/>
                <w:highlight w:val="none"/>
              </w:rPr>
            </w:pPr>
            <w:r>
              <w:rPr>
                <w:rFonts w:hint="default"/>
                <w:highlight w:val="none"/>
                <w:lang w:val="en-US" w:eastAsia="zh-CN"/>
              </w:rPr>
              <w:t>SiO</w:t>
            </w:r>
            <w:r>
              <w:rPr>
                <w:rFonts w:hint="default"/>
                <w:highlight w:val="none"/>
                <w:vertAlign w:val="subscript"/>
                <w:lang w:val="en-US" w:eastAsia="zh-CN"/>
              </w:rPr>
              <w:t>2</w:t>
            </w:r>
            <w:r>
              <w:rPr>
                <w:rFonts w:hint="default"/>
                <w:highlight w:val="none"/>
                <w:lang w:val="en-US" w:eastAsia="zh-CN"/>
              </w:rPr>
              <w:t>（%）</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74B54">
            <w:pPr>
              <w:pStyle w:val="32"/>
              <w:bidi w:val="0"/>
              <w:rPr>
                <w:rFonts w:hint="default"/>
                <w:highlight w:val="none"/>
              </w:rPr>
            </w:pPr>
            <w:r>
              <w:rPr>
                <w:rFonts w:hint="default"/>
                <w:highlight w:val="none"/>
                <w:lang w:val="en-US" w:eastAsia="zh-CN"/>
              </w:rPr>
              <w:t>44.12</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75135">
            <w:pPr>
              <w:pStyle w:val="32"/>
              <w:bidi w:val="0"/>
              <w:rPr>
                <w:rFonts w:hint="default"/>
                <w:highlight w:val="none"/>
              </w:rPr>
            </w:pPr>
            <w:r>
              <w:rPr>
                <w:rFonts w:hint="default"/>
                <w:highlight w:val="none"/>
                <w:lang w:val="en-US" w:eastAsia="zh-CN"/>
              </w:rPr>
              <w:t>45.22</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4C980">
            <w:pPr>
              <w:pStyle w:val="32"/>
              <w:bidi w:val="0"/>
              <w:rPr>
                <w:rFonts w:hint="default"/>
                <w:highlight w:val="none"/>
              </w:rPr>
            </w:pPr>
            <w:r>
              <w:rPr>
                <w:rFonts w:hint="default"/>
                <w:highlight w:val="none"/>
                <w:lang w:val="en-US" w:eastAsia="zh-CN"/>
              </w:rPr>
              <w:t>50.2</w:t>
            </w:r>
          </w:p>
        </w:tc>
      </w:tr>
      <w:tr w14:paraId="2CA85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BE59B">
            <w:pPr>
              <w:pStyle w:val="32"/>
              <w:bidi w:val="0"/>
              <w:rPr>
                <w:rFonts w:hint="default"/>
                <w:highlight w:val="none"/>
              </w:rPr>
            </w:pPr>
            <w:r>
              <w:rPr>
                <w:rFonts w:hint="default"/>
                <w:highlight w:val="none"/>
                <w:lang w:val="en-US" w:eastAsia="zh-CN"/>
              </w:rPr>
              <w:t>Al</w:t>
            </w:r>
            <w:r>
              <w:rPr>
                <w:rFonts w:hint="default"/>
                <w:highlight w:val="none"/>
                <w:vertAlign w:val="subscript"/>
                <w:lang w:val="en-US" w:eastAsia="zh-CN"/>
              </w:rPr>
              <w:t>2</w:t>
            </w:r>
            <w:r>
              <w:rPr>
                <w:rFonts w:hint="default"/>
                <w:highlight w:val="none"/>
                <w:lang w:val="en-US" w:eastAsia="zh-CN"/>
              </w:rPr>
              <w:t>O</w:t>
            </w:r>
            <w:r>
              <w:rPr>
                <w:rFonts w:hint="default"/>
                <w:highlight w:val="none"/>
                <w:vertAlign w:val="subscript"/>
                <w:lang w:val="en-US" w:eastAsia="zh-CN"/>
              </w:rPr>
              <w:t>3</w:t>
            </w:r>
            <w:r>
              <w:rPr>
                <w:rFonts w:hint="default"/>
                <w:highlight w:val="none"/>
                <w:lang w:val="en-US" w:eastAsia="zh-CN"/>
              </w:rPr>
              <w:t>（%）</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3154C">
            <w:pPr>
              <w:pStyle w:val="32"/>
              <w:bidi w:val="0"/>
              <w:rPr>
                <w:rFonts w:hint="default"/>
                <w:highlight w:val="none"/>
              </w:rPr>
            </w:pPr>
            <w:r>
              <w:rPr>
                <w:rFonts w:hint="default"/>
                <w:highlight w:val="none"/>
                <w:lang w:val="en-US" w:eastAsia="zh-CN"/>
              </w:rPr>
              <w:t>0.63</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A9510">
            <w:pPr>
              <w:pStyle w:val="32"/>
              <w:bidi w:val="0"/>
              <w:rPr>
                <w:rFonts w:hint="default"/>
                <w:highlight w:val="none"/>
              </w:rPr>
            </w:pPr>
            <w:r>
              <w:rPr>
                <w:rFonts w:hint="default"/>
                <w:highlight w:val="none"/>
                <w:lang w:val="en-US" w:eastAsia="zh-CN"/>
              </w:rPr>
              <w:t>0.25</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9D5D0">
            <w:pPr>
              <w:pStyle w:val="32"/>
              <w:bidi w:val="0"/>
              <w:rPr>
                <w:rFonts w:hint="default"/>
                <w:highlight w:val="none"/>
              </w:rPr>
            </w:pPr>
            <w:r>
              <w:rPr>
                <w:rFonts w:hint="default"/>
                <w:highlight w:val="none"/>
                <w:lang w:val="en-US" w:eastAsia="zh-CN"/>
              </w:rPr>
              <w:t>0.25</w:t>
            </w:r>
          </w:p>
        </w:tc>
      </w:tr>
      <w:tr w14:paraId="11F99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FBC4C">
            <w:pPr>
              <w:pStyle w:val="32"/>
              <w:bidi w:val="0"/>
              <w:rPr>
                <w:rFonts w:hint="default"/>
                <w:highlight w:val="none"/>
              </w:rPr>
            </w:pPr>
            <w:r>
              <w:rPr>
                <w:rFonts w:hint="default"/>
                <w:highlight w:val="none"/>
                <w:lang w:val="en-US" w:eastAsia="zh-CN"/>
              </w:rPr>
              <w:t>Fe</w:t>
            </w:r>
            <w:r>
              <w:rPr>
                <w:rFonts w:hint="default"/>
                <w:highlight w:val="none"/>
                <w:vertAlign w:val="subscript"/>
                <w:lang w:val="en-US" w:eastAsia="zh-CN"/>
              </w:rPr>
              <w:t>2</w:t>
            </w:r>
            <w:r>
              <w:rPr>
                <w:rFonts w:hint="default"/>
                <w:highlight w:val="none"/>
                <w:lang w:val="en-US" w:eastAsia="zh-CN"/>
              </w:rPr>
              <w:t>O</w:t>
            </w:r>
            <w:r>
              <w:rPr>
                <w:rFonts w:hint="default"/>
                <w:highlight w:val="none"/>
                <w:vertAlign w:val="subscript"/>
                <w:lang w:val="en-US" w:eastAsia="zh-CN"/>
              </w:rPr>
              <w:t>3</w:t>
            </w:r>
            <w:r>
              <w:rPr>
                <w:rFonts w:hint="default"/>
                <w:highlight w:val="none"/>
                <w:lang w:val="en-US" w:eastAsia="zh-CN"/>
              </w:rPr>
              <w:t>（%）</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47167">
            <w:pPr>
              <w:pStyle w:val="32"/>
              <w:bidi w:val="0"/>
              <w:rPr>
                <w:rFonts w:hint="default"/>
                <w:highlight w:val="none"/>
              </w:rPr>
            </w:pPr>
            <w:r>
              <w:rPr>
                <w:rFonts w:hint="default"/>
                <w:highlight w:val="none"/>
                <w:lang w:val="en-US" w:eastAsia="zh-CN"/>
              </w:rPr>
              <w:t>27.82</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1810E">
            <w:pPr>
              <w:pStyle w:val="32"/>
              <w:bidi w:val="0"/>
              <w:rPr>
                <w:rFonts w:hint="default"/>
                <w:highlight w:val="none"/>
              </w:rPr>
            </w:pPr>
            <w:r>
              <w:rPr>
                <w:rFonts w:hint="default"/>
                <w:highlight w:val="none"/>
                <w:lang w:val="en-US" w:eastAsia="zh-CN"/>
              </w:rPr>
              <w:t>28.43</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95ED2">
            <w:pPr>
              <w:pStyle w:val="32"/>
              <w:bidi w:val="0"/>
              <w:rPr>
                <w:rFonts w:hint="default"/>
                <w:highlight w:val="none"/>
              </w:rPr>
            </w:pPr>
            <w:r>
              <w:rPr>
                <w:rFonts w:hint="default"/>
                <w:highlight w:val="none"/>
                <w:lang w:val="en-US" w:eastAsia="zh-CN"/>
              </w:rPr>
              <w:t>25.36</w:t>
            </w:r>
          </w:p>
        </w:tc>
      </w:tr>
      <w:tr w14:paraId="54F3D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E56F5">
            <w:pPr>
              <w:pStyle w:val="32"/>
              <w:bidi w:val="0"/>
              <w:rPr>
                <w:rFonts w:hint="default"/>
                <w:highlight w:val="none"/>
              </w:rPr>
            </w:pPr>
            <w:r>
              <w:rPr>
                <w:rFonts w:hint="default"/>
                <w:highlight w:val="none"/>
                <w:lang w:val="en-US" w:eastAsia="zh-CN"/>
              </w:rPr>
              <w:t>CaO（%）</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6D05A">
            <w:pPr>
              <w:pStyle w:val="32"/>
              <w:bidi w:val="0"/>
              <w:rPr>
                <w:rFonts w:hint="default"/>
                <w:highlight w:val="none"/>
              </w:rPr>
            </w:pPr>
            <w:r>
              <w:rPr>
                <w:rFonts w:hint="default"/>
                <w:highlight w:val="none"/>
                <w:lang w:val="en-US" w:eastAsia="zh-CN"/>
              </w:rPr>
              <w:t>2.17</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A6B5A">
            <w:pPr>
              <w:pStyle w:val="32"/>
              <w:bidi w:val="0"/>
              <w:rPr>
                <w:rFonts w:hint="default"/>
                <w:highlight w:val="none"/>
              </w:rPr>
            </w:pPr>
            <w:r>
              <w:rPr>
                <w:rFonts w:hint="default"/>
                <w:highlight w:val="none"/>
                <w:lang w:val="en-US" w:eastAsia="zh-CN"/>
              </w:rPr>
              <w:t>2.87</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12709">
            <w:pPr>
              <w:pStyle w:val="32"/>
              <w:bidi w:val="0"/>
              <w:rPr>
                <w:rFonts w:hint="default"/>
                <w:highlight w:val="none"/>
              </w:rPr>
            </w:pPr>
            <w:r>
              <w:rPr>
                <w:rFonts w:hint="default"/>
                <w:highlight w:val="none"/>
                <w:lang w:val="en-US" w:eastAsia="zh-CN"/>
              </w:rPr>
              <w:t>2.52</w:t>
            </w:r>
          </w:p>
        </w:tc>
      </w:tr>
      <w:tr w14:paraId="3789D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C69BC">
            <w:pPr>
              <w:pStyle w:val="32"/>
              <w:bidi w:val="0"/>
              <w:rPr>
                <w:rFonts w:hint="default"/>
                <w:highlight w:val="none"/>
              </w:rPr>
            </w:pPr>
            <w:r>
              <w:rPr>
                <w:rFonts w:hint="default"/>
                <w:highlight w:val="none"/>
                <w:lang w:val="en-US" w:eastAsia="zh-CN"/>
              </w:rPr>
              <w:t>MgO（%）</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8394F">
            <w:pPr>
              <w:pStyle w:val="32"/>
              <w:bidi w:val="0"/>
              <w:rPr>
                <w:rFonts w:hint="default"/>
                <w:highlight w:val="none"/>
              </w:rPr>
            </w:pPr>
            <w:r>
              <w:rPr>
                <w:rFonts w:hint="default"/>
                <w:highlight w:val="none"/>
                <w:lang w:val="en-US" w:eastAsia="zh-CN"/>
              </w:rPr>
              <w:t>4.13</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3D582">
            <w:pPr>
              <w:pStyle w:val="32"/>
              <w:bidi w:val="0"/>
              <w:rPr>
                <w:rFonts w:hint="default"/>
                <w:highlight w:val="none"/>
              </w:rPr>
            </w:pPr>
            <w:r>
              <w:rPr>
                <w:rFonts w:hint="default"/>
                <w:highlight w:val="none"/>
                <w:lang w:val="en-US" w:eastAsia="zh-CN"/>
              </w:rPr>
              <w:t>3.28</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64717">
            <w:pPr>
              <w:pStyle w:val="32"/>
              <w:bidi w:val="0"/>
              <w:rPr>
                <w:rFonts w:hint="default"/>
                <w:highlight w:val="none"/>
              </w:rPr>
            </w:pPr>
            <w:r>
              <w:rPr>
                <w:rFonts w:hint="default"/>
                <w:highlight w:val="none"/>
                <w:lang w:val="en-US" w:eastAsia="zh-CN"/>
              </w:rPr>
              <w:t>2.87</w:t>
            </w:r>
          </w:p>
        </w:tc>
      </w:tr>
      <w:tr w14:paraId="27390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46565">
            <w:pPr>
              <w:pStyle w:val="32"/>
              <w:bidi w:val="0"/>
              <w:rPr>
                <w:rFonts w:hint="default"/>
                <w:highlight w:val="none"/>
              </w:rPr>
            </w:pPr>
            <w:r>
              <w:rPr>
                <w:rFonts w:hint="default"/>
                <w:highlight w:val="none"/>
                <w:lang w:val="en-US" w:eastAsia="zh-CN"/>
              </w:rPr>
              <w:t>TiO2（%）</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C2770">
            <w:pPr>
              <w:pStyle w:val="32"/>
              <w:bidi w:val="0"/>
              <w:rPr>
                <w:rFonts w:hint="default"/>
                <w:highlight w:val="none"/>
              </w:rPr>
            </w:pPr>
            <w:r>
              <w:rPr>
                <w:rFonts w:hint="default"/>
                <w:highlight w:val="none"/>
                <w:lang w:val="en-US" w:eastAsia="zh-CN"/>
              </w:rPr>
              <w:t>0.23</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0FA8A">
            <w:pPr>
              <w:pStyle w:val="32"/>
              <w:bidi w:val="0"/>
              <w:rPr>
                <w:rFonts w:hint="default"/>
                <w:highlight w:val="none"/>
              </w:rPr>
            </w:pPr>
            <w:r>
              <w:rPr>
                <w:rFonts w:hint="default"/>
                <w:highlight w:val="none"/>
                <w:lang w:val="en-US" w:eastAsia="zh-CN"/>
              </w:rPr>
              <w:t>0.15</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6A494">
            <w:pPr>
              <w:pStyle w:val="32"/>
              <w:bidi w:val="0"/>
              <w:rPr>
                <w:rFonts w:hint="default"/>
                <w:highlight w:val="none"/>
              </w:rPr>
            </w:pPr>
            <w:r>
              <w:rPr>
                <w:rFonts w:hint="default"/>
                <w:highlight w:val="none"/>
                <w:lang w:val="en-US" w:eastAsia="zh-CN"/>
              </w:rPr>
              <w:t>0.16</w:t>
            </w:r>
          </w:p>
        </w:tc>
      </w:tr>
      <w:tr w14:paraId="220A5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98284">
            <w:pPr>
              <w:pStyle w:val="32"/>
              <w:bidi w:val="0"/>
              <w:rPr>
                <w:rFonts w:hint="default"/>
                <w:highlight w:val="none"/>
              </w:rPr>
            </w:pPr>
            <w:r>
              <w:rPr>
                <w:rFonts w:hint="default"/>
                <w:highlight w:val="none"/>
                <w:lang w:val="en-US" w:eastAsia="zh-CN"/>
              </w:rPr>
              <w:t>K2O（%）</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A4C29">
            <w:pPr>
              <w:pStyle w:val="32"/>
              <w:bidi w:val="0"/>
              <w:rPr>
                <w:rFonts w:hint="default"/>
                <w:highlight w:val="none"/>
              </w:rPr>
            </w:pPr>
            <w:r>
              <w:rPr>
                <w:rFonts w:hint="default"/>
                <w:highlight w:val="none"/>
                <w:lang w:val="en-US" w:eastAsia="zh-CN"/>
              </w:rPr>
              <w:t>0.079</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A9F33">
            <w:pPr>
              <w:pStyle w:val="32"/>
              <w:bidi w:val="0"/>
              <w:rPr>
                <w:rFonts w:hint="default"/>
                <w:highlight w:val="none"/>
              </w:rPr>
            </w:pPr>
            <w:r>
              <w:rPr>
                <w:rFonts w:hint="default"/>
                <w:highlight w:val="none"/>
                <w:lang w:val="en-US" w:eastAsia="zh-CN"/>
              </w:rPr>
              <w:t>0.1059</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F046E">
            <w:pPr>
              <w:pStyle w:val="32"/>
              <w:bidi w:val="0"/>
              <w:rPr>
                <w:rFonts w:hint="default"/>
                <w:highlight w:val="none"/>
              </w:rPr>
            </w:pPr>
            <w:r>
              <w:rPr>
                <w:rFonts w:hint="default"/>
                <w:highlight w:val="none"/>
                <w:lang w:val="en-US" w:eastAsia="zh-CN"/>
              </w:rPr>
              <w:t>0.3059</w:t>
            </w:r>
          </w:p>
        </w:tc>
      </w:tr>
      <w:tr w14:paraId="3DBB2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5193A">
            <w:pPr>
              <w:pStyle w:val="32"/>
              <w:bidi w:val="0"/>
              <w:rPr>
                <w:rFonts w:hint="default"/>
                <w:highlight w:val="none"/>
              </w:rPr>
            </w:pPr>
            <w:r>
              <w:rPr>
                <w:rFonts w:hint="default"/>
                <w:highlight w:val="none"/>
                <w:lang w:val="en-US" w:eastAsia="zh-CN"/>
              </w:rPr>
              <w:t>NaO（%）</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80728">
            <w:pPr>
              <w:pStyle w:val="32"/>
              <w:bidi w:val="0"/>
              <w:rPr>
                <w:rFonts w:hint="default"/>
                <w:highlight w:val="none"/>
              </w:rPr>
            </w:pPr>
            <w:r>
              <w:rPr>
                <w:rFonts w:hint="default"/>
                <w:highlight w:val="none"/>
                <w:lang w:val="en-US" w:eastAsia="zh-CN"/>
              </w:rPr>
              <w:t>0.1179</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4C5C2">
            <w:pPr>
              <w:pStyle w:val="32"/>
              <w:bidi w:val="0"/>
              <w:rPr>
                <w:rFonts w:hint="default"/>
                <w:highlight w:val="none"/>
              </w:rPr>
            </w:pPr>
            <w:r>
              <w:rPr>
                <w:rFonts w:hint="default"/>
                <w:highlight w:val="none"/>
                <w:lang w:val="en-US" w:eastAsia="zh-CN"/>
              </w:rPr>
              <w:t>0.1578</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7C35A">
            <w:pPr>
              <w:pStyle w:val="32"/>
              <w:bidi w:val="0"/>
              <w:rPr>
                <w:rFonts w:hint="default"/>
                <w:highlight w:val="none"/>
              </w:rPr>
            </w:pPr>
            <w:r>
              <w:rPr>
                <w:rFonts w:hint="default"/>
                <w:highlight w:val="none"/>
                <w:lang w:val="en-US" w:eastAsia="zh-CN"/>
              </w:rPr>
              <w:t>0.2533</w:t>
            </w:r>
          </w:p>
        </w:tc>
      </w:tr>
      <w:tr w14:paraId="0A86E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6DA6E">
            <w:pPr>
              <w:pStyle w:val="32"/>
              <w:bidi w:val="0"/>
              <w:rPr>
                <w:rFonts w:hint="default"/>
                <w:highlight w:val="none"/>
              </w:rPr>
            </w:pPr>
            <w:r>
              <w:rPr>
                <w:rFonts w:hint="default"/>
                <w:highlight w:val="none"/>
                <w:lang w:val="en-US" w:eastAsia="zh-CN"/>
              </w:rPr>
              <w:t>CO</w:t>
            </w:r>
            <w:r>
              <w:rPr>
                <w:rFonts w:hint="default"/>
                <w:highlight w:val="none"/>
                <w:vertAlign w:val="subscript"/>
                <w:lang w:val="en-US" w:eastAsia="zh-CN"/>
              </w:rPr>
              <w:t>2</w:t>
            </w:r>
            <w:r>
              <w:rPr>
                <w:rFonts w:hint="default"/>
                <w:highlight w:val="none"/>
                <w:lang w:val="en-US" w:eastAsia="zh-CN"/>
              </w:rPr>
              <w:t>（%）</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D768">
            <w:pPr>
              <w:pStyle w:val="32"/>
              <w:bidi w:val="0"/>
              <w:rPr>
                <w:rFonts w:hint="default"/>
                <w:highlight w:val="none"/>
              </w:rPr>
            </w:pPr>
            <w:r>
              <w:rPr>
                <w:rFonts w:hint="default"/>
                <w:highlight w:val="none"/>
                <w:lang w:val="en-US" w:eastAsia="zh-CN"/>
              </w:rPr>
              <w:t>5.82</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A2C60">
            <w:pPr>
              <w:pStyle w:val="32"/>
              <w:bidi w:val="0"/>
              <w:rPr>
                <w:rFonts w:hint="default"/>
                <w:highlight w:val="none"/>
              </w:rPr>
            </w:pPr>
            <w:r>
              <w:rPr>
                <w:rFonts w:hint="default"/>
                <w:highlight w:val="none"/>
                <w:lang w:val="en-US" w:eastAsia="zh-CN"/>
              </w:rPr>
              <w:t>5.59</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38F6A">
            <w:pPr>
              <w:pStyle w:val="32"/>
              <w:bidi w:val="0"/>
              <w:rPr>
                <w:rFonts w:hint="default"/>
                <w:highlight w:val="none"/>
              </w:rPr>
            </w:pPr>
            <w:r>
              <w:rPr>
                <w:rFonts w:hint="default"/>
                <w:highlight w:val="none"/>
                <w:lang w:val="en-US" w:eastAsia="zh-CN"/>
              </w:rPr>
              <w:t>5.7</w:t>
            </w:r>
          </w:p>
        </w:tc>
      </w:tr>
      <w:tr w14:paraId="4D0B9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66706">
            <w:pPr>
              <w:pStyle w:val="32"/>
              <w:bidi w:val="0"/>
              <w:rPr>
                <w:rFonts w:hint="default"/>
                <w:highlight w:val="none"/>
              </w:rPr>
            </w:pPr>
            <w:r>
              <w:rPr>
                <w:rFonts w:hint="default"/>
                <w:highlight w:val="none"/>
                <w:lang w:val="en-US" w:eastAsia="zh-CN"/>
              </w:rPr>
              <w:t>FeO（%）</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AB120">
            <w:pPr>
              <w:pStyle w:val="32"/>
              <w:bidi w:val="0"/>
              <w:rPr>
                <w:rFonts w:hint="default"/>
                <w:highlight w:val="none"/>
              </w:rPr>
            </w:pPr>
            <w:r>
              <w:rPr>
                <w:rFonts w:hint="default"/>
                <w:highlight w:val="none"/>
                <w:lang w:val="en-US" w:eastAsia="zh-CN"/>
              </w:rPr>
              <w:t>13.51</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E1620">
            <w:pPr>
              <w:pStyle w:val="32"/>
              <w:bidi w:val="0"/>
              <w:rPr>
                <w:rFonts w:hint="default"/>
                <w:highlight w:val="none"/>
              </w:rPr>
            </w:pPr>
            <w:r>
              <w:rPr>
                <w:rFonts w:hint="default"/>
                <w:highlight w:val="none"/>
                <w:lang w:val="en-US" w:eastAsia="zh-CN"/>
              </w:rPr>
              <w:t>12.61</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2FAD">
            <w:pPr>
              <w:pStyle w:val="32"/>
              <w:bidi w:val="0"/>
              <w:rPr>
                <w:rFonts w:hint="default"/>
                <w:highlight w:val="none"/>
              </w:rPr>
            </w:pPr>
            <w:r>
              <w:rPr>
                <w:rFonts w:hint="default"/>
                <w:highlight w:val="none"/>
                <w:lang w:val="en-US" w:eastAsia="zh-CN"/>
              </w:rPr>
              <w:t>10.88</w:t>
            </w:r>
          </w:p>
        </w:tc>
      </w:tr>
      <w:tr w14:paraId="531A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9FB9F">
            <w:pPr>
              <w:pStyle w:val="32"/>
              <w:bidi w:val="0"/>
              <w:rPr>
                <w:rFonts w:hint="default"/>
                <w:highlight w:val="none"/>
              </w:rPr>
            </w:pPr>
            <w:r>
              <w:rPr>
                <w:rFonts w:hint="default"/>
                <w:highlight w:val="none"/>
                <w:lang w:val="en-US" w:eastAsia="zh-CN"/>
              </w:rPr>
              <w:t>P（%）</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39096">
            <w:pPr>
              <w:pStyle w:val="32"/>
              <w:bidi w:val="0"/>
              <w:rPr>
                <w:rFonts w:hint="default"/>
                <w:highlight w:val="none"/>
              </w:rPr>
            </w:pPr>
            <w:r>
              <w:rPr>
                <w:rFonts w:hint="default"/>
                <w:highlight w:val="none"/>
                <w:lang w:val="en-US" w:eastAsia="zh-CN"/>
              </w:rPr>
              <w:t>0.047</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83971">
            <w:pPr>
              <w:pStyle w:val="32"/>
              <w:bidi w:val="0"/>
              <w:rPr>
                <w:rFonts w:hint="default"/>
                <w:highlight w:val="none"/>
              </w:rPr>
            </w:pPr>
            <w:r>
              <w:rPr>
                <w:rFonts w:hint="default"/>
                <w:highlight w:val="none"/>
                <w:lang w:val="en-US" w:eastAsia="zh-CN"/>
              </w:rPr>
              <w:t>0.046</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62029">
            <w:pPr>
              <w:pStyle w:val="32"/>
              <w:bidi w:val="0"/>
              <w:rPr>
                <w:rFonts w:hint="default"/>
                <w:highlight w:val="none"/>
              </w:rPr>
            </w:pPr>
            <w:r>
              <w:rPr>
                <w:rFonts w:hint="default"/>
                <w:highlight w:val="none"/>
                <w:lang w:val="en-US" w:eastAsia="zh-CN"/>
              </w:rPr>
              <w:t>0.053</w:t>
            </w:r>
          </w:p>
        </w:tc>
      </w:tr>
      <w:tr w14:paraId="79C1F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93645">
            <w:pPr>
              <w:pStyle w:val="32"/>
              <w:bidi w:val="0"/>
              <w:rPr>
                <w:rFonts w:hint="default"/>
                <w:highlight w:val="none"/>
              </w:rPr>
            </w:pPr>
            <w:r>
              <w:rPr>
                <w:rFonts w:hint="default"/>
                <w:highlight w:val="none"/>
                <w:lang w:val="en-US" w:eastAsia="zh-CN"/>
              </w:rPr>
              <w:t>S（%）</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A6D1C">
            <w:pPr>
              <w:pStyle w:val="32"/>
              <w:bidi w:val="0"/>
              <w:rPr>
                <w:rFonts w:hint="default"/>
                <w:highlight w:val="none"/>
              </w:rPr>
            </w:pPr>
            <w:r>
              <w:rPr>
                <w:rFonts w:hint="default"/>
                <w:highlight w:val="none"/>
                <w:lang w:val="en-US" w:eastAsia="zh-CN"/>
              </w:rPr>
              <w:t>0.01</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E8639">
            <w:pPr>
              <w:pStyle w:val="32"/>
              <w:bidi w:val="0"/>
              <w:rPr>
                <w:rFonts w:hint="default"/>
                <w:highlight w:val="none"/>
              </w:rPr>
            </w:pPr>
            <w:r>
              <w:rPr>
                <w:rFonts w:hint="default"/>
                <w:highlight w:val="none"/>
                <w:lang w:val="en-US" w:eastAsia="zh-CN"/>
              </w:rPr>
              <w:t>0.01</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5365A">
            <w:pPr>
              <w:pStyle w:val="32"/>
              <w:bidi w:val="0"/>
              <w:rPr>
                <w:rFonts w:hint="default"/>
                <w:highlight w:val="none"/>
              </w:rPr>
            </w:pPr>
            <w:r>
              <w:rPr>
                <w:rFonts w:hint="default"/>
                <w:highlight w:val="none"/>
                <w:lang w:val="en-US" w:eastAsia="zh-CN"/>
              </w:rPr>
              <w:t>0.02</w:t>
            </w:r>
          </w:p>
        </w:tc>
      </w:tr>
      <w:tr w14:paraId="10055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AE235">
            <w:pPr>
              <w:pStyle w:val="32"/>
              <w:bidi w:val="0"/>
              <w:rPr>
                <w:rFonts w:hint="default"/>
                <w:highlight w:val="none"/>
              </w:rPr>
            </w:pPr>
            <w:r>
              <w:rPr>
                <w:rFonts w:hint="default"/>
                <w:highlight w:val="none"/>
                <w:lang w:val="en-US" w:eastAsia="zh-CN"/>
              </w:rPr>
              <w:t>MnO</w:t>
            </w:r>
            <w:r>
              <w:rPr>
                <w:rFonts w:hint="default"/>
                <w:highlight w:val="none"/>
                <w:vertAlign w:val="subscript"/>
                <w:lang w:val="en-US" w:eastAsia="zh-CN"/>
              </w:rPr>
              <w:t>2</w:t>
            </w:r>
            <w:r>
              <w:rPr>
                <w:rFonts w:hint="default"/>
                <w:highlight w:val="none"/>
                <w:lang w:val="en-US" w:eastAsia="zh-CN"/>
              </w:rPr>
              <w:t>（%）</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994F4">
            <w:pPr>
              <w:pStyle w:val="32"/>
              <w:bidi w:val="0"/>
              <w:rPr>
                <w:rFonts w:hint="default"/>
                <w:highlight w:val="none"/>
              </w:rPr>
            </w:pPr>
            <w:r>
              <w:rPr>
                <w:rFonts w:hint="default"/>
                <w:highlight w:val="none"/>
                <w:lang w:val="en-US" w:eastAsia="zh-CN"/>
              </w:rPr>
              <w:t>0.079316</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2702A">
            <w:pPr>
              <w:pStyle w:val="32"/>
              <w:bidi w:val="0"/>
              <w:rPr>
                <w:rFonts w:hint="default"/>
                <w:highlight w:val="none"/>
              </w:rPr>
            </w:pPr>
            <w:r>
              <w:rPr>
                <w:rFonts w:hint="default"/>
                <w:highlight w:val="none"/>
                <w:lang w:val="en-US" w:eastAsia="zh-CN"/>
              </w:rPr>
              <w:t>0.068888</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7BBFC">
            <w:pPr>
              <w:pStyle w:val="32"/>
              <w:bidi w:val="0"/>
              <w:rPr>
                <w:rFonts w:hint="default"/>
                <w:highlight w:val="none"/>
              </w:rPr>
            </w:pPr>
            <w:r>
              <w:rPr>
                <w:rFonts w:hint="default"/>
                <w:highlight w:val="none"/>
                <w:lang w:val="en-US" w:eastAsia="zh-CN"/>
              </w:rPr>
              <w:t>0.104122</w:t>
            </w:r>
          </w:p>
        </w:tc>
      </w:tr>
      <w:tr w14:paraId="15855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B239D">
            <w:pPr>
              <w:pStyle w:val="32"/>
              <w:bidi w:val="0"/>
              <w:rPr>
                <w:rFonts w:hint="default"/>
                <w:highlight w:val="none"/>
              </w:rPr>
            </w:pPr>
            <w:r>
              <w:rPr>
                <w:rFonts w:hint="default"/>
                <w:highlight w:val="none"/>
                <w:lang w:val="en-US" w:eastAsia="zh-CN"/>
              </w:rPr>
              <w:t>Mn（%）</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4DAAF">
            <w:pPr>
              <w:pStyle w:val="32"/>
              <w:bidi w:val="0"/>
              <w:rPr>
                <w:rFonts w:hint="default"/>
                <w:highlight w:val="none"/>
              </w:rPr>
            </w:pPr>
            <w:r>
              <w:rPr>
                <w:rFonts w:hint="default"/>
                <w:highlight w:val="none"/>
                <w:lang w:val="en-US" w:eastAsia="zh-CN"/>
              </w:rPr>
              <w:t>0.0502</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FE8D7">
            <w:pPr>
              <w:pStyle w:val="32"/>
              <w:bidi w:val="0"/>
              <w:rPr>
                <w:rFonts w:hint="default"/>
                <w:highlight w:val="none"/>
              </w:rPr>
            </w:pPr>
            <w:r>
              <w:rPr>
                <w:rFonts w:hint="default"/>
                <w:highlight w:val="none"/>
                <w:lang w:val="en-US" w:eastAsia="zh-CN"/>
              </w:rPr>
              <w:t>0.0436</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BD77A">
            <w:pPr>
              <w:pStyle w:val="32"/>
              <w:bidi w:val="0"/>
              <w:rPr>
                <w:rFonts w:hint="default"/>
                <w:highlight w:val="none"/>
              </w:rPr>
            </w:pPr>
            <w:r>
              <w:rPr>
                <w:rFonts w:hint="default"/>
                <w:highlight w:val="none"/>
                <w:lang w:val="en-US" w:eastAsia="zh-CN"/>
              </w:rPr>
              <w:t>0.0659</w:t>
            </w:r>
          </w:p>
        </w:tc>
      </w:tr>
      <w:tr w14:paraId="5BBFB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DC28B">
            <w:pPr>
              <w:pStyle w:val="32"/>
              <w:bidi w:val="0"/>
              <w:rPr>
                <w:rFonts w:hint="default"/>
                <w:highlight w:val="none"/>
              </w:rPr>
            </w:pPr>
            <w:r>
              <w:rPr>
                <w:rFonts w:hint="default"/>
                <w:highlight w:val="none"/>
                <w:lang w:val="en-US" w:eastAsia="zh-CN"/>
              </w:rPr>
              <w:t>水分</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38825">
            <w:pPr>
              <w:pStyle w:val="32"/>
              <w:bidi w:val="0"/>
              <w:rPr>
                <w:rFonts w:hint="default"/>
                <w:highlight w:val="none"/>
              </w:rPr>
            </w:pPr>
            <w:r>
              <w:rPr>
                <w:rFonts w:hint="default"/>
                <w:highlight w:val="none"/>
                <w:lang w:val="en-US" w:eastAsia="zh-CN"/>
              </w:rPr>
              <w:t>0.3</w:t>
            </w:r>
          </w:p>
        </w:tc>
        <w:tc>
          <w:tcPr>
            <w:tcW w:w="1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5F5A">
            <w:pPr>
              <w:pStyle w:val="32"/>
              <w:bidi w:val="0"/>
              <w:rPr>
                <w:rFonts w:hint="default"/>
                <w:highlight w:val="none"/>
              </w:rPr>
            </w:pPr>
            <w:r>
              <w:rPr>
                <w:rFonts w:hint="default"/>
                <w:highlight w:val="none"/>
                <w:lang w:val="en-US" w:eastAsia="zh-CN"/>
              </w:rPr>
              <w:t>0.28</w:t>
            </w:r>
          </w:p>
        </w:tc>
        <w:tc>
          <w:tcPr>
            <w:tcW w:w="1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86CF8">
            <w:pPr>
              <w:pStyle w:val="32"/>
              <w:bidi w:val="0"/>
              <w:rPr>
                <w:rFonts w:hint="default"/>
                <w:highlight w:val="none"/>
              </w:rPr>
            </w:pPr>
            <w:r>
              <w:rPr>
                <w:rFonts w:hint="default"/>
                <w:highlight w:val="none"/>
                <w:lang w:val="en-US" w:eastAsia="zh-CN"/>
              </w:rPr>
              <w:t>0.6</w:t>
            </w:r>
          </w:p>
        </w:tc>
      </w:tr>
    </w:tbl>
    <w:p w14:paraId="37D355A8">
      <w:pPr>
        <w:pStyle w:val="22"/>
        <w:bidi w:val="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上述分析结果表明，</w:t>
      </w:r>
      <w:r>
        <w:rPr>
          <w:rFonts w:hint="default" w:ascii="Times New Roman" w:hAnsi="Times New Roman" w:cs="Times New Roman"/>
          <w:color w:val="000000" w:themeColor="text1"/>
          <w:highlight w:val="none"/>
          <w14:textFill>
            <w14:solidFill>
              <w14:schemeClr w14:val="tx1"/>
            </w14:solidFill>
          </w14:textFill>
        </w:rPr>
        <w:t>本矿床其它有益组分含量均低于伴生组分要求，含量较低，未达到铁矿石伴生组分评价指标，无工业价值。</w:t>
      </w:r>
      <w:r>
        <w:rPr>
          <w:rFonts w:hint="default" w:ascii="Times New Roman" w:hAnsi="Times New Roman" w:cs="Times New Roman"/>
          <w:color w:val="000000" w:themeColor="text1"/>
          <w:highlight w:val="none"/>
          <w:lang w:val="en-US" w:eastAsia="zh-CN"/>
          <w14:textFill>
            <w14:solidFill>
              <w14:schemeClr w14:val="tx1"/>
            </w14:solidFill>
          </w14:textFill>
        </w:rPr>
        <w:t>矿</w:t>
      </w:r>
      <w:r>
        <w:rPr>
          <w:rFonts w:hint="default" w:ascii="Times New Roman" w:hAnsi="Times New Roman" w:cs="Times New Roman"/>
          <w:color w:val="000000" w:themeColor="text1"/>
          <w:highlight w:val="none"/>
          <w14:textFill>
            <w14:solidFill>
              <w14:schemeClr w14:val="tx1"/>
            </w14:solidFill>
          </w14:textFill>
        </w:rPr>
        <w:t>区内铁矿体目前未发现有经济价值的共、伴生矿产。</w:t>
      </w:r>
    </w:p>
    <w:p w14:paraId="2B90DDE1">
      <w:pPr>
        <w:pStyle w:val="22"/>
        <w:numPr>
          <w:ilvl w:val="0"/>
          <w:numId w:val="13"/>
        </w:numPr>
        <w:bidi w:val="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矿石结构、构造</w:t>
      </w:r>
    </w:p>
    <w:p w14:paraId="19C353EF">
      <w:pPr>
        <w:pStyle w:val="22"/>
        <w:bidi w:val="0"/>
        <w:rPr>
          <w:rFonts w:hint="default"/>
          <w:highlight w:val="none"/>
          <w:lang w:val="en-US" w:eastAsia="zh-CN"/>
        </w:rPr>
      </w:pPr>
      <w:r>
        <w:rPr>
          <w:rFonts w:hint="default"/>
          <w:highlight w:val="none"/>
          <w:lang w:val="en-US" w:eastAsia="zh-CN"/>
        </w:rPr>
        <w:t>矿石粒度以中细粒为主，偶见粗粒，总体粒径约为0.05～2mm。结构主要为粒状结构，其次为自形晶和包含结构，少量侵蚀结构；构造以条纹状为主，少量脉状、团块状和斑杂状构造。</w:t>
      </w:r>
    </w:p>
    <w:p w14:paraId="6A86B8B9">
      <w:pPr>
        <w:pStyle w:val="22"/>
        <w:bidi w:val="0"/>
        <w:rPr>
          <w:rFonts w:hint="default"/>
          <w:highlight w:val="none"/>
          <w:lang w:val="en-US" w:eastAsia="zh-CN"/>
        </w:rPr>
      </w:pPr>
      <w:r>
        <w:rPr>
          <w:rFonts w:hint="default"/>
          <w:highlight w:val="none"/>
          <w:lang w:val="en-US" w:eastAsia="zh-CN"/>
        </w:rPr>
        <w:t>磁铁矿颗粒在岩石中相对集中形成条纹状分布，与石英呈黑、白条纹相间排列，结构主要为粒状结构</w:t>
      </w:r>
      <w:r>
        <w:rPr>
          <w:rFonts w:hint="eastAsia"/>
          <w:highlight w:val="none"/>
          <w:lang w:val="en-US" w:eastAsia="zh-CN"/>
        </w:rPr>
        <w:t>。</w:t>
      </w:r>
    </w:p>
    <w:p w14:paraId="14D849C9">
      <w:pPr>
        <w:pStyle w:val="22"/>
        <w:numPr>
          <w:ilvl w:val="0"/>
          <w:numId w:val="13"/>
        </w:numPr>
        <w:bidi w:val="0"/>
        <w:rPr>
          <w:rFonts w:hint="default"/>
          <w:highlight w:val="none"/>
          <w:lang w:val="en-US" w:eastAsia="zh-CN"/>
        </w:rPr>
      </w:pPr>
      <w:r>
        <w:rPr>
          <w:rFonts w:hint="default"/>
          <w:highlight w:val="none"/>
          <w:lang w:val="en-US" w:eastAsia="zh-CN"/>
        </w:rPr>
        <w:t>矿石</w:t>
      </w:r>
      <w:r>
        <w:rPr>
          <w:rFonts w:hint="eastAsia"/>
          <w:highlight w:val="none"/>
          <w:lang w:val="en-US" w:eastAsia="zh-CN"/>
        </w:rPr>
        <w:t>类型和品级</w:t>
      </w:r>
    </w:p>
    <w:p w14:paraId="4A3896EC">
      <w:pPr>
        <w:pStyle w:val="22"/>
        <w:bidi w:val="0"/>
        <w:rPr>
          <w:rFonts w:hint="default"/>
          <w:highlight w:val="none"/>
          <w:lang w:val="en-US" w:eastAsia="zh-CN"/>
        </w:rPr>
      </w:pPr>
      <w:r>
        <w:rPr>
          <w:rFonts w:hint="eastAsia"/>
          <w:highlight w:val="none"/>
          <w:lang w:val="en-US" w:eastAsia="zh-CN"/>
        </w:rPr>
        <w:t>1、矿石自然类型</w:t>
      </w:r>
    </w:p>
    <w:p w14:paraId="2A3CE344">
      <w:pPr>
        <w:pStyle w:val="22"/>
        <w:bidi w:val="0"/>
        <w:rPr>
          <w:rFonts w:hint="eastAsia"/>
          <w:highlight w:val="none"/>
          <w:lang w:eastAsia="zh-CN"/>
        </w:rPr>
      </w:pPr>
      <w:r>
        <w:rPr>
          <w:rFonts w:hint="eastAsia"/>
          <w:highlight w:val="none"/>
        </w:rPr>
        <w:t>矿石自然类型主要为磁铁石英岩</w:t>
      </w:r>
      <w:r>
        <w:rPr>
          <w:rFonts w:hint="eastAsia"/>
          <w:highlight w:val="none"/>
          <w:lang w:eastAsia="zh-CN"/>
        </w:rPr>
        <w:t>。</w:t>
      </w:r>
    </w:p>
    <w:p w14:paraId="735A114C">
      <w:pPr>
        <w:pStyle w:val="22"/>
        <w:bidi w:val="0"/>
        <w:rPr>
          <w:rFonts w:hint="eastAsia"/>
          <w:highlight w:val="none"/>
        </w:rPr>
      </w:pPr>
      <w:r>
        <w:rPr>
          <w:rFonts w:hint="eastAsia"/>
          <w:highlight w:val="none"/>
        </w:rPr>
        <w:t>磁铁石英岩：矿石为灰黑色和钢灰色，粒状变晶结构，条带状构造，部分条带不明显而呈块状构造，条带由白色石英与磁铁矿相混合的黑色条带相间分布而成。条带宽度不等，条带宽0.5～6.0mm。矿石以石英、磁铁矿为主，常含有少量赤铁矿、白云母、黄铁矿、绿泥石等。</w:t>
      </w:r>
    </w:p>
    <w:p w14:paraId="46CA5086">
      <w:pPr>
        <w:pStyle w:val="22"/>
        <w:bidi w:val="0"/>
        <w:rPr>
          <w:rFonts w:hint="eastAsia"/>
          <w:highlight w:val="none"/>
        </w:rPr>
      </w:pPr>
      <w:r>
        <w:rPr>
          <w:rFonts w:hint="eastAsia"/>
          <w:highlight w:val="none"/>
        </w:rPr>
        <w:t>按组成矿石的主要铁矿物可分为磁铁石英岩型：铁矿物与石英呈黑白相间的韵律层分布，形成磁铁石英岩型铁矿石，具强磁性。</w:t>
      </w:r>
    </w:p>
    <w:p w14:paraId="57119E0C">
      <w:pPr>
        <w:pStyle w:val="22"/>
        <w:bidi w:val="0"/>
        <w:rPr>
          <w:rFonts w:hint="eastAsia"/>
          <w:highlight w:val="none"/>
        </w:rPr>
      </w:pPr>
      <w:r>
        <w:rPr>
          <w:rFonts w:hint="eastAsia"/>
          <w:highlight w:val="none"/>
        </w:rPr>
        <w:t>按矿石主要脉石矿物的种类可分为石英型：脉石矿物以石英为主。</w:t>
      </w:r>
    </w:p>
    <w:p w14:paraId="0683A3D4">
      <w:pPr>
        <w:pStyle w:val="22"/>
        <w:bidi w:val="0"/>
        <w:rPr>
          <w:rFonts w:hint="eastAsia"/>
          <w:highlight w:val="none"/>
        </w:rPr>
      </w:pPr>
      <w:r>
        <w:rPr>
          <w:rFonts w:hint="eastAsia"/>
          <w:highlight w:val="none"/>
        </w:rPr>
        <w:t>按结构构造又可分为条带状、块状，其中以条带状为主。</w:t>
      </w:r>
    </w:p>
    <w:p w14:paraId="3010A88E">
      <w:pPr>
        <w:pStyle w:val="22"/>
        <w:bidi w:val="0"/>
        <w:rPr>
          <w:rFonts w:hint="default"/>
          <w:highlight w:val="none"/>
          <w:lang w:val="en-US" w:eastAsia="zh-CN"/>
        </w:rPr>
      </w:pPr>
      <w:r>
        <w:rPr>
          <w:rFonts w:hint="eastAsia"/>
          <w:highlight w:val="none"/>
          <w:lang w:val="en-US" w:eastAsia="zh-CN"/>
        </w:rPr>
        <w:t>2、</w:t>
      </w:r>
      <w:r>
        <w:rPr>
          <w:rFonts w:hint="default"/>
          <w:highlight w:val="none"/>
          <w:lang w:val="en-US" w:eastAsia="zh-CN"/>
        </w:rPr>
        <w:t>矿石工业类型</w:t>
      </w:r>
    </w:p>
    <w:p w14:paraId="639E1B9A">
      <w:pPr>
        <w:pStyle w:val="22"/>
        <w:bidi w:val="0"/>
        <w:rPr>
          <w:rFonts w:hint="default"/>
          <w:highlight w:val="none"/>
          <w:lang w:val="en-US" w:eastAsia="zh-CN"/>
        </w:rPr>
      </w:pPr>
      <w:r>
        <w:rPr>
          <w:rFonts w:hint="default"/>
          <w:highlight w:val="none"/>
        </w:rPr>
        <w:t>因siFe+sfFe+cFe=3.24%＞3%，所以采用mFe/TFe-（siFe+sfFe+cFe）计算。磁性铁（mFe）对全铁（TFe）的占有率ωmFe/ωTFe-（siFe+sfFe+cFe）=93.00%＞85%，因此认定该矿石工业类型为需选磁性铁矿石</w:t>
      </w:r>
      <w:r>
        <w:rPr>
          <w:rFonts w:hint="default"/>
          <w:highlight w:val="none"/>
          <w:lang w:val="en-US" w:eastAsia="zh-CN"/>
        </w:rPr>
        <w:t>。</w:t>
      </w:r>
    </w:p>
    <w:p w14:paraId="155DA06E">
      <w:pPr>
        <w:pStyle w:val="22"/>
        <w:bidi w:val="0"/>
        <w:rPr>
          <w:rFonts w:hint="eastAsia"/>
          <w:highlight w:val="none"/>
          <w:lang w:val="en-US" w:eastAsia="zh-CN"/>
        </w:rPr>
      </w:pPr>
      <w:r>
        <w:rPr>
          <w:rFonts w:hint="eastAsia"/>
          <w:highlight w:val="none"/>
          <w:lang w:val="en-US" w:eastAsia="zh-CN"/>
        </w:rPr>
        <w:t>3、矿石品级</w:t>
      </w:r>
    </w:p>
    <w:p w14:paraId="5237C3BE">
      <w:pPr>
        <w:pStyle w:val="22"/>
        <w:bidi w:val="0"/>
        <w:rPr>
          <w:rFonts w:hint="default"/>
          <w:highlight w:val="none"/>
          <w:lang w:val="en-US" w:eastAsia="zh-CN"/>
        </w:rPr>
      </w:pPr>
      <w:r>
        <w:rPr>
          <w:rFonts w:hint="eastAsia"/>
          <w:highlight w:val="none"/>
          <w:lang w:val="en-US" w:eastAsia="zh-CN"/>
        </w:rPr>
        <w:t>矿</w:t>
      </w:r>
      <w:r>
        <w:rPr>
          <w:rFonts w:hint="eastAsia"/>
          <w:highlight w:val="none"/>
        </w:rPr>
        <w:t>区矿床（TFe）平均品位为29.81%，矿床（mFe）平均品位为24.1%，符合需选铁矿石一般工业指标，将</w:t>
      </w:r>
      <w:r>
        <w:rPr>
          <w:rFonts w:hint="eastAsia"/>
          <w:highlight w:val="none"/>
          <w:lang w:val="en-US" w:eastAsia="zh-CN"/>
        </w:rPr>
        <w:t>矿</w:t>
      </w:r>
      <w:r>
        <w:rPr>
          <w:rFonts w:hint="eastAsia"/>
          <w:highlight w:val="none"/>
        </w:rPr>
        <w:t>区内铁矿石划分为工业品位矿石</w:t>
      </w:r>
      <w:r>
        <w:rPr>
          <w:rFonts w:hint="default"/>
          <w:highlight w:val="none"/>
          <w:lang w:val="en-US" w:eastAsia="zh-CN"/>
        </w:rPr>
        <w:t>。</w:t>
      </w:r>
    </w:p>
    <w:p w14:paraId="5B8D9466">
      <w:pPr>
        <w:pStyle w:val="22"/>
        <w:numPr>
          <w:ilvl w:val="0"/>
          <w:numId w:val="13"/>
        </w:numPr>
        <w:bidi w:val="0"/>
        <w:rPr>
          <w:rFonts w:hint="default"/>
          <w:highlight w:val="none"/>
          <w:lang w:val="en-US" w:eastAsia="zh-CN"/>
        </w:rPr>
      </w:pPr>
      <w:r>
        <w:rPr>
          <w:rFonts w:hint="eastAsia"/>
          <w:highlight w:val="none"/>
          <w:lang w:val="en-US" w:eastAsia="zh-CN"/>
        </w:rPr>
        <w:t>矿体围岩和夹石</w:t>
      </w:r>
    </w:p>
    <w:p w14:paraId="4540AD48">
      <w:pPr>
        <w:pStyle w:val="22"/>
        <w:bidi w:val="0"/>
        <w:rPr>
          <w:rFonts w:hint="eastAsia"/>
          <w:highlight w:val="none"/>
        </w:rPr>
      </w:pPr>
      <w:r>
        <w:rPr>
          <w:rFonts w:hint="eastAsia"/>
          <w:highlight w:val="none"/>
          <w:lang w:val="en-US" w:eastAsia="zh-CN"/>
        </w:rPr>
        <w:t>1、</w:t>
      </w:r>
      <w:r>
        <w:rPr>
          <w:rFonts w:hint="eastAsia"/>
          <w:highlight w:val="none"/>
        </w:rPr>
        <w:t>矿体围岩</w:t>
      </w:r>
    </w:p>
    <w:p w14:paraId="722A49FF">
      <w:pPr>
        <w:pStyle w:val="22"/>
        <w:bidi w:val="0"/>
        <w:rPr>
          <w:rFonts w:hint="eastAsia"/>
          <w:highlight w:val="none"/>
        </w:rPr>
      </w:pPr>
      <w:r>
        <w:rPr>
          <w:rFonts w:hint="eastAsia"/>
          <w:highlight w:val="none"/>
        </w:rPr>
        <w:t>铁矿体围岩主要为中细粒二长花岗岩，个别矿体围岩为透闪岩。矿体与围岩产状基本一致。</w:t>
      </w:r>
    </w:p>
    <w:p w14:paraId="21B7DB30">
      <w:pPr>
        <w:pStyle w:val="22"/>
        <w:bidi w:val="0"/>
        <w:rPr>
          <w:rFonts w:hint="eastAsia"/>
          <w:highlight w:val="none"/>
        </w:rPr>
      </w:pPr>
      <w:r>
        <w:rPr>
          <w:rFonts w:hint="eastAsia"/>
          <w:highlight w:val="none"/>
        </w:rPr>
        <w:t>矿体赋存于鞍山岩群茨沟岩组中，与矿体直接接触的围岩主要可分为两部分：</w:t>
      </w:r>
    </w:p>
    <w:p w14:paraId="34CE69E4">
      <w:pPr>
        <w:pStyle w:val="22"/>
        <w:bidi w:val="0"/>
        <w:rPr>
          <w:rFonts w:hint="eastAsia"/>
          <w:highlight w:val="none"/>
        </w:rPr>
      </w:pPr>
      <w:r>
        <w:rPr>
          <w:rFonts w:hint="eastAsia"/>
          <w:highlight w:val="none"/>
          <w:lang w:val="en-US" w:eastAsia="zh-CN"/>
        </w:rPr>
        <w:t>①</w:t>
      </w:r>
      <w:r>
        <w:rPr>
          <w:rFonts w:hint="eastAsia"/>
          <w:highlight w:val="none"/>
        </w:rPr>
        <w:t>透闪岩与矿体呈整合接触，对矿体无破坏作用。</w:t>
      </w:r>
    </w:p>
    <w:p w14:paraId="21192061">
      <w:pPr>
        <w:pStyle w:val="22"/>
        <w:bidi w:val="0"/>
        <w:rPr>
          <w:rFonts w:hint="eastAsia"/>
          <w:highlight w:val="none"/>
        </w:rPr>
      </w:pPr>
      <w:r>
        <w:rPr>
          <w:rFonts w:hint="eastAsia"/>
          <w:highlight w:val="none"/>
          <w:lang w:val="en-US" w:eastAsia="zh-CN"/>
        </w:rPr>
        <w:t>②</w:t>
      </w:r>
      <w:r>
        <w:rPr>
          <w:rFonts w:hint="eastAsia"/>
          <w:highlight w:val="none"/>
        </w:rPr>
        <w:t>中细粒黑云母二长花岗岩，与矿体呈侵入接触，对矿体存在破坏作用。</w:t>
      </w:r>
    </w:p>
    <w:p w14:paraId="6911D070">
      <w:pPr>
        <w:pStyle w:val="22"/>
        <w:bidi w:val="0"/>
        <w:rPr>
          <w:rFonts w:hint="eastAsia"/>
          <w:highlight w:val="none"/>
        </w:rPr>
      </w:pPr>
      <w:r>
        <w:rPr>
          <w:rFonts w:hint="eastAsia"/>
          <w:highlight w:val="none"/>
          <w:lang w:val="en-US" w:eastAsia="zh-CN"/>
        </w:rPr>
        <w:t>2、</w:t>
      </w:r>
      <w:r>
        <w:rPr>
          <w:rFonts w:hint="eastAsia"/>
          <w:highlight w:val="none"/>
        </w:rPr>
        <w:t>矿体夹石</w:t>
      </w:r>
    </w:p>
    <w:p w14:paraId="2FF6053E">
      <w:pPr>
        <w:pStyle w:val="22"/>
        <w:bidi w:val="0"/>
        <w:rPr>
          <w:rFonts w:hint="default"/>
          <w:highlight w:val="none"/>
          <w:lang w:val="en-US" w:eastAsia="zh-CN"/>
        </w:rPr>
      </w:pPr>
      <w:r>
        <w:rPr>
          <w:rFonts w:hint="eastAsia"/>
          <w:highlight w:val="none"/>
        </w:rPr>
        <w:t>矿体中夹石较少，规模较小，对矿体完整性影响较小，夹石种类与其围岩相近，其主要岩石为中细粒二长花岗岩，一般规模较小不连续，真厚度一般小于10m，夹石与矿体产状基本一致。</w:t>
      </w:r>
    </w:p>
    <w:p w14:paraId="07CEA08B">
      <w:pPr>
        <w:pStyle w:val="22"/>
        <w:numPr>
          <w:ilvl w:val="0"/>
          <w:numId w:val="13"/>
        </w:numPr>
        <w:bidi w:val="0"/>
        <w:rPr>
          <w:rFonts w:hint="default"/>
          <w:highlight w:val="none"/>
          <w:lang w:val="en-US" w:eastAsia="zh-CN"/>
        </w:rPr>
      </w:pPr>
      <w:r>
        <w:rPr>
          <w:rFonts w:hint="eastAsia"/>
          <w:highlight w:val="none"/>
          <w:lang w:val="en-US" w:eastAsia="zh-CN"/>
        </w:rPr>
        <w:t>矿床共（伴）生矿产</w:t>
      </w:r>
    </w:p>
    <w:p w14:paraId="5491AC86">
      <w:pPr>
        <w:pStyle w:val="22"/>
        <w:bidi w:val="0"/>
        <w:rPr>
          <w:rFonts w:hint="default"/>
          <w:highlight w:val="none"/>
          <w:lang w:val="en-US" w:eastAsia="zh-CN"/>
        </w:rPr>
      </w:pPr>
      <w:r>
        <w:rPr>
          <w:rFonts w:hint="eastAsia"/>
          <w:highlight w:val="none"/>
          <w:lang w:val="en-US" w:eastAsia="zh-CN"/>
        </w:rPr>
        <w:t>本矿床其它有益组分含量均低于伴生组分要求，含量较低。矿区内铁矿体目前未发现有经济价值的共、伴生矿产</w:t>
      </w:r>
      <w:r>
        <w:rPr>
          <w:rFonts w:hint="default"/>
          <w:highlight w:val="none"/>
          <w:lang w:val="en-US" w:eastAsia="zh-CN"/>
        </w:rPr>
        <w:t>。</w:t>
      </w:r>
    </w:p>
    <w:p w14:paraId="607AD2A5">
      <w:pPr>
        <w:pStyle w:val="29"/>
        <w:bidi w:val="0"/>
        <w:rPr>
          <w:rFonts w:hint="default"/>
          <w:highlight w:val="none"/>
          <w:lang w:val="en-US" w:eastAsia="zh-CN"/>
        </w:rPr>
      </w:pPr>
      <w:bookmarkStart w:id="9" w:name="_Toc2326"/>
      <w:r>
        <w:rPr>
          <w:rFonts w:hint="eastAsia"/>
          <w:highlight w:val="none"/>
          <w:lang w:val="en-US" w:eastAsia="zh-CN"/>
        </w:rPr>
        <w:t>工程建设方案概况</w:t>
      </w:r>
      <w:bookmarkEnd w:id="9"/>
    </w:p>
    <w:p w14:paraId="48A6B354">
      <w:pPr>
        <w:pStyle w:val="30"/>
        <w:rPr>
          <w:rFonts w:hint="default"/>
          <w:highlight w:val="none"/>
          <w:lang w:val="en-US" w:eastAsia="zh-CN"/>
        </w:rPr>
      </w:pPr>
      <w:r>
        <w:rPr>
          <w:rFonts w:hint="eastAsia"/>
          <w:highlight w:val="none"/>
          <w:lang w:val="en-US" w:eastAsia="zh-CN"/>
        </w:rPr>
        <w:t>矿山开采现状</w:t>
      </w:r>
    </w:p>
    <w:p w14:paraId="5C937F59">
      <w:pPr>
        <w:pStyle w:val="22"/>
        <w:numPr>
          <w:ilvl w:val="0"/>
          <w:numId w:val="14"/>
        </w:numPr>
        <w:bidi w:val="0"/>
        <w:rPr>
          <w:rFonts w:hint="eastAsia"/>
          <w:highlight w:val="none"/>
          <w:lang w:val="en-US" w:eastAsia="zh-CN"/>
        </w:rPr>
      </w:pPr>
      <w:r>
        <w:rPr>
          <w:rFonts w:hint="eastAsia"/>
          <w:highlight w:val="none"/>
          <w:lang w:val="en-US" w:eastAsia="zh-CN"/>
        </w:rPr>
        <w:t>地表现状</w:t>
      </w:r>
    </w:p>
    <w:p w14:paraId="570A1C64">
      <w:pPr>
        <w:pStyle w:val="22"/>
        <w:bidi w:val="0"/>
        <w:rPr>
          <w:rFonts w:hint="eastAsia"/>
          <w:highlight w:val="none"/>
        </w:rPr>
      </w:pPr>
      <w:r>
        <w:rPr>
          <w:rFonts w:hint="eastAsia"/>
          <w:highlight w:val="none"/>
        </w:rPr>
        <w:t>矿区内原始地形曾遭到过破坏，形成两处剥离面，地质资料中对其命名为CK1和CK2，其中CK1长131m，宽45m，最高标高310m，底标高275m；CK2长150m，宽72m，最高标高300m，底标高275m。</w:t>
      </w:r>
    </w:p>
    <w:p w14:paraId="26C934A7">
      <w:pPr>
        <w:pStyle w:val="22"/>
        <w:bidi w:val="0"/>
        <w:rPr>
          <w:rFonts w:hint="eastAsia"/>
          <w:highlight w:val="none"/>
        </w:rPr>
      </w:pPr>
      <w:r>
        <w:rPr>
          <w:rFonts w:hint="eastAsia"/>
          <w:highlight w:val="none"/>
        </w:rPr>
        <w:t>矿山于2009年7月首次取得采矿许可证，开采方式为地下开采，开采矿种为铁矿，生产规模15万吨/年，此前矿山未进行过露天开采。取得采矿许可证后矿山委托本钢设计研究院有限责任公司编制的《辽宁省本溪县草河城镇贺家铁矿地下开采初步设计安全专篇》，矿山采用地下开采方式，采矿方法为有底柱浅孔留矿采矿法，利用崩落围岩的方式处理采空区，矿区内地表存在的两处剥离面，CK2位于设计开采岩石移动范围内，在矿山后续开采过程中，CK2剥离面随着采空区的处理不断塌落，与208-2采空区贯通，最终形成CK2地表塌陷坑，塌陷坑底标高208m。</w:t>
      </w:r>
    </w:p>
    <w:p w14:paraId="080D4E79">
      <w:pPr>
        <w:pStyle w:val="22"/>
        <w:bidi w:val="0"/>
        <w:rPr>
          <w:rFonts w:hint="eastAsia"/>
          <w:highlight w:val="none"/>
        </w:rPr>
      </w:pPr>
      <w:r>
        <w:rPr>
          <w:rFonts w:hint="eastAsia"/>
          <w:highlight w:val="none"/>
        </w:rPr>
        <w:t>CK1和CK2皆已废石回填，CK1位于本次设计岩石移动范围20m外，目前CK1已回填至290m标高，可形成自流排水，对井下开采无影响；CK2已回填至280m标高，目前CK2内无积水。</w:t>
      </w:r>
    </w:p>
    <w:p w14:paraId="03C6B653">
      <w:pPr>
        <w:pStyle w:val="22"/>
        <w:bidi w:val="0"/>
        <w:rPr>
          <w:rFonts w:hint="eastAsia"/>
          <w:highlight w:val="none"/>
        </w:rPr>
      </w:pPr>
      <w:r>
        <w:rPr>
          <w:rFonts w:hint="eastAsia"/>
          <w:highlight w:val="none"/>
        </w:rPr>
        <w:t>为有效处置基建期产生的废石，同时为后续土地复垦创造有利条件，设计将基建期废石继续回填至CK2，CK2目前实际剩余容积约15万m³，可满足基建期废石7.9万m³的排放要求。通过多年工程实践及现场监测验证，CK2已按前期设计完成部分废石充填作业，现状稳定、安全可靠，各项安全保障措施到位，满足矿山排放废石要求。设计在后期继续回填时期，在地表进行实时监控，确保其对井下开采无影响。</w:t>
      </w:r>
    </w:p>
    <w:p w14:paraId="7D6BF57B">
      <w:pPr>
        <w:pStyle w:val="22"/>
        <w:numPr>
          <w:ilvl w:val="0"/>
          <w:numId w:val="14"/>
        </w:numPr>
        <w:bidi w:val="0"/>
        <w:rPr>
          <w:rFonts w:hint="eastAsia"/>
          <w:highlight w:val="none"/>
          <w:lang w:val="en-US" w:eastAsia="zh-CN"/>
        </w:rPr>
      </w:pPr>
      <w:r>
        <w:rPr>
          <w:rFonts w:hint="eastAsia"/>
          <w:highlight w:val="none"/>
          <w:lang w:val="en-US" w:eastAsia="zh-CN"/>
        </w:rPr>
        <w:t>井巷工程建设现状</w:t>
      </w:r>
    </w:p>
    <w:p w14:paraId="12A5AB12">
      <w:pPr>
        <w:pStyle w:val="22"/>
        <w:bidi w:val="0"/>
        <w:rPr>
          <w:rFonts w:hint="eastAsia"/>
          <w:highlight w:val="none"/>
          <w:lang w:val="en-US" w:eastAsia="zh-CN"/>
        </w:rPr>
      </w:pPr>
      <w:r>
        <w:rPr>
          <w:rFonts w:hint="eastAsia"/>
          <w:highlight w:val="none"/>
          <w:lang w:val="en-US" w:eastAsia="zh-CN"/>
        </w:rPr>
        <w:t>采矿权西部存在1个废弃平硐，硐口底标高276.66m，坑道方位270°，长约15m，高约10m,坑道围岩为新太古代二长花岗岩，未见铁矿体，坑道总体较稳固，目前矿山正在组织回填，设计要求基建期前回填完毕。</w:t>
      </w:r>
    </w:p>
    <w:p w14:paraId="58267991">
      <w:pPr>
        <w:pStyle w:val="22"/>
        <w:bidi w:val="0"/>
        <w:rPr>
          <w:rFonts w:hint="eastAsia"/>
          <w:lang w:val="en-US" w:eastAsia="zh-CN"/>
        </w:rPr>
      </w:pPr>
      <w:r>
        <w:rPr>
          <w:rFonts w:hint="default"/>
          <w:lang w:val="en-US" w:eastAsia="zh-CN"/>
        </w:rPr>
        <w:t>采矿权东部存在1个废弃竖井SJ2，井口标高288.238m，井底标高158m，井深130.328m，井筒直径3m，原作为矿山回风井，目前矿山已回填完毕。</w:t>
      </w:r>
    </w:p>
    <w:p w14:paraId="4FB2CF40">
      <w:pPr>
        <w:pStyle w:val="22"/>
        <w:bidi w:val="0"/>
        <w:rPr>
          <w:rFonts w:hint="eastAsia"/>
          <w:highlight w:val="none"/>
          <w:lang w:val="en-US" w:eastAsia="zh-CN"/>
        </w:rPr>
      </w:pPr>
      <w:r>
        <w:rPr>
          <w:rFonts w:hint="eastAsia"/>
          <w:highlight w:val="none"/>
          <w:lang w:val="en-US" w:eastAsia="zh-CN"/>
        </w:rPr>
        <w:t>斜坡道：硐口位于1号勘探线和3号勘探线之间。硐口坐标：X=XXXXX，Y=XXXXX，Z=272.80m，底部标高108m，总长约1170m，斜坡道坡度为15%，断面采用三心拱形，净断面规格为5.0m×4.0m。斜坡道一侧设有人行道，担负井下矿石、废石、材料、设备及人员的运输任务，入新风兼做安全出口。设计利用部分现有斜坡道长度301m，其余现有247m标高～205m标高斜坡道位于岩石移动范围内，故不予利用，对不利用部分进行封堵。</w:t>
      </w:r>
    </w:p>
    <w:p w14:paraId="1180A966">
      <w:pPr>
        <w:pStyle w:val="31"/>
        <w:bidi w:val="0"/>
        <w:rPr>
          <w:rFonts w:hint="eastAsia"/>
          <w:lang w:val="en-US" w:eastAsia="zh-CN"/>
        </w:rPr>
      </w:pPr>
    </w:p>
    <w:p w14:paraId="502012A9">
      <w:pPr>
        <w:pStyle w:val="31"/>
        <w:bidi w:val="0"/>
        <w:rPr>
          <w:rFonts w:hint="eastAsia"/>
          <w:lang w:val="en-US" w:eastAsia="zh-CN"/>
        </w:rPr>
      </w:pPr>
      <w:r>
        <w:rPr>
          <w:rFonts w:hint="eastAsia"/>
          <w:lang w:val="en-US" w:eastAsia="zh-CN"/>
        </w:rPr>
        <w:t>图2.4-3  斜坡道井口照片</w:t>
      </w:r>
    </w:p>
    <w:p w14:paraId="2B11386D">
      <w:pPr>
        <w:pStyle w:val="22"/>
        <w:bidi w:val="0"/>
        <w:rPr>
          <w:rFonts w:hint="eastAsia"/>
          <w:lang w:val="en-US" w:eastAsia="zh-CN"/>
        </w:rPr>
      </w:pPr>
      <w:r>
        <w:rPr>
          <w:rFonts w:hint="eastAsia"/>
          <w:lang w:val="en-US" w:eastAsia="zh-CN"/>
        </w:rPr>
        <w:t>回风竖井：井口位于1号勘探线附近，井口中心点坐标：X=4532215.045，Y=41580468.464，Z=277.366m，井底标高158m，井深119.366m，井筒断面为矩形，断面尺寸为4.6×2.35m，原为混合井，设计将该井筒装备进行拆除，仅保留梯子间，井口安装主扇风机，排污风兼做安全出口。</w:t>
      </w:r>
    </w:p>
    <w:p w14:paraId="4603A201">
      <w:pPr>
        <w:pStyle w:val="22"/>
        <w:bidi w:val="0"/>
        <w:rPr>
          <w:rFonts w:hint="eastAsia"/>
          <w:highlight w:val="none"/>
          <w:lang w:val="en-US" w:eastAsia="zh-CN"/>
        </w:rPr>
      </w:pPr>
      <w:r>
        <w:rPr>
          <w:rFonts w:hint="eastAsia"/>
          <w:highlight w:val="none"/>
          <w:lang w:val="en-US" w:eastAsia="zh-CN"/>
        </w:rPr>
        <w:t>倒段风井：各阶段倒段风井均布置在岩石移动范围20m外，井筒断面为矩形，断面尺寸为2.0×2.0m，井筒内设有梯子间，排污风兼安全出口，本次设计将其废弃，不予利用。</w:t>
      </w:r>
    </w:p>
    <w:p w14:paraId="58C78FC5">
      <w:pPr>
        <w:pStyle w:val="22"/>
        <w:bidi w:val="0"/>
        <w:rPr>
          <w:rFonts w:hint="eastAsia"/>
          <w:highlight w:val="none"/>
          <w:lang w:val="en-US" w:eastAsia="zh-CN"/>
        </w:rPr>
      </w:pPr>
      <w:r>
        <w:rPr>
          <w:rFonts w:hint="eastAsia"/>
          <w:highlight w:val="none"/>
          <w:lang w:val="en-US" w:eastAsia="zh-CN"/>
        </w:rPr>
        <w:t>矿山现已形成208m、168m、144m、138m四个中段，中段现状良好，根据《辽宁省本溪县草河城镇徐堡村矿区铁矿资源储量核实报告》可知，矿区内工程地质岩组有两组，分别为第四系松散碎石类岩组、坚硬块状岩类岩组。本次设计利用矿体位于中细粒二长花岗岩体内，矿山现有中段巷道主要分布于坚硬块状岩类岩组，岩性主要为新太古代中细粒黑云母二长花岗岩和鞍山岩群茨沟岩组磁铁石英岩等，为矿体顶、底板主要围岩，岩体坚硬，一般较完整，设计开采矿体以及现有中段巷道岩体稳定性较好。</w:t>
      </w:r>
    </w:p>
    <w:p w14:paraId="5227C11D">
      <w:pPr>
        <w:pStyle w:val="22"/>
        <w:bidi w:val="0"/>
        <w:rPr>
          <w:rFonts w:hint="eastAsia"/>
          <w:highlight w:val="none"/>
          <w:lang w:val="en-US" w:eastAsia="zh-CN"/>
        </w:rPr>
      </w:pPr>
      <w:r>
        <w:rPr>
          <w:rFonts w:hint="eastAsia"/>
          <w:highlight w:val="none"/>
          <w:lang w:val="en-US" w:eastAsia="zh-CN"/>
        </w:rPr>
        <w:t>矿山的现有巷道，其所在区域岩体均呈现出质量等级高、完整度好的特征，地层条件稳定，工程安全性可靠；同时，该现有井巷工程为上次验收工程，且已依法取得相应的安全许可证，在工程合法性与安全性上形成双重保障，进一步印证了其作为设计利用工程的可靠性与合规性。</w:t>
      </w:r>
    </w:p>
    <w:p w14:paraId="78B9DD1F">
      <w:pPr>
        <w:pStyle w:val="22"/>
        <w:numPr>
          <w:ilvl w:val="0"/>
          <w:numId w:val="14"/>
        </w:numPr>
        <w:bidi w:val="0"/>
        <w:rPr>
          <w:rFonts w:hint="default"/>
          <w:highlight w:val="none"/>
          <w:lang w:val="en-US" w:eastAsia="zh-CN"/>
        </w:rPr>
      </w:pPr>
      <w:r>
        <w:rPr>
          <w:rFonts w:hint="eastAsia"/>
          <w:highlight w:val="none"/>
          <w:lang w:val="en-US" w:eastAsia="zh-CN"/>
        </w:rPr>
        <w:t>采空区现状</w:t>
      </w:r>
    </w:p>
    <w:p w14:paraId="4FC5EF34">
      <w:pPr>
        <w:pStyle w:val="22"/>
        <w:bidi w:val="0"/>
        <w:rPr>
          <w:rFonts w:hint="eastAsia"/>
          <w:highlight w:val="none"/>
        </w:rPr>
      </w:pPr>
      <w:r>
        <w:rPr>
          <w:rFonts w:hint="eastAsia"/>
          <w:highlight w:val="none"/>
          <w:lang w:val="en-US" w:eastAsia="zh-CN"/>
        </w:rPr>
        <w:t>矿山现已形成</w:t>
      </w:r>
      <w:r>
        <w:rPr>
          <w:rFonts w:hint="eastAsia"/>
          <w:highlight w:val="none"/>
        </w:rPr>
        <w:t>208m、168m、144m、138m四个中段。208m中段现已形成3处采空区，168m中段现已形成</w:t>
      </w:r>
      <w:r>
        <w:rPr>
          <w:rFonts w:hint="eastAsia"/>
          <w:highlight w:val="none"/>
          <w:lang w:val="en-US" w:eastAsia="zh-CN"/>
        </w:rPr>
        <w:t>4</w:t>
      </w:r>
      <w:r>
        <w:rPr>
          <w:rFonts w:hint="eastAsia"/>
          <w:highlight w:val="none"/>
        </w:rPr>
        <w:t>处采空区，144m中段无采空区，138m中段现已形成</w:t>
      </w:r>
      <w:r>
        <w:rPr>
          <w:rFonts w:hint="eastAsia"/>
          <w:highlight w:val="none"/>
          <w:lang w:val="en-US" w:eastAsia="zh-CN"/>
        </w:rPr>
        <w:t>3</w:t>
      </w:r>
      <w:r>
        <w:rPr>
          <w:rFonts w:hint="eastAsia"/>
          <w:highlight w:val="none"/>
        </w:rPr>
        <w:t>处采空区。分述如下：</w:t>
      </w:r>
    </w:p>
    <w:p w14:paraId="7F22EECE">
      <w:pPr>
        <w:pStyle w:val="22"/>
        <w:bidi w:val="0"/>
        <w:rPr>
          <w:rFonts w:hint="eastAsia"/>
          <w:highlight w:val="none"/>
        </w:rPr>
      </w:pPr>
      <w:r>
        <w:rPr>
          <w:rFonts w:hint="eastAsia"/>
          <w:highlight w:val="none"/>
        </w:rPr>
        <w:t>208中段：共三处采空区，208-1（208m）采空区，长约25m，宽约15m，面积220m</w:t>
      </w:r>
      <w:r>
        <w:rPr>
          <w:rFonts w:hint="eastAsia"/>
          <w:highlight w:val="none"/>
          <w:lang w:val="en-US" w:eastAsia="zh-CN"/>
        </w:rPr>
        <w:t>²</w:t>
      </w:r>
      <w:r>
        <w:rPr>
          <w:rFonts w:hint="eastAsia"/>
          <w:highlight w:val="none"/>
        </w:rPr>
        <w:t>，高度30m，采空区体积约6600m</w:t>
      </w:r>
      <w:r>
        <w:rPr>
          <w:rFonts w:hint="eastAsia"/>
          <w:highlight w:val="none"/>
          <w:lang w:val="en-US" w:eastAsia="zh-CN"/>
        </w:rPr>
        <w:t>³</w:t>
      </w:r>
      <w:r>
        <w:rPr>
          <w:rFonts w:hint="eastAsia"/>
          <w:highlight w:val="none"/>
        </w:rPr>
        <w:t>；208-2（208m）采空区，长约122m，宽约22m，面积2684m</w:t>
      </w:r>
      <w:r>
        <w:rPr>
          <w:rFonts w:hint="eastAsia"/>
          <w:highlight w:val="none"/>
          <w:lang w:val="en-US" w:eastAsia="zh-CN"/>
        </w:rPr>
        <w:t>²</w:t>
      </w:r>
      <w:r>
        <w:rPr>
          <w:rFonts w:hint="eastAsia"/>
          <w:highlight w:val="none"/>
        </w:rPr>
        <w:t>，高度30m，采空区体积约80520m</w:t>
      </w:r>
      <w:r>
        <w:rPr>
          <w:rFonts w:hint="eastAsia"/>
          <w:highlight w:val="none"/>
          <w:lang w:val="en-US" w:eastAsia="zh-CN"/>
        </w:rPr>
        <w:t>³</w:t>
      </w:r>
      <w:r>
        <w:rPr>
          <w:rFonts w:hint="eastAsia"/>
          <w:highlight w:val="none"/>
        </w:rPr>
        <w:t>；208-3（208m）采空区，长约57m，宽约40m，面积2273m</w:t>
      </w:r>
      <w:r>
        <w:rPr>
          <w:rFonts w:hint="eastAsia"/>
          <w:highlight w:val="none"/>
          <w:lang w:val="en-US" w:eastAsia="zh-CN"/>
        </w:rPr>
        <w:t>²</w:t>
      </w:r>
      <w:r>
        <w:rPr>
          <w:rFonts w:hint="eastAsia"/>
          <w:highlight w:val="none"/>
        </w:rPr>
        <w:t>，高度47m，此采空区底板与168-4（168m）采空区顶板相通，采空区体积约106831m</w:t>
      </w:r>
      <w:r>
        <w:rPr>
          <w:rFonts w:hint="eastAsia"/>
          <w:highlight w:val="none"/>
          <w:lang w:val="en-US" w:eastAsia="zh-CN"/>
        </w:rPr>
        <w:t>³</w:t>
      </w:r>
      <w:r>
        <w:rPr>
          <w:rFonts w:hint="eastAsia"/>
          <w:highlight w:val="none"/>
        </w:rPr>
        <w:t>。</w:t>
      </w:r>
    </w:p>
    <w:p w14:paraId="568D03D6">
      <w:pPr>
        <w:pStyle w:val="22"/>
        <w:bidi w:val="0"/>
        <w:rPr>
          <w:rFonts w:hint="eastAsia"/>
          <w:highlight w:val="none"/>
        </w:rPr>
      </w:pPr>
      <w:r>
        <w:rPr>
          <w:rFonts w:hint="eastAsia"/>
          <w:highlight w:val="none"/>
        </w:rPr>
        <w:t>168中段：共4处采空区，168-1（168m）采空区，长约60m，宽约20m，面积1223m</w:t>
      </w:r>
      <w:r>
        <w:rPr>
          <w:rFonts w:hint="eastAsia"/>
          <w:highlight w:val="none"/>
          <w:lang w:val="en-US" w:eastAsia="zh-CN"/>
        </w:rPr>
        <w:t>²</w:t>
      </w:r>
      <w:r>
        <w:rPr>
          <w:rFonts w:hint="eastAsia"/>
          <w:highlight w:val="none"/>
        </w:rPr>
        <w:t>，高度40.5m，采空区体积约49530m</w:t>
      </w:r>
      <w:r>
        <w:rPr>
          <w:rFonts w:hint="eastAsia"/>
          <w:highlight w:val="none"/>
          <w:lang w:val="en-US" w:eastAsia="zh-CN"/>
        </w:rPr>
        <w:t>³</w:t>
      </w:r>
      <w:r>
        <w:rPr>
          <w:rFonts w:hint="eastAsia"/>
          <w:highlight w:val="none"/>
        </w:rPr>
        <w:t>；168-2（168m）采空区，其中先形成的采空区长约42m，宽约23m，面积874m</w:t>
      </w:r>
      <w:r>
        <w:rPr>
          <w:rFonts w:hint="eastAsia"/>
          <w:highlight w:val="none"/>
          <w:lang w:val="en-US" w:eastAsia="zh-CN"/>
        </w:rPr>
        <w:t>²</w:t>
      </w:r>
      <w:r>
        <w:rPr>
          <w:rFonts w:hint="eastAsia"/>
          <w:highlight w:val="none"/>
        </w:rPr>
        <w:t>，高度20m，采空区体积约17480m</w:t>
      </w:r>
      <w:r>
        <w:rPr>
          <w:rFonts w:hint="eastAsia"/>
          <w:highlight w:val="none"/>
          <w:lang w:val="en-US" w:eastAsia="zh-CN"/>
        </w:rPr>
        <w:t>³</w:t>
      </w:r>
      <w:r>
        <w:rPr>
          <w:rFonts w:hint="eastAsia"/>
          <w:highlight w:val="none"/>
        </w:rPr>
        <w:t>，后形成的采空区长约75m，宽约16m，面积1261m，高度41m，采空区体积约51701m</w:t>
      </w:r>
      <w:r>
        <w:rPr>
          <w:rFonts w:hint="eastAsia"/>
          <w:highlight w:val="none"/>
          <w:lang w:val="en-US" w:eastAsia="zh-CN"/>
        </w:rPr>
        <w:t>³</w:t>
      </w:r>
      <w:r>
        <w:rPr>
          <w:rFonts w:hint="eastAsia"/>
          <w:highlight w:val="none"/>
        </w:rPr>
        <w:t>，该采空区总面积2135m</w:t>
      </w:r>
      <w:r>
        <w:rPr>
          <w:rFonts w:hint="eastAsia"/>
          <w:highlight w:val="none"/>
          <w:lang w:val="en-US" w:eastAsia="zh-CN"/>
        </w:rPr>
        <w:t>²</w:t>
      </w:r>
      <w:r>
        <w:rPr>
          <w:rFonts w:hint="eastAsia"/>
          <w:highlight w:val="none"/>
        </w:rPr>
        <w:t>，总体积69181m</w:t>
      </w:r>
      <w:r>
        <w:rPr>
          <w:rFonts w:hint="eastAsia"/>
          <w:highlight w:val="none"/>
          <w:lang w:val="en-US" w:eastAsia="zh-CN"/>
        </w:rPr>
        <w:t>³</w:t>
      </w:r>
      <w:r>
        <w:rPr>
          <w:rFonts w:hint="eastAsia"/>
          <w:highlight w:val="none"/>
        </w:rPr>
        <w:t>；168-3（168m）采空区，长约20m，宽约17m，面积340m</w:t>
      </w:r>
      <w:r>
        <w:rPr>
          <w:rFonts w:hint="eastAsia"/>
          <w:highlight w:val="none"/>
          <w:lang w:val="en-US" w:eastAsia="zh-CN"/>
        </w:rPr>
        <w:t>²</w:t>
      </w:r>
      <w:r>
        <w:rPr>
          <w:rFonts w:hint="eastAsia"/>
          <w:highlight w:val="none"/>
        </w:rPr>
        <w:t>，高度13.5m，采空区体积约4590m</w:t>
      </w:r>
      <w:r>
        <w:rPr>
          <w:rFonts w:hint="eastAsia"/>
          <w:highlight w:val="none"/>
          <w:lang w:val="en-US" w:eastAsia="zh-CN"/>
        </w:rPr>
        <w:t>³</w:t>
      </w:r>
      <w:r>
        <w:rPr>
          <w:rFonts w:hint="eastAsia"/>
          <w:highlight w:val="none"/>
        </w:rPr>
        <w:t>；168-4（168m）采空区，长约25m，宽约15m，面积506m</w:t>
      </w:r>
      <w:r>
        <w:rPr>
          <w:rFonts w:hint="eastAsia"/>
          <w:highlight w:val="none"/>
          <w:lang w:val="en-US" w:eastAsia="zh-CN"/>
        </w:rPr>
        <w:t>²</w:t>
      </w:r>
      <w:r>
        <w:rPr>
          <w:rFonts w:hint="eastAsia"/>
          <w:highlight w:val="none"/>
        </w:rPr>
        <w:t>，高度41.5m，此采空区底板与138-2（138m）采空区顶板相通，采空区体积约21000m</w:t>
      </w:r>
      <w:r>
        <w:rPr>
          <w:rFonts w:hint="eastAsia"/>
          <w:highlight w:val="none"/>
          <w:lang w:val="en-US" w:eastAsia="zh-CN"/>
        </w:rPr>
        <w:t>³</w:t>
      </w:r>
      <w:r>
        <w:rPr>
          <w:rFonts w:hint="eastAsia"/>
          <w:highlight w:val="none"/>
        </w:rPr>
        <w:t>。</w:t>
      </w:r>
    </w:p>
    <w:p w14:paraId="740B5129">
      <w:pPr>
        <w:pStyle w:val="22"/>
        <w:bidi w:val="0"/>
        <w:rPr>
          <w:rFonts w:hint="eastAsia"/>
          <w:highlight w:val="none"/>
        </w:rPr>
      </w:pPr>
      <w:r>
        <w:rPr>
          <w:rFonts w:hint="eastAsia"/>
          <w:highlight w:val="none"/>
        </w:rPr>
        <w:t>138中段：共3处采空区，138-1（138m）采空区，长约52m，宽约22m，面积1144m</w:t>
      </w:r>
      <w:r>
        <w:rPr>
          <w:rFonts w:hint="eastAsia"/>
          <w:highlight w:val="none"/>
          <w:lang w:val="en-US" w:eastAsia="zh-CN"/>
        </w:rPr>
        <w:t>²</w:t>
      </w:r>
      <w:r>
        <w:rPr>
          <w:rFonts w:hint="eastAsia"/>
          <w:highlight w:val="none"/>
        </w:rPr>
        <w:t>，高度29m，采空区体积约33176m</w:t>
      </w:r>
      <w:r>
        <w:rPr>
          <w:rFonts w:hint="eastAsia"/>
          <w:highlight w:val="none"/>
          <w:lang w:val="en-US" w:eastAsia="zh-CN"/>
        </w:rPr>
        <w:t>³</w:t>
      </w:r>
      <w:r>
        <w:rPr>
          <w:rFonts w:hint="eastAsia"/>
          <w:highlight w:val="none"/>
        </w:rPr>
        <w:t>；138-2（138m）采空区，长约34m，宽约16m，面积544m</w:t>
      </w:r>
      <w:r>
        <w:rPr>
          <w:rFonts w:hint="eastAsia"/>
          <w:highlight w:val="none"/>
          <w:lang w:val="en-US" w:eastAsia="zh-CN"/>
        </w:rPr>
        <w:t>²</w:t>
      </w:r>
      <w:r>
        <w:rPr>
          <w:rFonts w:hint="eastAsia"/>
          <w:highlight w:val="none"/>
        </w:rPr>
        <w:t>，高度15.5m，采空区体积约8432m</w:t>
      </w:r>
      <w:r>
        <w:rPr>
          <w:rFonts w:hint="eastAsia"/>
          <w:highlight w:val="none"/>
          <w:lang w:val="en-US" w:eastAsia="zh-CN"/>
        </w:rPr>
        <w:t>³</w:t>
      </w:r>
      <w:r>
        <w:rPr>
          <w:rFonts w:hint="eastAsia"/>
          <w:highlight w:val="none"/>
        </w:rPr>
        <w:t>；138-3（138m）采空区，长约28m，宽约18m，面积504m</w:t>
      </w:r>
      <w:r>
        <w:rPr>
          <w:rFonts w:hint="eastAsia"/>
          <w:highlight w:val="none"/>
          <w:lang w:val="en-US" w:eastAsia="zh-CN"/>
        </w:rPr>
        <w:t>²</w:t>
      </w:r>
      <w:r>
        <w:rPr>
          <w:rFonts w:hint="eastAsia"/>
          <w:highlight w:val="none"/>
        </w:rPr>
        <w:t>，高度21.5m，采空区体积约10836m</w:t>
      </w:r>
      <w:r>
        <w:rPr>
          <w:rFonts w:hint="eastAsia"/>
          <w:highlight w:val="none"/>
          <w:lang w:val="en-US" w:eastAsia="zh-CN"/>
        </w:rPr>
        <w:t>³</w:t>
      </w:r>
      <w:r>
        <w:rPr>
          <w:rFonts w:hint="eastAsia"/>
          <w:highlight w:val="none"/>
        </w:rPr>
        <w:t>。</w:t>
      </w:r>
    </w:p>
    <w:p w14:paraId="015A79D6">
      <w:pPr>
        <w:pStyle w:val="22"/>
        <w:bidi w:val="0"/>
        <w:rPr>
          <w:rFonts w:hint="eastAsia"/>
          <w:highlight w:val="none"/>
        </w:rPr>
      </w:pPr>
      <w:r>
        <w:rPr>
          <w:rFonts w:hint="eastAsia"/>
          <w:highlight w:val="none"/>
        </w:rPr>
        <w:t>根据隐蔽致灾报告及采空区管理记录，矿山现存的10个采空区于2022年至2024年均已废石充填，其中208m、168m中段采空区已采用密闭法进行了处理，并设有观察孔、排水孔，采空区无积水，138m中段尚未封堵。设计在基建期开始前对138m中段采空区进行密闭法处理，并留设泄水孔及观察孔。</w:t>
      </w:r>
    </w:p>
    <w:p w14:paraId="5BCCA593">
      <w:pPr>
        <w:pStyle w:val="22"/>
        <w:bidi w:val="0"/>
        <w:rPr>
          <w:rFonts w:hint="default"/>
          <w:lang w:val="en-US" w:eastAsia="zh-CN"/>
        </w:rPr>
      </w:pPr>
      <w:r>
        <w:rPr>
          <w:rFonts w:hint="default"/>
          <w:lang w:val="en-US" w:eastAsia="zh-CN"/>
        </w:rPr>
        <w:t>矿山现存的10个采空区均已废石充填，其中208m、168m中段采空区已采用密闭法进行了处理，并设有观察孔、排水孔，采空区无积水，138m中段尚未封堵。设计在基建期开始前对138m中段采空区进行密闭法处理，并留设泄水孔及观察孔。</w:t>
      </w:r>
    </w:p>
    <w:p w14:paraId="5DF944E5">
      <w:pPr>
        <w:pStyle w:val="30"/>
        <w:bidi w:val="0"/>
        <w:rPr>
          <w:rFonts w:hint="default"/>
          <w:highlight w:val="none"/>
          <w:lang w:val="en-US" w:eastAsia="zh-CN"/>
        </w:rPr>
      </w:pPr>
      <w:r>
        <w:rPr>
          <w:rFonts w:hint="eastAsia"/>
          <w:highlight w:val="none"/>
          <w:lang w:val="en-US" w:eastAsia="zh-CN"/>
        </w:rPr>
        <w:t>建设规模及工作制度</w:t>
      </w:r>
    </w:p>
    <w:p w14:paraId="790704A8">
      <w:pPr>
        <w:pStyle w:val="22"/>
        <w:numPr>
          <w:ilvl w:val="0"/>
          <w:numId w:val="15"/>
        </w:numPr>
        <w:bidi w:val="0"/>
        <w:rPr>
          <w:rFonts w:hint="default"/>
          <w:highlight w:val="none"/>
          <w:lang w:val="en-US" w:eastAsia="zh-CN"/>
        </w:rPr>
      </w:pPr>
      <w:r>
        <w:rPr>
          <w:rFonts w:hint="eastAsia"/>
          <w:highlight w:val="none"/>
          <w:lang w:val="en-US" w:eastAsia="zh-CN"/>
        </w:rPr>
        <w:t>设计利用储量</w:t>
      </w:r>
    </w:p>
    <w:p w14:paraId="343764B0">
      <w:pPr>
        <w:pStyle w:val="22"/>
        <w:bidi w:val="0"/>
        <w:rPr>
          <w:rFonts w:hint="eastAsia"/>
          <w:highlight w:val="none"/>
          <w:lang w:val="en-US" w:eastAsia="zh-CN"/>
        </w:rPr>
      </w:pPr>
      <w:r>
        <w:rPr>
          <w:rFonts w:hint="eastAsia"/>
          <w:highlight w:val="none"/>
          <w:lang w:val="en-US" w:eastAsia="zh-CN"/>
        </w:rPr>
        <w:t>设计利用资源储量=∑（探明资源量+控制资源量+推断资源量×可信度系数）-设计损失量</w:t>
      </w:r>
    </w:p>
    <w:p w14:paraId="212D6684">
      <w:pPr>
        <w:pStyle w:val="22"/>
        <w:bidi w:val="0"/>
        <w:rPr>
          <w:rFonts w:hint="eastAsia"/>
          <w:highlight w:val="none"/>
          <w:lang w:val="en-US" w:eastAsia="zh-CN"/>
        </w:rPr>
      </w:pPr>
      <w:r>
        <w:rPr>
          <w:rFonts w:hint="eastAsia"/>
          <w:highlight w:val="none"/>
          <w:lang w:val="en-US" w:eastAsia="zh-CN"/>
        </w:rPr>
        <w:t>项目推断资源量可信度系数根据矿床赋存特征和勘探工程控制程度选取0.8。</w:t>
      </w:r>
    </w:p>
    <w:p w14:paraId="7D6AE55E">
      <w:pPr>
        <w:pStyle w:val="22"/>
        <w:bidi w:val="0"/>
        <w:rPr>
          <w:rFonts w:hint="eastAsia"/>
          <w:highlight w:val="none"/>
          <w:lang w:val="en-US" w:eastAsia="zh-CN"/>
        </w:rPr>
      </w:pPr>
      <w:r>
        <w:rPr>
          <w:rFonts w:hint="eastAsia"/>
          <w:highlight w:val="none"/>
          <w:lang w:val="en-US" w:eastAsia="zh-CN"/>
        </w:rPr>
        <w:t>设计开采对象为Fe1、Fe2、Fe3、Fe4、Fe5、Fe6、Fe7号矿体，由于138m中段以上Fe2和Fe3号矿体部分开采形成采空区，出于安全方面考虑，利用138m中段以上剩余少量未开采矿体作为护顶矿柱，故138m中段以上剩余矿体无法进行开采，损失矿量5.606万t。故本次设计利用资源量为80.807万t，设计资源利用率90%。设计利用资源量见下表。</w:t>
      </w:r>
    </w:p>
    <w:p w14:paraId="268CF62D">
      <w:pPr>
        <w:pStyle w:val="31"/>
        <w:bidi w:val="0"/>
        <w:ind w:left="0" w:leftChars="0" w:right="0" w:rightChars="0" w:firstLine="0" w:firstLineChars="0"/>
        <w:jc w:val="center"/>
        <w:rPr>
          <w:rFonts w:hint="default"/>
          <w:highlight w:val="none"/>
          <w:lang w:val="en-US" w:eastAsia="zh-CN"/>
        </w:rPr>
      </w:pPr>
      <w:r>
        <w:rPr>
          <w:rFonts w:hint="default"/>
          <w:highlight w:val="none"/>
        </w:rPr>
        <w:t>表</w:t>
      </w:r>
      <w:r>
        <w:rPr>
          <w:rFonts w:hint="eastAsia"/>
          <w:highlight w:val="none"/>
          <w:lang w:val="en-US" w:eastAsia="zh-CN"/>
        </w:rPr>
        <w:t xml:space="preserve">2.4-1  </w:t>
      </w:r>
      <w:r>
        <w:rPr>
          <w:rFonts w:hint="default"/>
          <w:highlight w:val="none"/>
          <w:lang w:val="en-US" w:eastAsia="zh-CN"/>
        </w:rPr>
        <w:t>设计利用资源量表</w:t>
      </w:r>
    </w:p>
    <w:tbl>
      <w:tblPr>
        <w:tblStyle w:val="2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1082"/>
        <w:gridCol w:w="1031"/>
        <w:gridCol w:w="1032"/>
        <w:gridCol w:w="1034"/>
        <w:gridCol w:w="2607"/>
        <w:gridCol w:w="2609"/>
      </w:tblGrid>
      <w:tr w14:paraId="5DCF2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2" w:hRule="atLeast"/>
        </w:trPr>
        <w:tc>
          <w:tcPr>
            <w:tcW w:w="576" w:type="pct"/>
            <w:vMerge w:val="restart"/>
            <w:shd w:val="clear" w:color="auto" w:fill="FFFFFF"/>
            <w:vAlign w:val="center"/>
          </w:tcPr>
          <w:p w14:paraId="754C4C48">
            <w:pPr>
              <w:pStyle w:val="32"/>
              <w:bidi w:val="0"/>
              <w:rPr>
                <w:rFonts w:hint="default"/>
                <w:highlight w:val="none"/>
              </w:rPr>
            </w:pPr>
            <w:r>
              <w:rPr>
                <w:rFonts w:hint="default"/>
                <w:highlight w:val="none"/>
                <w:lang w:val="en-US" w:eastAsia="zh-CN"/>
              </w:rPr>
              <w:t>矿体编号</w:t>
            </w:r>
          </w:p>
        </w:tc>
        <w:tc>
          <w:tcPr>
            <w:tcW w:w="1648" w:type="pct"/>
            <w:gridSpan w:val="3"/>
            <w:shd w:val="clear" w:color="auto" w:fill="FFFFFF"/>
            <w:vAlign w:val="center"/>
          </w:tcPr>
          <w:p w14:paraId="44089090">
            <w:pPr>
              <w:pStyle w:val="32"/>
              <w:bidi w:val="0"/>
              <w:rPr>
                <w:rFonts w:hint="default"/>
                <w:highlight w:val="none"/>
              </w:rPr>
            </w:pPr>
            <w:r>
              <w:rPr>
                <w:rFonts w:hint="default"/>
                <w:highlight w:val="none"/>
                <w:lang w:val="en-US" w:eastAsia="zh-CN"/>
              </w:rPr>
              <w:t>全矿区范围资源量（万t）</w:t>
            </w:r>
          </w:p>
        </w:tc>
        <w:tc>
          <w:tcPr>
            <w:tcW w:w="1387" w:type="pct"/>
            <w:vMerge w:val="restart"/>
            <w:shd w:val="clear" w:color="auto" w:fill="FFFFFF"/>
            <w:vAlign w:val="center"/>
          </w:tcPr>
          <w:p w14:paraId="1CD311A6">
            <w:pPr>
              <w:pStyle w:val="32"/>
              <w:bidi w:val="0"/>
              <w:rPr>
                <w:rFonts w:hint="default"/>
                <w:highlight w:val="none"/>
                <w:lang w:val="en-US" w:eastAsia="zh-CN"/>
              </w:rPr>
            </w:pPr>
            <w:r>
              <w:rPr>
                <w:rFonts w:hint="default"/>
                <w:highlight w:val="none"/>
                <w:lang w:val="en-US" w:eastAsia="zh-CN"/>
              </w:rPr>
              <w:t>暂未设计利用量（万t）</w:t>
            </w:r>
          </w:p>
        </w:tc>
        <w:tc>
          <w:tcPr>
            <w:tcW w:w="1388" w:type="pct"/>
            <w:vMerge w:val="restart"/>
            <w:shd w:val="clear" w:color="auto" w:fill="FFFFFF"/>
            <w:vAlign w:val="center"/>
          </w:tcPr>
          <w:p w14:paraId="23F81567">
            <w:pPr>
              <w:pStyle w:val="32"/>
              <w:bidi w:val="0"/>
              <w:rPr>
                <w:rFonts w:hint="default"/>
                <w:highlight w:val="none"/>
                <w:lang w:val="en-US" w:eastAsia="zh-CN"/>
              </w:rPr>
            </w:pPr>
            <w:r>
              <w:rPr>
                <w:rFonts w:hint="default"/>
                <w:highlight w:val="none"/>
                <w:lang w:val="en-US" w:eastAsia="zh-CN"/>
              </w:rPr>
              <w:t>设计利用量（万t）</w:t>
            </w:r>
          </w:p>
        </w:tc>
      </w:tr>
      <w:tr w14:paraId="6E1B0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2" w:hRule="atLeast"/>
        </w:trPr>
        <w:tc>
          <w:tcPr>
            <w:tcW w:w="576" w:type="pct"/>
            <w:vMerge w:val="continue"/>
            <w:shd w:val="clear" w:color="auto" w:fill="FFFFFF"/>
            <w:vAlign w:val="center"/>
          </w:tcPr>
          <w:p w14:paraId="2BEA879B">
            <w:pPr>
              <w:pStyle w:val="32"/>
              <w:bidi w:val="0"/>
              <w:rPr>
                <w:rFonts w:hint="default"/>
                <w:highlight w:val="none"/>
              </w:rPr>
            </w:pPr>
          </w:p>
        </w:tc>
        <w:tc>
          <w:tcPr>
            <w:tcW w:w="549" w:type="pct"/>
            <w:shd w:val="clear" w:color="auto" w:fill="FFFFFF"/>
            <w:vAlign w:val="center"/>
          </w:tcPr>
          <w:p w14:paraId="508C9860">
            <w:pPr>
              <w:pStyle w:val="32"/>
              <w:bidi w:val="0"/>
              <w:rPr>
                <w:rFonts w:hint="default"/>
                <w:highlight w:val="none"/>
                <w:lang w:val="en-US"/>
              </w:rPr>
            </w:pPr>
            <w:r>
              <w:rPr>
                <w:rFonts w:hint="eastAsia"/>
                <w:highlight w:val="none"/>
                <w:lang w:val="en-US" w:eastAsia="zh-CN"/>
              </w:rPr>
              <w:t>TM</w:t>
            </w:r>
          </w:p>
        </w:tc>
        <w:tc>
          <w:tcPr>
            <w:tcW w:w="549" w:type="pct"/>
            <w:shd w:val="clear" w:color="auto" w:fill="FFFFFF"/>
            <w:vAlign w:val="center"/>
          </w:tcPr>
          <w:p w14:paraId="0A9B7B63">
            <w:pPr>
              <w:pStyle w:val="32"/>
              <w:bidi w:val="0"/>
              <w:rPr>
                <w:rFonts w:hint="default"/>
                <w:highlight w:val="none"/>
              </w:rPr>
            </w:pPr>
            <w:r>
              <w:rPr>
                <w:rFonts w:hint="default"/>
                <w:highlight w:val="none"/>
                <w:lang w:val="en-US" w:eastAsia="zh-CN"/>
              </w:rPr>
              <w:t>TD</w:t>
            </w:r>
          </w:p>
        </w:tc>
        <w:tc>
          <w:tcPr>
            <w:tcW w:w="550" w:type="pct"/>
            <w:shd w:val="clear" w:color="auto" w:fill="FFFFFF"/>
            <w:vAlign w:val="center"/>
          </w:tcPr>
          <w:p w14:paraId="41E1A659">
            <w:pPr>
              <w:pStyle w:val="32"/>
              <w:bidi w:val="0"/>
              <w:rPr>
                <w:rFonts w:hint="default"/>
                <w:highlight w:val="none"/>
              </w:rPr>
            </w:pPr>
            <w:r>
              <w:rPr>
                <w:rFonts w:hint="eastAsia"/>
                <w:highlight w:val="none"/>
                <w:lang w:val="en-US" w:eastAsia="zh-CN"/>
              </w:rPr>
              <w:t>TM</w:t>
            </w:r>
            <w:r>
              <w:rPr>
                <w:rFonts w:hint="default"/>
                <w:highlight w:val="none"/>
                <w:lang w:val="en-US" w:eastAsia="zh-CN"/>
              </w:rPr>
              <w:t>+TD</w:t>
            </w:r>
          </w:p>
        </w:tc>
        <w:tc>
          <w:tcPr>
            <w:tcW w:w="1387" w:type="pct"/>
            <w:vMerge w:val="continue"/>
            <w:shd w:val="clear" w:color="auto" w:fill="FFFFFF"/>
            <w:vAlign w:val="center"/>
          </w:tcPr>
          <w:p w14:paraId="1F22518D">
            <w:pPr>
              <w:pStyle w:val="32"/>
              <w:bidi w:val="0"/>
              <w:rPr>
                <w:rFonts w:hint="default"/>
                <w:highlight w:val="none"/>
                <w:lang w:val="en-US" w:eastAsia="zh-CN"/>
              </w:rPr>
            </w:pPr>
          </w:p>
        </w:tc>
        <w:tc>
          <w:tcPr>
            <w:tcW w:w="1388" w:type="pct"/>
            <w:vMerge w:val="continue"/>
            <w:shd w:val="clear" w:color="auto" w:fill="FFFFFF"/>
            <w:vAlign w:val="center"/>
          </w:tcPr>
          <w:p w14:paraId="34D18A63">
            <w:pPr>
              <w:pStyle w:val="32"/>
              <w:bidi w:val="0"/>
              <w:rPr>
                <w:rFonts w:hint="default"/>
                <w:highlight w:val="none"/>
                <w:lang w:val="en-US" w:eastAsia="zh-CN"/>
              </w:rPr>
            </w:pPr>
          </w:p>
        </w:tc>
      </w:tr>
      <w:tr w14:paraId="10825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576" w:type="pct"/>
            <w:shd w:val="clear" w:color="auto" w:fill="FFFFFF"/>
            <w:noWrap/>
            <w:vAlign w:val="center"/>
          </w:tcPr>
          <w:p w14:paraId="0EF4F8B8">
            <w:pPr>
              <w:pStyle w:val="32"/>
              <w:bidi w:val="0"/>
              <w:rPr>
                <w:rFonts w:hint="default"/>
                <w:highlight w:val="none"/>
              </w:rPr>
            </w:pPr>
            <w:r>
              <w:rPr>
                <w:rFonts w:hint="default"/>
                <w:highlight w:val="none"/>
                <w:lang w:val="en-US" w:eastAsia="zh-CN"/>
              </w:rPr>
              <w:t>Fe1</w:t>
            </w:r>
          </w:p>
        </w:tc>
        <w:tc>
          <w:tcPr>
            <w:tcW w:w="549" w:type="pct"/>
            <w:shd w:val="clear" w:color="auto" w:fill="FFFFFF"/>
            <w:vAlign w:val="center"/>
          </w:tcPr>
          <w:p w14:paraId="6BD32566">
            <w:pPr>
              <w:pStyle w:val="32"/>
              <w:bidi w:val="0"/>
              <w:rPr>
                <w:rFonts w:hint="default"/>
                <w:highlight w:val="none"/>
              </w:rPr>
            </w:pPr>
            <w:r>
              <w:rPr>
                <w:rFonts w:hint="default"/>
                <w:highlight w:val="none"/>
                <w:lang w:val="en-US" w:eastAsia="zh-CN"/>
              </w:rPr>
              <w:t>6.878</w:t>
            </w:r>
          </w:p>
        </w:tc>
        <w:tc>
          <w:tcPr>
            <w:tcW w:w="549" w:type="pct"/>
            <w:shd w:val="clear" w:color="auto" w:fill="FFFFFF"/>
            <w:vAlign w:val="center"/>
          </w:tcPr>
          <w:p w14:paraId="630E7139">
            <w:pPr>
              <w:pStyle w:val="32"/>
              <w:bidi w:val="0"/>
              <w:rPr>
                <w:rFonts w:hint="default"/>
                <w:highlight w:val="none"/>
              </w:rPr>
            </w:pPr>
            <w:r>
              <w:rPr>
                <w:rFonts w:hint="default"/>
                <w:highlight w:val="none"/>
                <w:lang w:val="en-US" w:eastAsia="zh-CN"/>
              </w:rPr>
              <w:t>6.203</w:t>
            </w:r>
          </w:p>
        </w:tc>
        <w:tc>
          <w:tcPr>
            <w:tcW w:w="550" w:type="pct"/>
            <w:shd w:val="clear" w:color="auto" w:fill="FFFFFF"/>
            <w:vAlign w:val="center"/>
          </w:tcPr>
          <w:p w14:paraId="7DFAF6D3">
            <w:pPr>
              <w:pStyle w:val="32"/>
              <w:bidi w:val="0"/>
              <w:rPr>
                <w:rFonts w:hint="default"/>
                <w:highlight w:val="none"/>
              </w:rPr>
            </w:pPr>
            <w:r>
              <w:rPr>
                <w:rFonts w:hint="default"/>
                <w:highlight w:val="none"/>
                <w:lang w:val="en-US" w:eastAsia="zh-CN"/>
              </w:rPr>
              <w:t>13.081</w:t>
            </w:r>
          </w:p>
        </w:tc>
        <w:tc>
          <w:tcPr>
            <w:tcW w:w="1387" w:type="pct"/>
            <w:shd w:val="clear" w:color="auto" w:fill="FFFFFF"/>
            <w:vAlign w:val="center"/>
          </w:tcPr>
          <w:p w14:paraId="5A3A19BE">
            <w:pPr>
              <w:pStyle w:val="32"/>
              <w:bidi w:val="0"/>
              <w:rPr>
                <w:rFonts w:hint="default"/>
                <w:highlight w:val="none"/>
                <w:lang w:val="en-US" w:eastAsia="zh-CN"/>
              </w:rPr>
            </w:pPr>
            <w:r>
              <w:rPr>
                <w:rFonts w:hint="default"/>
                <w:highlight w:val="none"/>
                <w:lang w:val="en-US" w:eastAsia="zh-CN"/>
              </w:rPr>
              <w:t>0.721</w:t>
            </w:r>
          </w:p>
        </w:tc>
        <w:tc>
          <w:tcPr>
            <w:tcW w:w="1388" w:type="pct"/>
            <w:shd w:val="clear" w:color="auto" w:fill="FFFFFF"/>
            <w:vAlign w:val="center"/>
          </w:tcPr>
          <w:p w14:paraId="599CE68F">
            <w:pPr>
              <w:pStyle w:val="32"/>
              <w:bidi w:val="0"/>
              <w:rPr>
                <w:rFonts w:hint="default"/>
                <w:highlight w:val="none"/>
                <w:lang w:val="en-US" w:eastAsia="zh-CN"/>
              </w:rPr>
            </w:pPr>
            <w:r>
              <w:rPr>
                <w:rFonts w:hint="default"/>
                <w:highlight w:val="none"/>
                <w:lang w:val="en-US" w:eastAsia="zh-CN"/>
              </w:rPr>
              <w:t xml:space="preserve">11.119 </w:t>
            </w:r>
          </w:p>
        </w:tc>
      </w:tr>
      <w:tr w14:paraId="5D7AC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576" w:type="pct"/>
            <w:shd w:val="clear" w:color="auto" w:fill="FFFFFF"/>
            <w:noWrap/>
            <w:vAlign w:val="center"/>
          </w:tcPr>
          <w:p w14:paraId="43C26638">
            <w:pPr>
              <w:pStyle w:val="32"/>
              <w:bidi w:val="0"/>
              <w:rPr>
                <w:rFonts w:hint="default"/>
                <w:highlight w:val="none"/>
              </w:rPr>
            </w:pPr>
            <w:r>
              <w:rPr>
                <w:rFonts w:hint="default"/>
                <w:highlight w:val="none"/>
                <w:lang w:val="en-US" w:eastAsia="zh-CN"/>
              </w:rPr>
              <w:t>Fe2</w:t>
            </w:r>
          </w:p>
        </w:tc>
        <w:tc>
          <w:tcPr>
            <w:tcW w:w="549" w:type="pct"/>
            <w:shd w:val="clear" w:color="auto" w:fill="FFFFFF"/>
            <w:vAlign w:val="center"/>
          </w:tcPr>
          <w:p w14:paraId="6CE2C054">
            <w:pPr>
              <w:pStyle w:val="32"/>
              <w:bidi w:val="0"/>
              <w:rPr>
                <w:rFonts w:hint="default"/>
                <w:highlight w:val="none"/>
              </w:rPr>
            </w:pPr>
            <w:r>
              <w:rPr>
                <w:rFonts w:hint="default"/>
                <w:highlight w:val="none"/>
                <w:lang w:val="en-US" w:eastAsia="zh-CN"/>
              </w:rPr>
              <w:t>45.307</w:t>
            </w:r>
          </w:p>
        </w:tc>
        <w:tc>
          <w:tcPr>
            <w:tcW w:w="549" w:type="pct"/>
            <w:shd w:val="clear" w:color="auto" w:fill="auto"/>
            <w:vAlign w:val="center"/>
          </w:tcPr>
          <w:p w14:paraId="0278FFEB">
            <w:pPr>
              <w:pStyle w:val="32"/>
              <w:bidi w:val="0"/>
              <w:rPr>
                <w:rFonts w:hint="default"/>
                <w:highlight w:val="none"/>
              </w:rPr>
            </w:pPr>
            <w:r>
              <w:rPr>
                <w:rFonts w:hint="default"/>
                <w:highlight w:val="none"/>
                <w:lang w:val="en-US" w:eastAsia="zh-CN"/>
              </w:rPr>
              <w:t>12.247</w:t>
            </w:r>
          </w:p>
        </w:tc>
        <w:tc>
          <w:tcPr>
            <w:tcW w:w="550" w:type="pct"/>
            <w:shd w:val="clear" w:color="auto" w:fill="auto"/>
            <w:vAlign w:val="center"/>
          </w:tcPr>
          <w:p w14:paraId="12203AF7">
            <w:pPr>
              <w:pStyle w:val="32"/>
              <w:bidi w:val="0"/>
              <w:rPr>
                <w:rFonts w:hint="default"/>
                <w:highlight w:val="none"/>
              </w:rPr>
            </w:pPr>
            <w:r>
              <w:rPr>
                <w:rFonts w:hint="default"/>
                <w:highlight w:val="none"/>
                <w:lang w:val="en-US" w:eastAsia="zh-CN"/>
              </w:rPr>
              <w:t>57.554</w:t>
            </w:r>
          </w:p>
        </w:tc>
        <w:tc>
          <w:tcPr>
            <w:tcW w:w="1387" w:type="pct"/>
            <w:shd w:val="clear" w:color="auto" w:fill="auto"/>
            <w:vAlign w:val="center"/>
          </w:tcPr>
          <w:p w14:paraId="4B3AFF15">
            <w:pPr>
              <w:pStyle w:val="32"/>
              <w:bidi w:val="0"/>
              <w:rPr>
                <w:rFonts w:hint="default"/>
                <w:highlight w:val="none"/>
                <w:lang w:val="en-US" w:eastAsia="zh-CN"/>
              </w:rPr>
            </w:pPr>
            <w:r>
              <w:rPr>
                <w:rFonts w:hint="eastAsia"/>
                <w:highlight w:val="none"/>
                <w:lang w:val="en-US" w:eastAsia="zh-CN"/>
              </w:rPr>
              <w:t>3</w:t>
            </w:r>
            <w:r>
              <w:rPr>
                <w:rFonts w:hint="default"/>
                <w:highlight w:val="none"/>
                <w:lang w:val="en-US" w:eastAsia="zh-CN"/>
              </w:rPr>
              <w:t>.725</w:t>
            </w:r>
          </w:p>
        </w:tc>
        <w:tc>
          <w:tcPr>
            <w:tcW w:w="1388" w:type="pct"/>
            <w:shd w:val="clear" w:color="auto" w:fill="auto"/>
            <w:vAlign w:val="center"/>
          </w:tcPr>
          <w:p w14:paraId="3C54105F">
            <w:pPr>
              <w:pStyle w:val="32"/>
              <w:bidi w:val="0"/>
              <w:rPr>
                <w:rFonts w:hint="default"/>
                <w:highlight w:val="none"/>
                <w:lang w:val="en-US" w:eastAsia="zh-CN"/>
              </w:rPr>
            </w:pPr>
            <w:r>
              <w:rPr>
                <w:rFonts w:hint="default"/>
                <w:highlight w:val="none"/>
                <w:lang w:val="en-US" w:eastAsia="zh-CN"/>
              </w:rPr>
              <w:t>5</w:t>
            </w:r>
            <w:r>
              <w:rPr>
                <w:rFonts w:hint="eastAsia"/>
                <w:highlight w:val="none"/>
                <w:lang w:val="en-US" w:eastAsia="zh-CN"/>
              </w:rPr>
              <w:t>1</w:t>
            </w:r>
            <w:r>
              <w:rPr>
                <w:rFonts w:hint="default"/>
                <w:highlight w:val="none"/>
                <w:lang w:val="en-US" w:eastAsia="zh-CN"/>
              </w:rPr>
              <w:t xml:space="preserve">.380 </w:t>
            </w:r>
          </w:p>
        </w:tc>
      </w:tr>
      <w:tr w14:paraId="723EB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576" w:type="pct"/>
            <w:shd w:val="clear" w:color="auto" w:fill="FFFFFF"/>
            <w:noWrap/>
            <w:vAlign w:val="center"/>
          </w:tcPr>
          <w:p w14:paraId="6A8E356B">
            <w:pPr>
              <w:pStyle w:val="32"/>
              <w:bidi w:val="0"/>
              <w:rPr>
                <w:rFonts w:hint="default"/>
                <w:highlight w:val="none"/>
              </w:rPr>
            </w:pPr>
            <w:r>
              <w:rPr>
                <w:rFonts w:hint="default"/>
                <w:highlight w:val="none"/>
                <w:lang w:val="en-US" w:eastAsia="zh-CN"/>
              </w:rPr>
              <w:t>Fe3</w:t>
            </w:r>
          </w:p>
        </w:tc>
        <w:tc>
          <w:tcPr>
            <w:tcW w:w="549" w:type="pct"/>
            <w:shd w:val="clear" w:color="auto" w:fill="auto"/>
            <w:vAlign w:val="center"/>
          </w:tcPr>
          <w:p w14:paraId="1C9C2B95">
            <w:pPr>
              <w:pStyle w:val="32"/>
              <w:bidi w:val="0"/>
              <w:rPr>
                <w:rFonts w:hint="default"/>
                <w:highlight w:val="none"/>
              </w:rPr>
            </w:pPr>
            <w:r>
              <w:rPr>
                <w:rFonts w:hint="default"/>
                <w:highlight w:val="none"/>
                <w:lang w:val="en-US" w:eastAsia="zh-CN"/>
              </w:rPr>
              <w:t>12.157</w:t>
            </w:r>
          </w:p>
        </w:tc>
        <w:tc>
          <w:tcPr>
            <w:tcW w:w="549" w:type="pct"/>
            <w:shd w:val="clear" w:color="auto" w:fill="auto"/>
            <w:vAlign w:val="center"/>
          </w:tcPr>
          <w:p w14:paraId="7F01D16B">
            <w:pPr>
              <w:pStyle w:val="32"/>
              <w:bidi w:val="0"/>
              <w:rPr>
                <w:rFonts w:hint="default"/>
                <w:highlight w:val="none"/>
              </w:rPr>
            </w:pPr>
            <w:r>
              <w:rPr>
                <w:rFonts w:hint="default"/>
                <w:highlight w:val="none"/>
                <w:lang w:val="en-US" w:eastAsia="zh-CN"/>
              </w:rPr>
              <w:t>4.902</w:t>
            </w:r>
          </w:p>
        </w:tc>
        <w:tc>
          <w:tcPr>
            <w:tcW w:w="550" w:type="pct"/>
            <w:shd w:val="clear" w:color="auto" w:fill="auto"/>
            <w:vAlign w:val="center"/>
          </w:tcPr>
          <w:p w14:paraId="24C1F5FA">
            <w:pPr>
              <w:pStyle w:val="32"/>
              <w:bidi w:val="0"/>
              <w:rPr>
                <w:rFonts w:hint="default"/>
                <w:highlight w:val="none"/>
              </w:rPr>
            </w:pPr>
            <w:r>
              <w:rPr>
                <w:rFonts w:hint="default"/>
                <w:highlight w:val="none"/>
                <w:lang w:val="en-US" w:eastAsia="zh-CN"/>
              </w:rPr>
              <w:t>17.06</w:t>
            </w:r>
          </w:p>
        </w:tc>
        <w:tc>
          <w:tcPr>
            <w:tcW w:w="1387" w:type="pct"/>
            <w:shd w:val="clear" w:color="auto" w:fill="auto"/>
            <w:vAlign w:val="center"/>
          </w:tcPr>
          <w:p w14:paraId="59EFD277">
            <w:pPr>
              <w:pStyle w:val="32"/>
              <w:bidi w:val="0"/>
              <w:rPr>
                <w:rFonts w:hint="default"/>
                <w:highlight w:val="none"/>
                <w:lang w:val="en-US" w:eastAsia="zh-CN"/>
              </w:rPr>
            </w:pPr>
          </w:p>
        </w:tc>
        <w:tc>
          <w:tcPr>
            <w:tcW w:w="1388" w:type="pct"/>
            <w:shd w:val="clear" w:color="auto" w:fill="auto"/>
            <w:vAlign w:val="center"/>
          </w:tcPr>
          <w:p w14:paraId="514A7BA2">
            <w:pPr>
              <w:pStyle w:val="32"/>
              <w:bidi w:val="0"/>
              <w:rPr>
                <w:rFonts w:hint="default"/>
                <w:highlight w:val="none"/>
                <w:lang w:val="en-US" w:eastAsia="zh-CN"/>
              </w:rPr>
            </w:pPr>
            <w:r>
              <w:rPr>
                <w:rFonts w:hint="default"/>
                <w:highlight w:val="none"/>
                <w:lang w:val="en-US" w:eastAsia="zh-CN"/>
              </w:rPr>
              <w:t xml:space="preserve">16.079 </w:t>
            </w:r>
          </w:p>
        </w:tc>
      </w:tr>
      <w:tr w14:paraId="35CB8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576" w:type="pct"/>
            <w:shd w:val="clear" w:color="auto" w:fill="FFFFFF"/>
            <w:noWrap/>
            <w:vAlign w:val="center"/>
          </w:tcPr>
          <w:p w14:paraId="54E84F5F">
            <w:pPr>
              <w:pStyle w:val="32"/>
              <w:bidi w:val="0"/>
              <w:rPr>
                <w:rFonts w:hint="default"/>
                <w:highlight w:val="none"/>
              </w:rPr>
            </w:pPr>
            <w:r>
              <w:rPr>
                <w:rFonts w:hint="default"/>
                <w:highlight w:val="none"/>
                <w:lang w:val="en-US" w:eastAsia="zh-CN"/>
              </w:rPr>
              <w:t>Fe4</w:t>
            </w:r>
          </w:p>
        </w:tc>
        <w:tc>
          <w:tcPr>
            <w:tcW w:w="549" w:type="pct"/>
            <w:shd w:val="clear" w:color="auto" w:fill="auto"/>
            <w:noWrap/>
            <w:vAlign w:val="center"/>
          </w:tcPr>
          <w:p w14:paraId="30FBB51F">
            <w:pPr>
              <w:pStyle w:val="32"/>
              <w:bidi w:val="0"/>
              <w:rPr>
                <w:rFonts w:hint="default"/>
                <w:highlight w:val="none"/>
              </w:rPr>
            </w:pPr>
          </w:p>
        </w:tc>
        <w:tc>
          <w:tcPr>
            <w:tcW w:w="549" w:type="pct"/>
            <w:shd w:val="clear" w:color="auto" w:fill="auto"/>
            <w:vAlign w:val="center"/>
          </w:tcPr>
          <w:p w14:paraId="22D9C9BA">
            <w:pPr>
              <w:pStyle w:val="32"/>
              <w:bidi w:val="0"/>
              <w:rPr>
                <w:rFonts w:hint="default"/>
                <w:highlight w:val="none"/>
              </w:rPr>
            </w:pPr>
            <w:r>
              <w:rPr>
                <w:rFonts w:hint="default"/>
                <w:highlight w:val="none"/>
                <w:lang w:val="en-US" w:eastAsia="zh-CN"/>
              </w:rPr>
              <w:t>1.858</w:t>
            </w:r>
          </w:p>
        </w:tc>
        <w:tc>
          <w:tcPr>
            <w:tcW w:w="550" w:type="pct"/>
            <w:shd w:val="clear" w:color="auto" w:fill="auto"/>
            <w:vAlign w:val="center"/>
          </w:tcPr>
          <w:p w14:paraId="14CE73F5">
            <w:pPr>
              <w:pStyle w:val="32"/>
              <w:bidi w:val="0"/>
              <w:rPr>
                <w:rFonts w:hint="default"/>
                <w:highlight w:val="none"/>
              </w:rPr>
            </w:pPr>
            <w:r>
              <w:rPr>
                <w:rFonts w:hint="default"/>
                <w:highlight w:val="none"/>
                <w:lang w:val="en-US" w:eastAsia="zh-CN"/>
              </w:rPr>
              <w:t>1.858</w:t>
            </w:r>
          </w:p>
        </w:tc>
        <w:tc>
          <w:tcPr>
            <w:tcW w:w="1387" w:type="pct"/>
            <w:shd w:val="clear" w:color="auto" w:fill="auto"/>
            <w:vAlign w:val="center"/>
          </w:tcPr>
          <w:p w14:paraId="228AEF26">
            <w:pPr>
              <w:pStyle w:val="32"/>
              <w:bidi w:val="0"/>
              <w:rPr>
                <w:rFonts w:hint="default"/>
                <w:highlight w:val="none"/>
                <w:lang w:val="en-US" w:eastAsia="zh-CN"/>
              </w:rPr>
            </w:pPr>
            <w:r>
              <w:rPr>
                <w:rFonts w:hint="default"/>
                <w:highlight w:val="none"/>
                <w:lang w:val="en-US" w:eastAsia="zh-CN"/>
              </w:rPr>
              <w:t>1.16</w:t>
            </w:r>
          </w:p>
        </w:tc>
        <w:tc>
          <w:tcPr>
            <w:tcW w:w="1388" w:type="pct"/>
            <w:shd w:val="clear" w:color="auto" w:fill="auto"/>
            <w:vAlign w:val="center"/>
          </w:tcPr>
          <w:p w14:paraId="490334C3">
            <w:pPr>
              <w:pStyle w:val="32"/>
              <w:bidi w:val="0"/>
              <w:rPr>
                <w:rFonts w:hint="default"/>
                <w:highlight w:val="none"/>
                <w:lang w:val="en-US" w:eastAsia="zh-CN"/>
              </w:rPr>
            </w:pPr>
            <w:r>
              <w:rPr>
                <w:rFonts w:hint="default"/>
                <w:highlight w:val="none"/>
                <w:lang w:val="en-US" w:eastAsia="zh-CN"/>
              </w:rPr>
              <w:t xml:space="preserve">0.326 </w:t>
            </w:r>
          </w:p>
        </w:tc>
      </w:tr>
      <w:tr w14:paraId="1ECC7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576" w:type="pct"/>
            <w:shd w:val="clear" w:color="auto" w:fill="FFFFFF"/>
            <w:noWrap/>
            <w:vAlign w:val="center"/>
          </w:tcPr>
          <w:p w14:paraId="40049A4B">
            <w:pPr>
              <w:pStyle w:val="32"/>
              <w:bidi w:val="0"/>
              <w:rPr>
                <w:rFonts w:hint="default"/>
                <w:highlight w:val="none"/>
              </w:rPr>
            </w:pPr>
            <w:r>
              <w:rPr>
                <w:rFonts w:hint="default"/>
                <w:highlight w:val="none"/>
                <w:lang w:val="en-US" w:eastAsia="zh-CN"/>
              </w:rPr>
              <w:t>Fe5</w:t>
            </w:r>
          </w:p>
        </w:tc>
        <w:tc>
          <w:tcPr>
            <w:tcW w:w="549" w:type="pct"/>
            <w:shd w:val="clear" w:color="auto" w:fill="auto"/>
            <w:noWrap/>
            <w:vAlign w:val="center"/>
          </w:tcPr>
          <w:p w14:paraId="0C036432">
            <w:pPr>
              <w:pStyle w:val="32"/>
              <w:bidi w:val="0"/>
              <w:rPr>
                <w:rFonts w:hint="default"/>
                <w:highlight w:val="none"/>
              </w:rPr>
            </w:pPr>
          </w:p>
        </w:tc>
        <w:tc>
          <w:tcPr>
            <w:tcW w:w="549" w:type="pct"/>
            <w:shd w:val="clear" w:color="auto" w:fill="auto"/>
            <w:noWrap/>
            <w:vAlign w:val="center"/>
          </w:tcPr>
          <w:p w14:paraId="6F25C3A1">
            <w:pPr>
              <w:pStyle w:val="32"/>
              <w:bidi w:val="0"/>
              <w:rPr>
                <w:rFonts w:hint="default"/>
                <w:highlight w:val="none"/>
              </w:rPr>
            </w:pPr>
            <w:r>
              <w:rPr>
                <w:rFonts w:hint="default"/>
                <w:highlight w:val="none"/>
                <w:lang w:val="en-US" w:eastAsia="zh-CN"/>
              </w:rPr>
              <w:t>0.358</w:t>
            </w:r>
          </w:p>
        </w:tc>
        <w:tc>
          <w:tcPr>
            <w:tcW w:w="550" w:type="pct"/>
            <w:shd w:val="clear" w:color="auto" w:fill="auto"/>
            <w:noWrap/>
            <w:vAlign w:val="center"/>
          </w:tcPr>
          <w:p w14:paraId="24205407">
            <w:pPr>
              <w:pStyle w:val="32"/>
              <w:bidi w:val="0"/>
              <w:rPr>
                <w:rFonts w:hint="default"/>
                <w:highlight w:val="none"/>
              </w:rPr>
            </w:pPr>
            <w:r>
              <w:rPr>
                <w:rFonts w:hint="default"/>
                <w:highlight w:val="none"/>
                <w:lang w:val="en-US" w:eastAsia="zh-CN"/>
              </w:rPr>
              <w:t>0.358</w:t>
            </w:r>
          </w:p>
        </w:tc>
        <w:tc>
          <w:tcPr>
            <w:tcW w:w="1387" w:type="pct"/>
            <w:shd w:val="clear" w:color="auto" w:fill="auto"/>
            <w:noWrap/>
            <w:vAlign w:val="center"/>
          </w:tcPr>
          <w:p w14:paraId="7209BF9D">
            <w:pPr>
              <w:pStyle w:val="32"/>
              <w:bidi w:val="0"/>
              <w:rPr>
                <w:rFonts w:hint="default"/>
                <w:highlight w:val="none"/>
                <w:lang w:val="en-US" w:eastAsia="zh-CN"/>
              </w:rPr>
            </w:pPr>
          </w:p>
        </w:tc>
        <w:tc>
          <w:tcPr>
            <w:tcW w:w="1388" w:type="pct"/>
            <w:shd w:val="clear" w:color="auto" w:fill="auto"/>
            <w:noWrap/>
            <w:vAlign w:val="center"/>
          </w:tcPr>
          <w:p w14:paraId="57C7C6BE">
            <w:pPr>
              <w:pStyle w:val="32"/>
              <w:bidi w:val="0"/>
              <w:rPr>
                <w:rFonts w:hint="default"/>
                <w:highlight w:val="none"/>
                <w:lang w:val="en-US" w:eastAsia="zh-CN"/>
              </w:rPr>
            </w:pPr>
            <w:r>
              <w:rPr>
                <w:rFonts w:hint="default"/>
                <w:highlight w:val="none"/>
                <w:lang w:val="en-US" w:eastAsia="zh-CN"/>
              </w:rPr>
              <w:t xml:space="preserve">0.286 </w:t>
            </w:r>
          </w:p>
        </w:tc>
      </w:tr>
      <w:tr w14:paraId="6A89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576" w:type="pct"/>
            <w:shd w:val="clear" w:color="auto" w:fill="FFFFFF"/>
            <w:noWrap/>
            <w:vAlign w:val="center"/>
          </w:tcPr>
          <w:p w14:paraId="3A1AC5E0">
            <w:pPr>
              <w:pStyle w:val="32"/>
              <w:bidi w:val="0"/>
              <w:rPr>
                <w:rFonts w:hint="default"/>
                <w:highlight w:val="none"/>
              </w:rPr>
            </w:pPr>
            <w:r>
              <w:rPr>
                <w:rFonts w:hint="default"/>
                <w:highlight w:val="none"/>
                <w:lang w:val="en-US" w:eastAsia="zh-CN"/>
              </w:rPr>
              <w:t>Fe6</w:t>
            </w:r>
          </w:p>
        </w:tc>
        <w:tc>
          <w:tcPr>
            <w:tcW w:w="549" w:type="pct"/>
            <w:shd w:val="clear" w:color="auto" w:fill="FFFFFF"/>
            <w:vAlign w:val="center"/>
          </w:tcPr>
          <w:p w14:paraId="38DF2356">
            <w:pPr>
              <w:pStyle w:val="32"/>
              <w:bidi w:val="0"/>
              <w:rPr>
                <w:rFonts w:hint="default"/>
                <w:highlight w:val="none"/>
              </w:rPr>
            </w:pPr>
          </w:p>
        </w:tc>
        <w:tc>
          <w:tcPr>
            <w:tcW w:w="549" w:type="pct"/>
            <w:shd w:val="clear" w:color="auto" w:fill="FFFFFF"/>
            <w:vAlign w:val="center"/>
          </w:tcPr>
          <w:p w14:paraId="3FE39FAC">
            <w:pPr>
              <w:pStyle w:val="32"/>
              <w:bidi w:val="0"/>
              <w:rPr>
                <w:rFonts w:hint="default"/>
                <w:highlight w:val="none"/>
              </w:rPr>
            </w:pPr>
            <w:r>
              <w:rPr>
                <w:rFonts w:hint="default"/>
                <w:highlight w:val="none"/>
                <w:lang w:val="en-US" w:eastAsia="zh-CN"/>
              </w:rPr>
              <w:t>0.548</w:t>
            </w:r>
          </w:p>
        </w:tc>
        <w:tc>
          <w:tcPr>
            <w:tcW w:w="550" w:type="pct"/>
            <w:shd w:val="clear" w:color="auto" w:fill="FFFFFF"/>
            <w:vAlign w:val="center"/>
          </w:tcPr>
          <w:p w14:paraId="17C395CD">
            <w:pPr>
              <w:pStyle w:val="32"/>
              <w:bidi w:val="0"/>
              <w:rPr>
                <w:rFonts w:hint="default"/>
                <w:highlight w:val="none"/>
              </w:rPr>
            </w:pPr>
            <w:r>
              <w:rPr>
                <w:rFonts w:hint="default"/>
                <w:highlight w:val="none"/>
                <w:lang w:val="en-US" w:eastAsia="zh-CN"/>
              </w:rPr>
              <w:t>0.548</w:t>
            </w:r>
          </w:p>
        </w:tc>
        <w:tc>
          <w:tcPr>
            <w:tcW w:w="1387" w:type="pct"/>
            <w:shd w:val="clear" w:color="auto" w:fill="FFFFFF"/>
            <w:vAlign w:val="center"/>
          </w:tcPr>
          <w:p w14:paraId="45EFA550">
            <w:pPr>
              <w:pStyle w:val="32"/>
              <w:bidi w:val="0"/>
              <w:rPr>
                <w:rFonts w:hint="default"/>
                <w:highlight w:val="none"/>
                <w:lang w:val="en-US" w:eastAsia="zh-CN"/>
              </w:rPr>
            </w:pPr>
          </w:p>
        </w:tc>
        <w:tc>
          <w:tcPr>
            <w:tcW w:w="1388" w:type="pct"/>
            <w:shd w:val="clear" w:color="auto" w:fill="FFFFFF"/>
            <w:vAlign w:val="center"/>
          </w:tcPr>
          <w:p w14:paraId="7D6D6BAE">
            <w:pPr>
              <w:pStyle w:val="32"/>
              <w:bidi w:val="0"/>
              <w:rPr>
                <w:rFonts w:hint="default"/>
                <w:highlight w:val="none"/>
                <w:lang w:val="en-US" w:eastAsia="zh-CN"/>
              </w:rPr>
            </w:pPr>
            <w:r>
              <w:rPr>
                <w:rFonts w:hint="default"/>
                <w:highlight w:val="none"/>
                <w:lang w:val="en-US" w:eastAsia="zh-CN"/>
              </w:rPr>
              <w:t xml:space="preserve">0.438 </w:t>
            </w:r>
          </w:p>
        </w:tc>
      </w:tr>
      <w:tr w14:paraId="1908B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trPr>
        <w:tc>
          <w:tcPr>
            <w:tcW w:w="576" w:type="pct"/>
            <w:shd w:val="clear" w:color="auto" w:fill="FFFFFF"/>
            <w:noWrap/>
            <w:vAlign w:val="center"/>
          </w:tcPr>
          <w:p w14:paraId="22D7D032">
            <w:pPr>
              <w:pStyle w:val="32"/>
              <w:bidi w:val="0"/>
              <w:rPr>
                <w:rFonts w:hint="default"/>
                <w:highlight w:val="none"/>
              </w:rPr>
            </w:pPr>
            <w:r>
              <w:rPr>
                <w:rFonts w:hint="default"/>
                <w:highlight w:val="none"/>
                <w:lang w:val="en-US" w:eastAsia="zh-CN"/>
              </w:rPr>
              <w:t>Fe7</w:t>
            </w:r>
          </w:p>
        </w:tc>
        <w:tc>
          <w:tcPr>
            <w:tcW w:w="549" w:type="pct"/>
            <w:shd w:val="clear" w:color="auto" w:fill="FFFFFF"/>
            <w:vAlign w:val="center"/>
          </w:tcPr>
          <w:p w14:paraId="65FBDC70">
            <w:pPr>
              <w:pStyle w:val="32"/>
              <w:bidi w:val="0"/>
              <w:rPr>
                <w:rFonts w:hint="default"/>
                <w:highlight w:val="none"/>
              </w:rPr>
            </w:pPr>
          </w:p>
        </w:tc>
        <w:tc>
          <w:tcPr>
            <w:tcW w:w="549" w:type="pct"/>
            <w:shd w:val="clear" w:color="auto" w:fill="FFFFFF"/>
            <w:vAlign w:val="center"/>
          </w:tcPr>
          <w:p w14:paraId="54D4E03A">
            <w:pPr>
              <w:pStyle w:val="32"/>
              <w:bidi w:val="0"/>
              <w:rPr>
                <w:rFonts w:hint="default"/>
                <w:highlight w:val="none"/>
              </w:rPr>
            </w:pPr>
            <w:r>
              <w:rPr>
                <w:rFonts w:hint="default"/>
                <w:highlight w:val="none"/>
                <w:lang w:val="en-US" w:eastAsia="zh-CN"/>
              </w:rPr>
              <w:t>1.473</w:t>
            </w:r>
          </w:p>
        </w:tc>
        <w:tc>
          <w:tcPr>
            <w:tcW w:w="550" w:type="pct"/>
            <w:shd w:val="clear" w:color="auto" w:fill="FFFFFF"/>
            <w:vAlign w:val="center"/>
          </w:tcPr>
          <w:p w14:paraId="2FEF5493">
            <w:pPr>
              <w:pStyle w:val="32"/>
              <w:bidi w:val="0"/>
              <w:rPr>
                <w:rFonts w:hint="default"/>
                <w:highlight w:val="none"/>
              </w:rPr>
            </w:pPr>
            <w:r>
              <w:rPr>
                <w:rFonts w:hint="default"/>
                <w:highlight w:val="none"/>
                <w:lang w:val="en-US" w:eastAsia="zh-CN"/>
              </w:rPr>
              <w:t>1.473</w:t>
            </w:r>
          </w:p>
        </w:tc>
        <w:tc>
          <w:tcPr>
            <w:tcW w:w="1387" w:type="pct"/>
            <w:shd w:val="clear" w:color="auto" w:fill="FFFFFF"/>
            <w:vAlign w:val="center"/>
          </w:tcPr>
          <w:p w14:paraId="464F4671">
            <w:pPr>
              <w:pStyle w:val="32"/>
              <w:bidi w:val="0"/>
              <w:rPr>
                <w:rFonts w:hint="default"/>
                <w:highlight w:val="none"/>
                <w:lang w:val="en-US" w:eastAsia="zh-CN"/>
              </w:rPr>
            </w:pPr>
          </w:p>
        </w:tc>
        <w:tc>
          <w:tcPr>
            <w:tcW w:w="1388" w:type="pct"/>
            <w:shd w:val="clear" w:color="auto" w:fill="FFFFFF"/>
            <w:vAlign w:val="center"/>
          </w:tcPr>
          <w:p w14:paraId="2FCD37A3">
            <w:pPr>
              <w:pStyle w:val="32"/>
              <w:bidi w:val="0"/>
              <w:rPr>
                <w:rFonts w:hint="default"/>
                <w:highlight w:val="none"/>
                <w:lang w:val="en-US" w:eastAsia="zh-CN"/>
              </w:rPr>
            </w:pPr>
            <w:r>
              <w:rPr>
                <w:rFonts w:hint="default"/>
                <w:highlight w:val="none"/>
                <w:lang w:val="en-US" w:eastAsia="zh-CN"/>
              </w:rPr>
              <w:t xml:space="preserve">1.178 </w:t>
            </w:r>
          </w:p>
        </w:tc>
      </w:tr>
      <w:tr w14:paraId="25131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576" w:type="pct"/>
            <w:shd w:val="clear" w:color="auto" w:fill="FFFFFF"/>
            <w:noWrap/>
            <w:vAlign w:val="center"/>
          </w:tcPr>
          <w:p w14:paraId="1E5DE648">
            <w:pPr>
              <w:pStyle w:val="32"/>
              <w:bidi w:val="0"/>
              <w:rPr>
                <w:rFonts w:hint="default"/>
                <w:highlight w:val="none"/>
              </w:rPr>
            </w:pPr>
            <w:r>
              <w:rPr>
                <w:rFonts w:hint="default"/>
                <w:highlight w:val="none"/>
                <w:lang w:val="en-US" w:eastAsia="zh-CN"/>
              </w:rPr>
              <w:t>合计</w:t>
            </w:r>
          </w:p>
        </w:tc>
        <w:tc>
          <w:tcPr>
            <w:tcW w:w="549" w:type="pct"/>
            <w:shd w:val="clear" w:color="auto" w:fill="FFFFFF"/>
            <w:vAlign w:val="center"/>
          </w:tcPr>
          <w:p w14:paraId="2502467F">
            <w:pPr>
              <w:pStyle w:val="32"/>
              <w:bidi w:val="0"/>
              <w:rPr>
                <w:rFonts w:hint="default"/>
                <w:highlight w:val="none"/>
              </w:rPr>
            </w:pPr>
            <w:r>
              <w:rPr>
                <w:rFonts w:hint="default"/>
                <w:highlight w:val="none"/>
                <w:lang w:val="en-US" w:eastAsia="zh-CN"/>
              </w:rPr>
              <w:t>64.342</w:t>
            </w:r>
          </w:p>
        </w:tc>
        <w:tc>
          <w:tcPr>
            <w:tcW w:w="549" w:type="pct"/>
            <w:shd w:val="clear" w:color="auto" w:fill="FFFFFF"/>
            <w:vAlign w:val="center"/>
          </w:tcPr>
          <w:p w14:paraId="355E3CD3">
            <w:pPr>
              <w:pStyle w:val="32"/>
              <w:bidi w:val="0"/>
              <w:rPr>
                <w:rFonts w:hint="default"/>
                <w:highlight w:val="none"/>
              </w:rPr>
            </w:pPr>
            <w:r>
              <w:rPr>
                <w:rFonts w:hint="default"/>
                <w:highlight w:val="none"/>
                <w:lang w:val="en-US" w:eastAsia="zh-CN"/>
              </w:rPr>
              <w:t>27.589</w:t>
            </w:r>
          </w:p>
        </w:tc>
        <w:tc>
          <w:tcPr>
            <w:tcW w:w="550" w:type="pct"/>
            <w:shd w:val="clear" w:color="auto" w:fill="FFFFFF"/>
            <w:vAlign w:val="center"/>
          </w:tcPr>
          <w:p w14:paraId="2E178C3E">
            <w:pPr>
              <w:pStyle w:val="32"/>
              <w:bidi w:val="0"/>
              <w:rPr>
                <w:rFonts w:hint="default"/>
                <w:highlight w:val="none"/>
              </w:rPr>
            </w:pPr>
            <w:r>
              <w:rPr>
                <w:rFonts w:hint="default"/>
                <w:highlight w:val="none"/>
                <w:lang w:val="en-US" w:eastAsia="zh-CN"/>
              </w:rPr>
              <w:t>91.931</w:t>
            </w:r>
          </w:p>
        </w:tc>
        <w:tc>
          <w:tcPr>
            <w:tcW w:w="1387" w:type="pct"/>
            <w:shd w:val="clear" w:color="auto" w:fill="FFFFFF"/>
            <w:vAlign w:val="center"/>
          </w:tcPr>
          <w:p w14:paraId="351B7203">
            <w:pPr>
              <w:pStyle w:val="32"/>
              <w:bidi w:val="0"/>
              <w:rPr>
                <w:rFonts w:hint="default"/>
                <w:highlight w:val="none"/>
                <w:lang w:val="en-US" w:eastAsia="zh-CN"/>
              </w:rPr>
            </w:pPr>
            <w:r>
              <w:rPr>
                <w:rFonts w:hint="eastAsia"/>
                <w:highlight w:val="none"/>
                <w:lang w:val="en-US" w:eastAsia="zh-CN"/>
              </w:rPr>
              <w:t>5</w:t>
            </w:r>
            <w:r>
              <w:rPr>
                <w:rFonts w:hint="default"/>
                <w:highlight w:val="none"/>
                <w:lang w:val="en-US" w:eastAsia="zh-CN"/>
              </w:rPr>
              <w:t>.606</w:t>
            </w:r>
          </w:p>
        </w:tc>
        <w:tc>
          <w:tcPr>
            <w:tcW w:w="1388" w:type="pct"/>
            <w:shd w:val="clear" w:color="auto" w:fill="FFFFFF"/>
            <w:vAlign w:val="center"/>
          </w:tcPr>
          <w:p w14:paraId="60D02F84">
            <w:pPr>
              <w:pStyle w:val="32"/>
              <w:bidi w:val="0"/>
              <w:rPr>
                <w:rFonts w:hint="default"/>
                <w:highlight w:val="none"/>
                <w:lang w:val="en-US" w:eastAsia="zh-CN"/>
              </w:rPr>
            </w:pPr>
            <w:r>
              <w:rPr>
                <w:rFonts w:hint="default"/>
                <w:highlight w:val="none"/>
                <w:lang w:val="en-US" w:eastAsia="zh-CN"/>
              </w:rPr>
              <w:t>8</w:t>
            </w:r>
            <w:r>
              <w:rPr>
                <w:rFonts w:hint="eastAsia"/>
                <w:highlight w:val="none"/>
                <w:lang w:val="en-US" w:eastAsia="zh-CN"/>
              </w:rPr>
              <w:t>0</w:t>
            </w:r>
            <w:r>
              <w:rPr>
                <w:rFonts w:hint="default"/>
                <w:highlight w:val="none"/>
                <w:lang w:val="en-US" w:eastAsia="zh-CN"/>
              </w:rPr>
              <w:t xml:space="preserve">.807 </w:t>
            </w:r>
          </w:p>
        </w:tc>
      </w:tr>
    </w:tbl>
    <w:p w14:paraId="22F5A442">
      <w:pPr>
        <w:pStyle w:val="31"/>
        <w:bidi w:val="0"/>
        <w:rPr>
          <w:rFonts w:hint="default"/>
          <w:highlight w:val="none"/>
          <w:lang w:val="en-US" w:eastAsia="zh-CN"/>
        </w:rPr>
      </w:pPr>
    </w:p>
    <w:p w14:paraId="19B35D28">
      <w:pPr>
        <w:pStyle w:val="22"/>
        <w:numPr>
          <w:ilvl w:val="0"/>
          <w:numId w:val="15"/>
        </w:numPr>
        <w:bidi w:val="0"/>
        <w:rPr>
          <w:rFonts w:hint="default"/>
          <w:highlight w:val="none"/>
          <w:lang w:val="en-US" w:eastAsia="zh-CN"/>
        </w:rPr>
      </w:pPr>
      <w:r>
        <w:rPr>
          <w:rFonts w:hint="default"/>
          <w:highlight w:val="none"/>
          <w:lang w:val="en-US" w:eastAsia="zh-CN"/>
        </w:rPr>
        <w:t>生产规模及服务年限</w:t>
      </w:r>
    </w:p>
    <w:p w14:paraId="1DDC021B">
      <w:pPr>
        <w:pStyle w:val="22"/>
        <w:bidi w:val="0"/>
        <w:rPr>
          <w:rFonts w:hint="default"/>
          <w:highlight w:val="none"/>
          <w:lang w:val="en-US" w:eastAsia="zh-CN"/>
        </w:rPr>
      </w:pPr>
      <w:r>
        <w:rPr>
          <w:rFonts w:hint="eastAsia"/>
          <w:highlight w:val="none"/>
          <w:lang w:val="en-US" w:eastAsia="zh-CN"/>
        </w:rPr>
        <w:t>《可研报告》明确，生产规模为15万t/a，矿山服务年限为5年零5个月（不含基建期）。</w:t>
      </w:r>
    </w:p>
    <w:p w14:paraId="0D5105F4">
      <w:pPr>
        <w:pStyle w:val="22"/>
        <w:numPr>
          <w:ilvl w:val="0"/>
          <w:numId w:val="15"/>
        </w:numPr>
        <w:bidi w:val="0"/>
        <w:rPr>
          <w:rFonts w:hint="default"/>
          <w:highlight w:val="none"/>
          <w:lang w:val="en-US" w:eastAsia="zh-CN"/>
        </w:rPr>
      </w:pPr>
      <w:r>
        <w:rPr>
          <w:rFonts w:hint="default"/>
          <w:highlight w:val="none"/>
          <w:lang w:val="en-US" w:eastAsia="zh-CN"/>
        </w:rPr>
        <w:t>工作制度</w:t>
      </w:r>
    </w:p>
    <w:p w14:paraId="7636331F">
      <w:pPr>
        <w:pStyle w:val="22"/>
        <w:bidi w:val="0"/>
        <w:rPr>
          <w:rFonts w:hint="default"/>
          <w:highlight w:val="none"/>
          <w:lang w:val="en-US" w:eastAsia="zh-CN"/>
        </w:rPr>
      </w:pPr>
      <w:r>
        <w:rPr>
          <w:rFonts w:hint="eastAsia"/>
          <w:highlight w:val="none"/>
          <w:lang w:val="en-US" w:eastAsia="zh-CN"/>
        </w:rPr>
        <w:t>矿山采用连续工作制，年工作300天，每天2班，每班8小时。</w:t>
      </w:r>
    </w:p>
    <w:p w14:paraId="3B2DFFA7">
      <w:pPr>
        <w:pStyle w:val="30"/>
        <w:bidi w:val="0"/>
        <w:rPr>
          <w:rFonts w:hint="default"/>
          <w:highlight w:val="none"/>
          <w:lang w:val="en-US" w:eastAsia="zh-CN"/>
        </w:rPr>
      </w:pPr>
      <w:r>
        <w:rPr>
          <w:rFonts w:hint="eastAsia"/>
          <w:highlight w:val="none"/>
          <w:lang w:val="en-US" w:eastAsia="zh-CN"/>
        </w:rPr>
        <w:t>总图运输</w:t>
      </w:r>
    </w:p>
    <w:p w14:paraId="618E9E67">
      <w:pPr>
        <w:pStyle w:val="22"/>
        <w:numPr>
          <w:ilvl w:val="0"/>
          <w:numId w:val="16"/>
        </w:numPr>
        <w:bidi w:val="0"/>
        <w:rPr>
          <w:rFonts w:hint="default"/>
          <w:highlight w:val="none"/>
          <w:lang w:val="en-US" w:eastAsia="zh-CN"/>
        </w:rPr>
      </w:pPr>
      <w:r>
        <w:rPr>
          <w:rFonts w:hint="eastAsia"/>
          <w:highlight w:val="none"/>
          <w:lang w:val="en-US" w:eastAsia="zh-CN"/>
        </w:rPr>
        <w:t>总体布置</w:t>
      </w:r>
    </w:p>
    <w:p w14:paraId="197CA17B">
      <w:pPr>
        <w:pStyle w:val="22"/>
        <w:bidi w:val="0"/>
        <w:rPr>
          <w:rFonts w:hint="eastAsia"/>
          <w:highlight w:val="none"/>
          <w:lang w:val="en-US" w:eastAsia="zh-CN"/>
        </w:rPr>
      </w:pPr>
      <w:r>
        <w:rPr>
          <w:rFonts w:hint="eastAsia"/>
          <w:highlight w:val="none"/>
          <w:lang w:val="en-US" w:eastAsia="zh-CN"/>
        </w:rPr>
        <w:t>矿区现有工业场地，最低标高为272.8m，最低井口为斜坡道硐口，井口标高272.8m，均高于历史最高洪水位（262.7m）1m以上。满足安全生产要求。</w:t>
      </w:r>
    </w:p>
    <w:p w14:paraId="574D2EF2">
      <w:pPr>
        <w:pStyle w:val="22"/>
        <w:bidi w:val="0"/>
        <w:rPr>
          <w:rFonts w:hint="eastAsia"/>
          <w:highlight w:val="none"/>
          <w:lang w:val="en-US" w:eastAsia="zh-CN"/>
        </w:rPr>
      </w:pPr>
      <w:r>
        <w:rPr>
          <w:rFonts w:hint="eastAsia"/>
          <w:highlight w:val="none"/>
          <w:lang w:val="en-US" w:eastAsia="zh-CN"/>
        </w:rPr>
        <w:t>工业场地内布置有空压机站、变配电所、高位水池等设施。</w:t>
      </w:r>
    </w:p>
    <w:p w14:paraId="70A97576">
      <w:pPr>
        <w:pStyle w:val="22"/>
        <w:bidi w:val="0"/>
        <w:rPr>
          <w:rFonts w:hint="default"/>
          <w:highlight w:val="none"/>
          <w:lang w:val="en-US" w:eastAsia="zh-CN"/>
        </w:rPr>
      </w:pPr>
      <w:r>
        <w:rPr>
          <w:rFonts w:hint="eastAsia"/>
          <w:highlight w:val="none"/>
          <w:lang w:val="en-US" w:eastAsia="zh-CN"/>
        </w:rPr>
        <w:t>回风竖井井口布置有通风机房</w:t>
      </w:r>
      <w:r>
        <w:rPr>
          <w:rFonts w:hint="default"/>
          <w:highlight w:val="none"/>
          <w:lang w:val="en-US" w:eastAsia="zh-CN"/>
        </w:rPr>
        <w:t>。</w:t>
      </w:r>
    </w:p>
    <w:p w14:paraId="014208DD">
      <w:pPr>
        <w:pStyle w:val="22"/>
        <w:numPr>
          <w:ilvl w:val="0"/>
          <w:numId w:val="16"/>
        </w:numPr>
        <w:bidi w:val="0"/>
        <w:rPr>
          <w:rFonts w:hint="default"/>
          <w:highlight w:val="none"/>
          <w:lang w:val="en-US" w:eastAsia="zh-CN"/>
        </w:rPr>
      </w:pPr>
      <w:r>
        <w:rPr>
          <w:rFonts w:hint="default"/>
          <w:highlight w:val="none"/>
          <w:lang w:val="en-US" w:eastAsia="zh-CN"/>
        </w:rPr>
        <w:t>总平面布置</w:t>
      </w:r>
    </w:p>
    <w:p w14:paraId="56AB109F">
      <w:pPr>
        <w:pStyle w:val="22"/>
        <w:bidi w:val="0"/>
        <w:rPr>
          <w:rFonts w:hint="eastAsia"/>
          <w:highlight w:val="none"/>
          <w:lang w:val="en-US" w:eastAsia="zh-CN"/>
        </w:rPr>
      </w:pPr>
      <w:r>
        <w:rPr>
          <w:rFonts w:hint="default"/>
          <w:highlight w:val="none"/>
          <w:lang w:val="en-US" w:eastAsia="zh-CN"/>
        </w:rPr>
        <w:t>《可研报告》</w:t>
      </w:r>
      <w:r>
        <w:rPr>
          <w:rFonts w:hint="eastAsia"/>
          <w:highlight w:val="none"/>
          <w:lang w:val="en-US" w:eastAsia="zh-CN"/>
        </w:rPr>
        <w:t>明确，矿山</w:t>
      </w:r>
      <w:r>
        <w:rPr>
          <w:rFonts w:hint="eastAsia"/>
          <w:highlight w:val="none"/>
        </w:rPr>
        <w:t>采用斜坡道开拓</w:t>
      </w:r>
      <w:r>
        <w:rPr>
          <w:rFonts w:hint="eastAsia"/>
          <w:highlight w:val="none"/>
          <w:lang w:val="en-US" w:eastAsia="zh-CN"/>
        </w:rPr>
        <w:t>方案</w:t>
      </w:r>
      <w:r>
        <w:rPr>
          <w:rFonts w:hint="eastAsia"/>
          <w:highlight w:val="none"/>
          <w:lang w:eastAsia="zh-CN"/>
        </w:rPr>
        <w:t>。</w:t>
      </w:r>
    </w:p>
    <w:p w14:paraId="4864CF94">
      <w:pPr>
        <w:pStyle w:val="22"/>
        <w:bidi w:val="0"/>
        <w:rPr>
          <w:rFonts w:hint="eastAsia"/>
          <w:highlight w:val="none"/>
        </w:rPr>
      </w:pPr>
      <w:r>
        <w:rPr>
          <w:rFonts w:hint="eastAsia"/>
          <w:highlight w:val="none"/>
        </w:rPr>
        <w:t>斜坡道：为矿山现有工程，硐口位于1号勘探线和3号勘探线之间，岩石移动范围20m外。硐口坐标：X=</w:t>
      </w:r>
      <w:r>
        <w:rPr>
          <w:rFonts w:hint="eastAsia"/>
          <w:highlight w:val="none"/>
          <w:lang w:eastAsia="zh-CN"/>
        </w:rPr>
        <w:t>XXXXX</w:t>
      </w:r>
      <w:r>
        <w:rPr>
          <w:rFonts w:hint="eastAsia"/>
          <w:highlight w:val="none"/>
        </w:rPr>
        <w:t>，Y=</w:t>
      </w:r>
      <w:r>
        <w:rPr>
          <w:rFonts w:hint="eastAsia"/>
          <w:highlight w:val="none"/>
          <w:lang w:eastAsia="zh-CN"/>
        </w:rPr>
        <w:t>XXXXX</w:t>
      </w:r>
      <w:r>
        <w:rPr>
          <w:rFonts w:hint="eastAsia"/>
          <w:highlight w:val="none"/>
        </w:rPr>
        <w:t>，Z=272.80m，底部标高138m，总长约1090m，斜坡道坡度为12%，断面采用三心拱形，净断面规格为5.0m×4.0m。每不大于400m设置长度不小于20m的缓坡段，缓坡段坡度为3‰。缓坡段同时作为错车道，断面为三心拱形，净断面规格为7.5m×4.53m。斜坡道一侧设有人行道，担负井下矿石、废石、材料、设备及人员的运输任务，入新风兼做安全出口。本次设计对其加以改道延伸至-67m标高，延伸后斜坡道总长约2950m，本次设计利用其部分现有斜坡道长度301m，其余现有247m标高～205m标高斜坡道位于岩石移动范围内，故不予利用，对不利用部分进行封堵。</w:t>
      </w:r>
    </w:p>
    <w:p w14:paraId="41A2CF9A">
      <w:pPr>
        <w:pStyle w:val="22"/>
        <w:bidi w:val="0"/>
        <w:rPr>
          <w:rFonts w:hint="eastAsia"/>
          <w:highlight w:val="none"/>
        </w:rPr>
      </w:pPr>
      <w:r>
        <w:rPr>
          <w:rFonts w:hint="eastAsia"/>
          <w:highlight w:val="none"/>
        </w:rPr>
        <w:t>回风竖井：为矿山现有工程，井口位于1号勘探线附近，井口中心点坐标：X=4532215.045，Y=41580468.464，Z=277.366m，井筒位于岩石移动范围20m外，井底标高138m，井深139.366m，井筒断面为矩形，断面尺寸为4.6×2.35m，为混合井。设计对其继续进行利用，将该井筒装备进行拆除，仅保留梯子间，井口安装主扇风机，排污风兼做安全出口。</w:t>
      </w:r>
    </w:p>
    <w:p w14:paraId="51926AA4">
      <w:pPr>
        <w:pStyle w:val="22"/>
        <w:bidi w:val="0"/>
        <w:rPr>
          <w:rFonts w:hint="default"/>
          <w:highlight w:val="none"/>
          <w:lang w:val="en-US" w:eastAsia="zh-CN"/>
        </w:rPr>
      </w:pPr>
      <w:r>
        <w:rPr>
          <w:rFonts w:hint="eastAsia"/>
          <w:highlight w:val="none"/>
        </w:rPr>
        <w:t>倒段回风井：为本次设计新建工程，各阶段倒段回风井均布置在监测范围20m外，井筒断面为圆形，断面直径为3.5m，井筒内设有梯子间，排污风兼安全出口</w:t>
      </w:r>
      <w:r>
        <w:rPr>
          <w:rFonts w:hint="eastAsia"/>
          <w:highlight w:val="none"/>
          <w:lang w:val="en-US" w:eastAsia="zh-CN"/>
        </w:rPr>
        <w:t>。</w:t>
      </w:r>
    </w:p>
    <w:p w14:paraId="67DF80A4">
      <w:pPr>
        <w:pStyle w:val="22"/>
        <w:bidi w:val="0"/>
        <w:rPr>
          <w:rFonts w:hint="default"/>
          <w:highlight w:val="none"/>
          <w:lang w:val="en-US" w:eastAsia="zh-CN"/>
        </w:rPr>
      </w:pPr>
      <w:r>
        <w:rPr>
          <w:rFonts w:hint="eastAsia"/>
          <w:highlight w:val="none"/>
          <w:lang w:val="en-US" w:eastAsia="zh-CN"/>
        </w:rPr>
        <w:t>4、废石场</w:t>
      </w:r>
    </w:p>
    <w:p w14:paraId="0CCFD389">
      <w:pPr>
        <w:pStyle w:val="22"/>
        <w:bidi w:val="0"/>
        <w:rPr>
          <w:rFonts w:hint="eastAsia"/>
          <w:highlight w:val="none"/>
          <w:lang w:val="en-US" w:eastAsia="zh-CN"/>
        </w:rPr>
      </w:pPr>
      <w:r>
        <w:rPr>
          <w:rFonts w:hint="eastAsia"/>
          <w:highlight w:val="none"/>
          <w:lang w:val="en-US" w:eastAsia="zh-CN"/>
        </w:rPr>
        <w:t>根据设计选择的采矿工艺，矿山生产期间产生的废石全部用于充填井下采空区，废石不出井。</w:t>
      </w:r>
    </w:p>
    <w:p w14:paraId="5F66C37A">
      <w:pPr>
        <w:pStyle w:val="22"/>
        <w:bidi w:val="0"/>
        <w:rPr>
          <w:rFonts w:hint="eastAsia"/>
          <w:highlight w:val="none"/>
          <w:lang w:val="en-US" w:eastAsia="zh-CN"/>
        </w:rPr>
      </w:pPr>
      <w:r>
        <w:rPr>
          <w:rFonts w:hint="eastAsia"/>
          <w:highlight w:val="none"/>
          <w:lang w:val="en-US" w:eastAsia="zh-CN"/>
        </w:rPr>
        <w:t>矿山建设期间产生的废石回填至地表CK2。</w:t>
      </w:r>
    </w:p>
    <w:p w14:paraId="52363879">
      <w:pPr>
        <w:pStyle w:val="22"/>
        <w:bidi w:val="0"/>
        <w:rPr>
          <w:rFonts w:hint="default"/>
          <w:highlight w:val="none"/>
          <w:lang w:val="en-US" w:eastAsia="zh-CN"/>
        </w:rPr>
      </w:pPr>
      <w:r>
        <w:rPr>
          <w:rFonts w:hint="eastAsia"/>
          <w:highlight w:val="none"/>
          <w:lang w:val="en-US" w:eastAsia="zh-CN"/>
        </w:rPr>
        <w:t>因此，设计不设置废石堆场</w:t>
      </w:r>
      <w:r>
        <w:rPr>
          <w:rFonts w:hint="default"/>
          <w:highlight w:val="none"/>
          <w:lang w:val="en-US" w:eastAsia="zh-CN"/>
        </w:rPr>
        <w:t>。</w:t>
      </w:r>
    </w:p>
    <w:p w14:paraId="0A18EE30">
      <w:pPr>
        <w:pStyle w:val="22"/>
        <w:bidi w:val="0"/>
        <w:rPr>
          <w:rFonts w:hint="default"/>
          <w:highlight w:val="none"/>
          <w:lang w:val="en-US" w:eastAsia="zh-CN"/>
        </w:rPr>
      </w:pPr>
      <w:r>
        <w:rPr>
          <w:rFonts w:hint="eastAsia"/>
          <w:highlight w:val="none"/>
          <w:lang w:val="en-US" w:eastAsia="zh-CN"/>
        </w:rPr>
        <w:t>5、工业场地</w:t>
      </w:r>
    </w:p>
    <w:p w14:paraId="4DB4BF88">
      <w:pPr>
        <w:pStyle w:val="22"/>
        <w:bidi w:val="0"/>
        <w:rPr>
          <w:rFonts w:hint="default"/>
          <w:highlight w:val="none"/>
          <w:lang w:val="en-US" w:eastAsia="zh-CN"/>
        </w:rPr>
      </w:pPr>
      <w:r>
        <w:rPr>
          <w:rFonts w:hint="default"/>
          <w:highlight w:val="none"/>
          <w:lang w:val="en-US" w:eastAsia="zh-CN"/>
        </w:rPr>
        <w:t>工业场地内布置有空压机站、变配电所、高位水池等设施。回风竖井井口布置有通风机房</w:t>
      </w:r>
      <w:r>
        <w:rPr>
          <w:rFonts w:hint="eastAsia"/>
          <w:highlight w:val="none"/>
          <w:lang w:val="en-US" w:eastAsia="zh-CN"/>
        </w:rPr>
        <w:t>。</w:t>
      </w:r>
    </w:p>
    <w:p w14:paraId="412CA1A1">
      <w:pPr>
        <w:pStyle w:val="22"/>
        <w:numPr>
          <w:ilvl w:val="0"/>
          <w:numId w:val="16"/>
        </w:numPr>
        <w:bidi w:val="0"/>
        <w:rPr>
          <w:rFonts w:hint="eastAsia"/>
          <w:highlight w:val="none"/>
          <w:lang w:val="en-US" w:eastAsia="zh-CN"/>
        </w:rPr>
      </w:pPr>
      <w:r>
        <w:rPr>
          <w:rFonts w:hint="eastAsia"/>
          <w:highlight w:val="none"/>
          <w:lang w:val="en-US" w:eastAsia="zh-CN"/>
        </w:rPr>
        <w:t>内外部运输</w:t>
      </w:r>
    </w:p>
    <w:p w14:paraId="7C147A19">
      <w:pPr>
        <w:pStyle w:val="22"/>
        <w:bidi w:val="0"/>
        <w:rPr>
          <w:rFonts w:hint="eastAsia"/>
          <w:highlight w:val="none"/>
          <w:lang w:val="en-US" w:eastAsia="zh-CN"/>
        </w:rPr>
      </w:pPr>
      <w:r>
        <w:rPr>
          <w:rFonts w:hint="eastAsia"/>
          <w:highlight w:val="none"/>
          <w:lang w:val="en-US" w:eastAsia="zh-CN"/>
        </w:rPr>
        <w:t>1、矿区道路及运输</w:t>
      </w:r>
    </w:p>
    <w:p w14:paraId="61588727">
      <w:pPr>
        <w:pStyle w:val="22"/>
        <w:bidi w:val="0"/>
        <w:rPr>
          <w:rFonts w:hint="default"/>
          <w:highlight w:val="none"/>
          <w:lang w:val="en-US" w:eastAsia="zh-CN"/>
        </w:rPr>
      </w:pPr>
      <w:r>
        <w:rPr>
          <w:rFonts w:hint="default"/>
          <w:highlight w:val="none"/>
          <w:lang w:val="en-US" w:eastAsia="zh-CN"/>
        </w:rPr>
        <w:t>矿区道路为Ⅲ级道路，碎石路面。运输道路路面宽8.0m，最大纵坡8%，最小平曲线半径15m。</w:t>
      </w:r>
    </w:p>
    <w:p w14:paraId="64CB071E">
      <w:pPr>
        <w:pStyle w:val="22"/>
        <w:bidi w:val="0"/>
        <w:rPr>
          <w:rFonts w:hint="default"/>
          <w:highlight w:val="none"/>
          <w:lang w:val="en-US" w:eastAsia="zh-CN"/>
        </w:rPr>
      </w:pPr>
      <w:r>
        <w:rPr>
          <w:rFonts w:hint="default"/>
          <w:highlight w:val="none"/>
          <w:lang w:val="en-US" w:eastAsia="zh-CN"/>
        </w:rPr>
        <w:t>采矿生产所需原材料主要是炸药，工业数码电子雷管、水泥、砂石料、钢材等。</w:t>
      </w:r>
    </w:p>
    <w:p w14:paraId="0FAEBC5F">
      <w:pPr>
        <w:pStyle w:val="22"/>
        <w:bidi w:val="0"/>
        <w:rPr>
          <w:rFonts w:hint="default"/>
          <w:highlight w:val="none"/>
          <w:lang w:val="en-US" w:eastAsia="zh-CN"/>
        </w:rPr>
      </w:pPr>
      <w:r>
        <w:rPr>
          <w:rFonts w:hint="eastAsia"/>
          <w:highlight w:val="none"/>
          <w:lang w:val="en-US" w:eastAsia="zh-CN"/>
        </w:rPr>
        <w:t>①</w:t>
      </w:r>
      <w:r>
        <w:rPr>
          <w:rFonts w:hint="default"/>
          <w:highlight w:val="none"/>
          <w:lang w:val="en-US" w:eastAsia="zh-CN"/>
        </w:rPr>
        <w:t>炸药及电子雷管运输</w:t>
      </w:r>
    </w:p>
    <w:p w14:paraId="3D79F6DF">
      <w:pPr>
        <w:pStyle w:val="22"/>
        <w:bidi w:val="0"/>
        <w:rPr>
          <w:rFonts w:hint="default"/>
          <w:highlight w:val="none"/>
          <w:lang w:val="en-US" w:eastAsia="zh-CN"/>
        </w:rPr>
      </w:pPr>
      <w:r>
        <w:rPr>
          <w:rFonts w:hint="default"/>
          <w:highlight w:val="none"/>
          <w:lang w:val="en-US" w:eastAsia="zh-CN"/>
        </w:rPr>
        <w:t>炸药和工业数码电子雷管是危险原材料，是国家重点管制的对象，爆破器材由当地民爆公司一体化负责配送。</w:t>
      </w:r>
    </w:p>
    <w:p w14:paraId="0A39EDE6">
      <w:pPr>
        <w:pStyle w:val="22"/>
        <w:bidi w:val="0"/>
        <w:rPr>
          <w:rFonts w:hint="default"/>
          <w:highlight w:val="none"/>
          <w:lang w:val="en-US" w:eastAsia="zh-CN"/>
        </w:rPr>
      </w:pPr>
      <w:r>
        <w:rPr>
          <w:rFonts w:hint="eastAsia"/>
          <w:highlight w:val="none"/>
          <w:lang w:val="en-US" w:eastAsia="zh-CN"/>
        </w:rPr>
        <w:t>②</w:t>
      </w:r>
      <w:r>
        <w:rPr>
          <w:rFonts w:hint="default"/>
          <w:highlight w:val="none"/>
          <w:lang w:val="en-US" w:eastAsia="zh-CN"/>
        </w:rPr>
        <w:t>其余生产原材料运输</w:t>
      </w:r>
    </w:p>
    <w:p w14:paraId="3589140E">
      <w:pPr>
        <w:pStyle w:val="22"/>
        <w:bidi w:val="0"/>
        <w:rPr>
          <w:rFonts w:hint="default"/>
          <w:highlight w:val="none"/>
          <w:lang w:val="en-US" w:eastAsia="zh-CN"/>
        </w:rPr>
      </w:pPr>
      <w:r>
        <w:rPr>
          <w:rFonts w:hint="default"/>
          <w:highlight w:val="none"/>
          <w:lang w:val="en-US" w:eastAsia="zh-CN"/>
        </w:rPr>
        <w:t>生产所需其它主要原材料，如水泥、砂石料、钢材可由生产厂家直接送货或由社会力量承担运输。</w:t>
      </w:r>
    </w:p>
    <w:p w14:paraId="1DBDD6B7">
      <w:pPr>
        <w:pStyle w:val="22"/>
        <w:bidi w:val="0"/>
        <w:rPr>
          <w:rFonts w:hint="default"/>
          <w:highlight w:val="none"/>
          <w:lang w:val="en-US" w:eastAsia="zh-CN"/>
        </w:rPr>
      </w:pPr>
      <w:r>
        <w:rPr>
          <w:rFonts w:hint="eastAsia"/>
          <w:highlight w:val="none"/>
          <w:lang w:val="en-US" w:eastAsia="zh-CN"/>
        </w:rPr>
        <w:t>③</w:t>
      </w:r>
      <w:r>
        <w:rPr>
          <w:rFonts w:hint="default"/>
          <w:highlight w:val="none"/>
          <w:lang w:val="en-US" w:eastAsia="zh-CN"/>
        </w:rPr>
        <w:t>主要辅助材料来源及运输</w:t>
      </w:r>
    </w:p>
    <w:p w14:paraId="7AD480D9">
      <w:pPr>
        <w:pStyle w:val="22"/>
        <w:bidi w:val="0"/>
        <w:rPr>
          <w:rFonts w:hint="default"/>
          <w:highlight w:val="none"/>
          <w:lang w:val="en-US" w:eastAsia="zh-CN"/>
        </w:rPr>
      </w:pPr>
      <w:r>
        <w:rPr>
          <w:rFonts w:hint="default"/>
          <w:highlight w:val="none"/>
          <w:lang w:val="en-US" w:eastAsia="zh-CN"/>
        </w:rPr>
        <w:t>所需主要辅助材料如润滑油、备品备件等，在国内都有厂家生产，且不属于紧缺物资，可由矿方自己采购或由厂家直接送货上门，运输车辆由社会力量承担或由生产厂家解决。</w:t>
      </w:r>
    </w:p>
    <w:p w14:paraId="4FD159D0">
      <w:pPr>
        <w:pStyle w:val="22"/>
        <w:bidi w:val="0"/>
        <w:rPr>
          <w:rFonts w:hint="eastAsia"/>
          <w:highlight w:val="none"/>
          <w:lang w:val="en-US" w:eastAsia="zh-CN"/>
        </w:rPr>
      </w:pPr>
      <w:r>
        <w:rPr>
          <w:rFonts w:hint="eastAsia"/>
          <w:highlight w:val="none"/>
          <w:lang w:val="en-US" w:eastAsia="zh-CN"/>
        </w:rPr>
        <w:t>2、井下运输</w:t>
      </w:r>
    </w:p>
    <w:p w14:paraId="074F4D23">
      <w:pPr>
        <w:pStyle w:val="22"/>
        <w:bidi w:val="0"/>
        <w:rPr>
          <w:rFonts w:hint="default"/>
          <w:highlight w:val="none"/>
          <w:lang w:val="en-US" w:eastAsia="zh-CN"/>
        </w:rPr>
      </w:pPr>
      <w:r>
        <w:rPr>
          <w:rFonts w:hint="default"/>
          <w:highlight w:val="none"/>
          <w:lang w:val="en-US" w:eastAsia="zh-CN"/>
        </w:rPr>
        <w:t>井下各生产中段均为无轨运输方式，矿山现有ZL50E矿用装载机、UQ-35井下运输车、RU-10型人车，以上设备均具有矿安标志，满足矿山安全生产需求，设计继续利用。</w:t>
      </w:r>
    </w:p>
    <w:p w14:paraId="4CC3DC2B">
      <w:pPr>
        <w:pStyle w:val="22"/>
        <w:bidi w:val="0"/>
        <w:rPr>
          <w:rFonts w:hint="default"/>
          <w:highlight w:val="none"/>
          <w:lang w:val="en-US" w:eastAsia="zh-CN"/>
        </w:rPr>
      </w:pPr>
      <w:r>
        <w:rPr>
          <w:rFonts w:hint="default"/>
          <w:highlight w:val="none"/>
          <w:lang w:val="en-US" w:eastAsia="zh-CN"/>
        </w:rPr>
        <w:t>井下产出的矿石以及掘进岩石由ZL50E矿用装载机装入UQ-35井下运输车后，经脉外运输巷经由斜坡道运输至地表矿石堆场。基建期废石排至地表CK2。生产期间废石用于回填井下采空区，不出坑。采用斜坡道人车运输人员，选择RU-10型人车，额定载客人数10人，设计要求单次乘坐人员不得大于9人。</w:t>
      </w:r>
    </w:p>
    <w:p w14:paraId="5FEF9E40">
      <w:pPr>
        <w:pStyle w:val="30"/>
        <w:bidi w:val="0"/>
        <w:rPr>
          <w:rFonts w:hint="default"/>
          <w:highlight w:val="none"/>
          <w:lang w:val="en-US" w:eastAsia="zh-CN"/>
        </w:rPr>
      </w:pPr>
      <w:r>
        <w:rPr>
          <w:rFonts w:hint="eastAsia"/>
          <w:highlight w:val="none"/>
          <w:lang w:val="en-US" w:eastAsia="zh-CN"/>
        </w:rPr>
        <w:t>开采范围</w:t>
      </w:r>
    </w:p>
    <w:p w14:paraId="12AE0AD7">
      <w:pPr>
        <w:pStyle w:val="22"/>
        <w:numPr>
          <w:ilvl w:val="0"/>
          <w:numId w:val="17"/>
        </w:numPr>
        <w:bidi w:val="0"/>
        <w:rPr>
          <w:rFonts w:hint="default"/>
          <w:highlight w:val="none"/>
          <w:lang w:val="en-US" w:eastAsia="zh-CN"/>
        </w:rPr>
      </w:pPr>
      <w:r>
        <w:rPr>
          <w:rFonts w:hint="default"/>
          <w:highlight w:val="none"/>
          <w:lang w:val="en-US" w:eastAsia="zh-CN"/>
        </w:rPr>
        <w:t>设计开采对象</w:t>
      </w:r>
    </w:p>
    <w:p w14:paraId="00288042">
      <w:pPr>
        <w:pStyle w:val="22"/>
        <w:bidi w:val="0"/>
        <w:rPr>
          <w:rFonts w:hint="default"/>
          <w:highlight w:val="none"/>
          <w:lang w:val="en-US" w:eastAsia="zh-CN"/>
        </w:rPr>
      </w:pPr>
      <w:r>
        <w:rPr>
          <w:rFonts w:hint="default"/>
          <w:highlight w:val="none"/>
          <w:lang w:val="en-US" w:eastAsia="zh-CN"/>
        </w:rPr>
        <w:t>设计开采对象为Fe1、Fe2、Fe3、Fe4、Fe5、Fe6、Fe7号矿体，由于138m中段以上Fe2和Fe3号矿体部分开采形成采空区，出于安全方面考虑，利用138m中段以上剩余少量未开采矿体作为护顶矿柱，故138m中段以上剩余矿体无法进行开采，损失矿量5.606万t。故本次设计利用资源量为80.807万t，设计资源利用率90%。</w:t>
      </w:r>
    </w:p>
    <w:p w14:paraId="37B8543F">
      <w:pPr>
        <w:pStyle w:val="22"/>
        <w:numPr>
          <w:ilvl w:val="0"/>
          <w:numId w:val="17"/>
        </w:numPr>
        <w:bidi w:val="0"/>
        <w:rPr>
          <w:rFonts w:hint="default"/>
          <w:highlight w:val="none"/>
          <w:lang w:val="en-US" w:eastAsia="zh-CN"/>
        </w:rPr>
      </w:pPr>
      <w:r>
        <w:rPr>
          <w:rFonts w:hint="eastAsia"/>
          <w:highlight w:val="none"/>
          <w:lang w:val="en-US" w:eastAsia="zh-CN"/>
        </w:rPr>
        <w:t>设计开采范围</w:t>
      </w:r>
    </w:p>
    <w:p w14:paraId="086A6F2B">
      <w:pPr>
        <w:pStyle w:val="22"/>
        <w:bidi w:val="0"/>
        <w:rPr>
          <w:rFonts w:hint="default"/>
          <w:highlight w:val="none"/>
          <w:lang w:val="en-US" w:eastAsia="zh-CN"/>
        </w:rPr>
      </w:pPr>
      <w:r>
        <w:rPr>
          <w:rFonts w:hint="default"/>
          <w:highlight w:val="none"/>
          <w:lang w:val="en-US" w:eastAsia="zh-CN"/>
        </w:rPr>
        <w:t>设计开采范围由</w:t>
      </w:r>
      <w:r>
        <w:rPr>
          <w:rFonts w:hint="eastAsia"/>
          <w:highlight w:val="none"/>
          <w:lang w:val="en-US" w:eastAsia="zh-CN"/>
        </w:rPr>
        <w:t>11</w:t>
      </w:r>
      <w:r>
        <w:rPr>
          <w:rFonts w:hint="default"/>
          <w:highlight w:val="none"/>
          <w:lang w:val="en-US" w:eastAsia="zh-CN"/>
        </w:rPr>
        <w:t>个拐点圈定，开采范围面积：0.</w:t>
      </w:r>
      <w:r>
        <w:rPr>
          <w:rFonts w:hint="eastAsia"/>
          <w:highlight w:val="none"/>
          <w:lang w:val="en-US" w:eastAsia="zh-CN"/>
        </w:rPr>
        <w:t>0891</w:t>
      </w:r>
      <w:r>
        <w:rPr>
          <w:rFonts w:hint="default"/>
          <w:highlight w:val="none"/>
          <w:lang w:val="en-US" w:eastAsia="zh-CN"/>
        </w:rPr>
        <w:t>km</w:t>
      </w:r>
      <w:r>
        <w:rPr>
          <w:rFonts w:hint="default"/>
          <w:highlight w:val="none"/>
          <w:vertAlign w:val="superscript"/>
          <w:lang w:val="en-US" w:eastAsia="zh-CN"/>
        </w:rPr>
        <w:t>2</w:t>
      </w:r>
      <w:r>
        <w:rPr>
          <w:rFonts w:hint="default"/>
          <w:highlight w:val="none"/>
          <w:lang w:val="en-US" w:eastAsia="zh-CN"/>
        </w:rPr>
        <w:t>；开采深度从</w:t>
      </w:r>
      <w:r>
        <w:rPr>
          <w:rFonts w:hint="eastAsia"/>
          <w:highlight w:val="none"/>
          <w:lang w:val="en-US" w:eastAsia="zh-CN"/>
        </w:rPr>
        <w:t>278</w:t>
      </w:r>
      <w:r>
        <w:rPr>
          <w:rFonts w:hint="default"/>
          <w:highlight w:val="none"/>
          <w:lang w:val="en-US" w:eastAsia="zh-CN"/>
        </w:rPr>
        <w:t>m至</w:t>
      </w:r>
      <w:r>
        <w:rPr>
          <w:rFonts w:hint="eastAsia"/>
          <w:highlight w:val="none"/>
          <w:lang w:val="en-US" w:eastAsia="zh-CN"/>
        </w:rPr>
        <w:t>-72</w:t>
      </w:r>
      <w:r>
        <w:rPr>
          <w:rFonts w:hint="default"/>
          <w:highlight w:val="none"/>
          <w:lang w:val="en-US" w:eastAsia="zh-CN"/>
        </w:rPr>
        <w:t>m标高</w:t>
      </w:r>
      <w:r>
        <w:rPr>
          <w:rFonts w:hint="eastAsia"/>
          <w:highlight w:val="none"/>
          <w:lang w:val="en-US" w:eastAsia="zh-CN"/>
        </w:rPr>
        <w:t>。</w:t>
      </w:r>
    </w:p>
    <w:p w14:paraId="2A9A8952">
      <w:pPr>
        <w:pStyle w:val="22"/>
        <w:numPr>
          <w:ilvl w:val="0"/>
          <w:numId w:val="17"/>
        </w:numPr>
        <w:bidi w:val="0"/>
        <w:rPr>
          <w:rFonts w:hint="default"/>
          <w:highlight w:val="none"/>
          <w:lang w:val="en-US" w:eastAsia="zh-CN"/>
        </w:rPr>
      </w:pPr>
      <w:r>
        <w:rPr>
          <w:rFonts w:hint="eastAsia"/>
          <w:highlight w:val="none"/>
          <w:lang w:val="en-US" w:eastAsia="zh-CN"/>
        </w:rPr>
        <w:t>开采顺序</w:t>
      </w:r>
    </w:p>
    <w:p w14:paraId="249D7B37">
      <w:pPr>
        <w:pStyle w:val="22"/>
        <w:bidi w:val="0"/>
        <w:rPr>
          <w:rFonts w:hint="default"/>
          <w:highlight w:val="none"/>
          <w:lang w:val="en-US" w:eastAsia="zh-CN"/>
        </w:rPr>
      </w:pPr>
      <w:r>
        <w:rPr>
          <w:rFonts w:hint="default"/>
          <w:highlight w:val="none"/>
          <w:lang w:val="en-US" w:eastAsia="zh-CN"/>
        </w:rPr>
        <w:t>根据开拓系统布置，矿体自上而下按中段依次开采；由回风侧向入风侧后退式回采；矿体间先开采上盘矿体，再开采下盘矿体。</w:t>
      </w:r>
    </w:p>
    <w:p w14:paraId="07246319">
      <w:pPr>
        <w:pStyle w:val="30"/>
        <w:bidi w:val="0"/>
        <w:rPr>
          <w:rFonts w:hint="default"/>
          <w:highlight w:val="none"/>
          <w:lang w:val="en-US" w:eastAsia="zh-CN"/>
        </w:rPr>
      </w:pPr>
      <w:r>
        <w:rPr>
          <w:rFonts w:hint="eastAsia"/>
          <w:highlight w:val="none"/>
          <w:lang w:val="en-US" w:eastAsia="zh-CN"/>
        </w:rPr>
        <w:t>开拓运输</w:t>
      </w:r>
    </w:p>
    <w:p w14:paraId="06A8167F">
      <w:pPr>
        <w:pStyle w:val="22"/>
        <w:numPr>
          <w:ilvl w:val="0"/>
          <w:numId w:val="18"/>
        </w:numPr>
        <w:bidi w:val="0"/>
        <w:rPr>
          <w:rFonts w:hint="eastAsia" w:ascii="Times New Roman" w:hAnsi="Times New Roman"/>
          <w:caps w:val="0"/>
          <w:smallCaps w:val="0"/>
          <w:sz w:val="28"/>
          <w:szCs w:val="28"/>
          <w:highlight w:val="none"/>
        </w:rPr>
      </w:pPr>
      <w:r>
        <w:rPr>
          <w:rFonts w:hint="eastAsia" w:ascii="Times New Roman" w:hAnsi="Times New Roman"/>
          <w:caps w:val="0"/>
          <w:smallCaps w:val="0"/>
          <w:sz w:val="28"/>
          <w:szCs w:val="28"/>
          <w:highlight w:val="none"/>
        </w:rPr>
        <w:t>岩体移动范围</w:t>
      </w:r>
    </w:p>
    <w:p w14:paraId="30EBDD64">
      <w:pPr>
        <w:pStyle w:val="22"/>
        <w:bidi w:val="0"/>
        <w:rPr>
          <w:rFonts w:hint="default"/>
          <w:highlight w:val="none"/>
          <w:lang w:val="en-US" w:eastAsia="zh-CN"/>
        </w:rPr>
      </w:pPr>
      <w:r>
        <w:rPr>
          <w:rFonts w:hint="default"/>
          <w:highlight w:val="none"/>
          <w:lang w:val="en-US" w:eastAsia="zh-CN"/>
        </w:rPr>
        <w:t>《可研报告》明确矿山矿体围岩主要为中细粒二长花岗岩。根据矿岩的物理力学性质、矿体厚度、倾角及选用的采矿方法等资料，结合类似矿山确定的移动角。</w:t>
      </w:r>
    </w:p>
    <w:p w14:paraId="24B5B7FA">
      <w:pPr>
        <w:pStyle w:val="22"/>
        <w:bidi w:val="0"/>
        <w:rPr>
          <w:rFonts w:hint="default"/>
          <w:highlight w:val="none"/>
          <w:lang w:val="en-US" w:eastAsia="zh-CN"/>
        </w:rPr>
      </w:pPr>
      <w:r>
        <w:rPr>
          <w:rFonts w:hint="default"/>
          <w:highlight w:val="none"/>
          <w:lang w:val="en-US" w:eastAsia="zh-CN"/>
        </w:rPr>
        <w:t>岩石移动角为：下盘：α＝65°，上盘：β＝65°，端部：γ＝70°。地表第四系覆盖岩的移动角为α＝β＝γ＝45°。</w:t>
      </w:r>
    </w:p>
    <w:p w14:paraId="6C706C5E">
      <w:pPr>
        <w:pStyle w:val="22"/>
        <w:numPr>
          <w:ilvl w:val="0"/>
          <w:numId w:val="18"/>
        </w:numPr>
        <w:bidi w:val="0"/>
        <w:rPr>
          <w:rFonts w:hint="default"/>
          <w:highlight w:val="none"/>
          <w:lang w:val="en-US" w:eastAsia="zh-CN"/>
        </w:rPr>
      </w:pPr>
      <w:r>
        <w:rPr>
          <w:rFonts w:hint="default"/>
          <w:highlight w:val="none"/>
          <w:lang w:val="en-US" w:eastAsia="zh-CN"/>
        </w:rPr>
        <w:t>开拓运输方式</w:t>
      </w:r>
    </w:p>
    <w:p w14:paraId="627A73F7">
      <w:pPr>
        <w:pStyle w:val="22"/>
        <w:bidi w:val="0"/>
        <w:rPr>
          <w:rFonts w:hint="default"/>
          <w:highlight w:val="none"/>
          <w:lang w:val="en-US" w:eastAsia="zh-CN"/>
        </w:rPr>
      </w:pPr>
      <w:r>
        <w:rPr>
          <w:rFonts w:hint="default"/>
          <w:highlight w:val="none"/>
          <w:lang w:val="en-US" w:eastAsia="zh-CN"/>
        </w:rPr>
        <w:t>《可研报告》设计地下开采方式，</w:t>
      </w:r>
      <w:r>
        <w:rPr>
          <w:rFonts w:hint="eastAsia"/>
          <w:highlight w:val="none"/>
          <w:lang w:val="en-US" w:eastAsia="zh-CN"/>
        </w:rPr>
        <w:t>采用斜坡道开拓。采用斜坡道入风，回风竖井出风的中央并列抽出式通风系统</w:t>
      </w:r>
      <w:r>
        <w:rPr>
          <w:rFonts w:hint="default"/>
          <w:highlight w:val="none"/>
          <w:lang w:val="en-US" w:eastAsia="zh-CN"/>
        </w:rPr>
        <w:t>。</w:t>
      </w:r>
    </w:p>
    <w:p w14:paraId="43EAF430">
      <w:pPr>
        <w:pStyle w:val="22"/>
        <w:numPr>
          <w:ilvl w:val="0"/>
          <w:numId w:val="18"/>
        </w:numPr>
        <w:bidi w:val="0"/>
        <w:rPr>
          <w:rFonts w:hint="default"/>
          <w:highlight w:val="none"/>
          <w:lang w:val="en-US" w:eastAsia="zh-CN"/>
        </w:rPr>
      </w:pPr>
      <w:r>
        <w:rPr>
          <w:rFonts w:hint="default"/>
          <w:highlight w:val="none"/>
          <w:lang w:val="en-US" w:eastAsia="zh-CN"/>
        </w:rPr>
        <w:t>开拓工程</w:t>
      </w:r>
    </w:p>
    <w:p w14:paraId="71784E3A">
      <w:pPr>
        <w:pStyle w:val="22"/>
        <w:bidi w:val="0"/>
        <w:rPr>
          <w:rFonts w:hint="eastAsia"/>
          <w:highlight w:val="none"/>
        </w:rPr>
      </w:pPr>
      <w:r>
        <w:rPr>
          <w:rFonts w:hint="eastAsia"/>
          <w:highlight w:val="none"/>
        </w:rPr>
        <w:t>斜坡道：为矿山现有工程，硐口位于1号勘探线和3号勘探线之间，岩石移动范围20m外。硐口坐标：X=</w:t>
      </w:r>
      <w:r>
        <w:rPr>
          <w:rFonts w:hint="eastAsia"/>
          <w:highlight w:val="none"/>
          <w:lang w:eastAsia="zh-CN"/>
        </w:rPr>
        <w:t>XXXXX</w:t>
      </w:r>
      <w:r>
        <w:rPr>
          <w:rFonts w:hint="eastAsia"/>
          <w:highlight w:val="none"/>
        </w:rPr>
        <w:t>，Y=</w:t>
      </w:r>
      <w:r>
        <w:rPr>
          <w:rFonts w:hint="eastAsia"/>
          <w:highlight w:val="none"/>
          <w:lang w:eastAsia="zh-CN"/>
        </w:rPr>
        <w:t>XXXXX</w:t>
      </w:r>
      <w:r>
        <w:rPr>
          <w:rFonts w:hint="eastAsia"/>
          <w:highlight w:val="none"/>
        </w:rPr>
        <w:t>，Z=272.80m，底部标高138m，总长约1090m，斜坡道坡度为12%，断面采用三心拱形，净断面规格为5.0m×4.0m。每不大于400m设置长度不小于20m的缓坡段，缓坡段坡度为3‰。缓坡段同时作为错车道，断面为三心拱形，净断面规格为7.5m×4.53m。斜坡道一侧设有人行道，担负井下矿石、废石、材料、设备及人员的运输任务，入新风兼做安全出口。本次设计对其加以改道延伸至-67m标高，延伸后斜坡道总长约2950m，本次设计利用其部分现有斜坡道长度301m，其余现有247m标高～205m标高斜坡道位于岩石移动范围内，故不予利用，对不利用部分进行封堵。</w:t>
      </w:r>
    </w:p>
    <w:p w14:paraId="25CE5138">
      <w:pPr>
        <w:pStyle w:val="22"/>
        <w:bidi w:val="0"/>
        <w:rPr>
          <w:rFonts w:hint="eastAsia"/>
          <w:highlight w:val="none"/>
        </w:rPr>
      </w:pPr>
      <w:r>
        <w:rPr>
          <w:rFonts w:hint="eastAsia"/>
          <w:highlight w:val="none"/>
        </w:rPr>
        <w:t>回风竖井：为矿山现有工程，井口位于1号勘探线附近，井口中心点坐标：X=4532215.045，Y=41580468.464，Z=277.366m，井筒位于岩石移动范围20m外，井底标高138m，井深139.366m，井筒断面为矩形，断面尺寸为4.6×2.35m，为混合井。设计对其继续进行利用，将该井筒装备进行拆除，仅保留梯子间，井口安装主扇风机，排污风兼做安全出口。</w:t>
      </w:r>
    </w:p>
    <w:p w14:paraId="6FF80AFB">
      <w:pPr>
        <w:pStyle w:val="22"/>
        <w:bidi w:val="0"/>
        <w:rPr>
          <w:rFonts w:hint="default"/>
          <w:highlight w:val="none"/>
          <w:lang w:val="en-US" w:eastAsia="zh-CN"/>
        </w:rPr>
      </w:pPr>
      <w:r>
        <w:rPr>
          <w:rFonts w:hint="eastAsia"/>
          <w:highlight w:val="none"/>
        </w:rPr>
        <w:t>倒段回风井：为本次设计新建工程，各阶段倒段回风井均布置在监测范围20m外，井筒断面为圆形，断面直径为3.5m，井筒内设有梯子间，排污风兼安全出口。</w:t>
      </w:r>
    </w:p>
    <w:p w14:paraId="01ABC481">
      <w:pPr>
        <w:pStyle w:val="22"/>
        <w:numPr>
          <w:ilvl w:val="0"/>
          <w:numId w:val="18"/>
        </w:numPr>
        <w:bidi w:val="0"/>
        <w:rPr>
          <w:rFonts w:hint="default"/>
          <w:highlight w:val="none"/>
          <w:lang w:val="en-US" w:eastAsia="zh-CN"/>
        </w:rPr>
      </w:pPr>
      <w:r>
        <w:rPr>
          <w:rFonts w:hint="eastAsia"/>
          <w:highlight w:val="none"/>
          <w:lang w:val="en-US" w:eastAsia="zh-CN"/>
        </w:rPr>
        <w:t>支护</w:t>
      </w:r>
    </w:p>
    <w:p w14:paraId="303D977F">
      <w:pPr>
        <w:pStyle w:val="22"/>
        <w:bidi w:val="0"/>
        <w:rPr>
          <w:rFonts w:hint="default"/>
          <w:highlight w:val="none"/>
          <w:lang w:val="en-US" w:eastAsia="zh-CN"/>
        </w:rPr>
      </w:pPr>
      <w:r>
        <w:rPr>
          <w:rFonts w:hint="default"/>
          <w:highlight w:val="none"/>
          <w:lang w:val="en-US" w:eastAsia="zh-CN"/>
        </w:rPr>
        <w:t>掘进过程中如果遇到断裂构造应尽量垂直通过断裂构造并及时进行支护，遇到不稳固的岩层应及时进行支护，在松软岩层中掘进，永久性支护至掘进工作面之间应架设临时支护或特殊支护</w:t>
      </w:r>
      <w:r>
        <w:rPr>
          <w:rFonts w:hint="eastAsia"/>
          <w:highlight w:val="none"/>
          <w:lang w:val="en-US" w:eastAsia="zh-CN"/>
        </w:rPr>
        <w:t>。</w:t>
      </w:r>
    </w:p>
    <w:p w14:paraId="3D1404D2">
      <w:pPr>
        <w:pStyle w:val="22"/>
        <w:numPr>
          <w:ilvl w:val="0"/>
          <w:numId w:val="18"/>
        </w:numPr>
        <w:bidi w:val="0"/>
        <w:rPr>
          <w:rFonts w:hint="default"/>
          <w:highlight w:val="none"/>
          <w:lang w:val="en-US" w:eastAsia="zh-CN"/>
        </w:rPr>
      </w:pPr>
      <w:r>
        <w:rPr>
          <w:rFonts w:hint="default"/>
          <w:highlight w:val="none"/>
          <w:lang w:val="en-US" w:eastAsia="zh-CN"/>
        </w:rPr>
        <w:t>中段布置</w:t>
      </w:r>
    </w:p>
    <w:p w14:paraId="65226B6B">
      <w:pPr>
        <w:pStyle w:val="22"/>
        <w:bidi w:val="0"/>
        <w:rPr>
          <w:rFonts w:hint="default"/>
          <w:highlight w:val="none"/>
          <w:lang w:val="en-US" w:eastAsia="zh-CN"/>
        </w:rPr>
      </w:pPr>
      <w:r>
        <w:rPr>
          <w:rFonts w:hint="default"/>
          <w:highlight w:val="none"/>
          <w:lang w:val="en-US" w:eastAsia="zh-CN"/>
        </w:rPr>
        <w:t>《可研报告》设计</w:t>
      </w:r>
      <w:r>
        <w:rPr>
          <w:rFonts w:hint="eastAsia"/>
          <w:highlight w:val="none"/>
          <w:lang w:val="en-US" w:eastAsia="zh-CN"/>
        </w:rPr>
        <w:t>中段标高分别为：138m中段、108m中段、63m中段、18m中段、-27m中段、-67m中段，共计6个中段。</w:t>
      </w:r>
    </w:p>
    <w:p w14:paraId="267BD145">
      <w:pPr>
        <w:pStyle w:val="22"/>
        <w:numPr>
          <w:ilvl w:val="0"/>
          <w:numId w:val="18"/>
        </w:numPr>
        <w:bidi w:val="0"/>
        <w:rPr>
          <w:rFonts w:hint="default"/>
          <w:highlight w:val="none"/>
          <w:lang w:val="en-US" w:eastAsia="zh-CN"/>
        </w:rPr>
      </w:pPr>
      <w:r>
        <w:rPr>
          <w:rFonts w:hint="default"/>
          <w:highlight w:val="none"/>
          <w:lang w:val="en-US" w:eastAsia="zh-CN"/>
        </w:rPr>
        <w:t>运输设备设施</w:t>
      </w:r>
    </w:p>
    <w:p w14:paraId="5453ABDB">
      <w:pPr>
        <w:pStyle w:val="22"/>
        <w:bidi w:val="0"/>
        <w:rPr>
          <w:rFonts w:hint="default"/>
          <w:lang w:val="en-US" w:eastAsia="zh-CN"/>
        </w:rPr>
      </w:pPr>
      <w:r>
        <w:rPr>
          <w:rFonts w:hint="default"/>
          <w:lang w:val="en-US" w:eastAsia="zh-CN"/>
        </w:rPr>
        <w:t>《可研报告》设计选用无轨运输方式。矿山现有</w:t>
      </w:r>
      <w:r>
        <w:rPr>
          <w:rFonts w:hint="eastAsia"/>
          <w:lang w:val="en-US" w:eastAsia="zh-CN"/>
        </w:rPr>
        <w:t>ZL50E</w:t>
      </w:r>
      <w:r>
        <w:rPr>
          <w:rFonts w:hint="default"/>
          <w:lang w:val="en-US" w:eastAsia="zh-CN"/>
        </w:rPr>
        <w:t>矿用装载机、UQ-35井下运输车、RU-10型人车，以上设备均具有矿安标志，满足矿山安全生产需求，本次设计继续利用，井下产出的矿石以及掘进岩石由</w:t>
      </w:r>
      <w:r>
        <w:rPr>
          <w:rFonts w:hint="eastAsia"/>
          <w:lang w:val="en-US" w:eastAsia="zh-CN"/>
        </w:rPr>
        <w:t>ZL50E</w:t>
      </w:r>
      <w:r>
        <w:rPr>
          <w:rFonts w:hint="default"/>
          <w:lang w:val="en-US" w:eastAsia="zh-CN"/>
        </w:rPr>
        <w:t>矿用装载机装入UQ-35井下运输车后，经脉外运输巷经由斜坡道运输至地表矿石堆场。基建期废石排至地表</w:t>
      </w:r>
      <w:r>
        <w:rPr>
          <w:rFonts w:hint="eastAsia"/>
          <w:lang w:val="en-US" w:eastAsia="zh-CN"/>
        </w:rPr>
        <w:t>CK2</w:t>
      </w:r>
      <w:r>
        <w:rPr>
          <w:rFonts w:hint="default"/>
          <w:lang w:val="en-US" w:eastAsia="zh-CN"/>
        </w:rPr>
        <w:t>。生产期间废石用于回填井下采空区，不出坑。采用斜坡道人车运输人员，选择RU-10型人车，额定载客人数10人</w:t>
      </w:r>
      <w:r>
        <w:rPr>
          <w:rFonts w:hint="eastAsia"/>
          <w:lang w:val="en-US" w:eastAsia="zh-CN"/>
        </w:rPr>
        <w:t>，设计要求单次乘坐人员不得大于9人</w:t>
      </w:r>
      <w:r>
        <w:rPr>
          <w:rFonts w:hint="default"/>
          <w:lang w:val="en-US" w:eastAsia="zh-CN"/>
        </w:rPr>
        <w:t>。</w:t>
      </w:r>
    </w:p>
    <w:p w14:paraId="7510A534">
      <w:pPr>
        <w:pStyle w:val="30"/>
        <w:bidi w:val="0"/>
        <w:rPr>
          <w:rFonts w:hint="default"/>
          <w:highlight w:val="none"/>
          <w:lang w:val="en-US" w:eastAsia="zh-CN"/>
        </w:rPr>
      </w:pPr>
      <w:r>
        <w:rPr>
          <w:rFonts w:hint="eastAsia"/>
          <w:highlight w:val="none"/>
          <w:lang w:val="en-US" w:eastAsia="zh-CN"/>
        </w:rPr>
        <w:t>采矿工艺</w:t>
      </w:r>
    </w:p>
    <w:p w14:paraId="026FDD44">
      <w:pPr>
        <w:pStyle w:val="22"/>
        <w:numPr>
          <w:ilvl w:val="0"/>
          <w:numId w:val="19"/>
        </w:numPr>
        <w:bidi w:val="0"/>
        <w:rPr>
          <w:rFonts w:hint="default"/>
          <w:highlight w:val="none"/>
          <w:lang w:val="en-US" w:eastAsia="zh-CN"/>
        </w:rPr>
      </w:pPr>
      <w:r>
        <w:rPr>
          <w:rFonts w:hint="eastAsia"/>
          <w:highlight w:val="none"/>
          <w:lang w:val="en-US" w:eastAsia="zh-CN"/>
        </w:rPr>
        <w:t>采矿方法</w:t>
      </w:r>
    </w:p>
    <w:p w14:paraId="5E4E269F">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highlight w:val="none"/>
          <w:lang w:val="en-US" w:eastAsia="zh-CN"/>
        </w:rPr>
      </w:pPr>
      <w:r>
        <w:rPr>
          <w:rFonts w:hint="default"/>
          <w:highlight w:val="none"/>
          <w:lang w:val="en-US" w:eastAsia="zh-CN"/>
        </w:rPr>
        <w:t>《可研报告》根据开采矿体的赋存条件和开采技术条件，该矿开采的矿体和围岩不具有自燃性、氧化性和结块性，按照采矿方法适应条件，并结合原矿山开采采用的采矿方法使用经验，设计确定采用浅孔留矿嗣后充填采矿法和分段空场嗣后充填采矿法进行开采</w:t>
      </w:r>
      <w:r>
        <w:rPr>
          <w:rFonts w:hint="eastAsia"/>
          <w:highlight w:val="none"/>
          <w:lang w:val="en-US" w:eastAsia="zh-CN"/>
        </w:rPr>
        <w:t>。</w:t>
      </w:r>
    </w:p>
    <w:p w14:paraId="1B5E09EC">
      <w:pPr>
        <w:pStyle w:val="22"/>
        <w:numPr>
          <w:ilvl w:val="0"/>
          <w:numId w:val="19"/>
        </w:numPr>
        <w:bidi w:val="0"/>
        <w:rPr>
          <w:rFonts w:hint="default"/>
          <w:highlight w:val="none"/>
          <w:lang w:val="en-US" w:eastAsia="zh-CN"/>
        </w:rPr>
      </w:pPr>
      <w:r>
        <w:rPr>
          <w:rFonts w:hint="default"/>
          <w:highlight w:val="none"/>
          <w:lang w:val="en-US" w:eastAsia="zh-CN"/>
        </w:rPr>
        <w:t>浅孔留矿嗣后充填采矿法</w:t>
      </w:r>
    </w:p>
    <w:p w14:paraId="59D4DC84">
      <w:pPr>
        <w:pStyle w:val="22"/>
        <w:bidi w:val="0"/>
        <w:rPr>
          <w:rFonts w:hint="default"/>
          <w:highlight w:val="none"/>
          <w:lang w:val="en-US" w:eastAsia="zh-CN"/>
        </w:rPr>
      </w:pPr>
      <w:r>
        <w:rPr>
          <w:rFonts w:hint="eastAsia"/>
          <w:highlight w:val="none"/>
          <w:lang w:val="en-US" w:eastAsia="zh-CN"/>
        </w:rPr>
        <w:t>1、矿块布置及构成要素</w:t>
      </w:r>
    </w:p>
    <w:p w14:paraId="749C6A2A">
      <w:pPr>
        <w:pStyle w:val="22"/>
        <w:bidi w:val="0"/>
        <w:rPr>
          <w:rFonts w:hint="default"/>
          <w:highlight w:val="none"/>
          <w:lang w:val="en-US" w:eastAsia="zh-CN"/>
        </w:rPr>
      </w:pPr>
      <w:r>
        <w:rPr>
          <w:rFonts w:hint="eastAsia"/>
          <w:highlight w:val="none"/>
          <w:lang w:val="en-US" w:eastAsia="zh-CN"/>
        </w:rPr>
        <w:t>矿块沿走向布置，矿块长50m，矿块高30m～45m，矿块宽为矿体厚度，间柱6m，顶柱3m，装矿横巷间距为6m。采用平底结构，装载机装矿。两矿块间以采准天井相隔，天井供行人、通风</w:t>
      </w:r>
      <w:r>
        <w:rPr>
          <w:rFonts w:hint="default"/>
          <w:highlight w:val="none"/>
          <w:lang w:val="en-US" w:eastAsia="zh-CN"/>
        </w:rPr>
        <w:t>。</w:t>
      </w:r>
    </w:p>
    <w:p w14:paraId="7B2AF99A">
      <w:pPr>
        <w:pStyle w:val="22"/>
        <w:bidi w:val="0"/>
        <w:rPr>
          <w:rFonts w:hint="default"/>
          <w:highlight w:val="none"/>
          <w:lang w:val="en-US" w:eastAsia="zh-CN"/>
        </w:rPr>
      </w:pPr>
      <w:r>
        <w:rPr>
          <w:rFonts w:hint="eastAsia"/>
          <w:highlight w:val="none"/>
          <w:lang w:val="en-US" w:eastAsia="zh-CN"/>
        </w:rPr>
        <w:t>2、采准、切割工作</w:t>
      </w:r>
    </w:p>
    <w:p w14:paraId="490CFFCB">
      <w:pPr>
        <w:pStyle w:val="22"/>
        <w:bidi w:val="0"/>
        <w:rPr>
          <w:rFonts w:hint="default"/>
          <w:highlight w:val="none"/>
          <w:lang w:val="en-US" w:eastAsia="zh-CN"/>
        </w:rPr>
      </w:pPr>
      <w:r>
        <w:rPr>
          <w:rFonts w:hint="eastAsia"/>
          <w:highlight w:val="none"/>
          <w:lang w:val="en-US" w:eastAsia="zh-CN"/>
        </w:rPr>
        <w:t>矿块沿走向布置，天井布置在矿块两侧矿体内，天井规格为2.0×2.5m。天井通过联络道与采矿工作面联系。联络道规格为2.0×2.0m。切割巷道高2.0m。切割巷道宽为矿体的水平厚度，长为矿房内矿体走向长度。天井掘进采用YSP-45型凿岩机</w:t>
      </w:r>
      <w:r>
        <w:rPr>
          <w:rFonts w:hint="default"/>
          <w:highlight w:val="none"/>
          <w:lang w:val="en-US" w:eastAsia="zh-CN"/>
        </w:rPr>
        <w:t>。</w:t>
      </w:r>
    </w:p>
    <w:p w14:paraId="6862D35C">
      <w:pPr>
        <w:pStyle w:val="22"/>
        <w:bidi w:val="0"/>
        <w:rPr>
          <w:rFonts w:hint="eastAsia"/>
          <w:highlight w:val="none"/>
          <w:lang w:val="en-US" w:eastAsia="zh-CN"/>
        </w:rPr>
      </w:pPr>
      <w:r>
        <w:rPr>
          <w:rFonts w:hint="eastAsia"/>
          <w:highlight w:val="none"/>
          <w:lang w:val="en-US" w:eastAsia="zh-CN"/>
        </w:rPr>
        <w:t>3、矿房回采</w:t>
      </w:r>
    </w:p>
    <w:p w14:paraId="6EDD5413">
      <w:pPr>
        <w:pStyle w:val="22"/>
        <w:bidi w:val="0"/>
        <w:rPr>
          <w:rFonts w:hint="eastAsia"/>
          <w:highlight w:val="none"/>
          <w:lang w:val="en-US" w:eastAsia="zh-CN"/>
        </w:rPr>
      </w:pPr>
      <w:r>
        <w:rPr>
          <w:rFonts w:hint="eastAsia"/>
          <w:highlight w:val="none"/>
        </w:rPr>
        <w:t>采用YT-28型凿岩机在采场内垂直走向分三个梯段钻凿炮孔，炮孔直径38～42mm，最小抵抗线1.0m，一次采幅高度1.8～2.2m。采用工业数码电子雷管起爆，爆破后一次放出崩落矿量的1/3左右，其余的矿石则留在采场内作为下次凿岩的工作台。每次放矿时要注意观察工作面的情况，防止采场产生空洞。爆破后要先进行通风，工人进入工作面要先撬净工作面的浮石，对于一次爆破产生的大块要进行二次破碎。放矿后，采场工作面与暂留矿石之间要形成1.8～2.2m高的空间，以便下一循环作业，采场控制放矿块度为300mm，不合格大块在溜井格筛上方使用破碎头进行二次破碎处理。矿块综合生产能力为100t/d</w:t>
      </w:r>
      <w:r>
        <w:rPr>
          <w:rFonts w:hint="eastAsia"/>
          <w:highlight w:val="none"/>
          <w:lang w:val="en-US" w:eastAsia="zh-CN"/>
        </w:rPr>
        <w:t>。</w:t>
      </w:r>
    </w:p>
    <w:p w14:paraId="65724192">
      <w:pPr>
        <w:pStyle w:val="22"/>
        <w:bidi w:val="0"/>
        <w:rPr>
          <w:rFonts w:hint="default"/>
          <w:highlight w:val="none"/>
          <w:lang w:val="en-US" w:eastAsia="zh-CN"/>
        </w:rPr>
      </w:pPr>
      <w:r>
        <w:rPr>
          <w:rFonts w:hint="eastAsia"/>
          <w:highlight w:val="none"/>
          <w:lang w:val="en-US" w:eastAsia="zh-CN"/>
        </w:rPr>
        <w:t>4、采场通风</w:t>
      </w:r>
    </w:p>
    <w:p w14:paraId="06D67F6C">
      <w:pPr>
        <w:pStyle w:val="22"/>
        <w:bidi w:val="0"/>
        <w:rPr>
          <w:rFonts w:hint="eastAsia"/>
          <w:highlight w:val="none"/>
          <w:lang w:val="en-US" w:eastAsia="zh-CN"/>
        </w:rPr>
      </w:pPr>
      <w:r>
        <w:rPr>
          <w:rFonts w:hint="eastAsia"/>
          <w:highlight w:val="none"/>
          <w:lang w:val="en-GB" w:eastAsia="zh-CN"/>
        </w:rPr>
        <w:t>爆破完成后需对采场进行机械通风，及时排出爆破产生的有毒有害气体和粉尘。待采场内有害物质的浓度达到允许值后，工作人员方可进入作业面。新鲜风流由人行通风天井经联络道进入采场，污风由联络道及人行天井汇入回风巷，经风井排出地表。每个采场配备1～2台局扇辅助通风</w:t>
      </w:r>
      <w:r>
        <w:rPr>
          <w:rFonts w:hint="eastAsia"/>
          <w:highlight w:val="none"/>
          <w:lang w:val="en-US" w:eastAsia="zh-CN"/>
        </w:rPr>
        <w:t>。</w:t>
      </w:r>
    </w:p>
    <w:p w14:paraId="74153178">
      <w:pPr>
        <w:pStyle w:val="22"/>
        <w:bidi w:val="0"/>
        <w:rPr>
          <w:rFonts w:hint="eastAsia"/>
          <w:highlight w:val="none"/>
          <w:lang w:val="en-US" w:eastAsia="zh-CN"/>
        </w:rPr>
      </w:pPr>
      <w:r>
        <w:rPr>
          <w:rFonts w:hint="eastAsia"/>
          <w:highlight w:val="none"/>
          <w:lang w:val="en-US" w:eastAsia="zh-CN"/>
        </w:rPr>
        <w:t>5、矿柱回采</w:t>
      </w:r>
    </w:p>
    <w:p w14:paraId="4400DD19">
      <w:pPr>
        <w:pStyle w:val="22"/>
        <w:bidi w:val="0"/>
        <w:rPr>
          <w:rFonts w:hint="default"/>
          <w:highlight w:val="none"/>
          <w:lang w:val="en-US" w:eastAsia="zh-CN"/>
        </w:rPr>
      </w:pPr>
      <w:r>
        <w:rPr>
          <w:rFonts w:hint="default"/>
          <w:highlight w:val="none"/>
          <w:lang w:val="en-US" w:eastAsia="zh-CN"/>
        </w:rPr>
        <w:t>为保证矿房内围岩的稳定性及回采作业的安全，矿柱不做回收处理，用于支撑采空区内的矿体顶板</w:t>
      </w:r>
      <w:r>
        <w:rPr>
          <w:rFonts w:hint="eastAsia"/>
          <w:highlight w:val="none"/>
          <w:lang w:val="en-US" w:eastAsia="zh-CN"/>
        </w:rPr>
        <w:t>。</w:t>
      </w:r>
    </w:p>
    <w:p w14:paraId="170C1078">
      <w:pPr>
        <w:pStyle w:val="22"/>
        <w:bidi w:val="0"/>
        <w:rPr>
          <w:rFonts w:hint="default"/>
          <w:highlight w:val="none"/>
          <w:lang w:val="en-US" w:eastAsia="zh-CN"/>
        </w:rPr>
      </w:pPr>
      <w:r>
        <w:rPr>
          <w:rFonts w:hint="eastAsia"/>
          <w:highlight w:val="none"/>
          <w:lang w:val="en-US" w:eastAsia="zh-CN"/>
        </w:rPr>
        <w:t>6、</w:t>
      </w:r>
      <w:r>
        <w:rPr>
          <w:rFonts w:hint="default"/>
          <w:highlight w:val="none"/>
          <w:lang w:val="en-US" w:eastAsia="zh-CN"/>
        </w:rPr>
        <w:t>充填</w:t>
      </w:r>
    </w:p>
    <w:p w14:paraId="18186FB4">
      <w:pPr>
        <w:pStyle w:val="22"/>
        <w:bidi w:val="0"/>
        <w:rPr>
          <w:rFonts w:hint="eastAsia"/>
          <w:highlight w:val="none"/>
        </w:rPr>
      </w:pPr>
      <w:r>
        <w:rPr>
          <w:rFonts w:hint="eastAsia"/>
          <w:highlight w:val="none"/>
        </w:rPr>
        <w:t>矿房回采结束后，利用产出废石对回采结束后形成的采空区进行废石回填。为防止空区垮塌对井下产生冲击波，要求采场充填率不小于65％。废石由上中段充填井将废石充填至回采结束的采场内。充填结束后及时将通往采空区的穿脉巷道封闭，采用浆砌石密闭墙封堵，浆砌石强度等级M7.5，并在底部留设两个300mm×300mm的泄水孔。</w:t>
      </w:r>
    </w:p>
    <w:p w14:paraId="49CDF2B8">
      <w:pPr>
        <w:pStyle w:val="22"/>
        <w:numPr>
          <w:ilvl w:val="0"/>
          <w:numId w:val="19"/>
        </w:numPr>
        <w:bidi w:val="0"/>
        <w:rPr>
          <w:rFonts w:hint="default"/>
          <w:highlight w:val="none"/>
          <w:lang w:val="en-US" w:eastAsia="zh-CN"/>
        </w:rPr>
      </w:pPr>
      <w:r>
        <w:rPr>
          <w:rFonts w:hint="default"/>
          <w:highlight w:val="none"/>
          <w:lang w:val="en-US" w:eastAsia="zh-CN"/>
        </w:rPr>
        <w:t>沿走向分段空场嗣后充填采矿法</w:t>
      </w:r>
    </w:p>
    <w:p w14:paraId="55C1428F">
      <w:pPr>
        <w:pStyle w:val="22"/>
        <w:bidi w:val="0"/>
        <w:rPr>
          <w:rFonts w:hint="eastAsia"/>
          <w:highlight w:val="none"/>
          <w:lang w:val="en-US" w:eastAsia="zh-CN"/>
        </w:rPr>
      </w:pPr>
      <w:r>
        <w:rPr>
          <w:rFonts w:hint="eastAsia"/>
          <w:highlight w:val="none"/>
          <w:lang w:val="en-US" w:eastAsia="zh-CN"/>
        </w:rPr>
        <w:t>1、矿块构成要素</w:t>
      </w:r>
    </w:p>
    <w:p w14:paraId="21F62374">
      <w:pPr>
        <w:pStyle w:val="22"/>
        <w:bidi w:val="0"/>
        <w:rPr>
          <w:rFonts w:hint="default"/>
          <w:highlight w:val="none"/>
          <w:lang w:val="en-US" w:eastAsia="zh-CN"/>
        </w:rPr>
      </w:pPr>
      <w:r>
        <w:rPr>
          <w:rFonts w:hint="default"/>
          <w:highlight w:val="none"/>
          <w:lang w:val="en-US" w:eastAsia="zh-CN"/>
        </w:rPr>
        <w:t>矿块沿矿体走向布置，阶段高30m～45m，矿块长50m，宽为矿体厚，间柱宽度8m，顶柱高度3m，分段高度10m，采用平底结构，装载机装矿。每个矿块沿倾斜下行回采。倾斜方向为2个分段。</w:t>
      </w:r>
    </w:p>
    <w:p w14:paraId="5481F2A5">
      <w:pPr>
        <w:pStyle w:val="22"/>
        <w:bidi w:val="0"/>
        <w:rPr>
          <w:rFonts w:hint="default"/>
          <w:highlight w:val="none"/>
          <w:lang w:val="en-US" w:eastAsia="zh-CN"/>
        </w:rPr>
      </w:pPr>
      <w:r>
        <w:rPr>
          <w:rFonts w:hint="eastAsia"/>
          <w:highlight w:val="none"/>
          <w:lang w:val="en-US" w:eastAsia="zh-CN"/>
        </w:rPr>
        <w:t>2、采准、切割工作</w:t>
      </w:r>
    </w:p>
    <w:p w14:paraId="0312A5E3">
      <w:pPr>
        <w:pStyle w:val="22"/>
        <w:bidi w:val="0"/>
        <w:rPr>
          <w:rFonts w:hint="eastAsia"/>
          <w:highlight w:val="none"/>
          <w:lang w:val="en-US" w:eastAsia="zh-CN"/>
        </w:rPr>
      </w:pPr>
      <w:r>
        <w:rPr>
          <w:rFonts w:hint="eastAsia"/>
          <w:highlight w:val="none"/>
          <w:lang w:val="en-US" w:eastAsia="zh-CN"/>
        </w:rPr>
        <w:t>沿走向分段空场嗣后充填采矿法采准巷道包括：装矿巷道、人行通风天井、联络道、分段凿岩巷道。切割巷道包括：切割天井和拉底巷道。采用YT-28型凿岩机用于采切平巷凿岩。</w:t>
      </w:r>
    </w:p>
    <w:p w14:paraId="0EEC939A">
      <w:pPr>
        <w:pStyle w:val="22"/>
        <w:bidi w:val="0"/>
        <w:rPr>
          <w:rFonts w:hint="eastAsia"/>
          <w:highlight w:val="none"/>
          <w:lang w:val="en-US" w:eastAsia="zh-CN"/>
        </w:rPr>
      </w:pPr>
      <w:r>
        <w:rPr>
          <w:rFonts w:hint="eastAsia"/>
          <w:highlight w:val="none"/>
          <w:lang w:val="en-US" w:eastAsia="zh-CN"/>
        </w:rPr>
        <w:t>中段运输巷道沿矿体下盘布置，垂直矿体布置穿脉和装矿巷道。人行通风天井布置在间柱中，从天井沿矿体走向掘进分段凿岩巷道。分段凿岩巷道靠近下盘，以使炮孔深度相差不大，从而提高凿岩效率。</w:t>
      </w:r>
    </w:p>
    <w:p w14:paraId="61CB40D7">
      <w:pPr>
        <w:pStyle w:val="22"/>
        <w:bidi w:val="0"/>
        <w:rPr>
          <w:rFonts w:hint="default"/>
          <w:highlight w:val="none"/>
          <w:lang w:val="en-US" w:eastAsia="zh-CN"/>
        </w:rPr>
      </w:pPr>
      <w:r>
        <w:rPr>
          <w:rFonts w:hint="eastAsia"/>
          <w:highlight w:val="none"/>
          <w:lang w:val="en-US" w:eastAsia="zh-CN"/>
        </w:rPr>
        <w:t>切割天井布置在矿房中间，作为回采爆破的自由面。由堑沟拉底平巷进行拉底，随着回采的推进，逐步将拉底层拉开。</w:t>
      </w:r>
    </w:p>
    <w:p w14:paraId="294B611F">
      <w:pPr>
        <w:pStyle w:val="22"/>
        <w:bidi w:val="0"/>
        <w:rPr>
          <w:rFonts w:hint="eastAsia"/>
          <w:highlight w:val="none"/>
          <w:lang w:val="en-US" w:eastAsia="zh-CN"/>
        </w:rPr>
      </w:pPr>
      <w:r>
        <w:rPr>
          <w:rFonts w:hint="eastAsia"/>
          <w:highlight w:val="none"/>
          <w:lang w:val="en-US" w:eastAsia="zh-CN"/>
        </w:rPr>
        <w:t>3、矿房回采</w:t>
      </w:r>
    </w:p>
    <w:p w14:paraId="229C30CC">
      <w:pPr>
        <w:pStyle w:val="22"/>
        <w:bidi w:val="0"/>
        <w:rPr>
          <w:rFonts w:hint="eastAsia"/>
          <w:highlight w:val="none"/>
        </w:rPr>
      </w:pPr>
      <w:r>
        <w:rPr>
          <w:rFonts w:hint="eastAsia"/>
          <w:highlight w:val="none"/>
        </w:rPr>
        <w:t>回采层落矿采用YGZ-90型凿岩机配圆盘凿岩台架在分段凿岩巷道中打上向扇形中深孔，炸药采用粉状乳化炸药，孔深5～12m，排距1.5m，孔间距，1.8m，药卷直径为45mm。采用非电导爆管激发枪起爆。上分段保持垂直工作面或上分段超前一排炮孔，以保证分段爆破作业的安全。崩落的矿石借重力落到矿房底部堑沟内，再由装载机在装矿堑沟内将矿石装入井下运输车。</w:t>
      </w:r>
    </w:p>
    <w:p w14:paraId="3F5A6656">
      <w:pPr>
        <w:pStyle w:val="22"/>
        <w:bidi w:val="0"/>
        <w:rPr>
          <w:rFonts w:hint="eastAsia"/>
          <w:highlight w:val="none"/>
          <w:lang w:val="en-US" w:eastAsia="zh-CN"/>
        </w:rPr>
      </w:pPr>
      <w:r>
        <w:rPr>
          <w:rFonts w:hint="eastAsia"/>
          <w:highlight w:val="none"/>
          <w:lang w:val="en-US" w:eastAsia="zh-CN"/>
        </w:rPr>
        <w:t>4、采场通风</w:t>
      </w:r>
    </w:p>
    <w:p w14:paraId="7415FC7B">
      <w:pPr>
        <w:pStyle w:val="22"/>
        <w:bidi w:val="0"/>
        <w:rPr>
          <w:rFonts w:hint="eastAsia"/>
          <w:highlight w:val="none"/>
          <w:lang w:val="en-US" w:eastAsia="zh-CN"/>
        </w:rPr>
      </w:pPr>
      <w:r>
        <w:rPr>
          <w:rFonts w:hint="eastAsia"/>
          <w:highlight w:val="none"/>
          <w:lang w:val="en-US" w:eastAsia="zh-CN"/>
        </w:rPr>
        <w:t>出矿水平新鲜风流由斜坡道进入中段进风沿脉巷、分段进风沿脉巷、出矿巷道冲洗工作面，污风由分段回风沿脉巷、采场回风天井、回风石门回到风井排出地表。</w:t>
      </w:r>
    </w:p>
    <w:p w14:paraId="71FDE0EE">
      <w:pPr>
        <w:pStyle w:val="22"/>
        <w:bidi w:val="0"/>
        <w:rPr>
          <w:rFonts w:hint="eastAsia"/>
          <w:highlight w:val="none"/>
          <w:lang w:val="en-US" w:eastAsia="zh-CN"/>
        </w:rPr>
      </w:pPr>
      <w:r>
        <w:rPr>
          <w:rFonts w:hint="eastAsia"/>
          <w:highlight w:val="none"/>
          <w:lang w:val="en-US" w:eastAsia="zh-CN"/>
        </w:rPr>
        <w:t>凿岩水平新鲜风流由斜坡道进入分段进风沿脉巷、分段凿岩巷冲洗工作面，污风由分段回风沿脉巷、采场回风天井、中段回风石门回到风井排出地表。</w:t>
      </w:r>
    </w:p>
    <w:p w14:paraId="750F73D6">
      <w:pPr>
        <w:pStyle w:val="22"/>
        <w:bidi w:val="0"/>
        <w:rPr>
          <w:rFonts w:hint="default"/>
          <w:highlight w:val="none"/>
          <w:lang w:val="en-US" w:eastAsia="zh-CN"/>
        </w:rPr>
      </w:pPr>
      <w:r>
        <w:rPr>
          <w:rFonts w:hint="eastAsia"/>
          <w:highlight w:val="none"/>
          <w:lang w:val="en-US" w:eastAsia="zh-CN"/>
        </w:rPr>
        <w:t>5、矿柱回收及采空区处理</w:t>
      </w:r>
    </w:p>
    <w:p w14:paraId="2B3A83E5">
      <w:pPr>
        <w:pStyle w:val="22"/>
        <w:bidi w:val="0"/>
        <w:rPr>
          <w:rFonts w:hint="eastAsia"/>
          <w:highlight w:val="none"/>
        </w:rPr>
      </w:pPr>
      <w:r>
        <w:rPr>
          <w:rFonts w:hint="eastAsia"/>
          <w:highlight w:val="none"/>
        </w:rPr>
        <w:t>矿房回采结束后，利用产出废石对回采结束后形成的采空区进行废石回填。为防止空区垮塌对井下产生冲击波，要求采场充填率不小于65％。废石由上中段充填井将废石充填至回采结束的采场内。充填结束后及时将通往采空区的穿脉巷道封闭，采用浆砌石密闭墙封堵，浆砌石强度等级M7.5，并在底部留设两个300mm×300mm的泄水孔。</w:t>
      </w:r>
    </w:p>
    <w:p w14:paraId="52A6EF24">
      <w:pPr>
        <w:pStyle w:val="22"/>
        <w:numPr>
          <w:ilvl w:val="0"/>
          <w:numId w:val="19"/>
        </w:numPr>
        <w:bidi w:val="0"/>
        <w:rPr>
          <w:rFonts w:hint="default"/>
          <w:highlight w:val="none"/>
          <w:lang w:val="en-US" w:eastAsia="zh-CN"/>
        </w:rPr>
      </w:pPr>
      <w:r>
        <w:rPr>
          <w:rFonts w:hint="default"/>
          <w:highlight w:val="none"/>
          <w:lang w:val="en-US" w:eastAsia="zh-CN"/>
        </w:rPr>
        <w:t>垂直走向分段空场嗣后充填采矿法</w:t>
      </w:r>
    </w:p>
    <w:p w14:paraId="2E12A688">
      <w:pPr>
        <w:pStyle w:val="22"/>
        <w:bidi w:val="0"/>
        <w:rPr>
          <w:rFonts w:hint="default"/>
          <w:highlight w:val="none"/>
        </w:rPr>
      </w:pPr>
      <w:r>
        <w:rPr>
          <w:rFonts w:hint="default"/>
          <w:highlight w:val="none"/>
          <w:lang w:val="en-US" w:eastAsia="zh-CN"/>
        </w:rPr>
        <w:t>1、</w:t>
      </w:r>
      <w:r>
        <w:rPr>
          <w:rFonts w:hint="default"/>
          <w:highlight w:val="none"/>
        </w:rPr>
        <w:t>矿块构成要素</w:t>
      </w:r>
    </w:p>
    <w:p w14:paraId="3F2E276D">
      <w:pPr>
        <w:pStyle w:val="22"/>
        <w:bidi w:val="0"/>
        <w:rPr>
          <w:rFonts w:hint="default"/>
          <w:highlight w:val="none"/>
        </w:rPr>
      </w:pPr>
      <w:r>
        <w:rPr>
          <w:rFonts w:hint="default"/>
          <w:highlight w:val="none"/>
        </w:rPr>
        <w:t>垂直矿体走向布置，阶段高</w:t>
      </w:r>
      <w:r>
        <w:rPr>
          <w:rFonts w:hint="default"/>
          <w:highlight w:val="none"/>
          <w:lang w:val="en-US" w:eastAsia="zh-CN"/>
        </w:rPr>
        <w:t>30</w:t>
      </w:r>
      <w:r>
        <w:rPr>
          <w:rFonts w:hint="default"/>
          <w:highlight w:val="none"/>
        </w:rPr>
        <w:t>m</w:t>
      </w:r>
      <w:r>
        <w:rPr>
          <w:rFonts w:hint="default"/>
          <w:highlight w:val="none"/>
          <w:lang w:val="en-US" w:eastAsia="zh-CN"/>
        </w:rPr>
        <w:t>～45</w:t>
      </w:r>
      <w:r>
        <w:rPr>
          <w:rFonts w:hint="default"/>
          <w:highlight w:val="none"/>
        </w:rPr>
        <w:t>m，矿块长</w:t>
      </w:r>
      <w:r>
        <w:rPr>
          <w:rFonts w:hint="default"/>
          <w:highlight w:val="none"/>
          <w:lang w:val="en-US" w:eastAsia="zh-CN"/>
        </w:rPr>
        <w:t>25</w:t>
      </w:r>
      <w:r>
        <w:rPr>
          <w:rFonts w:hint="default"/>
          <w:highlight w:val="none"/>
        </w:rPr>
        <w:t>m，宽为矿体厚，间柱宽度</w:t>
      </w:r>
      <w:r>
        <w:rPr>
          <w:rFonts w:hint="default"/>
          <w:highlight w:val="none"/>
          <w:lang w:val="en-US" w:eastAsia="zh-CN"/>
        </w:rPr>
        <w:t>10</w:t>
      </w:r>
      <w:r>
        <w:rPr>
          <w:rFonts w:hint="default"/>
          <w:highlight w:val="none"/>
        </w:rPr>
        <w:t>m，顶柱高度</w:t>
      </w:r>
      <w:r>
        <w:rPr>
          <w:rFonts w:hint="default"/>
          <w:highlight w:val="none"/>
          <w:lang w:val="en-US" w:eastAsia="zh-CN"/>
        </w:rPr>
        <w:t>3</w:t>
      </w:r>
      <w:r>
        <w:rPr>
          <w:rFonts w:hint="default"/>
          <w:highlight w:val="none"/>
        </w:rPr>
        <w:t>m，分段高度</w:t>
      </w:r>
      <w:r>
        <w:rPr>
          <w:rFonts w:hint="default"/>
          <w:highlight w:val="none"/>
          <w:lang w:val="en-US" w:eastAsia="zh-CN"/>
        </w:rPr>
        <w:t>10</w:t>
      </w:r>
      <w:r>
        <w:rPr>
          <w:rFonts w:hint="default"/>
          <w:highlight w:val="none"/>
        </w:rPr>
        <w:t>m，采用平底结构，装载机装矿。</w:t>
      </w:r>
      <w:r>
        <w:rPr>
          <w:rFonts w:hint="default"/>
          <w:highlight w:val="none"/>
          <w:lang w:val="en-US" w:eastAsia="zh-CN"/>
        </w:rPr>
        <w:t>每个矿块沿倾斜下行回采。倾斜方向为2个分段。</w:t>
      </w:r>
    </w:p>
    <w:p w14:paraId="23F7CC1A">
      <w:pPr>
        <w:pStyle w:val="22"/>
        <w:bidi w:val="0"/>
        <w:rPr>
          <w:rFonts w:hint="default"/>
          <w:highlight w:val="none"/>
        </w:rPr>
      </w:pPr>
      <w:r>
        <w:rPr>
          <w:rFonts w:hint="default"/>
          <w:highlight w:val="none"/>
          <w:lang w:val="en-US" w:eastAsia="zh-CN"/>
        </w:rPr>
        <w:t>2、</w:t>
      </w:r>
      <w:r>
        <w:rPr>
          <w:rFonts w:hint="default"/>
          <w:highlight w:val="none"/>
        </w:rPr>
        <w:t>采准切割</w:t>
      </w:r>
    </w:p>
    <w:p w14:paraId="268FF160">
      <w:pPr>
        <w:pStyle w:val="22"/>
        <w:bidi w:val="0"/>
        <w:rPr>
          <w:rFonts w:hint="default"/>
          <w:highlight w:val="none"/>
        </w:rPr>
      </w:pPr>
      <w:r>
        <w:rPr>
          <w:rFonts w:hint="default"/>
          <w:highlight w:val="none"/>
        </w:rPr>
        <w:t>垂直走向分段空场嗣后充填采矿法采准巷道包括：人行通风天井、联络道、分段凿岩巷道。切割巷道包括：切割天井和拉底巷道。采用YT-28型凿岩机用于采切平巷凿岩。</w:t>
      </w:r>
    </w:p>
    <w:p w14:paraId="0A2E05BB">
      <w:pPr>
        <w:pStyle w:val="22"/>
        <w:bidi w:val="0"/>
        <w:rPr>
          <w:rFonts w:hint="default"/>
          <w:highlight w:val="none"/>
        </w:rPr>
      </w:pPr>
      <w:r>
        <w:rPr>
          <w:rFonts w:hint="default"/>
          <w:highlight w:val="none"/>
        </w:rPr>
        <w:t>中段运输巷道沿矿体下盘布置，垂直矿体布置穿脉，由穿脉向两侧掘进装矿巷道。人行通风天井布置在矿体下盘岩石中，从天井垂直矿体走向掘进分段凿岩巷道。</w:t>
      </w:r>
    </w:p>
    <w:p w14:paraId="676A0805">
      <w:pPr>
        <w:pStyle w:val="22"/>
        <w:bidi w:val="0"/>
        <w:rPr>
          <w:rFonts w:hint="default"/>
          <w:highlight w:val="none"/>
        </w:rPr>
      </w:pPr>
      <w:r>
        <w:rPr>
          <w:rFonts w:hint="default"/>
          <w:highlight w:val="none"/>
        </w:rPr>
        <w:t>切割天井布置在矿房靠近上盘矿岩接触线处，作为回采爆破的自由面。由堑沟拉底平巷进行拉底，随着回采的推进，逐步将拉底层拉开。</w:t>
      </w:r>
    </w:p>
    <w:p w14:paraId="10501FD2">
      <w:pPr>
        <w:pStyle w:val="22"/>
        <w:bidi w:val="0"/>
        <w:rPr>
          <w:rFonts w:hint="default"/>
          <w:highlight w:val="none"/>
        </w:rPr>
      </w:pPr>
      <w:r>
        <w:rPr>
          <w:rFonts w:hint="default"/>
          <w:highlight w:val="none"/>
          <w:lang w:val="en-US" w:eastAsia="zh-CN"/>
        </w:rPr>
        <w:t>3、矿房回采</w:t>
      </w:r>
    </w:p>
    <w:p w14:paraId="43AEB41B">
      <w:pPr>
        <w:pStyle w:val="22"/>
        <w:bidi w:val="0"/>
        <w:rPr>
          <w:rFonts w:hint="default"/>
          <w:highlight w:val="none"/>
        </w:rPr>
      </w:pPr>
      <w:r>
        <w:rPr>
          <w:rFonts w:hint="default"/>
          <w:highlight w:val="none"/>
        </w:rPr>
        <w:t>回采层落矿采用YGZ-90型凿岩机配圆盘凿岩台架在分段凿岩巷道中打上向扇形中深孔，炸药采用粉状乳化炸药，孔深5～12m，排距1.5m，孔间距，1.8m，药卷直径为45mm。采用非电导爆管激发枪起爆。上分段保持垂直工作面或上分段超前一排炮孔，以保证分段爆破作业的安全。崩落的矿石借重力落到矿房底部堑沟内，再由装载机在装矿堑沟内将矿石装入井下运输车。</w:t>
      </w:r>
    </w:p>
    <w:p w14:paraId="5A930BC9">
      <w:pPr>
        <w:pStyle w:val="22"/>
        <w:bidi w:val="0"/>
        <w:rPr>
          <w:rFonts w:hint="default"/>
          <w:highlight w:val="none"/>
        </w:rPr>
      </w:pPr>
      <w:r>
        <w:rPr>
          <w:rFonts w:hint="default"/>
          <w:highlight w:val="none"/>
          <w:lang w:val="en-US" w:eastAsia="zh-CN"/>
        </w:rPr>
        <w:t>4、</w:t>
      </w:r>
      <w:r>
        <w:rPr>
          <w:rFonts w:hint="default"/>
          <w:highlight w:val="none"/>
        </w:rPr>
        <w:t>采场通风</w:t>
      </w:r>
    </w:p>
    <w:p w14:paraId="5FC69D5A">
      <w:pPr>
        <w:pStyle w:val="22"/>
        <w:bidi w:val="0"/>
        <w:rPr>
          <w:rFonts w:hint="default"/>
          <w:highlight w:val="none"/>
          <w:lang w:val="en-US" w:eastAsia="zh-CN"/>
        </w:rPr>
      </w:pPr>
      <w:r>
        <w:rPr>
          <w:rFonts w:hint="default"/>
          <w:highlight w:val="none"/>
          <w:lang w:val="en-US" w:eastAsia="zh-CN"/>
        </w:rPr>
        <w:t>出矿水平新鲜风流由斜坡道进入中段进风沿脉巷、分段进风沿脉巷、出矿巷道冲洗工作面，污风由分段回风沿脉巷、采场回风天井、回风石门回到风井排出地表。</w:t>
      </w:r>
    </w:p>
    <w:p w14:paraId="6EC56AED">
      <w:pPr>
        <w:pStyle w:val="22"/>
        <w:bidi w:val="0"/>
        <w:rPr>
          <w:rFonts w:hint="default"/>
          <w:highlight w:val="none"/>
        </w:rPr>
      </w:pPr>
      <w:r>
        <w:rPr>
          <w:rFonts w:hint="default"/>
          <w:highlight w:val="none"/>
          <w:lang w:val="en-US" w:eastAsia="zh-CN"/>
        </w:rPr>
        <w:t>凿岩水平新鲜风流由斜坡道进入分段进风沿脉巷、分段凿岩巷冲洗工作面，污风由分段回风沿脉巷、采场回风天井、中段回风石门回到风井排出地表。</w:t>
      </w:r>
    </w:p>
    <w:p w14:paraId="69A8F157">
      <w:pPr>
        <w:pStyle w:val="22"/>
        <w:bidi w:val="0"/>
        <w:rPr>
          <w:rFonts w:hint="default"/>
          <w:highlight w:val="none"/>
        </w:rPr>
      </w:pPr>
      <w:r>
        <w:rPr>
          <w:rFonts w:hint="default"/>
          <w:highlight w:val="none"/>
          <w:lang w:val="en-US" w:eastAsia="zh-CN"/>
        </w:rPr>
        <w:t>5、</w:t>
      </w:r>
      <w:r>
        <w:rPr>
          <w:rFonts w:hint="default"/>
          <w:highlight w:val="none"/>
        </w:rPr>
        <w:t>矿柱回收及采空区处理</w:t>
      </w:r>
    </w:p>
    <w:p w14:paraId="56CBDC95">
      <w:pPr>
        <w:pStyle w:val="22"/>
        <w:bidi w:val="0"/>
        <w:rPr>
          <w:rFonts w:hint="default"/>
          <w:highlight w:val="none"/>
        </w:rPr>
      </w:pPr>
      <w:r>
        <w:rPr>
          <w:rFonts w:hint="eastAsia"/>
          <w:highlight w:val="none"/>
          <w:lang w:val="en-US" w:eastAsia="zh-CN"/>
        </w:rPr>
        <w:t>矿房回采结束后，利用产出废石对回采结束后形成的采空区进行废石回填。为防止空区垮塌对井下产生冲击波，要求采场充填率不小于65％。废石由上中段充填井将废石充填至回采结束的采场内。充填结束后及时将通往采空区的穿脉巷道封闭，采用浆砌石密闭墙封堵，浆砌石强度等级M7.5，并在底部留设两个300mm×300mm的泄水孔。</w:t>
      </w:r>
    </w:p>
    <w:p w14:paraId="0F4476D9">
      <w:pPr>
        <w:pStyle w:val="30"/>
        <w:bidi w:val="0"/>
        <w:rPr>
          <w:rFonts w:hint="eastAsia"/>
          <w:highlight w:val="none"/>
          <w:lang w:val="en-US" w:eastAsia="zh-CN"/>
        </w:rPr>
      </w:pPr>
      <w:r>
        <w:rPr>
          <w:rFonts w:hint="eastAsia"/>
          <w:highlight w:val="none"/>
          <w:lang w:val="en-US" w:eastAsia="zh-CN"/>
        </w:rPr>
        <w:t>充填系统</w:t>
      </w:r>
    </w:p>
    <w:p w14:paraId="44A38695">
      <w:pPr>
        <w:pStyle w:val="22"/>
        <w:numPr>
          <w:ilvl w:val="0"/>
          <w:numId w:val="20"/>
        </w:numPr>
        <w:bidi w:val="0"/>
        <w:rPr>
          <w:rFonts w:hint="default"/>
          <w:highlight w:val="none"/>
          <w:lang w:val="en-US" w:eastAsia="zh-CN"/>
        </w:rPr>
      </w:pPr>
      <w:r>
        <w:rPr>
          <w:rFonts w:hint="default"/>
          <w:highlight w:val="none"/>
          <w:lang w:val="en-US" w:eastAsia="zh-CN"/>
        </w:rPr>
        <w:t>充填材料的选择</w:t>
      </w:r>
    </w:p>
    <w:p w14:paraId="0228C51E">
      <w:pPr>
        <w:pStyle w:val="22"/>
        <w:bidi w:val="0"/>
        <w:rPr>
          <w:rFonts w:hint="default"/>
          <w:highlight w:val="none"/>
          <w:lang w:val="en-US" w:eastAsia="zh-CN"/>
        </w:rPr>
      </w:pPr>
      <w:r>
        <w:rPr>
          <w:rFonts w:hint="default"/>
          <w:highlight w:val="none"/>
        </w:rPr>
        <w:t>根据《国家矿山安全监察局关于印发&lt;关于加强非煤矿山安全生产工作的指导意见&gt;的通知（矿安〔2022〕4号）》以及《中共中央办公厅 国务院办公厅关于进一步加强矿山安全生产工作的意见》要求，新建、改扩建金属非金属地下矿山原则上采用充填采矿法，本次设计采用</w:t>
      </w:r>
      <w:r>
        <w:rPr>
          <w:rFonts w:hint="default"/>
          <w:highlight w:val="none"/>
          <w:lang w:val="en-US" w:eastAsia="zh-CN"/>
        </w:rPr>
        <w:t>浅孔留矿嗣后充填采矿法和</w:t>
      </w:r>
      <w:r>
        <w:rPr>
          <w:rFonts w:hint="default"/>
          <w:highlight w:val="none"/>
        </w:rPr>
        <w:t>分段空场嗣后充填采矿法，充填材料为废石</w:t>
      </w:r>
      <w:r>
        <w:rPr>
          <w:rFonts w:hint="default"/>
          <w:highlight w:val="none"/>
          <w:lang w:val="en-US" w:eastAsia="zh-CN"/>
        </w:rPr>
        <w:t>。</w:t>
      </w:r>
    </w:p>
    <w:p w14:paraId="581A1F71">
      <w:pPr>
        <w:pStyle w:val="22"/>
        <w:numPr>
          <w:ilvl w:val="0"/>
          <w:numId w:val="20"/>
        </w:numPr>
        <w:bidi w:val="0"/>
        <w:rPr>
          <w:rFonts w:hint="default"/>
          <w:highlight w:val="none"/>
          <w:lang w:val="en-US" w:eastAsia="zh-CN"/>
        </w:rPr>
      </w:pPr>
      <w:r>
        <w:rPr>
          <w:rFonts w:hint="default"/>
          <w:highlight w:val="none"/>
          <w:lang w:val="en-US" w:eastAsia="zh-CN"/>
        </w:rPr>
        <w:t>充填</w:t>
      </w:r>
      <w:r>
        <w:rPr>
          <w:rFonts w:hint="eastAsia"/>
          <w:highlight w:val="none"/>
          <w:lang w:val="en-US" w:eastAsia="zh-CN"/>
        </w:rPr>
        <w:t>工艺</w:t>
      </w:r>
    </w:p>
    <w:p w14:paraId="7544730D">
      <w:pPr>
        <w:pStyle w:val="22"/>
        <w:bidi w:val="0"/>
        <w:rPr>
          <w:rFonts w:hint="default"/>
          <w:highlight w:val="none"/>
          <w:lang w:val="en-US" w:eastAsia="zh-CN"/>
        </w:rPr>
      </w:pPr>
      <w:r>
        <w:rPr>
          <w:rFonts w:hint="default"/>
          <w:highlight w:val="none"/>
          <w:lang w:val="en-US" w:eastAsia="zh-CN"/>
        </w:rPr>
        <w:t>矿房开采结束后，不进行矿柱回收，立即对采空区进行干式充填，设计要求于上部回风巷道施工废石充填井，充填井规格为1.5×2.5m，设计要求采场充填率不小于65％。</w:t>
      </w:r>
    </w:p>
    <w:p w14:paraId="1F6229BE">
      <w:pPr>
        <w:pStyle w:val="22"/>
        <w:bidi w:val="0"/>
        <w:rPr>
          <w:rFonts w:hint="eastAsia"/>
          <w:highlight w:val="none"/>
          <w:lang w:val="en-US" w:eastAsia="zh-CN"/>
        </w:rPr>
      </w:pPr>
      <w:r>
        <w:rPr>
          <w:rFonts w:hint="default"/>
          <w:highlight w:val="none"/>
          <w:lang w:val="en-US" w:eastAsia="zh-CN"/>
        </w:rPr>
        <w:t>各采空区处理结束后应及时封闭，通往采空区的巷道进行封堵，封堵墙采用浆砌石结构，密闭厚度1.6m，混凝土抹缝，混凝土强度等级C20，挡墙上留孔径0.3m的观测孔，同时距密闭底部0.3m高度预留两个φ150mm的泄水孔</w:t>
      </w:r>
      <w:r>
        <w:rPr>
          <w:rFonts w:hint="eastAsia"/>
          <w:highlight w:val="none"/>
          <w:lang w:val="en-US" w:eastAsia="zh-CN"/>
        </w:rPr>
        <w:t>。</w:t>
      </w:r>
    </w:p>
    <w:p w14:paraId="7F99AA16">
      <w:pPr>
        <w:pStyle w:val="22"/>
        <w:numPr>
          <w:ilvl w:val="0"/>
          <w:numId w:val="20"/>
        </w:numPr>
        <w:bidi w:val="0"/>
        <w:rPr>
          <w:rFonts w:hint="eastAsia"/>
          <w:highlight w:val="none"/>
          <w:lang w:val="en-US" w:eastAsia="zh-CN"/>
        </w:rPr>
      </w:pPr>
      <w:r>
        <w:rPr>
          <w:rFonts w:hint="eastAsia"/>
          <w:highlight w:val="none"/>
          <w:lang w:val="en-US" w:eastAsia="zh-CN"/>
        </w:rPr>
        <w:t>充填材料消耗</w:t>
      </w:r>
    </w:p>
    <w:p w14:paraId="269F778F">
      <w:pPr>
        <w:pStyle w:val="22"/>
        <w:bidi w:val="0"/>
        <w:rPr>
          <w:rFonts w:hint="eastAsia"/>
          <w:highlight w:val="none"/>
          <w:lang w:val="en-US" w:eastAsia="zh-CN"/>
        </w:rPr>
      </w:pPr>
      <w:r>
        <w:rPr>
          <w:rFonts w:hint="eastAsia"/>
          <w:highlight w:val="none"/>
          <w:lang w:val="en-US" w:eastAsia="zh-CN"/>
        </w:rPr>
        <w:t>设计矿山生产规模为15万t/a，年产生空区体积为4.52万m³，则需要回填的采空区体积应不小于2.94万m³，折合8.09万t废石。</w:t>
      </w:r>
    </w:p>
    <w:p w14:paraId="155BC2DB">
      <w:pPr>
        <w:pStyle w:val="22"/>
        <w:numPr>
          <w:ilvl w:val="0"/>
          <w:numId w:val="20"/>
        </w:numPr>
        <w:bidi w:val="0"/>
        <w:rPr>
          <w:rFonts w:hint="default"/>
          <w:highlight w:val="none"/>
          <w:lang w:val="en-US" w:eastAsia="zh-CN"/>
        </w:rPr>
      </w:pPr>
      <w:r>
        <w:rPr>
          <w:rFonts w:hint="default"/>
          <w:highlight w:val="none"/>
          <w:lang w:val="en-US" w:eastAsia="zh-CN"/>
        </w:rPr>
        <w:t>充填材料来源</w:t>
      </w:r>
    </w:p>
    <w:p w14:paraId="1234F735">
      <w:pPr>
        <w:pStyle w:val="22"/>
        <w:bidi w:val="0"/>
        <w:rPr>
          <w:rFonts w:hint="eastAsia"/>
          <w:highlight w:val="none"/>
          <w:lang w:val="en-US" w:eastAsia="zh-CN"/>
        </w:rPr>
      </w:pPr>
      <w:r>
        <w:rPr>
          <w:rFonts w:hint="eastAsia"/>
          <w:highlight w:val="none"/>
          <w:lang w:val="en-US" w:eastAsia="zh-CN"/>
        </w:rPr>
        <w:t>年生产废石约为1.5万t，生产期废石不出井，由斜坡道运输至上中段进行回填；根据基建进度计划表基建期共生产废石量约为7.71万t，设计生产服务年限为5年零5个月则共需46.1万t，缺少废石量约为29.8万t，不足部分废石进行外购，企业已与本溪满族自治县鑫强矿业有限公司签署废石外购协议，地表废石斜坡道运输至井下以满足充填要求。</w:t>
      </w:r>
    </w:p>
    <w:p w14:paraId="77B9F6E5">
      <w:pPr>
        <w:pStyle w:val="30"/>
        <w:bidi w:val="0"/>
        <w:rPr>
          <w:rFonts w:hint="default"/>
          <w:highlight w:val="none"/>
          <w:lang w:val="en-US" w:eastAsia="zh-CN"/>
        </w:rPr>
      </w:pPr>
      <w:r>
        <w:rPr>
          <w:rFonts w:hint="eastAsia"/>
          <w:highlight w:val="none"/>
          <w:lang w:val="en-US" w:eastAsia="zh-CN"/>
        </w:rPr>
        <w:t>通风系统</w:t>
      </w:r>
    </w:p>
    <w:p w14:paraId="60F4FF92">
      <w:pPr>
        <w:pStyle w:val="22"/>
        <w:numPr>
          <w:ilvl w:val="0"/>
          <w:numId w:val="21"/>
        </w:numPr>
        <w:bidi w:val="0"/>
        <w:rPr>
          <w:rFonts w:hint="default"/>
          <w:highlight w:val="none"/>
          <w:lang w:val="en-US" w:eastAsia="zh-CN"/>
        </w:rPr>
      </w:pPr>
      <w:r>
        <w:rPr>
          <w:rFonts w:hint="default"/>
          <w:highlight w:val="none"/>
          <w:lang w:val="en-US" w:eastAsia="zh-CN"/>
        </w:rPr>
        <w:t>通风方式、系统</w:t>
      </w:r>
    </w:p>
    <w:p w14:paraId="14452E6E">
      <w:pPr>
        <w:pStyle w:val="22"/>
        <w:bidi w:val="0"/>
        <w:rPr>
          <w:rFonts w:hint="default"/>
          <w:highlight w:val="none"/>
        </w:rPr>
      </w:pPr>
      <w:r>
        <w:rPr>
          <w:rFonts w:hint="default"/>
          <w:highlight w:val="none"/>
        </w:rPr>
        <w:t>矿山采用对角抽出式通风系统。</w:t>
      </w:r>
    </w:p>
    <w:p w14:paraId="62B4F7CC">
      <w:pPr>
        <w:pStyle w:val="22"/>
        <w:bidi w:val="0"/>
        <w:rPr>
          <w:rFonts w:hint="default"/>
          <w:highlight w:val="none"/>
          <w:lang w:val="en-US" w:eastAsia="zh-CN"/>
        </w:rPr>
      </w:pPr>
      <w:r>
        <w:rPr>
          <w:rFonts w:hint="default"/>
          <w:highlight w:val="none"/>
        </w:rPr>
        <w:t>设计井下所需新鲜风流由斜坡道进入井下，经中段的主运巷道、出矿巷道送至井下各作业面，冲洗采场后的污风经上中段回风巷由回风竖井井口主扇抽出至地表。</w:t>
      </w:r>
    </w:p>
    <w:p w14:paraId="3E0030A5">
      <w:pPr>
        <w:pStyle w:val="22"/>
        <w:numPr>
          <w:ilvl w:val="0"/>
          <w:numId w:val="21"/>
        </w:numPr>
        <w:bidi w:val="0"/>
        <w:rPr>
          <w:rFonts w:hint="default"/>
          <w:highlight w:val="none"/>
          <w:lang w:val="en-US" w:eastAsia="zh-CN"/>
        </w:rPr>
      </w:pPr>
      <w:r>
        <w:rPr>
          <w:rFonts w:hint="default"/>
          <w:highlight w:val="none"/>
          <w:lang w:val="en-US" w:eastAsia="zh-CN"/>
        </w:rPr>
        <w:t>矿井通风制度</w:t>
      </w:r>
    </w:p>
    <w:p w14:paraId="5B63C869">
      <w:pPr>
        <w:pStyle w:val="22"/>
        <w:bidi w:val="0"/>
        <w:rPr>
          <w:rFonts w:hint="default"/>
          <w:highlight w:val="none"/>
          <w:lang w:val="en-US" w:eastAsia="zh-CN"/>
        </w:rPr>
      </w:pPr>
      <w:r>
        <w:rPr>
          <w:rFonts w:hint="default"/>
          <w:highlight w:val="none"/>
        </w:rPr>
        <w:t>矿井通风采用连续工作制，即</w:t>
      </w:r>
      <w:r>
        <w:rPr>
          <w:rFonts w:hint="eastAsia"/>
          <w:highlight w:val="none"/>
          <w:lang w:val="en-US" w:eastAsia="zh-CN"/>
        </w:rPr>
        <w:t>33</w:t>
      </w:r>
      <w:r>
        <w:rPr>
          <w:rFonts w:hint="default"/>
          <w:highlight w:val="none"/>
        </w:rPr>
        <w:t>0d/a，</w:t>
      </w:r>
      <w:r>
        <w:rPr>
          <w:rFonts w:hint="eastAsia"/>
          <w:highlight w:val="none"/>
          <w:lang w:val="en-US" w:eastAsia="zh-CN"/>
        </w:rPr>
        <w:t>3</w:t>
      </w:r>
      <w:r>
        <w:rPr>
          <w:rFonts w:hint="default"/>
          <w:highlight w:val="none"/>
        </w:rPr>
        <w:t>班/d，8h/班。</w:t>
      </w:r>
    </w:p>
    <w:p w14:paraId="6038D657">
      <w:pPr>
        <w:pStyle w:val="22"/>
        <w:numPr>
          <w:ilvl w:val="0"/>
          <w:numId w:val="21"/>
        </w:numPr>
        <w:bidi w:val="0"/>
        <w:rPr>
          <w:rFonts w:hint="default"/>
          <w:highlight w:val="none"/>
          <w:lang w:val="en-US" w:eastAsia="zh-CN"/>
        </w:rPr>
      </w:pPr>
      <w:r>
        <w:rPr>
          <w:rFonts w:hint="default"/>
          <w:highlight w:val="none"/>
          <w:lang w:val="en-US" w:eastAsia="zh-CN"/>
        </w:rPr>
        <w:t>矿井需风量</w:t>
      </w:r>
      <w:r>
        <w:rPr>
          <w:rFonts w:hint="eastAsia"/>
          <w:highlight w:val="none"/>
          <w:lang w:val="en-US" w:eastAsia="zh-CN"/>
        </w:rPr>
        <w:t>及通风阻力计算</w:t>
      </w:r>
    </w:p>
    <w:p w14:paraId="72AF9ECD">
      <w:pPr>
        <w:pStyle w:val="22"/>
        <w:bidi w:val="0"/>
        <w:rPr>
          <w:rFonts w:hint="eastAsia"/>
          <w:highlight w:val="none"/>
          <w:lang w:val="en-US" w:eastAsia="zh-CN"/>
        </w:rPr>
      </w:pPr>
      <w:r>
        <w:rPr>
          <w:rFonts w:hint="eastAsia"/>
          <w:highlight w:val="none"/>
          <w:lang w:val="en-US" w:eastAsia="zh-CN"/>
        </w:rPr>
        <w:t>《可研报告》明确矿床矿石中不含硫、放射性元素及其它有害气体，按照不低于《金属非金属矿山安全规程》规定的最低排尘风速，井下作业机台数按采矿15万t/a生产能力，计算的矿井需风量。根据同时工作的回采作业面、掘进作业面及硐室所需风量，考虑各作业面的数量和内外部漏风系数。</w:t>
      </w:r>
    </w:p>
    <w:p w14:paraId="10202B5E">
      <w:pPr>
        <w:pStyle w:val="22"/>
        <w:bidi w:val="0"/>
        <w:rPr>
          <w:rFonts w:hint="eastAsia"/>
          <w:highlight w:val="none"/>
          <w:lang w:eastAsia="zh-CN"/>
        </w:rPr>
      </w:pPr>
      <w:r>
        <w:rPr>
          <w:rFonts w:hint="eastAsia"/>
          <w:highlight w:val="none"/>
          <w:lang w:val="en-US" w:eastAsia="zh-CN"/>
        </w:rPr>
        <w:t>《可研报告》分别按排尘风速要求计算矿井需风量、</w:t>
      </w:r>
      <w:r>
        <w:rPr>
          <w:rFonts w:hint="eastAsia"/>
          <w:highlight w:val="none"/>
        </w:rPr>
        <w:t>按井下最大同时作业人数计算总需风量</w:t>
      </w:r>
      <w:r>
        <w:rPr>
          <w:rFonts w:hint="eastAsia"/>
          <w:highlight w:val="none"/>
          <w:lang w:eastAsia="zh-CN"/>
        </w:rPr>
        <w:t>、</w:t>
      </w:r>
      <w:r>
        <w:rPr>
          <w:rFonts w:hint="eastAsia"/>
          <w:highlight w:val="none"/>
          <w:lang w:val="en-US" w:eastAsia="zh-CN"/>
        </w:rPr>
        <w:t>按柴油设备计算需风量，计算需风量结果分别为41.4m³/s、1.8</w:t>
      </w:r>
      <w:r>
        <w:rPr>
          <w:rFonts w:hint="default"/>
          <w:highlight w:val="none"/>
          <w:lang w:val="en-US" w:eastAsia="zh-CN"/>
        </w:rPr>
        <w:t>m³/s</w:t>
      </w:r>
      <w:r>
        <w:rPr>
          <w:rFonts w:hint="eastAsia"/>
          <w:highlight w:val="none"/>
          <w:lang w:val="en-US" w:eastAsia="zh-CN"/>
        </w:rPr>
        <w:t>、54.1</w:t>
      </w:r>
      <w:r>
        <w:rPr>
          <w:rFonts w:hint="default"/>
          <w:highlight w:val="none"/>
          <w:lang w:val="en-US" w:eastAsia="zh-CN"/>
        </w:rPr>
        <w:t>m³/s</w:t>
      </w:r>
      <w:r>
        <w:rPr>
          <w:rFonts w:hint="eastAsia"/>
          <w:highlight w:val="none"/>
          <w:lang w:val="en-US" w:eastAsia="zh-CN"/>
        </w:rPr>
        <w:t>。因此，井下需风量取最大值54.1m³/s</w:t>
      </w:r>
      <w:r>
        <w:rPr>
          <w:rFonts w:hint="eastAsia"/>
          <w:highlight w:val="none"/>
          <w:lang w:eastAsia="zh-CN"/>
        </w:rPr>
        <w:t>。</w:t>
      </w:r>
    </w:p>
    <w:p w14:paraId="40630462">
      <w:pPr>
        <w:pStyle w:val="22"/>
        <w:bidi w:val="0"/>
        <w:rPr>
          <w:rFonts w:hint="eastAsia"/>
          <w:highlight w:val="none"/>
          <w:lang w:val="en-US" w:eastAsia="zh-CN"/>
        </w:rPr>
      </w:pPr>
      <w:r>
        <w:rPr>
          <w:rFonts w:hint="eastAsia"/>
          <w:highlight w:val="none"/>
          <w:lang w:val="en-US" w:eastAsia="zh-CN"/>
        </w:rPr>
        <w:t>《可研报告》对矿井通风总阻力计算是按通风最困难时期为准进行计算。由于采区出风井和进风井高差相差均不大，自然风压很小，因此设计通风阻力计算不考虑自然风压的影响。经计算，回风竖井通风容易时期负压为312.57Pa，通风困难时期负压为1358.58Pa。</w:t>
      </w:r>
    </w:p>
    <w:p w14:paraId="569BEA5D">
      <w:pPr>
        <w:pStyle w:val="22"/>
        <w:bidi w:val="0"/>
        <w:rPr>
          <w:rFonts w:hint="default"/>
          <w:highlight w:val="none"/>
          <w:lang w:val="en-US" w:eastAsia="zh-CN"/>
        </w:rPr>
      </w:pPr>
      <w:r>
        <w:rPr>
          <w:rFonts w:hint="eastAsia"/>
          <w:highlight w:val="none"/>
          <w:lang w:val="en-US" w:eastAsia="zh-CN"/>
        </w:rPr>
        <w:t>《可研报告》对矿井等积孔及通风阻力进行计算，计算结果为1.75，大于1，且通风困难时期风阻0.054，小于0.354，所以该矿山为通风阻力为中等等级。</w:t>
      </w:r>
    </w:p>
    <w:p w14:paraId="11439947">
      <w:pPr>
        <w:pStyle w:val="22"/>
        <w:numPr>
          <w:ilvl w:val="0"/>
          <w:numId w:val="21"/>
        </w:numPr>
        <w:bidi w:val="0"/>
        <w:rPr>
          <w:rFonts w:hint="default"/>
          <w:highlight w:val="none"/>
          <w:lang w:val="en-US" w:eastAsia="zh-CN"/>
        </w:rPr>
      </w:pPr>
      <w:r>
        <w:rPr>
          <w:rFonts w:hint="eastAsia"/>
          <w:highlight w:val="none"/>
          <w:lang w:val="en-US" w:eastAsia="zh-CN"/>
        </w:rPr>
        <w:t>主要通风设施</w:t>
      </w:r>
    </w:p>
    <w:p w14:paraId="213E1C32">
      <w:pPr>
        <w:pStyle w:val="22"/>
        <w:bidi w:val="0"/>
        <w:rPr>
          <w:rFonts w:hint="default"/>
          <w:highlight w:val="none"/>
          <w:lang w:val="en-US" w:eastAsia="zh-CN"/>
        </w:rPr>
      </w:pPr>
      <w:r>
        <w:rPr>
          <w:rFonts w:hint="default"/>
          <w:highlight w:val="none"/>
          <w:lang w:val="en-US" w:eastAsia="zh-CN"/>
        </w:rPr>
        <w:t>为了使矿井中的风流按照规定的网路和风量流动，在通风网路中设置各种控制风流的通风构筑物。根据矿井通风需要，采用密闭或自动风门来调节通风网路。主扇风机配备一台同型号的备用电机。</w:t>
      </w:r>
    </w:p>
    <w:p w14:paraId="67C5DF13">
      <w:pPr>
        <w:pStyle w:val="22"/>
        <w:bidi w:val="0"/>
        <w:rPr>
          <w:rFonts w:hint="eastAsia"/>
          <w:highlight w:val="none"/>
          <w:lang w:val="en-US" w:eastAsia="zh-CN"/>
        </w:rPr>
      </w:pPr>
      <w:r>
        <w:rPr>
          <w:rFonts w:hint="default"/>
          <w:highlight w:val="none"/>
          <w:lang w:val="en-US" w:eastAsia="zh-CN"/>
        </w:rPr>
        <w:t>矿山应在回风中段和暂未生产中段的石门处设隔断风门，避免新风流直接进入回风巷内，造成通风短路。</w:t>
      </w:r>
    </w:p>
    <w:p w14:paraId="272F7CD6">
      <w:pPr>
        <w:pStyle w:val="22"/>
        <w:numPr>
          <w:ilvl w:val="0"/>
          <w:numId w:val="21"/>
        </w:numPr>
        <w:bidi w:val="0"/>
        <w:rPr>
          <w:rFonts w:hint="default"/>
          <w:highlight w:val="none"/>
          <w:lang w:val="en-US" w:eastAsia="zh-CN"/>
        </w:rPr>
      </w:pPr>
      <w:r>
        <w:rPr>
          <w:rFonts w:hint="eastAsia"/>
          <w:highlight w:val="none"/>
          <w:lang w:val="en-US" w:eastAsia="zh-CN"/>
        </w:rPr>
        <w:t>局部通风设施</w:t>
      </w:r>
    </w:p>
    <w:p w14:paraId="325FDA7F">
      <w:pPr>
        <w:pStyle w:val="22"/>
        <w:bidi w:val="0"/>
        <w:rPr>
          <w:rFonts w:hint="default"/>
          <w:highlight w:val="none"/>
          <w:lang w:val="en-US" w:eastAsia="zh-CN"/>
        </w:rPr>
      </w:pPr>
      <w:r>
        <w:rPr>
          <w:rFonts w:hint="eastAsia"/>
          <w:highlight w:val="none"/>
        </w:rPr>
        <w:t>当矿房形成人行通风天井后，构成完整通风系统时，在开拓和回采过程中，不可避免的有些独头掘进巷道。坑内供风不足地点，采用FKNo4.5/11局部通风机来调节和补充。设计掘进工作面3个，每个掘进面配备1台局扇，需3台。回采工作面3个，每个采场配备1台局扇，需3台。共需FKNo4.5/11局部通风机6台工作。考虑30%备用量，共需FKNo4.5/11型局扇8台。风筒采用FTZSS 400×10矿用风筒，风筒直径400mm</w:t>
      </w:r>
      <w:r>
        <w:rPr>
          <w:rFonts w:hint="eastAsia"/>
          <w:highlight w:val="none"/>
          <w:lang w:eastAsia="zh-CN"/>
        </w:rPr>
        <w:t>。</w:t>
      </w:r>
    </w:p>
    <w:p w14:paraId="00C3D5FE">
      <w:pPr>
        <w:pStyle w:val="30"/>
        <w:bidi w:val="0"/>
        <w:rPr>
          <w:rFonts w:hint="default"/>
          <w:highlight w:val="none"/>
          <w:lang w:val="en-US" w:eastAsia="zh-CN"/>
        </w:rPr>
      </w:pPr>
      <w:r>
        <w:rPr>
          <w:rFonts w:hint="default"/>
          <w:highlight w:val="none"/>
          <w:lang w:val="en-US" w:eastAsia="zh-CN"/>
        </w:rPr>
        <w:t>矿山供配电设施</w:t>
      </w:r>
    </w:p>
    <w:p w14:paraId="5A7ACD13">
      <w:pPr>
        <w:pStyle w:val="22"/>
        <w:numPr>
          <w:ilvl w:val="0"/>
          <w:numId w:val="22"/>
        </w:numPr>
        <w:bidi w:val="0"/>
        <w:rPr>
          <w:rFonts w:hint="default"/>
          <w:highlight w:val="none"/>
          <w:lang w:val="en-US" w:eastAsia="zh-CN"/>
        </w:rPr>
      </w:pPr>
      <w:r>
        <w:rPr>
          <w:rFonts w:hint="eastAsia"/>
          <w:highlight w:val="none"/>
          <w:lang w:val="en-US" w:eastAsia="zh-CN"/>
        </w:rPr>
        <w:t>电源</w:t>
      </w:r>
    </w:p>
    <w:p w14:paraId="15001234">
      <w:pPr>
        <w:pStyle w:val="22"/>
        <w:bidi w:val="0"/>
        <w:rPr>
          <w:rFonts w:hint="default"/>
          <w:lang w:val="en-US" w:eastAsia="zh-CN"/>
        </w:rPr>
      </w:pPr>
      <w:r>
        <w:rPr>
          <w:rFonts w:hint="default"/>
          <w:lang w:val="en-US" w:eastAsia="zh-CN"/>
        </w:rPr>
        <w:t>采用双重电源供电，一路主供电源引自草河城镇66千伏变电站10kV侧，距离本矿山8.5km，由LGJ-70架空输电线路至本矿山变电所。由于矿山受条件限制不具备两回路供电条件，为了保证矿井在供电电源因故障或其他原因停止供电时，仍能担负矿山一级负荷的需要，以保障人员、排水等安全用电，故设置备用电源。另一路由柴油发电机组供电，为备用保安电源，选择1台650kW 10.5kV柴油发电机组，以保证一级负荷的供电电源，满足要求。以上两回电源均安全可靠且满足用电需要。</w:t>
      </w:r>
    </w:p>
    <w:p w14:paraId="27030B6D">
      <w:pPr>
        <w:pStyle w:val="22"/>
        <w:bidi w:val="0"/>
      </w:pPr>
      <w:r>
        <w:rPr>
          <w:rFonts w:hint="default"/>
          <w:lang w:val="en-US" w:eastAsia="zh-CN"/>
        </w:rPr>
        <w:t>设计拟在地表建设一10kV变配电所（具体位置见总图），电源引自上级变电所10kV侧，向</w:t>
      </w:r>
      <w:r>
        <w:rPr>
          <w:rFonts w:hint="eastAsia"/>
          <w:lang w:val="en-US" w:eastAsia="zh-CN"/>
        </w:rPr>
        <w:t>所内变压器</w:t>
      </w:r>
      <w:r>
        <w:rPr>
          <w:rFonts w:hint="default"/>
          <w:lang w:val="en-US" w:eastAsia="zh-CN"/>
        </w:rPr>
        <w:t>、矿井空气预热及其他10kV配电点等用电单位配电。</w:t>
      </w:r>
    </w:p>
    <w:p w14:paraId="66E4FED1">
      <w:pPr>
        <w:pStyle w:val="22"/>
        <w:bidi w:val="0"/>
        <w:rPr>
          <w:rFonts w:hint="default"/>
          <w:lang w:val="en-US" w:eastAsia="zh-CN"/>
        </w:rPr>
      </w:pPr>
      <w:r>
        <w:rPr>
          <w:rFonts w:hint="default"/>
          <w:lang w:val="en-US" w:eastAsia="zh-CN"/>
        </w:rPr>
        <w:t>设计拟在</w:t>
      </w:r>
      <w:r>
        <w:rPr>
          <w:rFonts w:hint="eastAsia"/>
          <w:lang w:val="en-US" w:eastAsia="zh-CN"/>
        </w:rPr>
        <w:t>-67</w:t>
      </w:r>
      <w:r>
        <w:rPr>
          <w:rFonts w:hint="default"/>
          <w:lang w:val="en-US" w:eastAsia="zh-CN"/>
        </w:rPr>
        <w:t>m中段毗邻水泵房设变配电所，两路电源分别引自地表10kV变配电所不同母线段，经由</w:t>
      </w:r>
      <w:r>
        <w:rPr>
          <w:rFonts w:hint="eastAsia"/>
          <w:lang w:val="en-US" w:eastAsia="zh-CN"/>
        </w:rPr>
        <w:t>回风竖井</w:t>
      </w:r>
      <w:r>
        <w:rPr>
          <w:rFonts w:hint="default"/>
          <w:lang w:val="en-US" w:eastAsia="zh-CN"/>
        </w:rPr>
        <w:t>井口引至井下</w:t>
      </w:r>
      <w:r>
        <w:rPr>
          <w:rFonts w:hint="eastAsia"/>
          <w:lang w:val="en-US" w:eastAsia="zh-CN"/>
        </w:rPr>
        <w:t>-67</w:t>
      </w:r>
      <w:r>
        <w:rPr>
          <w:rFonts w:hint="default"/>
          <w:lang w:val="en-US" w:eastAsia="zh-CN"/>
        </w:rPr>
        <w:t>m中段变配电所，两段进线之间采用</w:t>
      </w:r>
      <w:r>
        <w:rPr>
          <w:rFonts w:hint="eastAsia"/>
          <w:lang w:val="en-US" w:eastAsia="zh-CN"/>
        </w:rPr>
        <w:t>机械及</w:t>
      </w:r>
      <w:r>
        <w:rPr>
          <w:rFonts w:hint="default"/>
          <w:lang w:val="en-US" w:eastAsia="zh-CN"/>
        </w:rPr>
        <w:t>电气互锁，向所内变压器等用电单位配电。</w:t>
      </w:r>
    </w:p>
    <w:p w14:paraId="2F8B4F6B">
      <w:pPr>
        <w:pStyle w:val="22"/>
        <w:numPr>
          <w:ilvl w:val="0"/>
          <w:numId w:val="22"/>
        </w:numPr>
        <w:bidi w:val="0"/>
        <w:rPr>
          <w:rFonts w:hint="default"/>
          <w:highlight w:val="none"/>
          <w:lang w:val="en-US" w:eastAsia="zh-CN"/>
        </w:rPr>
      </w:pPr>
      <w:r>
        <w:rPr>
          <w:rFonts w:hint="eastAsia"/>
          <w:highlight w:val="none"/>
          <w:lang w:val="en-US" w:eastAsia="zh-CN"/>
        </w:rPr>
        <w:t>供电系统</w:t>
      </w:r>
    </w:p>
    <w:p w14:paraId="3166CCC1">
      <w:pPr>
        <w:pStyle w:val="22"/>
        <w:bidi w:val="0"/>
        <w:rPr>
          <w:rFonts w:hint="default"/>
          <w:highlight w:val="none"/>
          <w:lang w:val="en-US" w:eastAsia="zh-CN"/>
        </w:rPr>
      </w:pPr>
      <w:r>
        <w:rPr>
          <w:rFonts w:hint="default"/>
          <w:highlight w:val="none"/>
          <w:lang w:val="en-US" w:eastAsia="zh-CN"/>
        </w:rPr>
        <w:t>采用放射式配电方式，向地表变电所采用架空线路的方式配电，空压机站、主扇机等各用电中段采用电缆的方式配电，架空线转电缆处设有避雷设施</w:t>
      </w:r>
      <w:r>
        <w:rPr>
          <w:rFonts w:hint="eastAsia"/>
          <w:highlight w:val="none"/>
          <w:lang w:val="en-US" w:eastAsia="zh-CN"/>
        </w:rPr>
        <w:t>。</w:t>
      </w:r>
    </w:p>
    <w:p w14:paraId="50E8E340">
      <w:pPr>
        <w:pStyle w:val="22"/>
        <w:numPr>
          <w:ilvl w:val="0"/>
          <w:numId w:val="22"/>
        </w:numPr>
        <w:bidi w:val="0"/>
        <w:rPr>
          <w:rFonts w:hint="default"/>
          <w:highlight w:val="none"/>
          <w:lang w:val="en-US" w:eastAsia="zh-CN"/>
        </w:rPr>
      </w:pPr>
      <w:r>
        <w:rPr>
          <w:rFonts w:hint="default"/>
          <w:highlight w:val="none"/>
          <w:lang w:val="en-US" w:eastAsia="zh-CN"/>
        </w:rPr>
        <w:t>井上供配电</w:t>
      </w:r>
    </w:p>
    <w:p w14:paraId="76F11D05">
      <w:pPr>
        <w:pStyle w:val="22"/>
        <w:bidi w:val="0"/>
        <w:rPr>
          <w:rFonts w:hint="eastAsia"/>
          <w:highlight w:val="none"/>
          <w:lang w:val="en-US" w:eastAsia="zh-CN"/>
        </w:rPr>
      </w:pPr>
      <w:r>
        <w:rPr>
          <w:rFonts w:hint="eastAsia"/>
          <w:highlight w:val="none"/>
          <w:lang w:val="en-US" w:eastAsia="zh-CN"/>
        </w:rPr>
        <w:t>1、</w:t>
      </w:r>
      <w:r>
        <w:rPr>
          <w:rFonts w:hint="default"/>
          <w:highlight w:val="none"/>
          <w:lang w:val="en-US" w:eastAsia="zh-CN"/>
        </w:rPr>
        <w:t>地表10kV变配电所</w:t>
      </w:r>
    </w:p>
    <w:p w14:paraId="107B75EA">
      <w:pPr>
        <w:pStyle w:val="22"/>
        <w:bidi w:val="0"/>
        <w:rPr>
          <w:rFonts w:hint="default"/>
          <w:highlight w:val="none"/>
          <w:lang w:val="en-US" w:eastAsia="zh-CN"/>
        </w:rPr>
      </w:pPr>
      <w:r>
        <w:rPr>
          <w:rFonts w:hint="default"/>
          <w:highlight w:val="none"/>
          <w:lang w:val="en-US" w:eastAsia="zh-CN"/>
        </w:rPr>
        <w:t>设计拟在地表建设一10kV变配电所（具体位置见总图），电源引自上级变电所10kV侧，采用放射式配电方式，以10kV出线，向所内变压器、矿井空气预热及其他10kV配电点等用电单位配电。</w:t>
      </w:r>
    </w:p>
    <w:p w14:paraId="1C89BBA2">
      <w:pPr>
        <w:pStyle w:val="22"/>
        <w:bidi w:val="0"/>
        <w:rPr>
          <w:rFonts w:hint="default"/>
          <w:highlight w:val="none"/>
          <w:lang w:val="en-US" w:eastAsia="zh-CN"/>
        </w:rPr>
      </w:pPr>
      <w:r>
        <w:rPr>
          <w:rFonts w:hint="default"/>
          <w:highlight w:val="none"/>
          <w:lang w:val="en-US" w:eastAsia="zh-CN"/>
        </w:rPr>
        <w:t>该变配电所内共设现有变压器2台。1台变压器为S9-500/10 10/0.4kV 500kVA变压器，中性点接地，担负空压机、检修、照明及其他等低压负荷用电，满足要求。</w:t>
      </w:r>
    </w:p>
    <w:p w14:paraId="651D3E9D">
      <w:pPr>
        <w:pStyle w:val="22"/>
        <w:bidi w:val="0"/>
        <w:rPr>
          <w:rFonts w:hint="default"/>
          <w:highlight w:val="none"/>
          <w:lang w:val="en-US" w:eastAsia="zh-CN"/>
        </w:rPr>
      </w:pPr>
      <w:r>
        <w:rPr>
          <w:rFonts w:hint="default"/>
          <w:highlight w:val="none"/>
          <w:lang w:val="en-US" w:eastAsia="zh-CN"/>
        </w:rPr>
        <w:t>另1台变压器为S13-315/10 10/0.4kV 315kVA变压器，中性点接地，担负风机、检修、照明及其他等低压负荷用电，满足要求。</w:t>
      </w:r>
    </w:p>
    <w:p w14:paraId="09C77951">
      <w:pPr>
        <w:pStyle w:val="22"/>
        <w:bidi w:val="0"/>
        <w:rPr>
          <w:rFonts w:hint="eastAsia"/>
          <w:highlight w:val="none"/>
          <w:lang w:val="en-US" w:eastAsia="zh-CN"/>
        </w:rPr>
      </w:pPr>
      <w:r>
        <w:rPr>
          <w:rFonts w:hint="default"/>
          <w:highlight w:val="none"/>
          <w:lang w:val="en-US" w:eastAsia="zh-CN"/>
        </w:rPr>
        <w:t>另根据《高耗能落后机电设备（产品）淘汰目录（第四批）》要求，其中S9系列变压器由于损耗较高已达不到现行标准中能耗限定值要求，属于应淘汰更新设备，建议企业尽早逐步更新淘汰该系列产品，建议更换为SCB13及以上低损耗节能型变压器</w:t>
      </w:r>
      <w:r>
        <w:rPr>
          <w:rFonts w:hint="eastAsia"/>
          <w:highlight w:val="none"/>
          <w:lang w:val="en-US" w:eastAsia="zh-CN"/>
        </w:rPr>
        <w:t>。</w:t>
      </w:r>
    </w:p>
    <w:p w14:paraId="69865D8C">
      <w:pPr>
        <w:pStyle w:val="22"/>
        <w:bidi w:val="0"/>
        <w:rPr>
          <w:rFonts w:hint="eastAsia"/>
          <w:highlight w:val="none"/>
          <w:lang w:val="en-US" w:eastAsia="zh-CN"/>
        </w:rPr>
      </w:pPr>
      <w:r>
        <w:rPr>
          <w:rFonts w:hint="eastAsia"/>
          <w:highlight w:val="none"/>
          <w:lang w:val="en-US" w:eastAsia="zh-CN"/>
        </w:rPr>
        <w:t>2、空气预热房变配电所</w:t>
      </w:r>
    </w:p>
    <w:p w14:paraId="54F833BB">
      <w:pPr>
        <w:pStyle w:val="22"/>
        <w:bidi w:val="0"/>
        <w:rPr>
          <w:rFonts w:hint="default"/>
          <w:highlight w:val="none"/>
          <w:lang w:val="en-US" w:eastAsia="zh-CN"/>
        </w:rPr>
      </w:pPr>
      <w:r>
        <w:rPr>
          <w:rFonts w:hint="default"/>
          <w:highlight w:val="none"/>
          <w:lang w:val="en-US" w:eastAsia="zh-CN"/>
        </w:rPr>
        <w:t>毗邻空气预热房设室外集装箱式变配电所，选择2台SCB13-1600/10 10/0.4kV 1600kVA干式变压器，变压器及配电柜等设备均随主系统成套供货。</w:t>
      </w:r>
    </w:p>
    <w:p w14:paraId="442C02C3">
      <w:pPr>
        <w:pStyle w:val="22"/>
        <w:bidi w:val="0"/>
        <w:rPr>
          <w:rFonts w:hint="default"/>
          <w:highlight w:val="none"/>
          <w:lang w:val="en-US" w:eastAsia="zh-CN"/>
        </w:rPr>
      </w:pPr>
      <w:r>
        <w:rPr>
          <w:rFonts w:hint="default"/>
          <w:highlight w:val="none"/>
          <w:lang w:val="en-US" w:eastAsia="zh-CN"/>
        </w:rPr>
        <w:t>地面供配电系统无功功率采用集中补偿方式，在低压配电室设自动无功补偿装置，平均功率因数为0.95。</w:t>
      </w:r>
    </w:p>
    <w:p w14:paraId="28A0FDB1">
      <w:pPr>
        <w:pStyle w:val="22"/>
        <w:numPr>
          <w:ilvl w:val="0"/>
          <w:numId w:val="22"/>
        </w:numPr>
        <w:bidi w:val="0"/>
        <w:rPr>
          <w:rFonts w:hint="default"/>
          <w:highlight w:val="none"/>
          <w:lang w:val="en-US" w:eastAsia="zh-CN"/>
        </w:rPr>
      </w:pPr>
      <w:r>
        <w:rPr>
          <w:rFonts w:hint="default"/>
          <w:highlight w:val="none"/>
          <w:lang w:val="en-US" w:eastAsia="zh-CN"/>
        </w:rPr>
        <w:t>井下供配电</w:t>
      </w:r>
    </w:p>
    <w:p w14:paraId="365091C3">
      <w:pPr>
        <w:pStyle w:val="22"/>
        <w:bidi w:val="0"/>
        <w:rPr>
          <w:rFonts w:hint="default"/>
          <w:highlight w:val="none"/>
          <w:lang w:val="en-US" w:eastAsia="zh-CN"/>
        </w:rPr>
      </w:pPr>
      <w:r>
        <w:rPr>
          <w:rFonts w:hint="eastAsia"/>
          <w:highlight w:val="none"/>
          <w:lang w:val="en-US" w:eastAsia="zh-CN"/>
        </w:rPr>
        <w:t>1、</w:t>
      </w:r>
      <w:r>
        <w:rPr>
          <w:rFonts w:hint="default"/>
          <w:highlight w:val="none"/>
          <w:lang w:val="en-US" w:eastAsia="zh-CN"/>
        </w:rPr>
        <w:t>井下</w:t>
      </w:r>
      <w:r>
        <w:rPr>
          <w:rFonts w:hint="eastAsia"/>
          <w:highlight w:val="none"/>
          <w:lang w:val="en-US" w:eastAsia="zh-CN"/>
        </w:rPr>
        <w:t>-67</w:t>
      </w:r>
      <w:r>
        <w:rPr>
          <w:rFonts w:hint="default"/>
          <w:highlight w:val="none"/>
          <w:lang w:val="en-US" w:eastAsia="zh-CN"/>
        </w:rPr>
        <w:t>m中段变配电所</w:t>
      </w:r>
    </w:p>
    <w:p w14:paraId="44EE0063">
      <w:pPr>
        <w:pStyle w:val="22"/>
        <w:bidi w:val="0"/>
        <w:rPr>
          <w:rFonts w:hint="default"/>
          <w:highlight w:val="none"/>
          <w:lang w:val="en-US" w:eastAsia="zh-CN"/>
        </w:rPr>
      </w:pPr>
      <w:r>
        <w:rPr>
          <w:rFonts w:hint="default"/>
          <w:highlight w:val="none"/>
          <w:lang w:val="en-US" w:eastAsia="zh-CN"/>
        </w:rPr>
        <w:t>设计拟在-67m中段毗邻水泵房设变配电所，两路电源分别引自地表10kV变配电所不同母线段，经由回风竖井井口引至井下-67m中段变配电所，两段进线之间采用机械及电气互锁。采用放射式配电方式，以10kV出线，向所内变压器等用电单位配电。</w:t>
      </w:r>
    </w:p>
    <w:p w14:paraId="3CCDD6B1">
      <w:pPr>
        <w:pStyle w:val="22"/>
        <w:bidi w:val="0"/>
        <w:rPr>
          <w:rFonts w:hint="default"/>
          <w:highlight w:val="none"/>
          <w:lang w:val="en-US" w:eastAsia="zh-CN"/>
        </w:rPr>
      </w:pPr>
      <w:r>
        <w:rPr>
          <w:rFonts w:hint="default"/>
          <w:highlight w:val="none"/>
          <w:lang w:val="en-US" w:eastAsia="zh-CN"/>
        </w:rPr>
        <w:t>该变配电所内设2台KKSG-500/10 10/0.4kV 500kVA矿用干式变压器，中性点不接地，担负-67m中段水泵、电动闸阀、局扇、检修、照明及其他辅助设备等低压负荷用电，且该型号变压器为具有矿用安全标志产品，满足要求。</w:t>
      </w:r>
    </w:p>
    <w:p w14:paraId="6FC682CE">
      <w:pPr>
        <w:pStyle w:val="22"/>
        <w:bidi w:val="0"/>
        <w:rPr>
          <w:rFonts w:hint="default"/>
          <w:highlight w:val="none"/>
          <w:lang w:val="en-US" w:eastAsia="zh-CN"/>
        </w:rPr>
      </w:pPr>
      <w:r>
        <w:rPr>
          <w:rFonts w:hint="eastAsia"/>
          <w:highlight w:val="none"/>
          <w:lang w:val="en-US" w:eastAsia="zh-CN"/>
        </w:rPr>
        <w:t>2、</w:t>
      </w:r>
      <w:r>
        <w:rPr>
          <w:rFonts w:hint="default"/>
          <w:highlight w:val="none"/>
          <w:lang w:val="en-US" w:eastAsia="zh-CN"/>
        </w:rPr>
        <w:t>井下一级负荷为460kW，双重电源供电，当主供电回路停电时，备用电源柴油发电机组为一级负荷水泵（软起动）、电动闸阀供电。</w:t>
      </w:r>
    </w:p>
    <w:p w14:paraId="76E3CCF5">
      <w:pPr>
        <w:pStyle w:val="22"/>
        <w:bidi w:val="0"/>
        <w:rPr>
          <w:rFonts w:hint="eastAsia"/>
          <w:highlight w:val="none"/>
          <w:lang w:val="en-US" w:eastAsia="zh-CN"/>
        </w:rPr>
      </w:pPr>
      <w:r>
        <w:rPr>
          <w:rFonts w:hint="eastAsia"/>
          <w:highlight w:val="none"/>
          <w:lang w:val="en-US" w:eastAsia="zh-CN"/>
        </w:rPr>
        <w:t>3、-67m中段井下电源，由地表10kV变配电所不同母线段引出两条高压电缆经回风竖井井口引至井下-67m中段变配电所，电缆采用WD-MYJY43-8.7/10kV-1(3×50)mm</w:t>
      </w:r>
      <w:r>
        <w:rPr>
          <w:rFonts w:hint="eastAsia"/>
          <w:highlight w:val="none"/>
          <w:vertAlign w:val="superscript"/>
          <w:lang w:val="en-US" w:eastAsia="zh-CN"/>
        </w:rPr>
        <w:t>2</w:t>
      </w:r>
      <w:r>
        <w:rPr>
          <w:rFonts w:hint="eastAsia"/>
          <w:highlight w:val="none"/>
          <w:lang w:val="en-US" w:eastAsia="zh-CN"/>
        </w:rPr>
        <w:t>铜芯无卤低烟粗钢丝铠装电力阻燃电缆，该型号电缆为具有矿用安全标志产品,两条电缆独立敷设。</w:t>
      </w:r>
    </w:p>
    <w:p w14:paraId="47D5AD36">
      <w:pPr>
        <w:pStyle w:val="22"/>
        <w:bidi w:val="0"/>
        <w:rPr>
          <w:rFonts w:hint="eastAsia"/>
          <w:highlight w:val="none"/>
          <w:lang w:val="en-US" w:eastAsia="zh-CN"/>
        </w:rPr>
      </w:pPr>
      <w:r>
        <w:rPr>
          <w:rFonts w:hint="eastAsia"/>
          <w:highlight w:val="none"/>
          <w:lang w:val="en-US" w:eastAsia="zh-CN"/>
        </w:rPr>
        <w:t>变配电硐室内选用GKG型矿用高压开关柜、GKD矿用低压配电柜，柜内配置性能可靠的低压电器元件及漏电保护装置。</w:t>
      </w:r>
    </w:p>
    <w:p w14:paraId="60382AE0">
      <w:pPr>
        <w:pStyle w:val="22"/>
        <w:numPr>
          <w:ilvl w:val="0"/>
          <w:numId w:val="22"/>
        </w:numPr>
        <w:bidi w:val="0"/>
        <w:rPr>
          <w:rFonts w:hint="default"/>
          <w:highlight w:val="none"/>
          <w:lang w:val="en-US" w:eastAsia="zh-CN"/>
        </w:rPr>
      </w:pPr>
      <w:r>
        <w:rPr>
          <w:rFonts w:hint="default"/>
          <w:highlight w:val="none"/>
          <w:lang w:val="en-US" w:eastAsia="zh-CN"/>
        </w:rPr>
        <w:t>继电保护及自动装置</w:t>
      </w:r>
    </w:p>
    <w:p w14:paraId="79DB36AA">
      <w:pPr>
        <w:pStyle w:val="22"/>
        <w:bidi w:val="0"/>
        <w:rPr>
          <w:rFonts w:hint="default"/>
          <w:highlight w:val="none"/>
          <w:lang w:val="en-US" w:eastAsia="zh-CN"/>
        </w:rPr>
      </w:pPr>
      <w:r>
        <w:rPr>
          <w:rFonts w:hint="eastAsia"/>
          <w:highlight w:val="none"/>
          <w:lang w:val="en-US" w:eastAsia="zh-CN"/>
        </w:rPr>
        <w:t>1、</w:t>
      </w:r>
      <w:r>
        <w:rPr>
          <w:rFonts w:hint="default"/>
          <w:highlight w:val="none"/>
          <w:lang w:val="en-US" w:eastAsia="zh-CN"/>
        </w:rPr>
        <w:t>对10kV变压器采用温度瓦斯保护，过电流及电流速断保护。</w:t>
      </w:r>
    </w:p>
    <w:p w14:paraId="6065BF48">
      <w:pPr>
        <w:pStyle w:val="22"/>
        <w:bidi w:val="0"/>
        <w:rPr>
          <w:rFonts w:hint="default"/>
          <w:highlight w:val="none"/>
          <w:lang w:val="en-US" w:eastAsia="zh-CN"/>
        </w:rPr>
      </w:pPr>
      <w:r>
        <w:rPr>
          <w:rFonts w:hint="eastAsia"/>
          <w:highlight w:val="none"/>
          <w:lang w:val="en-US" w:eastAsia="zh-CN"/>
        </w:rPr>
        <w:t>2、</w:t>
      </w:r>
      <w:r>
        <w:rPr>
          <w:rFonts w:hint="default"/>
          <w:highlight w:val="none"/>
          <w:lang w:val="en-US" w:eastAsia="zh-CN"/>
        </w:rPr>
        <w:t>对10kV线路采用过电流及电流速断保护，小电流接地保护。</w:t>
      </w:r>
    </w:p>
    <w:p w14:paraId="2BFDF042">
      <w:pPr>
        <w:pStyle w:val="22"/>
        <w:bidi w:val="0"/>
        <w:rPr>
          <w:rFonts w:hint="default"/>
          <w:highlight w:val="none"/>
          <w:lang w:val="en-US" w:eastAsia="zh-CN"/>
        </w:rPr>
      </w:pPr>
      <w:r>
        <w:rPr>
          <w:rFonts w:hint="eastAsia"/>
          <w:highlight w:val="none"/>
          <w:lang w:val="en-US" w:eastAsia="zh-CN"/>
        </w:rPr>
        <w:t>3、</w:t>
      </w:r>
      <w:r>
        <w:rPr>
          <w:rFonts w:hint="default"/>
          <w:highlight w:val="none"/>
          <w:lang w:val="en-US" w:eastAsia="zh-CN"/>
        </w:rPr>
        <w:t>对10kV电动机采用电流速断保护、过负荷保护。</w:t>
      </w:r>
    </w:p>
    <w:p w14:paraId="06558B65">
      <w:pPr>
        <w:pStyle w:val="22"/>
        <w:numPr>
          <w:ilvl w:val="0"/>
          <w:numId w:val="22"/>
        </w:numPr>
        <w:bidi w:val="0"/>
        <w:rPr>
          <w:rFonts w:hint="default"/>
          <w:highlight w:val="none"/>
          <w:lang w:val="en-US" w:eastAsia="zh-CN"/>
        </w:rPr>
      </w:pPr>
      <w:r>
        <w:rPr>
          <w:rFonts w:hint="eastAsia"/>
          <w:highlight w:val="none"/>
          <w:lang w:val="en-US" w:eastAsia="zh-CN"/>
        </w:rPr>
        <w:t>防雷</w:t>
      </w:r>
    </w:p>
    <w:p w14:paraId="48336182">
      <w:pPr>
        <w:pStyle w:val="22"/>
        <w:bidi w:val="0"/>
        <w:rPr>
          <w:rFonts w:hint="eastAsia"/>
          <w:highlight w:val="none"/>
        </w:rPr>
      </w:pPr>
      <w:r>
        <w:rPr>
          <w:rFonts w:hint="eastAsia"/>
          <w:highlight w:val="none"/>
          <w:lang w:val="en-US" w:eastAsia="zh-CN"/>
        </w:rPr>
        <w:t>1、</w:t>
      </w:r>
      <w:r>
        <w:rPr>
          <w:rFonts w:hint="eastAsia"/>
          <w:highlight w:val="none"/>
        </w:rPr>
        <w:t>变配电所防雷见坑口变配电所设计。</w:t>
      </w:r>
    </w:p>
    <w:p w14:paraId="2C4E1DF3">
      <w:pPr>
        <w:pStyle w:val="22"/>
        <w:bidi w:val="0"/>
        <w:rPr>
          <w:rFonts w:hint="eastAsia"/>
          <w:highlight w:val="none"/>
        </w:rPr>
      </w:pPr>
      <w:r>
        <w:rPr>
          <w:rFonts w:hint="eastAsia"/>
          <w:highlight w:val="none"/>
          <w:lang w:val="en-US" w:eastAsia="zh-CN"/>
        </w:rPr>
        <w:t>2、</w:t>
      </w:r>
      <w:r>
        <w:rPr>
          <w:rFonts w:hint="eastAsia"/>
          <w:highlight w:val="none"/>
        </w:rPr>
        <w:t>在架空进线处及架空线路的引上引下处，设置阀型避雷器。</w:t>
      </w:r>
    </w:p>
    <w:p w14:paraId="2D64B8FA">
      <w:pPr>
        <w:pStyle w:val="22"/>
        <w:bidi w:val="0"/>
        <w:rPr>
          <w:rFonts w:hint="default"/>
          <w:highlight w:val="none"/>
          <w:lang w:val="en-US" w:eastAsia="zh-CN"/>
        </w:rPr>
      </w:pPr>
      <w:r>
        <w:rPr>
          <w:rFonts w:hint="eastAsia"/>
          <w:highlight w:val="none"/>
          <w:lang w:val="en-US" w:eastAsia="zh-CN"/>
        </w:rPr>
        <w:t>3、</w:t>
      </w:r>
      <w:r>
        <w:rPr>
          <w:rFonts w:hint="eastAsia"/>
          <w:highlight w:val="none"/>
        </w:rPr>
        <w:t>根据矿区的工作性质及特点，均属二类或三类防雷措施，故一般采用在被保护物上加装避雷带、网，在个别突出的建筑物（如烟囱）上，加装避雷针。</w:t>
      </w:r>
    </w:p>
    <w:p w14:paraId="4015CEC1">
      <w:pPr>
        <w:pStyle w:val="22"/>
        <w:numPr>
          <w:ilvl w:val="0"/>
          <w:numId w:val="22"/>
        </w:numPr>
        <w:bidi w:val="0"/>
        <w:rPr>
          <w:rFonts w:hint="default"/>
          <w:highlight w:val="none"/>
          <w:lang w:val="en-US" w:eastAsia="zh-CN"/>
        </w:rPr>
      </w:pPr>
      <w:r>
        <w:rPr>
          <w:rFonts w:hint="eastAsia"/>
          <w:highlight w:val="none"/>
          <w:lang w:val="en-US" w:eastAsia="zh-CN"/>
        </w:rPr>
        <w:t>接地</w:t>
      </w:r>
    </w:p>
    <w:p w14:paraId="5BC02FC3">
      <w:pPr>
        <w:pStyle w:val="22"/>
        <w:bidi w:val="0"/>
        <w:rPr>
          <w:rFonts w:hint="default"/>
          <w:highlight w:val="none"/>
          <w:lang w:val="en-US" w:eastAsia="zh-CN"/>
        </w:rPr>
      </w:pPr>
      <w:r>
        <w:rPr>
          <w:rFonts w:hint="eastAsia"/>
          <w:highlight w:val="none"/>
          <w:lang w:val="en-US" w:eastAsia="zh-CN"/>
        </w:rPr>
        <w:t>1、</w:t>
      </w:r>
      <w:r>
        <w:rPr>
          <w:rFonts w:hint="default"/>
          <w:highlight w:val="none"/>
          <w:lang w:val="en-US" w:eastAsia="zh-CN"/>
        </w:rPr>
        <w:t>下接地装置的接地电阻值不大于2Ω，井下矿用变压器采用中性点绝缘系统。</w:t>
      </w:r>
    </w:p>
    <w:p w14:paraId="5A678543">
      <w:pPr>
        <w:pStyle w:val="22"/>
        <w:bidi w:val="0"/>
        <w:rPr>
          <w:rFonts w:hint="default"/>
          <w:highlight w:val="none"/>
          <w:lang w:val="en-US" w:eastAsia="zh-CN"/>
        </w:rPr>
      </w:pPr>
      <w:r>
        <w:rPr>
          <w:rFonts w:hint="eastAsia"/>
          <w:highlight w:val="none"/>
          <w:lang w:val="en-US" w:eastAsia="zh-CN"/>
        </w:rPr>
        <w:t>2、</w:t>
      </w:r>
      <w:r>
        <w:rPr>
          <w:rFonts w:hint="default"/>
          <w:highlight w:val="none"/>
          <w:lang w:val="en-US" w:eastAsia="zh-CN"/>
        </w:rPr>
        <w:t>总降压变电所主变压器及高压设备的保护接地，低压设备的接地保护，共用一组接地装置，其接地电阻值不大于4Ω。</w:t>
      </w:r>
    </w:p>
    <w:p w14:paraId="240B46B1">
      <w:pPr>
        <w:pStyle w:val="22"/>
        <w:bidi w:val="0"/>
        <w:rPr>
          <w:rFonts w:hint="default"/>
          <w:highlight w:val="none"/>
          <w:lang w:val="en-US" w:eastAsia="zh-CN"/>
        </w:rPr>
      </w:pPr>
      <w:r>
        <w:rPr>
          <w:rFonts w:hint="eastAsia"/>
          <w:highlight w:val="none"/>
          <w:lang w:val="en-US" w:eastAsia="zh-CN"/>
        </w:rPr>
        <w:t>3、</w:t>
      </w:r>
      <w:r>
        <w:rPr>
          <w:rFonts w:hint="default"/>
          <w:highlight w:val="none"/>
          <w:lang w:val="en-US" w:eastAsia="zh-CN"/>
        </w:rPr>
        <w:t>地表各用电单位、车间变压器的中性点接地，高压设备的保护接地，低压设备的接地保护，其接地电阻值均不大于4Ω。</w:t>
      </w:r>
    </w:p>
    <w:p w14:paraId="0F7BABF5">
      <w:pPr>
        <w:pStyle w:val="22"/>
        <w:bidi w:val="0"/>
        <w:rPr>
          <w:rFonts w:hint="default"/>
          <w:highlight w:val="none"/>
          <w:lang w:val="en-US" w:eastAsia="zh-CN"/>
        </w:rPr>
      </w:pPr>
      <w:r>
        <w:rPr>
          <w:rFonts w:hint="eastAsia"/>
          <w:highlight w:val="none"/>
          <w:lang w:val="en-US" w:eastAsia="zh-CN"/>
        </w:rPr>
        <w:t>4、</w:t>
      </w:r>
      <w:r>
        <w:rPr>
          <w:rFonts w:hint="default"/>
          <w:highlight w:val="none"/>
          <w:lang w:val="en-US" w:eastAsia="zh-CN"/>
        </w:rPr>
        <w:t>地表低压配电系统的接地形式，采用TN-S系统。</w:t>
      </w:r>
    </w:p>
    <w:p w14:paraId="7C404074">
      <w:pPr>
        <w:pStyle w:val="22"/>
        <w:bidi w:val="0"/>
        <w:rPr>
          <w:rFonts w:hint="default"/>
          <w:highlight w:val="none"/>
          <w:lang w:val="en-US" w:eastAsia="zh-CN"/>
        </w:rPr>
      </w:pPr>
      <w:r>
        <w:rPr>
          <w:rFonts w:hint="eastAsia"/>
          <w:highlight w:val="none"/>
          <w:lang w:val="en-US" w:eastAsia="zh-CN"/>
        </w:rPr>
        <w:t>5、</w:t>
      </w:r>
      <w:r>
        <w:rPr>
          <w:rFonts w:hint="default"/>
          <w:highlight w:val="none"/>
          <w:lang w:val="en-US" w:eastAsia="zh-CN"/>
        </w:rPr>
        <w:t>低压电源进线处的重复接地、防静电接地，其接地电阻不大于2Ω。</w:t>
      </w:r>
    </w:p>
    <w:p w14:paraId="2BFC9C78">
      <w:pPr>
        <w:pStyle w:val="22"/>
        <w:bidi w:val="0"/>
        <w:rPr>
          <w:rFonts w:hint="default"/>
          <w:highlight w:val="none"/>
          <w:lang w:val="en-US" w:eastAsia="zh-CN"/>
        </w:rPr>
      </w:pPr>
      <w:r>
        <w:rPr>
          <w:rFonts w:hint="eastAsia"/>
          <w:highlight w:val="none"/>
          <w:lang w:val="en-US" w:eastAsia="zh-CN"/>
        </w:rPr>
        <w:t>6、</w:t>
      </w:r>
      <w:r>
        <w:rPr>
          <w:rFonts w:hint="default"/>
          <w:highlight w:val="none"/>
          <w:lang w:val="en-US" w:eastAsia="zh-CN"/>
        </w:rPr>
        <w:t>防雷接地装置的冲击电阻值，不大于10Ω。</w:t>
      </w:r>
    </w:p>
    <w:p w14:paraId="0CE7F81A">
      <w:pPr>
        <w:pStyle w:val="22"/>
        <w:bidi w:val="0"/>
        <w:rPr>
          <w:rFonts w:hint="default"/>
          <w:highlight w:val="none"/>
          <w:lang w:val="en-US" w:eastAsia="zh-CN"/>
        </w:rPr>
      </w:pPr>
      <w:r>
        <w:rPr>
          <w:rFonts w:hint="eastAsia"/>
          <w:highlight w:val="none"/>
          <w:lang w:val="en-US" w:eastAsia="zh-CN"/>
        </w:rPr>
        <w:t>7、</w:t>
      </w:r>
      <w:r>
        <w:rPr>
          <w:rFonts w:hint="default"/>
          <w:highlight w:val="none"/>
          <w:lang w:val="en-US" w:eastAsia="zh-CN"/>
        </w:rPr>
        <w:t>在综合楼、食堂等低压电源进线处，设置总等电位端子箱，进行总等电位接地。</w:t>
      </w:r>
    </w:p>
    <w:p w14:paraId="3C37CA98">
      <w:pPr>
        <w:pStyle w:val="22"/>
        <w:numPr>
          <w:ilvl w:val="0"/>
          <w:numId w:val="22"/>
        </w:numPr>
        <w:bidi w:val="0"/>
        <w:rPr>
          <w:rFonts w:hint="default"/>
          <w:highlight w:val="none"/>
          <w:lang w:val="en-US" w:eastAsia="zh-CN"/>
        </w:rPr>
      </w:pPr>
      <w:r>
        <w:rPr>
          <w:rFonts w:hint="eastAsia"/>
          <w:highlight w:val="none"/>
          <w:lang w:val="en-US" w:eastAsia="zh-CN"/>
        </w:rPr>
        <w:t>照明</w:t>
      </w:r>
    </w:p>
    <w:p w14:paraId="0CB00B76">
      <w:pPr>
        <w:pStyle w:val="22"/>
        <w:bidi w:val="0"/>
        <w:rPr>
          <w:rFonts w:hint="eastAsia"/>
          <w:highlight w:val="none"/>
        </w:rPr>
      </w:pPr>
      <w:r>
        <w:rPr>
          <w:rFonts w:hint="eastAsia"/>
          <w:highlight w:val="none"/>
        </w:rPr>
        <w:t>在坑口变电所内的配电室、控制室、值班室等场所设置事故照明。</w:t>
      </w:r>
    </w:p>
    <w:p w14:paraId="60814C24">
      <w:pPr>
        <w:pStyle w:val="22"/>
        <w:bidi w:val="0"/>
        <w:rPr>
          <w:rFonts w:hint="eastAsia"/>
          <w:highlight w:val="none"/>
        </w:rPr>
      </w:pPr>
      <w:r>
        <w:rPr>
          <w:rFonts w:hint="eastAsia"/>
          <w:highlight w:val="none"/>
        </w:rPr>
        <w:t>工业场地主要道路设路灯照明，路灯由设在低压配电室的光时控制器集中控制。</w:t>
      </w:r>
    </w:p>
    <w:p w14:paraId="54373A63">
      <w:pPr>
        <w:pStyle w:val="22"/>
        <w:bidi w:val="0"/>
        <w:rPr>
          <w:rFonts w:hint="eastAsia"/>
          <w:highlight w:val="none"/>
        </w:rPr>
      </w:pPr>
      <w:r>
        <w:rPr>
          <w:rFonts w:hint="eastAsia"/>
          <w:highlight w:val="none"/>
        </w:rPr>
        <w:t>井下照明选用矿用照明变压器，照明电压为</w:t>
      </w:r>
      <w:r>
        <w:rPr>
          <w:rFonts w:hint="eastAsia"/>
          <w:highlight w:val="none"/>
          <w:lang w:val="en-US" w:eastAsia="zh-CN"/>
        </w:rPr>
        <w:t>220</w:t>
      </w:r>
      <w:r>
        <w:rPr>
          <w:rFonts w:hint="eastAsia"/>
          <w:highlight w:val="none"/>
        </w:rPr>
        <w:t>V</w:t>
      </w:r>
      <w:r>
        <w:rPr>
          <w:rFonts w:hint="eastAsia"/>
          <w:highlight w:val="none"/>
          <w:lang w:eastAsia="zh-CN"/>
        </w:rPr>
        <w:t>，</w:t>
      </w:r>
      <w:r>
        <w:rPr>
          <w:rFonts w:hint="eastAsia"/>
          <w:highlight w:val="none"/>
        </w:rPr>
        <w:t>并装设漏电保护装置。</w:t>
      </w:r>
    </w:p>
    <w:p w14:paraId="7B4476E2">
      <w:pPr>
        <w:pStyle w:val="22"/>
        <w:bidi w:val="0"/>
        <w:rPr>
          <w:rFonts w:hint="default"/>
          <w:highlight w:val="none"/>
          <w:lang w:val="en-US" w:eastAsia="zh-CN"/>
        </w:rPr>
      </w:pPr>
      <w:r>
        <w:rPr>
          <w:rFonts w:hint="eastAsia"/>
          <w:highlight w:val="none"/>
        </w:rPr>
        <w:t>井下运输巷道、井底车场照明电压为220V；采掘工作面、出矿巷道、天井和天井至回采工作面之间电压为36V；行灯电压为36V以下，照明灯具选用矿用荧光灯</w:t>
      </w:r>
      <w:r>
        <w:rPr>
          <w:rFonts w:hint="default"/>
          <w:highlight w:val="none"/>
          <w:lang w:val="en-US" w:eastAsia="zh-CN"/>
        </w:rPr>
        <w:t>。</w:t>
      </w:r>
    </w:p>
    <w:p w14:paraId="3998E3F3">
      <w:pPr>
        <w:pStyle w:val="30"/>
        <w:bidi w:val="0"/>
        <w:rPr>
          <w:rFonts w:hint="default"/>
          <w:highlight w:val="none"/>
          <w:lang w:val="en-US" w:eastAsia="zh-CN"/>
        </w:rPr>
      </w:pPr>
      <w:r>
        <w:rPr>
          <w:rFonts w:hint="default"/>
          <w:highlight w:val="none"/>
          <w:lang w:val="en-US" w:eastAsia="zh-CN"/>
        </w:rPr>
        <w:t>防排水与防灭火系统</w:t>
      </w:r>
    </w:p>
    <w:p w14:paraId="3AFB6D69">
      <w:pPr>
        <w:pStyle w:val="22"/>
        <w:numPr>
          <w:ilvl w:val="0"/>
          <w:numId w:val="23"/>
        </w:numPr>
        <w:bidi w:val="0"/>
        <w:rPr>
          <w:rFonts w:hint="default"/>
          <w:highlight w:val="none"/>
          <w:lang w:val="en-US" w:eastAsia="zh-CN"/>
        </w:rPr>
      </w:pPr>
      <w:r>
        <w:rPr>
          <w:rFonts w:hint="eastAsia"/>
          <w:highlight w:val="none"/>
          <w:lang w:val="en-US" w:eastAsia="zh-CN"/>
        </w:rPr>
        <w:t>防排水</w:t>
      </w:r>
    </w:p>
    <w:p w14:paraId="0F66C985">
      <w:pPr>
        <w:pStyle w:val="22"/>
        <w:bidi w:val="0"/>
        <w:rPr>
          <w:rFonts w:hint="default"/>
          <w:highlight w:val="none"/>
          <w:lang w:val="en-US" w:eastAsia="zh-CN"/>
        </w:rPr>
      </w:pPr>
      <w:r>
        <w:rPr>
          <w:rFonts w:hint="eastAsia"/>
          <w:highlight w:val="none"/>
          <w:lang w:val="en-US" w:eastAsia="zh-CN"/>
        </w:rPr>
        <w:t>1、井下排水系统</w:t>
      </w:r>
    </w:p>
    <w:p w14:paraId="12236D2A">
      <w:pPr>
        <w:pStyle w:val="22"/>
        <w:bidi w:val="0"/>
        <w:rPr>
          <w:rFonts w:hint="eastAsia"/>
          <w:highlight w:val="none"/>
          <w:lang w:val="en-US" w:eastAsia="zh-CN"/>
        </w:rPr>
      </w:pPr>
      <w:r>
        <w:rPr>
          <w:rFonts w:hint="eastAsia"/>
          <w:highlight w:val="none"/>
          <w:lang w:val="en-US" w:eastAsia="zh-CN"/>
        </w:rPr>
        <w:t>《可研报告》</w:t>
      </w:r>
      <w:r>
        <w:rPr>
          <w:rFonts w:hint="default"/>
          <w:highlight w:val="none"/>
        </w:rPr>
        <w:t>设计采用机械集中排水方式</w:t>
      </w:r>
      <w:r>
        <w:rPr>
          <w:rFonts w:hint="eastAsia"/>
          <w:highlight w:val="none"/>
          <w:lang w:val="en-US" w:eastAsia="zh-CN"/>
        </w:rPr>
        <w:t>，在-67m中段斜坡道车场附近新建水仓、水泵站。-67m中段以上的积水通过泄水孔下泄至-67m中段水仓内，由水泵站沿回风竖井敷设的管路排至地表高位水池。</w:t>
      </w:r>
    </w:p>
    <w:p w14:paraId="17BBE1AF">
      <w:pPr>
        <w:pStyle w:val="22"/>
        <w:bidi w:val="0"/>
        <w:rPr>
          <w:rFonts w:hint="default"/>
          <w:highlight w:val="none"/>
          <w:lang w:val="en-US" w:eastAsia="zh-CN"/>
        </w:rPr>
      </w:pPr>
      <w:r>
        <w:rPr>
          <w:rFonts w:hint="default"/>
          <w:highlight w:val="none"/>
          <w:lang w:val="en-US" w:eastAsia="zh-CN"/>
        </w:rPr>
        <w:t>排水系统由水沟、清理斜巷、水仓、配水井、吸水井、排水泵硐室、配电硐室等组成。</w:t>
      </w:r>
    </w:p>
    <w:p w14:paraId="7D17D947">
      <w:pPr>
        <w:pStyle w:val="22"/>
        <w:bidi w:val="0"/>
        <w:rPr>
          <w:rFonts w:hint="default"/>
          <w:highlight w:val="none"/>
          <w:lang w:val="en-US" w:eastAsia="zh-CN"/>
        </w:rPr>
      </w:pPr>
      <w:r>
        <w:rPr>
          <w:rFonts w:hint="default"/>
          <w:highlight w:val="none"/>
          <w:lang w:val="en-US" w:eastAsia="zh-CN"/>
        </w:rPr>
        <w:t>水泵房设置两个出口，其中一个通往井底车场；另一个用天井与上中段连通，天井上口应高出泵房地面标高7m以上。泵房地面标高高出其入口处巷道底板标高0.5m。</w:t>
      </w:r>
    </w:p>
    <w:p w14:paraId="47AFC2AE">
      <w:pPr>
        <w:pStyle w:val="22"/>
        <w:bidi w:val="0"/>
        <w:rPr>
          <w:rFonts w:hint="default"/>
          <w:highlight w:val="none"/>
          <w:lang w:val="en-US" w:eastAsia="zh-CN"/>
        </w:rPr>
      </w:pPr>
      <w:r>
        <w:rPr>
          <w:rFonts w:hint="default"/>
          <w:highlight w:val="none"/>
          <w:lang w:val="en-US" w:eastAsia="zh-CN"/>
        </w:rPr>
        <w:t>水仓设计采用巷道型水仓，由两个独立巷道组成，分为主水仓和副水仓。水仓为两段：前段为沉淀段，后段清水段。水仓容积200m</w:t>
      </w:r>
      <w:r>
        <w:rPr>
          <w:rFonts w:hint="default"/>
          <w:highlight w:val="none"/>
          <w:vertAlign w:val="superscript"/>
          <w:lang w:val="en-US" w:eastAsia="zh-CN"/>
        </w:rPr>
        <w:t>3</w:t>
      </w:r>
      <w:r>
        <w:rPr>
          <w:rFonts w:hint="default"/>
          <w:highlight w:val="none"/>
          <w:lang w:val="en-US" w:eastAsia="zh-CN"/>
        </w:rPr>
        <w:t>，其中主水仓容积130m³，副水仓容积70m³。</w:t>
      </w:r>
    </w:p>
    <w:p w14:paraId="5D867FAE">
      <w:pPr>
        <w:pStyle w:val="22"/>
        <w:bidi w:val="0"/>
        <w:rPr>
          <w:rFonts w:hint="eastAsia" w:eastAsia="宋体"/>
          <w:highlight w:val="none"/>
          <w:lang w:val="en-US" w:eastAsia="zh-CN"/>
        </w:rPr>
      </w:pPr>
      <w:r>
        <w:rPr>
          <w:rFonts w:hint="eastAsia"/>
          <w:highlight w:val="none"/>
          <w:lang w:val="en-US" w:eastAsia="zh-CN"/>
        </w:rPr>
        <w:t>水泵</w:t>
      </w:r>
      <w:r>
        <w:rPr>
          <w:rFonts w:hint="default"/>
          <w:highlight w:val="none"/>
          <w:lang w:val="en-US" w:eastAsia="zh-CN"/>
        </w:rPr>
        <w:t>选择3台MD120-50×8多级卧式离心泵(具有矿用安全标志)，额定流量120m</w:t>
      </w:r>
      <w:r>
        <w:rPr>
          <w:rFonts w:hint="default"/>
          <w:highlight w:val="none"/>
          <w:vertAlign w:val="superscript"/>
          <w:lang w:val="en-US" w:eastAsia="zh-CN"/>
        </w:rPr>
        <w:t>3</w:t>
      </w:r>
      <w:r>
        <w:rPr>
          <w:rFonts w:hint="default"/>
          <w:highlight w:val="none"/>
          <w:lang w:val="en-US" w:eastAsia="zh-CN"/>
        </w:rPr>
        <w:t>/h（96m</w:t>
      </w:r>
      <w:r>
        <w:rPr>
          <w:rFonts w:hint="default"/>
          <w:highlight w:val="none"/>
          <w:vertAlign w:val="superscript"/>
          <w:lang w:val="en-US" w:eastAsia="zh-CN"/>
        </w:rPr>
        <w:t>3</w:t>
      </w:r>
      <w:r>
        <w:rPr>
          <w:rFonts w:hint="default"/>
          <w:highlight w:val="none"/>
          <w:lang w:val="en-US" w:eastAsia="zh-CN"/>
        </w:rPr>
        <w:t>/h-140m</w:t>
      </w:r>
      <w:r>
        <w:rPr>
          <w:rFonts w:hint="default"/>
          <w:highlight w:val="none"/>
          <w:vertAlign w:val="superscript"/>
          <w:lang w:val="en-US" w:eastAsia="zh-CN"/>
        </w:rPr>
        <w:t>3</w:t>
      </w:r>
      <w:r>
        <w:rPr>
          <w:rFonts w:hint="default"/>
          <w:highlight w:val="none"/>
          <w:lang w:val="en-US" w:eastAsia="zh-CN"/>
        </w:rPr>
        <w:t>/h），额定扬程400m（338.4m-440m）。额定效率74.5%，电机功率220kW，380V。</w:t>
      </w:r>
      <w:r>
        <w:rPr>
          <w:rFonts w:cs="Times New Roman"/>
          <w:color w:val="auto"/>
          <w:highlight w:val="none"/>
        </w:rPr>
        <w:t>排水管路沿</w:t>
      </w:r>
      <w:r>
        <w:rPr>
          <w:rFonts w:hint="default" w:cs="Times New Roman"/>
          <w:color w:val="auto"/>
          <w:highlight w:val="none"/>
          <w:lang w:val="en-US" w:eastAsia="zh-CN"/>
        </w:rPr>
        <w:t>回风竖井</w:t>
      </w:r>
      <w:r>
        <w:rPr>
          <w:rFonts w:cs="Times New Roman"/>
          <w:color w:val="auto"/>
          <w:highlight w:val="none"/>
        </w:rPr>
        <w:t>敷设Ф</w:t>
      </w:r>
      <w:r>
        <w:rPr>
          <w:rFonts w:hint="eastAsia" w:cs="Times New Roman"/>
          <w:color w:val="auto"/>
          <w:highlight w:val="none"/>
          <w:lang w:val="en-US" w:eastAsia="zh-CN"/>
        </w:rPr>
        <w:t>159</w:t>
      </w:r>
      <w:r>
        <w:rPr>
          <w:rFonts w:cs="Times New Roman"/>
          <w:color w:val="auto"/>
          <w:highlight w:val="none"/>
        </w:rPr>
        <w:t>×</w:t>
      </w:r>
      <w:r>
        <w:rPr>
          <w:rFonts w:hint="eastAsia" w:cs="Times New Roman"/>
          <w:color w:val="auto"/>
          <w:highlight w:val="none"/>
          <w:lang w:val="en-US" w:eastAsia="zh-CN"/>
        </w:rPr>
        <w:t>6</w:t>
      </w:r>
      <w:r>
        <w:rPr>
          <w:rFonts w:cs="Times New Roman"/>
          <w:color w:val="auto"/>
          <w:highlight w:val="none"/>
        </w:rPr>
        <w:t>无缝钢管两条</w:t>
      </w:r>
      <w:r>
        <w:rPr>
          <w:rFonts w:hint="eastAsia" w:cs="Times New Roman"/>
          <w:color w:val="auto"/>
          <w:highlight w:val="none"/>
          <w:lang w:eastAsia="zh-CN"/>
        </w:rPr>
        <w:t>。</w:t>
      </w:r>
    </w:p>
    <w:p w14:paraId="6C35B429">
      <w:pPr>
        <w:pStyle w:val="22"/>
        <w:numPr>
          <w:ilvl w:val="0"/>
          <w:numId w:val="23"/>
        </w:numPr>
        <w:bidi w:val="0"/>
        <w:rPr>
          <w:rFonts w:hint="default"/>
          <w:highlight w:val="none"/>
          <w:lang w:val="en-US" w:eastAsia="zh-CN"/>
        </w:rPr>
      </w:pPr>
      <w:r>
        <w:rPr>
          <w:rFonts w:hint="eastAsia"/>
          <w:highlight w:val="none"/>
          <w:lang w:val="en-US" w:eastAsia="zh-CN"/>
        </w:rPr>
        <w:t>防灭火</w:t>
      </w:r>
    </w:p>
    <w:p w14:paraId="3832B10D">
      <w:pPr>
        <w:pStyle w:val="22"/>
        <w:bidi w:val="0"/>
        <w:rPr>
          <w:rFonts w:hint="eastAsia"/>
          <w:highlight w:val="none"/>
          <w:lang w:val="en-US" w:eastAsia="zh-CN"/>
        </w:rPr>
      </w:pPr>
      <w:r>
        <w:rPr>
          <w:rFonts w:hint="eastAsia"/>
          <w:highlight w:val="none"/>
          <w:lang w:val="en-US" w:eastAsia="zh-CN"/>
        </w:rPr>
        <w:t>根据《建筑设计防火规范》（GB50016-2014），全矿消防用水同一时间火灾发生次数为一次，室外消防用水量为15L/s，火灾延续时间为2h，室外消防水量为108m³；室内消防用水量为10L/s，火灾延续时间为2h，室外消防水量为72m³。根据井下消防用水要求，井下消防用水量为20L/s，火灾延续时间为3h，井下消防水量为216m³。按同一时间火灾发生次数为一次，矿山消防用水量不得小于216m³。</w:t>
      </w:r>
    </w:p>
    <w:p w14:paraId="1880E67C">
      <w:pPr>
        <w:pStyle w:val="22"/>
        <w:bidi w:val="0"/>
        <w:rPr>
          <w:rFonts w:hint="eastAsia"/>
          <w:highlight w:val="none"/>
          <w:lang w:val="en-US" w:eastAsia="zh-CN"/>
        </w:rPr>
      </w:pPr>
      <w:r>
        <w:rPr>
          <w:rFonts w:hint="eastAsia"/>
          <w:highlight w:val="none"/>
          <w:lang w:val="en-US" w:eastAsia="zh-CN"/>
        </w:rPr>
        <w:t>矿山</w:t>
      </w:r>
      <w:r>
        <w:rPr>
          <w:rFonts w:hint="eastAsia"/>
          <w:highlight w:val="none"/>
          <w:lang w:val="zh-CN" w:eastAsia="zh-CN"/>
        </w:rPr>
        <w:t>消防用水储存在</w:t>
      </w:r>
      <w:r>
        <w:rPr>
          <w:rFonts w:hint="eastAsia"/>
          <w:highlight w:val="none"/>
          <w:lang w:val="en-US" w:eastAsia="zh-CN"/>
        </w:rPr>
        <w:t>回风竖井井口附近的200m³高位</w:t>
      </w:r>
      <w:r>
        <w:rPr>
          <w:rFonts w:hint="eastAsia"/>
          <w:highlight w:val="none"/>
          <w:lang w:val="zh-CN" w:eastAsia="zh-CN"/>
        </w:rPr>
        <w:t>水池中，并采取不得被生产占用的措施，保证消防水量不能作为他用。水池旁安装两台XBD2.5/20-100-140-11/2单级立式离心消防泵（Q=20L/s，P=0.</w:t>
      </w:r>
      <w:r>
        <w:rPr>
          <w:rFonts w:hint="eastAsia"/>
          <w:highlight w:val="none"/>
          <w:lang w:val="en-US" w:eastAsia="zh-CN"/>
        </w:rPr>
        <w:t>2</w:t>
      </w:r>
      <w:r>
        <w:rPr>
          <w:rFonts w:hint="eastAsia"/>
          <w:highlight w:val="none"/>
          <w:lang w:val="zh-CN" w:eastAsia="zh-CN"/>
        </w:rPr>
        <w:t>5MPa，一用一备），为井口工业场地消防管网供水。</w:t>
      </w:r>
    </w:p>
    <w:p w14:paraId="324C885B">
      <w:pPr>
        <w:pStyle w:val="22"/>
        <w:bidi w:val="0"/>
        <w:rPr>
          <w:rFonts w:hint="eastAsia"/>
          <w:highlight w:val="none"/>
          <w:lang w:val="en-US" w:eastAsia="zh-CN"/>
        </w:rPr>
      </w:pPr>
      <w:r>
        <w:rPr>
          <w:rFonts w:hint="eastAsia"/>
          <w:highlight w:val="none"/>
          <w:lang w:val="en-US" w:eastAsia="zh-CN"/>
        </w:rPr>
        <w:t>矿区生产、消防供水为联合制供水，消防为常高压制，管网环状敷设。</w:t>
      </w:r>
    </w:p>
    <w:p w14:paraId="0463703D">
      <w:pPr>
        <w:pStyle w:val="22"/>
        <w:bidi w:val="0"/>
        <w:rPr>
          <w:rFonts w:hint="default"/>
          <w:highlight w:val="none"/>
          <w:lang w:val="en-US" w:eastAsia="zh-CN"/>
        </w:rPr>
      </w:pPr>
      <w:r>
        <w:rPr>
          <w:rFonts w:hint="eastAsia"/>
          <w:highlight w:val="none"/>
          <w:lang w:val="en-US" w:eastAsia="zh-CN"/>
        </w:rPr>
        <w:t>室内消防管道为镀锌钢管，其余均采用无缝钢管。在所有的矿区建筑物、构筑物内的重要部位设置手提式干粉灭火器。</w:t>
      </w:r>
    </w:p>
    <w:p w14:paraId="47C0A8D6">
      <w:pPr>
        <w:pStyle w:val="30"/>
        <w:bidi w:val="0"/>
        <w:rPr>
          <w:rFonts w:hint="default"/>
          <w:highlight w:val="none"/>
          <w:lang w:val="en-US" w:eastAsia="zh-CN"/>
        </w:rPr>
      </w:pPr>
      <w:r>
        <w:rPr>
          <w:rFonts w:hint="eastAsia"/>
          <w:highlight w:val="none"/>
          <w:lang w:val="en-US" w:eastAsia="zh-CN"/>
        </w:rPr>
        <w:t>废石场</w:t>
      </w:r>
    </w:p>
    <w:p w14:paraId="04890D8C">
      <w:pPr>
        <w:pStyle w:val="22"/>
        <w:bidi w:val="0"/>
        <w:rPr>
          <w:rFonts w:hint="eastAsia"/>
          <w:highlight w:val="none"/>
          <w:lang w:val="en-US" w:eastAsia="zh-CN"/>
        </w:rPr>
      </w:pPr>
      <w:r>
        <w:rPr>
          <w:rFonts w:hint="eastAsia"/>
          <w:highlight w:val="none"/>
          <w:lang w:val="en-US" w:eastAsia="zh-CN"/>
        </w:rPr>
        <w:t>根据设计选择的采矿工艺，矿山生产期间产生的废石全部用于充填井下采空区，废石不出井。</w:t>
      </w:r>
    </w:p>
    <w:p w14:paraId="429343C0">
      <w:pPr>
        <w:pStyle w:val="22"/>
        <w:bidi w:val="0"/>
        <w:rPr>
          <w:rFonts w:hint="eastAsia"/>
          <w:highlight w:val="none"/>
          <w:lang w:val="en-US" w:eastAsia="zh-CN"/>
        </w:rPr>
      </w:pPr>
      <w:r>
        <w:rPr>
          <w:rFonts w:hint="eastAsia"/>
          <w:highlight w:val="none"/>
          <w:lang w:val="en-US" w:eastAsia="zh-CN"/>
        </w:rPr>
        <w:t>矿山建设期间产生的废石回填至地表CK2。</w:t>
      </w:r>
    </w:p>
    <w:p w14:paraId="3A076079">
      <w:pPr>
        <w:pStyle w:val="22"/>
        <w:bidi w:val="0"/>
        <w:rPr>
          <w:rFonts w:hint="default"/>
          <w:highlight w:val="none"/>
          <w:lang w:val="en-US" w:eastAsia="zh-CN"/>
        </w:rPr>
      </w:pPr>
      <w:r>
        <w:rPr>
          <w:rFonts w:hint="eastAsia"/>
          <w:highlight w:val="none"/>
          <w:lang w:val="en-US" w:eastAsia="zh-CN"/>
        </w:rPr>
        <w:t>因此，本次设计不设置废石堆场。</w:t>
      </w:r>
    </w:p>
    <w:p w14:paraId="0B069226">
      <w:pPr>
        <w:pStyle w:val="30"/>
        <w:bidi w:val="0"/>
        <w:rPr>
          <w:rFonts w:hint="default"/>
          <w:highlight w:val="none"/>
          <w:lang w:val="en-US" w:eastAsia="zh-CN"/>
        </w:rPr>
      </w:pPr>
      <w:r>
        <w:rPr>
          <w:rFonts w:hint="default"/>
          <w:highlight w:val="none"/>
          <w:lang w:val="en-US" w:eastAsia="zh-CN"/>
        </w:rPr>
        <w:t>安全避险“六大系统”</w:t>
      </w:r>
    </w:p>
    <w:p w14:paraId="002F7035">
      <w:pPr>
        <w:pStyle w:val="22"/>
        <w:numPr>
          <w:ilvl w:val="0"/>
          <w:numId w:val="24"/>
        </w:numPr>
        <w:bidi w:val="0"/>
        <w:rPr>
          <w:rFonts w:hint="default"/>
          <w:highlight w:val="none"/>
          <w:lang w:val="en-US" w:eastAsia="zh-CN"/>
        </w:rPr>
      </w:pPr>
      <w:r>
        <w:rPr>
          <w:rFonts w:hint="eastAsia"/>
          <w:highlight w:val="none"/>
          <w:lang w:val="en-US" w:eastAsia="zh-CN"/>
        </w:rPr>
        <w:t>监测监控系统</w:t>
      </w:r>
    </w:p>
    <w:p w14:paraId="7318710C">
      <w:pPr>
        <w:pStyle w:val="22"/>
        <w:bidi w:val="0"/>
        <w:rPr>
          <w:rFonts w:hint="eastAsia"/>
          <w:highlight w:val="none"/>
          <w:lang w:val="en-US" w:eastAsia="zh-CN"/>
        </w:rPr>
      </w:pPr>
      <w:r>
        <w:rPr>
          <w:rFonts w:hint="eastAsia"/>
          <w:highlight w:val="none"/>
          <w:lang w:val="en-US" w:eastAsia="zh-CN"/>
        </w:rPr>
        <w:t>1、有毒有害气体监（检）测</w:t>
      </w:r>
    </w:p>
    <w:p w14:paraId="21C01E94">
      <w:pPr>
        <w:pStyle w:val="22"/>
        <w:bidi w:val="0"/>
        <w:rPr>
          <w:rFonts w:hint="eastAsia"/>
          <w:highlight w:val="none"/>
          <w:lang w:val="en-US" w:eastAsia="zh-CN"/>
        </w:rPr>
      </w:pPr>
      <w:r>
        <w:rPr>
          <w:rFonts w:hint="eastAsia"/>
          <w:highlight w:val="none"/>
          <w:lang w:val="en-US" w:eastAsia="zh-CN"/>
        </w:rPr>
        <w:t>①有毒有害气体检测</w:t>
      </w:r>
    </w:p>
    <w:p w14:paraId="15491A86">
      <w:pPr>
        <w:pStyle w:val="22"/>
        <w:bidi w:val="0"/>
        <w:rPr>
          <w:rFonts w:hint="eastAsia"/>
          <w:highlight w:val="none"/>
        </w:rPr>
      </w:pPr>
      <w:r>
        <w:rPr>
          <w:rFonts w:hint="eastAsia"/>
          <w:highlight w:val="none"/>
        </w:rPr>
        <w:t>有毒有害气体的检测采用便携式气体检测仪</w:t>
      </w:r>
      <w:r>
        <w:rPr>
          <w:rFonts w:hint="eastAsia"/>
          <w:highlight w:val="none"/>
          <w:lang w:eastAsia="zh-CN"/>
        </w:rPr>
        <w:t>，</w:t>
      </w:r>
      <w:r>
        <w:rPr>
          <w:rFonts w:hint="eastAsia"/>
          <w:highlight w:val="none"/>
          <w:lang w:val="en-US" w:eastAsia="zh-CN"/>
        </w:rPr>
        <w:t>主要用于检测一氧化碳、二氧化氮、氧气</w:t>
      </w:r>
      <w:r>
        <w:rPr>
          <w:rFonts w:hint="eastAsia"/>
          <w:highlight w:val="none"/>
        </w:rPr>
        <w:t>。</w:t>
      </w:r>
    </w:p>
    <w:p w14:paraId="63B08363">
      <w:pPr>
        <w:pStyle w:val="22"/>
        <w:bidi w:val="0"/>
        <w:rPr>
          <w:rFonts w:hint="eastAsia"/>
          <w:highlight w:val="none"/>
        </w:rPr>
      </w:pPr>
      <w:r>
        <w:rPr>
          <w:rFonts w:hint="eastAsia"/>
          <w:highlight w:val="none"/>
        </w:rPr>
        <w:t>每个作业班组</w:t>
      </w:r>
      <w:r>
        <w:rPr>
          <w:rFonts w:hint="eastAsia"/>
          <w:highlight w:val="none"/>
          <w:lang w:eastAsia="zh-CN"/>
        </w:rPr>
        <w:t>、</w:t>
      </w:r>
      <w:r>
        <w:rPr>
          <w:rFonts w:hint="eastAsia"/>
          <w:highlight w:val="none"/>
        </w:rPr>
        <w:t>安全员和矿管理人员配备便携式气体检测仪</w:t>
      </w:r>
      <w:r>
        <w:rPr>
          <w:rFonts w:hint="eastAsia"/>
          <w:highlight w:val="none"/>
          <w:lang w:eastAsia="zh-CN"/>
        </w:rPr>
        <w:t>，</w:t>
      </w:r>
      <w:r>
        <w:rPr>
          <w:rFonts w:hint="eastAsia"/>
          <w:highlight w:val="none"/>
          <w:lang w:val="en-US" w:eastAsia="zh-CN"/>
        </w:rPr>
        <w:t>设计全矿共配备12台</w:t>
      </w:r>
      <w:r>
        <w:rPr>
          <w:rFonts w:hint="eastAsia"/>
          <w:highlight w:val="none"/>
        </w:rPr>
        <w:t>。</w:t>
      </w:r>
    </w:p>
    <w:p w14:paraId="0B2CD8BB">
      <w:pPr>
        <w:pStyle w:val="22"/>
        <w:bidi w:val="0"/>
        <w:rPr>
          <w:rFonts w:hint="eastAsia"/>
          <w:highlight w:val="none"/>
        </w:rPr>
      </w:pPr>
      <w:r>
        <w:rPr>
          <w:rFonts w:hint="eastAsia"/>
          <w:highlight w:val="none"/>
        </w:rPr>
        <w:t>人员进入独头掘进工作面和通风不良的采场之前，应开动局部通风设备通风，</w:t>
      </w:r>
      <w:r>
        <w:rPr>
          <w:rFonts w:hint="eastAsia"/>
          <w:highlight w:val="none"/>
          <w:lang w:val="en-US" w:eastAsia="zh-CN"/>
        </w:rPr>
        <w:t>经气体监测</w:t>
      </w:r>
      <w:r>
        <w:rPr>
          <w:rFonts w:hint="eastAsia"/>
          <w:highlight w:val="none"/>
        </w:rPr>
        <w:t>确保空气质量满足作业要求后</w:t>
      </w:r>
      <w:r>
        <w:rPr>
          <w:rFonts w:hint="eastAsia"/>
          <w:highlight w:val="none"/>
          <w:lang w:eastAsia="zh-CN"/>
        </w:rPr>
        <w:t>，</w:t>
      </w:r>
      <w:r>
        <w:rPr>
          <w:rFonts w:hint="eastAsia"/>
          <w:highlight w:val="none"/>
          <w:lang w:val="en-US" w:eastAsia="zh-CN"/>
        </w:rPr>
        <w:t>方可</w:t>
      </w:r>
      <w:r>
        <w:rPr>
          <w:rFonts w:hint="eastAsia"/>
          <w:highlight w:val="none"/>
        </w:rPr>
        <w:t>进入作业场所；人员进入采矿工作面时，应携带便携式气体检测报警仪从进风侧进入，一旦报警应立即撤离。便携式报警仪应定期进行调校，经过调校检测误差仍超过规定停止使用</w:t>
      </w:r>
    </w:p>
    <w:p w14:paraId="3F4825E0">
      <w:pPr>
        <w:pStyle w:val="22"/>
        <w:bidi w:val="0"/>
        <w:rPr>
          <w:rFonts w:hint="eastAsia"/>
          <w:highlight w:val="none"/>
          <w:lang w:val="en-US" w:eastAsia="zh-CN"/>
        </w:rPr>
      </w:pPr>
      <w:r>
        <w:rPr>
          <w:rFonts w:hint="eastAsia"/>
          <w:highlight w:val="none"/>
          <w:lang w:val="en-US" w:eastAsia="zh-CN"/>
        </w:rPr>
        <w:t>②有毒有害气体在线监测</w:t>
      </w:r>
    </w:p>
    <w:p w14:paraId="27E49ECF">
      <w:pPr>
        <w:pStyle w:val="22"/>
        <w:bidi w:val="0"/>
        <w:rPr>
          <w:rFonts w:hint="eastAsia"/>
          <w:highlight w:val="none"/>
        </w:rPr>
      </w:pPr>
      <w:r>
        <w:rPr>
          <w:rFonts w:hint="eastAsia"/>
          <w:highlight w:val="none"/>
        </w:rPr>
        <w:t>该矿山主要有毒有害气体为放炮过程中产生的一氧化碳及二氧化氮、通过主机、分站、传感器对炮烟中的气体进行在线监测，本系统同通风系统监测联合设计，采用同一主机和分站。设备可移动重复利用，设计中给出各中段设备数量及分布位置。</w:t>
      </w:r>
    </w:p>
    <w:p w14:paraId="36F46D23">
      <w:pPr>
        <w:pStyle w:val="22"/>
        <w:bidi w:val="0"/>
        <w:rPr>
          <w:rFonts w:hint="eastAsia"/>
          <w:highlight w:val="none"/>
        </w:rPr>
      </w:pPr>
      <w:r>
        <w:rPr>
          <w:rFonts w:hint="eastAsia"/>
          <w:highlight w:val="none"/>
          <w:lang w:val="en-US" w:eastAsia="zh-CN"/>
        </w:rPr>
        <w:t>A.</w:t>
      </w:r>
      <w:r>
        <w:rPr>
          <w:rFonts w:hint="eastAsia"/>
          <w:highlight w:val="none"/>
        </w:rPr>
        <w:t>矿井一氧化碳传感器具体设置位置</w:t>
      </w:r>
    </w:p>
    <w:p w14:paraId="382B2AD9">
      <w:pPr>
        <w:pStyle w:val="22"/>
        <w:bidi w:val="0"/>
        <w:rPr>
          <w:rFonts w:hint="eastAsia"/>
          <w:highlight w:val="none"/>
        </w:rPr>
      </w:pPr>
      <w:r>
        <w:rPr>
          <w:rFonts w:hint="eastAsia"/>
          <w:highlight w:val="none"/>
          <w:lang w:val="en-US" w:eastAsia="zh-CN"/>
        </w:rPr>
        <w:t>a.</w:t>
      </w:r>
      <w:r>
        <w:rPr>
          <w:rFonts w:hint="eastAsia"/>
          <w:highlight w:val="none"/>
        </w:rPr>
        <w:t>采场：生产中段进风侧、回风中段回风侧设传感器；</w:t>
      </w:r>
    </w:p>
    <w:p w14:paraId="7830AA77">
      <w:pPr>
        <w:pStyle w:val="22"/>
        <w:bidi w:val="0"/>
        <w:rPr>
          <w:rFonts w:hint="eastAsia"/>
          <w:highlight w:val="none"/>
        </w:rPr>
      </w:pPr>
      <w:r>
        <w:rPr>
          <w:rFonts w:hint="eastAsia"/>
          <w:highlight w:val="none"/>
          <w:lang w:val="en-US" w:eastAsia="zh-CN"/>
        </w:rPr>
        <w:t>b.</w:t>
      </w:r>
      <w:r>
        <w:rPr>
          <w:rFonts w:hint="eastAsia"/>
          <w:highlight w:val="none"/>
        </w:rPr>
        <w:t>掘进：各中段运输巷设传感器，矿井局扇都采用压入式通风，掘进头传感器安装在距离回风出口5～10m回风流中，掘进距离超过100m时风筒出风口设一个传感器。</w:t>
      </w:r>
    </w:p>
    <w:p w14:paraId="74D69920">
      <w:pPr>
        <w:pStyle w:val="22"/>
        <w:bidi w:val="0"/>
        <w:rPr>
          <w:rFonts w:hint="eastAsia"/>
          <w:highlight w:val="none"/>
        </w:rPr>
      </w:pPr>
      <w:r>
        <w:rPr>
          <w:rFonts w:hint="eastAsia"/>
          <w:highlight w:val="none"/>
          <w:lang w:val="en-US" w:eastAsia="zh-CN"/>
        </w:rPr>
        <w:t>B</w:t>
      </w:r>
      <w:r>
        <w:rPr>
          <w:rFonts w:hint="eastAsia"/>
          <w:highlight w:val="none"/>
        </w:rPr>
        <w:t>矿井二氧化氮传感器具体设置位置</w:t>
      </w:r>
    </w:p>
    <w:p w14:paraId="53B2D7CB">
      <w:pPr>
        <w:pStyle w:val="22"/>
        <w:bidi w:val="0"/>
        <w:rPr>
          <w:rFonts w:hint="eastAsia"/>
          <w:highlight w:val="none"/>
        </w:rPr>
      </w:pPr>
      <w:r>
        <w:rPr>
          <w:rFonts w:hint="eastAsia"/>
          <w:highlight w:val="none"/>
          <w:lang w:val="en-US" w:eastAsia="zh-CN"/>
        </w:rPr>
        <w:t>a.</w:t>
      </w:r>
      <w:r>
        <w:rPr>
          <w:rFonts w:hint="eastAsia"/>
          <w:highlight w:val="none"/>
        </w:rPr>
        <w:t>采场：生产中段进风侧、回风中段回风侧设传感器；</w:t>
      </w:r>
    </w:p>
    <w:p w14:paraId="247B7D3C">
      <w:pPr>
        <w:pStyle w:val="22"/>
        <w:bidi w:val="0"/>
        <w:rPr>
          <w:rFonts w:hint="eastAsia"/>
          <w:highlight w:val="none"/>
        </w:rPr>
      </w:pPr>
      <w:r>
        <w:rPr>
          <w:rFonts w:hint="eastAsia"/>
          <w:highlight w:val="none"/>
          <w:lang w:val="en-US" w:eastAsia="zh-CN"/>
        </w:rPr>
        <w:t>b.</w:t>
      </w:r>
      <w:r>
        <w:rPr>
          <w:rFonts w:hint="eastAsia"/>
          <w:highlight w:val="none"/>
        </w:rPr>
        <w:t>掘进：各中段运输巷设传感器，矿井局扇都采用压入式通风，掘进头传感器安装在距离回风出口5～10m回风流中，掘进距离超过100m时风筒出风口设一个传感器。</w:t>
      </w:r>
    </w:p>
    <w:p w14:paraId="0BB1D471">
      <w:pPr>
        <w:pStyle w:val="22"/>
        <w:bidi w:val="0"/>
        <w:rPr>
          <w:rFonts w:hint="eastAsia"/>
          <w:highlight w:val="none"/>
        </w:rPr>
      </w:pPr>
      <w:r>
        <w:rPr>
          <w:rFonts w:hint="eastAsia"/>
          <w:highlight w:val="none"/>
          <w:lang w:val="en-US" w:eastAsia="zh-CN"/>
        </w:rPr>
        <w:t>C.</w:t>
      </w:r>
      <w:r>
        <w:rPr>
          <w:rFonts w:hint="eastAsia"/>
          <w:highlight w:val="none"/>
        </w:rPr>
        <w:t>传感器的数量和悬挂要求</w:t>
      </w:r>
    </w:p>
    <w:p w14:paraId="2BB76278">
      <w:pPr>
        <w:pStyle w:val="22"/>
        <w:bidi w:val="0"/>
        <w:rPr>
          <w:rFonts w:hint="eastAsia"/>
          <w:highlight w:val="none"/>
        </w:rPr>
      </w:pPr>
      <w:r>
        <w:rPr>
          <w:rFonts w:hint="eastAsia"/>
          <w:highlight w:val="none"/>
        </w:rPr>
        <w:t>井下中段共计设置4台传感器，后期开采时设备可重复利用，现场可根据实际使用情况购买设备。</w:t>
      </w:r>
    </w:p>
    <w:p w14:paraId="36B0B6B4">
      <w:pPr>
        <w:pStyle w:val="22"/>
        <w:bidi w:val="0"/>
        <w:rPr>
          <w:rFonts w:hint="eastAsia"/>
          <w:highlight w:val="none"/>
        </w:rPr>
      </w:pPr>
      <w:r>
        <w:rPr>
          <w:rFonts w:hint="eastAsia"/>
          <w:highlight w:val="none"/>
        </w:rPr>
        <w:t>传感器应垂直悬挂，距巷壁应不小于0.2m。一氧化碳传感器距顶板应不大于0.3m；二氧化氮传感器距底板应不高于1.6m。</w:t>
      </w:r>
    </w:p>
    <w:p w14:paraId="530B7544">
      <w:pPr>
        <w:pStyle w:val="22"/>
        <w:bidi w:val="0"/>
        <w:rPr>
          <w:rFonts w:hint="eastAsia"/>
          <w:highlight w:val="none"/>
        </w:rPr>
      </w:pPr>
      <w:r>
        <w:rPr>
          <w:rFonts w:hint="eastAsia"/>
          <w:highlight w:val="none"/>
          <w:lang w:val="en-US" w:eastAsia="zh-CN"/>
        </w:rPr>
        <w:t>D.</w:t>
      </w:r>
      <w:r>
        <w:rPr>
          <w:rFonts w:hint="eastAsia"/>
          <w:highlight w:val="none"/>
        </w:rPr>
        <w:t>传感器的安装和报警浓度</w:t>
      </w:r>
    </w:p>
    <w:p w14:paraId="5183FDC9">
      <w:pPr>
        <w:pStyle w:val="22"/>
        <w:bidi w:val="0"/>
        <w:rPr>
          <w:rFonts w:hint="eastAsia"/>
          <w:highlight w:val="none"/>
        </w:rPr>
      </w:pPr>
      <w:r>
        <w:rPr>
          <w:rFonts w:hint="eastAsia"/>
          <w:highlight w:val="none"/>
        </w:rPr>
        <w:t>一氧化碳报警浓度不应高于24ppm。设定为24ppm。</w:t>
      </w:r>
    </w:p>
    <w:p w14:paraId="695D2CD4">
      <w:pPr>
        <w:pStyle w:val="22"/>
        <w:bidi w:val="0"/>
        <w:rPr>
          <w:rFonts w:hint="eastAsia"/>
          <w:highlight w:val="none"/>
        </w:rPr>
      </w:pPr>
      <w:r>
        <w:rPr>
          <w:rFonts w:hint="eastAsia"/>
          <w:highlight w:val="none"/>
        </w:rPr>
        <w:t>二氧化氮报警浓度不应高于2.5ppm。设定为2.5ppm。</w:t>
      </w:r>
    </w:p>
    <w:p w14:paraId="7D2D9D7C">
      <w:pPr>
        <w:pStyle w:val="22"/>
        <w:bidi w:val="0"/>
        <w:rPr>
          <w:rFonts w:hint="eastAsia"/>
          <w:highlight w:val="none"/>
        </w:rPr>
      </w:pPr>
      <w:r>
        <w:rPr>
          <w:rFonts w:hint="eastAsia"/>
          <w:highlight w:val="none"/>
          <w:lang w:val="en-US" w:eastAsia="zh-CN"/>
        </w:rPr>
        <w:t>E.</w:t>
      </w:r>
      <w:r>
        <w:rPr>
          <w:rFonts w:hint="eastAsia"/>
          <w:highlight w:val="none"/>
        </w:rPr>
        <w:t>主要设备配备</w:t>
      </w:r>
    </w:p>
    <w:p w14:paraId="3601F586">
      <w:pPr>
        <w:pStyle w:val="22"/>
        <w:bidi w:val="0"/>
        <w:rPr>
          <w:rFonts w:hint="default"/>
          <w:highlight w:val="none"/>
          <w:lang w:val="en-US" w:eastAsia="zh-CN"/>
        </w:rPr>
      </w:pPr>
      <w:r>
        <w:rPr>
          <w:rFonts w:hint="eastAsia"/>
          <w:highlight w:val="none"/>
        </w:rPr>
        <w:t>在线监测设备主要有主机、管理软件、分站、显示屏、避雷装置、备用电源、打印机、传感器等组成，分站的数量根据分站输出端的个数确定，一个输出连接一个传感器，通常一个分站能接8个传感器。</w:t>
      </w:r>
    </w:p>
    <w:p w14:paraId="11C5526F">
      <w:pPr>
        <w:pStyle w:val="22"/>
        <w:bidi w:val="0"/>
        <w:rPr>
          <w:rFonts w:hint="eastAsia"/>
          <w:highlight w:val="none"/>
          <w:lang w:val="en-US" w:eastAsia="zh-CN"/>
        </w:rPr>
      </w:pPr>
      <w:r>
        <w:rPr>
          <w:rFonts w:hint="eastAsia"/>
          <w:highlight w:val="none"/>
          <w:lang w:val="en-US" w:eastAsia="zh-CN"/>
        </w:rPr>
        <w:t>2、通风系统监测</w:t>
      </w:r>
    </w:p>
    <w:p w14:paraId="0EC73BEF">
      <w:pPr>
        <w:pStyle w:val="22"/>
        <w:bidi w:val="0"/>
        <w:rPr>
          <w:rFonts w:hint="eastAsia"/>
          <w:highlight w:val="none"/>
          <w:lang w:val="en-US" w:eastAsia="zh-CN"/>
        </w:rPr>
      </w:pPr>
      <w:r>
        <w:rPr>
          <w:rFonts w:hint="eastAsia"/>
          <w:highlight w:val="none"/>
        </w:rPr>
        <w:t>在地面主扇风机房引风道测风站内设置开停、风速传感器，配备主扇相应设施，通过主机、分站、线缆、传感器对通风系统实现在线监测，主机、分站、软件和有毒有害气体在线监测系统共用。</w:t>
      </w:r>
    </w:p>
    <w:p w14:paraId="120C97AC">
      <w:pPr>
        <w:pStyle w:val="22"/>
        <w:bidi w:val="0"/>
        <w:rPr>
          <w:rFonts w:hint="eastAsia"/>
          <w:highlight w:val="none"/>
        </w:rPr>
      </w:pPr>
      <w:r>
        <w:rPr>
          <w:rFonts w:hint="eastAsia"/>
          <w:highlight w:val="none"/>
          <w:lang w:val="en-US" w:eastAsia="zh-CN"/>
        </w:rPr>
        <w:t>①</w:t>
      </w:r>
      <w:r>
        <w:rPr>
          <w:rFonts w:hint="eastAsia"/>
          <w:highlight w:val="none"/>
        </w:rPr>
        <w:t>设置位置</w:t>
      </w:r>
    </w:p>
    <w:p w14:paraId="74B273BD">
      <w:pPr>
        <w:pStyle w:val="22"/>
        <w:bidi w:val="0"/>
        <w:rPr>
          <w:rFonts w:hint="eastAsia"/>
          <w:highlight w:val="none"/>
        </w:rPr>
      </w:pPr>
      <w:r>
        <w:rPr>
          <w:rFonts w:hint="eastAsia"/>
          <w:highlight w:val="none"/>
          <w:lang w:val="en-US" w:eastAsia="zh-CN"/>
        </w:rPr>
        <w:t>a.</w:t>
      </w:r>
      <w:r>
        <w:rPr>
          <w:rFonts w:hint="eastAsia"/>
          <w:highlight w:val="none"/>
        </w:rPr>
        <w:t>风速传感器安装在测风站，各中段靠风井侧总回风道内；</w:t>
      </w:r>
    </w:p>
    <w:p w14:paraId="0A4B3CF3">
      <w:pPr>
        <w:pStyle w:val="22"/>
        <w:bidi w:val="0"/>
        <w:rPr>
          <w:rFonts w:hint="eastAsia"/>
          <w:highlight w:val="none"/>
        </w:rPr>
      </w:pPr>
      <w:r>
        <w:rPr>
          <w:rFonts w:hint="eastAsia"/>
          <w:highlight w:val="none"/>
          <w:lang w:val="en-US" w:eastAsia="zh-CN"/>
        </w:rPr>
        <w:t>b.</w:t>
      </w:r>
      <w:r>
        <w:rPr>
          <w:rFonts w:hint="eastAsia"/>
          <w:highlight w:val="none"/>
        </w:rPr>
        <w:t>总回风应设永久性测风站，有条件的中段回风</w:t>
      </w:r>
      <w:r>
        <w:rPr>
          <w:rFonts w:hint="eastAsia"/>
          <w:highlight w:val="none"/>
          <w:lang w:val="en-US" w:eastAsia="zh-CN"/>
        </w:rPr>
        <w:t>侧</w:t>
      </w:r>
      <w:r>
        <w:rPr>
          <w:rFonts w:hint="eastAsia"/>
          <w:highlight w:val="none"/>
        </w:rPr>
        <w:t>设永久测风站，无永久测风站时，应选择巷道断面规整、支护良好、前后10m巷道内无障碍物和拐弯的临时测风站内，所有测风站应有明显的标志和编号；</w:t>
      </w:r>
    </w:p>
    <w:p w14:paraId="538C6707">
      <w:pPr>
        <w:pStyle w:val="22"/>
        <w:bidi w:val="0"/>
        <w:rPr>
          <w:rFonts w:hint="eastAsia"/>
          <w:highlight w:val="none"/>
          <w:lang w:eastAsia="zh-CN"/>
        </w:rPr>
      </w:pPr>
      <w:r>
        <w:rPr>
          <w:rFonts w:hint="eastAsia"/>
          <w:highlight w:val="none"/>
          <w:lang w:val="en-US" w:eastAsia="zh-CN"/>
        </w:rPr>
        <w:t>c.</w:t>
      </w:r>
      <w:r>
        <w:rPr>
          <w:rFonts w:hint="eastAsia"/>
          <w:highlight w:val="none"/>
        </w:rPr>
        <w:t>主扇地面总回风道内设风压传感器。各中段局扇、矿井主扇设开停传感器；在负荷电缆上卡固好传感器即可正常工作</w:t>
      </w:r>
      <w:r>
        <w:rPr>
          <w:rFonts w:hint="eastAsia"/>
          <w:highlight w:val="none"/>
          <w:lang w:eastAsia="zh-CN"/>
        </w:rPr>
        <w:t>。</w:t>
      </w:r>
    </w:p>
    <w:p w14:paraId="0844D6DC">
      <w:pPr>
        <w:pStyle w:val="22"/>
        <w:bidi w:val="0"/>
        <w:rPr>
          <w:rFonts w:hint="eastAsia"/>
          <w:highlight w:val="none"/>
          <w:lang w:eastAsia="zh-CN"/>
        </w:rPr>
      </w:pPr>
      <w:r>
        <w:rPr>
          <w:rFonts w:hint="eastAsia"/>
          <w:highlight w:val="none"/>
          <w:lang w:val="en-US" w:eastAsia="zh-CN"/>
        </w:rPr>
        <w:t>②</w:t>
      </w:r>
      <w:r>
        <w:rPr>
          <w:rFonts w:hint="eastAsia"/>
          <w:highlight w:val="none"/>
          <w:lang w:eastAsia="zh-CN"/>
        </w:rPr>
        <w:t>传感器报警值设定</w:t>
      </w:r>
    </w:p>
    <w:p w14:paraId="27B305E4">
      <w:pPr>
        <w:pStyle w:val="22"/>
        <w:bidi w:val="0"/>
        <w:rPr>
          <w:rFonts w:hint="eastAsia"/>
          <w:highlight w:val="none"/>
        </w:rPr>
      </w:pPr>
      <w:r>
        <w:rPr>
          <w:rFonts w:hint="eastAsia"/>
          <w:highlight w:val="none"/>
        </w:rPr>
        <w:t>风速传感器报警值应根据通风系统设计的各监测点的配风设计值，但也要满足AQ2013.1的风速规定。</w:t>
      </w:r>
    </w:p>
    <w:p w14:paraId="5341D3D5">
      <w:pPr>
        <w:pStyle w:val="22"/>
        <w:bidi w:val="0"/>
        <w:rPr>
          <w:rFonts w:hint="eastAsia"/>
          <w:highlight w:val="none"/>
          <w:lang w:eastAsia="zh-CN"/>
        </w:rPr>
      </w:pPr>
      <w:r>
        <w:rPr>
          <w:rFonts w:hint="eastAsia"/>
          <w:highlight w:val="none"/>
          <w:lang w:val="en-US" w:eastAsia="zh-CN"/>
        </w:rPr>
        <w:t>③</w:t>
      </w:r>
      <w:r>
        <w:rPr>
          <w:rFonts w:hint="eastAsia"/>
          <w:highlight w:val="none"/>
          <w:lang w:eastAsia="zh-CN"/>
        </w:rPr>
        <w:t>通风系统在线监测传感器配置</w:t>
      </w:r>
    </w:p>
    <w:p w14:paraId="47A48F7D">
      <w:pPr>
        <w:pStyle w:val="22"/>
        <w:bidi w:val="0"/>
        <w:rPr>
          <w:rFonts w:hint="eastAsia"/>
          <w:highlight w:val="none"/>
        </w:rPr>
      </w:pPr>
      <w:r>
        <w:rPr>
          <w:rFonts w:hint="eastAsia"/>
          <w:highlight w:val="none"/>
        </w:rPr>
        <w:t>通风系统共设风速传感器</w:t>
      </w:r>
      <w:r>
        <w:rPr>
          <w:rFonts w:hint="eastAsia"/>
          <w:highlight w:val="none"/>
          <w:lang w:val="en-US" w:eastAsia="zh-CN"/>
        </w:rPr>
        <w:t>1</w:t>
      </w:r>
      <w:r>
        <w:rPr>
          <w:rFonts w:hint="eastAsia"/>
          <w:highlight w:val="none"/>
        </w:rPr>
        <w:t>台。设置开停传感器</w:t>
      </w:r>
      <w:r>
        <w:rPr>
          <w:rFonts w:hint="eastAsia"/>
          <w:highlight w:val="none"/>
          <w:lang w:val="en-US" w:eastAsia="zh-CN"/>
        </w:rPr>
        <w:t>7</w:t>
      </w:r>
      <w:r>
        <w:rPr>
          <w:rFonts w:hint="eastAsia"/>
          <w:highlight w:val="none"/>
        </w:rPr>
        <w:t>台。风压传感器</w:t>
      </w:r>
      <w:r>
        <w:rPr>
          <w:rFonts w:hint="eastAsia"/>
          <w:highlight w:val="none"/>
          <w:lang w:val="en-US" w:eastAsia="zh-CN"/>
        </w:rPr>
        <w:t>1</w:t>
      </w:r>
      <w:r>
        <w:rPr>
          <w:rFonts w:hint="eastAsia"/>
          <w:highlight w:val="none"/>
        </w:rPr>
        <w:t>台。</w:t>
      </w:r>
    </w:p>
    <w:p w14:paraId="08833DAC">
      <w:pPr>
        <w:pStyle w:val="22"/>
        <w:bidi w:val="0"/>
        <w:rPr>
          <w:rFonts w:hint="eastAsia"/>
          <w:highlight w:val="none"/>
          <w:lang w:eastAsia="zh-CN"/>
        </w:rPr>
      </w:pPr>
      <w:r>
        <w:rPr>
          <w:rFonts w:hint="eastAsia"/>
          <w:highlight w:val="none"/>
          <w:lang w:val="en-US" w:eastAsia="zh-CN"/>
        </w:rPr>
        <w:t>④</w:t>
      </w:r>
      <w:r>
        <w:rPr>
          <w:rFonts w:hint="eastAsia"/>
          <w:highlight w:val="none"/>
          <w:lang w:eastAsia="zh-CN"/>
        </w:rPr>
        <w:t>监测系统主要设备选型</w:t>
      </w:r>
    </w:p>
    <w:p w14:paraId="427F1E98">
      <w:pPr>
        <w:pStyle w:val="22"/>
        <w:bidi w:val="0"/>
        <w:rPr>
          <w:rFonts w:hint="eastAsia"/>
          <w:highlight w:val="none"/>
        </w:rPr>
      </w:pPr>
      <w:r>
        <w:rPr>
          <w:rFonts w:hint="eastAsia"/>
          <w:highlight w:val="none"/>
        </w:rPr>
        <w:t>监测系统主要设备选型如下：</w:t>
      </w:r>
    </w:p>
    <w:p w14:paraId="3BE5E9BC">
      <w:pPr>
        <w:pStyle w:val="22"/>
        <w:bidi w:val="0"/>
        <w:rPr>
          <w:rFonts w:hint="default"/>
          <w:highlight w:val="none"/>
          <w:lang w:val="en-US" w:eastAsia="zh-CN"/>
        </w:rPr>
      </w:pPr>
      <w:r>
        <w:rPr>
          <w:rFonts w:hint="eastAsia"/>
          <w:highlight w:val="none"/>
          <w:lang w:val="en-US" w:eastAsia="zh-CN"/>
        </w:rPr>
        <w:t>监测监控系统</w:t>
      </w:r>
      <w:r>
        <w:rPr>
          <w:rFonts w:hint="eastAsia"/>
          <w:highlight w:val="none"/>
        </w:rPr>
        <w:t>主要设备</w:t>
      </w:r>
      <w:r>
        <w:rPr>
          <w:rFonts w:hint="eastAsia"/>
          <w:highlight w:val="none"/>
          <w:lang w:val="en-US" w:eastAsia="zh-CN"/>
        </w:rPr>
        <w:t>包括：监测软件1套</w:t>
      </w:r>
      <w:r>
        <w:rPr>
          <w:rFonts w:hint="eastAsia"/>
          <w:highlight w:val="none"/>
          <w:lang w:eastAsia="zh-CN"/>
        </w:rPr>
        <w:t>；</w:t>
      </w:r>
      <w:r>
        <w:rPr>
          <w:rFonts w:hint="eastAsia"/>
          <w:highlight w:val="none"/>
        </w:rPr>
        <w:t>数据传输分站</w:t>
      </w:r>
      <w:r>
        <w:rPr>
          <w:rFonts w:hint="eastAsia"/>
          <w:highlight w:val="none"/>
          <w:lang w:val="en-US" w:eastAsia="zh-CN"/>
        </w:rPr>
        <w:t>2台</w:t>
      </w:r>
      <w:r>
        <w:rPr>
          <w:rFonts w:hint="eastAsia"/>
          <w:highlight w:val="none"/>
          <w:lang w:eastAsia="zh-CN"/>
        </w:rPr>
        <w:t>；</w:t>
      </w:r>
      <w:r>
        <w:rPr>
          <w:rFonts w:hint="eastAsia"/>
          <w:highlight w:val="none"/>
        </w:rPr>
        <w:t>一氧化碳传感器</w:t>
      </w:r>
      <w:r>
        <w:rPr>
          <w:rFonts w:hint="eastAsia"/>
          <w:highlight w:val="none"/>
          <w:lang w:val="en-US" w:eastAsia="zh-CN"/>
        </w:rPr>
        <w:t>2</w:t>
      </w:r>
      <w:r>
        <w:rPr>
          <w:rFonts w:hint="eastAsia"/>
          <w:highlight w:val="none"/>
        </w:rPr>
        <w:t>台；风速传感器</w:t>
      </w:r>
      <w:r>
        <w:rPr>
          <w:rFonts w:hint="eastAsia"/>
          <w:highlight w:val="none"/>
          <w:lang w:val="en-US" w:eastAsia="zh-CN"/>
        </w:rPr>
        <w:t>1</w:t>
      </w:r>
      <w:r>
        <w:rPr>
          <w:rFonts w:hint="eastAsia"/>
          <w:highlight w:val="none"/>
        </w:rPr>
        <w:t>台；开停传感器</w:t>
      </w:r>
      <w:r>
        <w:rPr>
          <w:rFonts w:hint="eastAsia"/>
          <w:highlight w:val="none"/>
          <w:lang w:val="en-US" w:eastAsia="zh-CN"/>
        </w:rPr>
        <w:t>7</w:t>
      </w:r>
      <w:r>
        <w:rPr>
          <w:rFonts w:hint="eastAsia"/>
          <w:highlight w:val="none"/>
        </w:rPr>
        <w:t>台；风压传感器</w:t>
      </w:r>
      <w:r>
        <w:rPr>
          <w:rFonts w:hint="eastAsia"/>
          <w:highlight w:val="none"/>
          <w:lang w:val="en-US" w:eastAsia="zh-CN"/>
        </w:rPr>
        <w:t>1</w:t>
      </w:r>
      <w:r>
        <w:rPr>
          <w:rFonts w:hint="eastAsia"/>
          <w:highlight w:val="none"/>
        </w:rPr>
        <w:t>台；信号电缆的选择：</w:t>
      </w:r>
      <w:r>
        <w:rPr>
          <w:rFonts w:hint="eastAsia"/>
          <w:highlight w:val="none"/>
          <w:lang w:val="en-US" w:eastAsia="zh-CN"/>
        </w:rPr>
        <w:t>井下</w:t>
      </w:r>
      <w:r>
        <w:rPr>
          <w:rFonts w:hint="eastAsia"/>
          <w:highlight w:val="none"/>
        </w:rPr>
        <w:t>主通讯光缆</w:t>
      </w:r>
      <w:r>
        <w:rPr>
          <w:rFonts w:hint="eastAsia"/>
          <w:highlight w:val="none"/>
          <w:lang w:val="en-US" w:eastAsia="zh-CN"/>
        </w:rPr>
        <w:t>选择</w:t>
      </w:r>
      <w:r>
        <w:rPr>
          <w:rFonts w:hint="eastAsia"/>
          <w:highlight w:val="none"/>
        </w:rPr>
        <w:t>矿用光缆，</w:t>
      </w:r>
      <w:r>
        <w:rPr>
          <w:rFonts w:hint="eastAsia"/>
          <w:highlight w:val="none"/>
          <w:lang w:val="en-US" w:eastAsia="zh-CN"/>
        </w:rPr>
        <w:t>地表</w:t>
      </w:r>
      <w:r>
        <w:rPr>
          <w:rFonts w:hint="eastAsia"/>
          <w:highlight w:val="none"/>
        </w:rPr>
        <w:t>采用普通室外通信光缆，敷设方式为架空或地埋，应符合《金属非金属地下矿山安全规程》GB16423中相关规定。井下分站输入电压220V。</w:t>
      </w:r>
    </w:p>
    <w:p w14:paraId="648D34A3">
      <w:pPr>
        <w:pStyle w:val="31"/>
        <w:bidi w:val="0"/>
        <w:rPr>
          <w:rFonts w:hint="eastAsia"/>
          <w:highlight w:val="none"/>
          <w:lang w:val="en-US" w:eastAsia="zh-CN"/>
        </w:rPr>
      </w:pPr>
      <w:r>
        <w:rPr>
          <w:rFonts w:hint="eastAsia"/>
          <w:highlight w:val="none"/>
          <w:lang w:val="en-US" w:eastAsia="zh-CN"/>
        </w:rPr>
        <w:t xml:space="preserve">表2.4-2  </w:t>
      </w:r>
      <w:r>
        <w:rPr>
          <w:rFonts w:hint="eastAsia"/>
          <w:highlight w:val="none"/>
        </w:rPr>
        <w:t>一氧化碳传感器、风速传感器安装、配置表</w:t>
      </w:r>
    </w:p>
    <w:tbl>
      <w:tblPr>
        <w:tblStyle w:val="2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5"/>
        <w:gridCol w:w="1416"/>
        <w:gridCol w:w="1138"/>
        <w:gridCol w:w="1264"/>
        <w:gridCol w:w="1442"/>
        <w:gridCol w:w="1442"/>
      </w:tblGrid>
      <w:tr w14:paraId="006C7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7BBCD1A6">
            <w:pPr>
              <w:pStyle w:val="32"/>
              <w:bidi w:val="0"/>
              <w:rPr>
                <w:rFonts w:hint="eastAsia"/>
                <w:highlight w:val="none"/>
              </w:rPr>
            </w:pPr>
            <w:r>
              <w:rPr>
                <w:rFonts w:hint="eastAsia"/>
                <w:highlight w:val="none"/>
              </w:rPr>
              <w:t>名称</w:t>
            </w:r>
          </w:p>
        </w:tc>
        <w:tc>
          <w:tcPr>
            <w:tcW w:w="753" w:type="pct"/>
            <w:noWrap w:val="0"/>
            <w:vAlign w:val="center"/>
          </w:tcPr>
          <w:p w14:paraId="6D2AF2B9">
            <w:pPr>
              <w:pStyle w:val="32"/>
              <w:bidi w:val="0"/>
              <w:rPr>
                <w:rFonts w:hint="eastAsia"/>
                <w:highlight w:val="none"/>
              </w:rPr>
            </w:pPr>
            <w:r>
              <w:rPr>
                <w:rFonts w:hint="eastAsia"/>
                <w:highlight w:val="none"/>
              </w:rPr>
              <w:t>一氧化碳</w:t>
            </w:r>
          </w:p>
          <w:p w14:paraId="2B9EF8CF">
            <w:pPr>
              <w:pStyle w:val="32"/>
              <w:bidi w:val="0"/>
              <w:rPr>
                <w:rFonts w:hint="eastAsia"/>
                <w:highlight w:val="none"/>
              </w:rPr>
            </w:pPr>
            <w:r>
              <w:rPr>
                <w:rFonts w:hint="eastAsia"/>
                <w:highlight w:val="none"/>
              </w:rPr>
              <w:t>传感器</w:t>
            </w:r>
          </w:p>
        </w:tc>
        <w:tc>
          <w:tcPr>
            <w:tcW w:w="605" w:type="pct"/>
            <w:noWrap w:val="0"/>
            <w:vAlign w:val="center"/>
          </w:tcPr>
          <w:p w14:paraId="29B794D0">
            <w:pPr>
              <w:pStyle w:val="32"/>
              <w:bidi w:val="0"/>
              <w:rPr>
                <w:rFonts w:hint="eastAsia"/>
                <w:highlight w:val="none"/>
              </w:rPr>
            </w:pPr>
            <w:r>
              <w:rPr>
                <w:rFonts w:hint="eastAsia"/>
                <w:highlight w:val="none"/>
              </w:rPr>
              <w:t>风速</w:t>
            </w:r>
          </w:p>
          <w:p w14:paraId="40D0EFB8">
            <w:pPr>
              <w:pStyle w:val="32"/>
              <w:bidi w:val="0"/>
              <w:rPr>
                <w:rFonts w:hint="eastAsia"/>
                <w:highlight w:val="none"/>
              </w:rPr>
            </w:pPr>
            <w:r>
              <w:rPr>
                <w:rFonts w:hint="eastAsia"/>
                <w:highlight w:val="none"/>
              </w:rPr>
              <w:t>传感器</w:t>
            </w:r>
          </w:p>
        </w:tc>
        <w:tc>
          <w:tcPr>
            <w:tcW w:w="672" w:type="pct"/>
            <w:noWrap w:val="0"/>
            <w:vAlign w:val="center"/>
          </w:tcPr>
          <w:p w14:paraId="52F90F2F">
            <w:pPr>
              <w:pStyle w:val="32"/>
              <w:bidi w:val="0"/>
              <w:rPr>
                <w:rFonts w:hint="eastAsia"/>
                <w:highlight w:val="none"/>
              </w:rPr>
            </w:pPr>
            <w:r>
              <w:rPr>
                <w:rFonts w:hint="eastAsia"/>
                <w:highlight w:val="none"/>
              </w:rPr>
              <w:t>开停</w:t>
            </w:r>
          </w:p>
          <w:p w14:paraId="0DA67E32">
            <w:pPr>
              <w:pStyle w:val="32"/>
              <w:bidi w:val="0"/>
              <w:rPr>
                <w:rFonts w:hint="eastAsia"/>
                <w:highlight w:val="none"/>
              </w:rPr>
            </w:pPr>
            <w:r>
              <w:rPr>
                <w:rFonts w:hint="eastAsia"/>
                <w:highlight w:val="none"/>
              </w:rPr>
              <w:t>传感器</w:t>
            </w:r>
          </w:p>
        </w:tc>
        <w:tc>
          <w:tcPr>
            <w:tcW w:w="767" w:type="pct"/>
            <w:noWrap w:val="0"/>
            <w:vAlign w:val="center"/>
          </w:tcPr>
          <w:p w14:paraId="38BFA570">
            <w:pPr>
              <w:pStyle w:val="32"/>
              <w:bidi w:val="0"/>
              <w:rPr>
                <w:rFonts w:hint="eastAsia"/>
                <w:highlight w:val="none"/>
                <w:lang w:val="en-US" w:eastAsia="zh-CN"/>
              </w:rPr>
            </w:pPr>
            <w:r>
              <w:rPr>
                <w:rFonts w:hint="eastAsia"/>
                <w:highlight w:val="none"/>
                <w:lang w:val="en-US" w:eastAsia="zh-CN"/>
              </w:rPr>
              <w:t>风压</w:t>
            </w:r>
          </w:p>
          <w:p w14:paraId="5CE763B5">
            <w:pPr>
              <w:pStyle w:val="32"/>
              <w:bidi w:val="0"/>
              <w:rPr>
                <w:rFonts w:hint="eastAsia"/>
                <w:highlight w:val="none"/>
                <w:lang w:val="en-US" w:eastAsia="zh-CN"/>
              </w:rPr>
            </w:pPr>
            <w:r>
              <w:rPr>
                <w:rFonts w:hint="eastAsia"/>
                <w:highlight w:val="none"/>
                <w:lang w:val="en-US" w:eastAsia="zh-CN"/>
              </w:rPr>
              <w:t>传感器</w:t>
            </w:r>
          </w:p>
        </w:tc>
        <w:tc>
          <w:tcPr>
            <w:tcW w:w="767" w:type="pct"/>
            <w:noWrap w:val="0"/>
            <w:vAlign w:val="center"/>
          </w:tcPr>
          <w:p w14:paraId="66698473">
            <w:pPr>
              <w:pStyle w:val="32"/>
              <w:bidi w:val="0"/>
              <w:rPr>
                <w:rFonts w:hint="eastAsia"/>
                <w:highlight w:val="none"/>
              </w:rPr>
            </w:pPr>
            <w:r>
              <w:rPr>
                <w:rFonts w:hint="eastAsia"/>
                <w:highlight w:val="none"/>
              </w:rPr>
              <w:t>备注</w:t>
            </w:r>
          </w:p>
        </w:tc>
      </w:tr>
      <w:tr w14:paraId="1599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433" w:type="pct"/>
            <w:noWrap w:val="0"/>
            <w:vAlign w:val="center"/>
          </w:tcPr>
          <w:p w14:paraId="3B75D92A">
            <w:pPr>
              <w:pStyle w:val="32"/>
              <w:bidi w:val="0"/>
              <w:rPr>
                <w:rFonts w:hint="eastAsia"/>
                <w:highlight w:val="none"/>
                <w:lang w:val="en-US" w:eastAsia="zh-CN"/>
              </w:rPr>
            </w:pPr>
            <w:r>
              <w:rPr>
                <w:rFonts w:hint="eastAsia"/>
                <w:highlight w:val="none"/>
                <w:lang w:val="en-US" w:eastAsia="zh-CN"/>
              </w:rPr>
              <w:t>地表</w:t>
            </w:r>
          </w:p>
        </w:tc>
        <w:tc>
          <w:tcPr>
            <w:tcW w:w="753" w:type="pct"/>
            <w:noWrap w:val="0"/>
            <w:vAlign w:val="center"/>
          </w:tcPr>
          <w:p w14:paraId="001D67E2">
            <w:pPr>
              <w:pStyle w:val="32"/>
              <w:bidi w:val="0"/>
              <w:rPr>
                <w:rFonts w:hint="eastAsia"/>
                <w:highlight w:val="none"/>
                <w:lang w:val="en-US" w:eastAsia="zh-CN"/>
              </w:rPr>
            </w:pPr>
            <w:r>
              <w:rPr>
                <w:rFonts w:hint="eastAsia"/>
                <w:highlight w:val="none"/>
                <w:lang w:val="en-US" w:eastAsia="zh-CN"/>
              </w:rPr>
              <w:t>0</w:t>
            </w:r>
          </w:p>
        </w:tc>
        <w:tc>
          <w:tcPr>
            <w:tcW w:w="605" w:type="pct"/>
            <w:noWrap w:val="0"/>
            <w:vAlign w:val="center"/>
          </w:tcPr>
          <w:p w14:paraId="5FB23978">
            <w:pPr>
              <w:pStyle w:val="32"/>
              <w:bidi w:val="0"/>
              <w:rPr>
                <w:rFonts w:hint="eastAsia"/>
                <w:highlight w:val="none"/>
                <w:lang w:val="en-US" w:eastAsia="zh-CN"/>
              </w:rPr>
            </w:pPr>
            <w:r>
              <w:rPr>
                <w:rFonts w:hint="eastAsia"/>
                <w:highlight w:val="none"/>
                <w:lang w:val="en-US" w:eastAsia="zh-CN"/>
              </w:rPr>
              <w:t>0</w:t>
            </w:r>
          </w:p>
        </w:tc>
        <w:tc>
          <w:tcPr>
            <w:tcW w:w="672" w:type="pct"/>
            <w:noWrap w:val="0"/>
            <w:vAlign w:val="center"/>
          </w:tcPr>
          <w:p w14:paraId="1528001B">
            <w:pPr>
              <w:pStyle w:val="32"/>
              <w:bidi w:val="0"/>
              <w:rPr>
                <w:rFonts w:hint="eastAsia"/>
                <w:highlight w:val="none"/>
                <w:lang w:val="en-US" w:eastAsia="zh-CN"/>
              </w:rPr>
            </w:pPr>
            <w:r>
              <w:rPr>
                <w:rFonts w:hint="eastAsia"/>
                <w:highlight w:val="none"/>
                <w:lang w:val="en-US" w:eastAsia="zh-CN"/>
              </w:rPr>
              <w:t>1</w:t>
            </w:r>
          </w:p>
        </w:tc>
        <w:tc>
          <w:tcPr>
            <w:tcW w:w="767" w:type="pct"/>
            <w:noWrap w:val="0"/>
            <w:vAlign w:val="center"/>
          </w:tcPr>
          <w:p w14:paraId="68271883">
            <w:pPr>
              <w:pStyle w:val="32"/>
              <w:bidi w:val="0"/>
              <w:rPr>
                <w:rFonts w:hint="eastAsia"/>
                <w:highlight w:val="none"/>
                <w:lang w:val="en-US" w:eastAsia="zh-CN"/>
              </w:rPr>
            </w:pPr>
            <w:r>
              <w:rPr>
                <w:rFonts w:hint="eastAsia"/>
                <w:highlight w:val="none"/>
                <w:lang w:val="en-US" w:eastAsia="zh-CN"/>
              </w:rPr>
              <w:t>1</w:t>
            </w:r>
          </w:p>
        </w:tc>
        <w:tc>
          <w:tcPr>
            <w:tcW w:w="767" w:type="pct"/>
            <w:vMerge w:val="restart"/>
            <w:noWrap w:val="0"/>
            <w:vAlign w:val="center"/>
          </w:tcPr>
          <w:p w14:paraId="04056022">
            <w:pPr>
              <w:pStyle w:val="32"/>
              <w:bidi w:val="0"/>
              <w:rPr>
                <w:rFonts w:hint="eastAsia"/>
                <w:highlight w:val="none"/>
              </w:rPr>
            </w:pPr>
          </w:p>
        </w:tc>
      </w:tr>
      <w:tr w14:paraId="33E7E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2F3580F6">
            <w:pPr>
              <w:pStyle w:val="32"/>
              <w:bidi w:val="0"/>
              <w:rPr>
                <w:rFonts w:hint="eastAsia"/>
                <w:highlight w:val="none"/>
                <w:lang w:val="en-US"/>
              </w:rPr>
            </w:pPr>
            <w:r>
              <w:rPr>
                <w:rFonts w:hint="eastAsia"/>
                <w:highlight w:val="none"/>
                <w:lang w:val="en-US" w:eastAsia="zh-CN"/>
              </w:rPr>
              <w:t>138m中段</w:t>
            </w:r>
          </w:p>
        </w:tc>
        <w:tc>
          <w:tcPr>
            <w:tcW w:w="753" w:type="pct"/>
            <w:noWrap w:val="0"/>
            <w:vAlign w:val="center"/>
          </w:tcPr>
          <w:p w14:paraId="3ECC47DA">
            <w:pPr>
              <w:pStyle w:val="32"/>
              <w:bidi w:val="0"/>
              <w:rPr>
                <w:rFonts w:hint="eastAsia"/>
                <w:highlight w:val="none"/>
                <w:lang w:eastAsia="zh-CN"/>
              </w:rPr>
            </w:pPr>
            <w:r>
              <w:rPr>
                <w:rFonts w:hint="eastAsia"/>
                <w:highlight w:val="none"/>
                <w:lang w:val="en-US" w:eastAsia="zh-CN"/>
              </w:rPr>
              <w:t>1</w:t>
            </w:r>
          </w:p>
        </w:tc>
        <w:tc>
          <w:tcPr>
            <w:tcW w:w="605" w:type="pct"/>
            <w:noWrap w:val="0"/>
            <w:vAlign w:val="center"/>
          </w:tcPr>
          <w:p w14:paraId="0178AE58">
            <w:pPr>
              <w:pStyle w:val="32"/>
              <w:bidi w:val="0"/>
              <w:rPr>
                <w:rFonts w:hint="eastAsia"/>
                <w:highlight w:val="none"/>
                <w:lang w:val="en-US" w:eastAsia="zh-CN"/>
              </w:rPr>
            </w:pPr>
            <w:r>
              <w:rPr>
                <w:rFonts w:hint="eastAsia"/>
                <w:highlight w:val="none"/>
                <w:lang w:val="en-US" w:eastAsia="zh-CN"/>
              </w:rPr>
              <w:t>1</w:t>
            </w:r>
          </w:p>
        </w:tc>
        <w:tc>
          <w:tcPr>
            <w:tcW w:w="672" w:type="pct"/>
            <w:noWrap w:val="0"/>
            <w:vAlign w:val="center"/>
          </w:tcPr>
          <w:p w14:paraId="24EEFED1">
            <w:pPr>
              <w:pStyle w:val="32"/>
              <w:bidi w:val="0"/>
              <w:rPr>
                <w:rFonts w:hint="eastAsia"/>
                <w:highlight w:val="none"/>
                <w:lang w:val="en-US" w:eastAsia="zh-CN"/>
              </w:rPr>
            </w:pPr>
            <w:r>
              <w:rPr>
                <w:rFonts w:hint="eastAsia"/>
                <w:highlight w:val="none"/>
                <w:lang w:val="en-US" w:eastAsia="zh-CN"/>
              </w:rPr>
              <w:t>2</w:t>
            </w:r>
          </w:p>
        </w:tc>
        <w:tc>
          <w:tcPr>
            <w:tcW w:w="767" w:type="pct"/>
            <w:noWrap w:val="0"/>
            <w:vAlign w:val="center"/>
          </w:tcPr>
          <w:p w14:paraId="45C0EBA6">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4BF3B03F">
            <w:pPr>
              <w:pStyle w:val="32"/>
              <w:bidi w:val="0"/>
              <w:rPr>
                <w:rFonts w:hint="eastAsia"/>
                <w:highlight w:val="none"/>
              </w:rPr>
            </w:pPr>
          </w:p>
        </w:tc>
      </w:tr>
      <w:tr w14:paraId="52BBC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3989C812">
            <w:pPr>
              <w:pStyle w:val="32"/>
              <w:bidi w:val="0"/>
              <w:rPr>
                <w:rFonts w:hint="eastAsia"/>
                <w:highlight w:val="none"/>
                <w:lang w:val="en-US" w:eastAsia="zh-CN"/>
              </w:rPr>
            </w:pPr>
            <w:r>
              <w:rPr>
                <w:rFonts w:hint="eastAsia"/>
                <w:highlight w:val="none"/>
                <w:lang w:val="en-US" w:eastAsia="zh-CN"/>
              </w:rPr>
              <w:t>108m中段</w:t>
            </w:r>
          </w:p>
        </w:tc>
        <w:tc>
          <w:tcPr>
            <w:tcW w:w="753" w:type="pct"/>
            <w:noWrap w:val="0"/>
            <w:vAlign w:val="center"/>
          </w:tcPr>
          <w:p w14:paraId="6CD41115">
            <w:pPr>
              <w:pStyle w:val="32"/>
              <w:bidi w:val="0"/>
              <w:rPr>
                <w:rFonts w:hint="eastAsia"/>
                <w:highlight w:val="none"/>
                <w:lang w:val="en-US" w:eastAsia="zh-CN"/>
              </w:rPr>
            </w:pPr>
            <w:r>
              <w:rPr>
                <w:rFonts w:hint="eastAsia"/>
                <w:highlight w:val="none"/>
                <w:lang w:val="en-US" w:eastAsia="zh-CN"/>
              </w:rPr>
              <w:t>1</w:t>
            </w:r>
          </w:p>
        </w:tc>
        <w:tc>
          <w:tcPr>
            <w:tcW w:w="605" w:type="pct"/>
            <w:noWrap w:val="0"/>
            <w:vAlign w:val="center"/>
          </w:tcPr>
          <w:p w14:paraId="7277C6D4">
            <w:pPr>
              <w:pStyle w:val="32"/>
              <w:bidi w:val="0"/>
              <w:rPr>
                <w:rFonts w:hint="eastAsia"/>
                <w:highlight w:val="none"/>
                <w:lang w:val="en-US" w:eastAsia="zh-CN"/>
              </w:rPr>
            </w:pPr>
            <w:r>
              <w:rPr>
                <w:rFonts w:hint="eastAsia"/>
                <w:highlight w:val="none"/>
                <w:lang w:val="en-US" w:eastAsia="zh-CN"/>
              </w:rPr>
              <w:t>1</w:t>
            </w:r>
          </w:p>
        </w:tc>
        <w:tc>
          <w:tcPr>
            <w:tcW w:w="672" w:type="pct"/>
            <w:noWrap w:val="0"/>
            <w:vAlign w:val="center"/>
          </w:tcPr>
          <w:p w14:paraId="695D01B7">
            <w:pPr>
              <w:pStyle w:val="32"/>
              <w:bidi w:val="0"/>
              <w:rPr>
                <w:rFonts w:hint="eastAsia"/>
                <w:highlight w:val="none"/>
                <w:lang w:val="en-US" w:eastAsia="zh-CN"/>
              </w:rPr>
            </w:pPr>
            <w:r>
              <w:rPr>
                <w:rFonts w:hint="eastAsia"/>
                <w:highlight w:val="none"/>
                <w:lang w:val="en-US" w:eastAsia="zh-CN"/>
              </w:rPr>
              <w:t>7</w:t>
            </w:r>
          </w:p>
        </w:tc>
        <w:tc>
          <w:tcPr>
            <w:tcW w:w="767" w:type="pct"/>
            <w:noWrap w:val="0"/>
            <w:vAlign w:val="center"/>
          </w:tcPr>
          <w:p w14:paraId="56EF445D">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5F1D6CB9">
            <w:pPr>
              <w:pStyle w:val="32"/>
              <w:bidi w:val="0"/>
              <w:rPr>
                <w:rFonts w:hint="eastAsia"/>
                <w:highlight w:val="none"/>
              </w:rPr>
            </w:pPr>
          </w:p>
        </w:tc>
      </w:tr>
      <w:tr w14:paraId="2A483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1433" w:type="pct"/>
            <w:noWrap w:val="0"/>
            <w:vAlign w:val="center"/>
          </w:tcPr>
          <w:p w14:paraId="697153D8">
            <w:pPr>
              <w:pStyle w:val="32"/>
              <w:bidi w:val="0"/>
              <w:rPr>
                <w:rFonts w:hint="eastAsia"/>
                <w:highlight w:val="none"/>
                <w:lang w:val="en-US" w:eastAsia="zh-CN"/>
              </w:rPr>
            </w:pPr>
            <w:r>
              <w:rPr>
                <w:rFonts w:hint="eastAsia"/>
                <w:highlight w:val="none"/>
                <w:lang w:val="en-US" w:eastAsia="zh-CN"/>
              </w:rPr>
              <w:t>63m中段</w:t>
            </w:r>
          </w:p>
        </w:tc>
        <w:tc>
          <w:tcPr>
            <w:tcW w:w="753" w:type="pct"/>
            <w:noWrap w:val="0"/>
            <w:vAlign w:val="center"/>
          </w:tcPr>
          <w:p w14:paraId="62E54FB0">
            <w:pPr>
              <w:pStyle w:val="32"/>
              <w:bidi w:val="0"/>
              <w:rPr>
                <w:rFonts w:hint="eastAsia"/>
                <w:highlight w:val="none"/>
                <w:lang w:val="en-US" w:eastAsia="zh-CN"/>
              </w:rPr>
            </w:pPr>
            <w:r>
              <w:rPr>
                <w:rFonts w:hint="eastAsia"/>
                <w:highlight w:val="none"/>
                <w:lang w:val="en-US" w:eastAsia="zh-CN"/>
              </w:rPr>
              <w:t>1</w:t>
            </w:r>
          </w:p>
        </w:tc>
        <w:tc>
          <w:tcPr>
            <w:tcW w:w="605" w:type="pct"/>
            <w:noWrap w:val="0"/>
            <w:vAlign w:val="center"/>
          </w:tcPr>
          <w:p w14:paraId="4F013C98">
            <w:pPr>
              <w:pStyle w:val="32"/>
              <w:bidi w:val="0"/>
              <w:rPr>
                <w:rFonts w:hint="eastAsia"/>
                <w:highlight w:val="none"/>
                <w:lang w:val="en-US" w:eastAsia="zh-CN"/>
              </w:rPr>
            </w:pPr>
            <w:r>
              <w:rPr>
                <w:rFonts w:hint="eastAsia"/>
                <w:highlight w:val="none"/>
                <w:lang w:val="en-US" w:eastAsia="zh-CN"/>
              </w:rPr>
              <w:t>1</w:t>
            </w:r>
          </w:p>
        </w:tc>
        <w:tc>
          <w:tcPr>
            <w:tcW w:w="672" w:type="pct"/>
            <w:noWrap w:val="0"/>
            <w:vAlign w:val="center"/>
          </w:tcPr>
          <w:p w14:paraId="617577C5">
            <w:pPr>
              <w:pStyle w:val="32"/>
              <w:bidi w:val="0"/>
              <w:rPr>
                <w:rFonts w:hint="eastAsia"/>
                <w:highlight w:val="none"/>
                <w:lang w:val="en-US" w:eastAsia="zh-CN"/>
              </w:rPr>
            </w:pPr>
            <w:r>
              <w:rPr>
                <w:rFonts w:hint="eastAsia"/>
                <w:highlight w:val="none"/>
                <w:lang w:val="en-US" w:eastAsia="zh-CN"/>
              </w:rPr>
              <w:t>7</w:t>
            </w:r>
          </w:p>
        </w:tc>
        <w:tc>
          <w:tcPr>
            <w:tcW w:w="767" w:type="pct"/>
            <w:noWrap w:val="0"/>
            <w:vAlign w:val="center"/>
          </w:tcPr>
          <w:p w14:paraId="0ED584ED">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293E96C0">
            <w:pPr>
              <w:pStyle w:val="32"/>
              <w:bidi w:val="0"/>
              <w:rPr>
                <w:rFonts w:hint="eastAsia"/>
                <w:highlight w:val="none"/>
              </w:rPr>
            </w:pPr>
          </w:p>
        </w:tc>
      </w:tr>
      <w:tr w14:paraId="3489A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7717DBC2">
            <w:pPr>
              <w:pStyle w:val="32"/>
              <w:bidi w:val="0"/>
              <w:rPr>
                <w:rFonts w:hint="eastAsia"/>
                <w:highlight w:val="none"/>
                <w:lang w:val="en-US" w:eastAsia="zh-CN"/>
              </w:rPr>
            </w:pPr>
            <w:r>
              <w:rPr>
                <w:rFonts w:hint="eastAsia"/>
                <w:highlight w:val="none"/>
                <w:lang w:val="en-US" w:eastAsia="zh-CN"/>
              </w:rPr>
              <w:t>18m中段</w:t>
            </w:r>
          </w:p>
        </w:tc>
        <w:tc>
          <w:tcPr>
            <w:tcW w:w="753" w:type="pct"/>
            <w:noWrap w:val="0"/>
            <w:vAlign w:val="center"/>
          </w:tcPr>
          <w:p w14:paraId="669C328E">
            <w:pPr>
              <w:pStyle w:val="32"/>
              <w:bidi w:val="0"/>
              <w:rPr>
                <w:rFonts w:hint="eastAsia"/>
                <w:highlight w:val="none"/>
                <w:lang w:val="en-US" w:eastAsia="zh-CN"/>
              </w:rPr>
            </w:pPr>
            <w:r>
              <w:rPr>
                <w:rFonts w:hint="eastAsia"/>
                <w:highlight w:val="none"/>
                <w:lang w:val="en-US" w:eastAsia="zh-CN"/>
              </w:rPr>
              <w:t>1</w:t>
            </w:r>
          </w:p>
        </w:tc>
        <w:tc>
          <w:tcPr>
            <w:tcW w:w="605" w:type="pct"/>
            <w:noWrap w:val="0"/>
            <w:vAlign w:val="center"/>
          </w:tcPr>
          <w:p w14:paraId="60FAE690">
            <w:pPr>
              <w:pStyle w:val="32"/>
              <w:bidi w:val="0"/>
              <w:rPr>
                <w:rFonts w:hint="eastAsia"/>
                <w:highlight w:val="none"/>
                <w:lang w:val="en-US" w:eastAsia="zh-CN"/>
              </w:rPr>
            </w:pPr>
            <w:r>
              <w:rPr>
                <w:rFonts w:hint="eastAsia"/>
                <w:highlight w:val="none"/>
                <w:lang w:val="en-US" w:eastAsia="zh-CN"/>
              </w:rPr>
              <w:t>1</w:t>
            </w:r>
          </w:p>
        </w:tc>
        <w:tc>
          <w:tcPr>
            <w:tcW w:w="672" w:type="pct"/>
            <w:noWrap w:val="0"/>
            <w:vAlign w:val="center"/>
          </w:tcPr>
          <w:p w14:paraId="2A4AE823">
            <w:pPr>
              <w:pStyle w:val="32"/>
              <w:bidi w:val="0"/>
              <w:rPr>
                <w:rFonts w:hint="eastAsia"/>
                <w:highlight w:val="none"/>
                <w:lang w:val="en-US" w:eastAsia="zh-CN"/>
              </w:rPr>
            </w:pPr>
            <w:r>
              <w:rPr>
                <w:rFonts w:hint="eastAsia"/>
                <w:highlight w:val="none"/>
                <w:lang w:val="en-US" w:eastAsia="zh-CN"/>
              </w:rPr>
              <w:t>7</w:t>
            </w:r>
          </w:p>
        </w:tc>
        <w:tc>
          <w:tcPr>
            <w:tcW w:w="767" w:type="pct"/>
            <w:noWrap w:val="0"/>
            <w:vAlign w:val="center"/>
          </w:tcPr>
          <w:p w14:paraId="02A56849">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6A6190E0">
            <w:pPr>
              <w:pStyle w:val="32"/>
              <w:bidi w:val="0"/>
              <w:rPr>
                <w:rFonts w:hint="eastAsia"/>
                <w:highlight w:val="none"/>
              </w:rPr>
            </w:pPr>
          </w:p>
        </w:tc>
      </w:tr>
      <w:tr w14:paraId="52C92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1018F50F">
            <w:pPr>
              <w:pStyle w:val="32"/>
              <w:bidi w:val="0"/>
              <w:rPr>
                <w:rFonts w:hint="eastAsia"/>
                <w:highlight w:val="none"/>
                <w:lang w:val="en-US"/>
              </w:rPr>
            </w:pPr>
            <w:r>
              <w:rPr>
                <w:rFonts w:hint="eastAsia"/>
                <w:highlight w:val="none"/>
                <w:lang w:val="en-US" w:eastAsia="zh-CN"/>
              </w:rPr>
              <w:t>-27m中段</w:t>
            </w:r>
          </w:p>
        </w:tc>
        <w:tc>
          <w:tcPr>
            <w:tcW w:w="753" w:type="pct"/>
            <w:noWrap w:val="0"/>
            <w:vAlign w:val="center"/>
          </w:tcPr>
          <w:p w14:paraId="392B599A">
            <w:pPr>
              <w:pStyle w:val="32"/>
              <w:bidi w:val="0"/>
              <w:rPr>
                <w:rFonts w:hint="eastAsia"/>
                <w:highlight w:val="none"/>
                <w:lang w:eastAsia="zh-CN"/>
              </w:rPr>
            </w:pPr>
            <w:r>
              <w:rPr>
                <w:rFonts w:hint="eastAsia"/>
                <w:highlight w:val="none"/>
                <w:lang w:val="en-US" w:eastAsia="zh-CN"/>
              </w:rPr>
              <w:t>1</w:t>
            </w:r>
          </w:p>
        </w:tc>
        <w:tc>
          <w:tcPr>
            <w:tcW w:w="605" w:type="pct"/>
            <w:noWrap w:val="0"/>
            <w:vAlign w:val="center"/>
          </w:tcPr>
          <w:p w14:paraId="7BC0C607">
            <w:pPr>
              <w:pStyle w:val="32"/>
              <w:bidi w:val="0"/>
              <w:rPr>
                <w:rFonts w:hint="eastAsia"/>
                <w:highlight w:val="none"/>
                <w:lang w:val="en-US" w:eastAsia="zh-CN"/>
              </w:rPr>
            </w:pPr>
            <w:r>
              <w:rPr>
                <w:rFonts w:hint="eastAsia"/>
                <w:highlight w:val="none"/>
                <w:lang w:val="en-US" w:eastAsia="zh-CN"/>
              </w:rPr>
              <w:t>1</w:t>
            </w:r>
          </w:p>
        </w:tc>
        <w:tc>
          <w:tcPr>
            <w:tcW w:w="672" w:type="pct"/>
            <w:noWrap w:val="0"/>
            <w:vAlign w:val="center"/>
          </w:tcPr>
          <w:p w14:paraId="5E207BD9">
            <w:pPr>
              <w:pStyle w:val="32"/>
              <w:bidi w:val="0"/>
              <w:rPr>
                <w:rFonts w:hint="eastAsia"/>
                <w:highlight w:val="none"/>
                <w:lang w:val="en-US" w:eastAsia="zh-CN"/>
              </w:rPr>
            </w:pPr>
            <w:r>
              <w:rPr>
                <w:rFonts w:hint="eastAsia"/>
                <w:highlight w:val="none"/>
                <w:lang w:val="en-US" w:eastAsia="zh-CN"/>
              </w:rPr>
              <w:t>7</w:t>
            </w:r>
          </w:p>
        </w:tc>
        <w:tc>
          <w:tcPr>
            <w:tcW w:w="767" w:type="pct"/>
            <w:noWrap w:val="0"/>
            <w:vAlign w:val="center"/>
          </w:tcPr>
          <w:p w14:paraId="329CA723">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0DE450EE">
            <w:pPr>
              <w:pStyle w:val="32"/>
              <w:bidi w:val="0"/>
              <w:rPr>
                <w:rFonts w:hint="eastAsia"/>
                <w:highlight w:val="none"/>
              </w:rPr>
            </w:pPr>
          </w:p>
        </w:tc>
      </w:tr>
      <w:tr w14:paraId="6D710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33" w:type="pct"/>
            <w:noWrap w:val="0"/>
            <w:vAlign w:val="center"/>
          </w:tcPr>
          <w:p w14:paraId="286DB85C">
            <w:pPr>
              <w:pStyle w:val="32"/>
              <w:bidi w:val="0"/>
              <w:rPr>
                <w:rFonts w:hint="eastAsia"/>
                <w:highlight w:val="none"/>
                <w:lang w:val="en-US" w:eastAsia="zh-CN"/>
              </w:rPr>
            </w:pPr>
            <w:r>
              <w:rPr>
                <w:rFonts w:hint="eastAsia"/>
                <w:highlight w:val="none"/>
                <w:lang w:val="en-US" w:eastAsia="zh-CN"/>
              </w:rPr>
              <w:t>-67m中段</w:t>
            </w:r>
          </w:p>
        </w:tc>
        <w:tc>
          <w:tcPr>
            <w:tcW w:w="753" w:type="pct"/>
            <w:shd w:val="clear" w:color="auto" w:fill="auto"/>
            <w:noWrap w:val="0"/>
            <w:vAlign w:val="center"/>
          </w:tcPr>
          <w:p w14:paraId="511F61F0">
            <w:pPr>
              <w:pStyle w:val="32"/>
              <w:bidi w:val="0"/>
              <w:rPr>
                <w:rFonts w:hint="eastAsia"/>
                <w:highlight w:val="none"/>
                <w:lang w:val="en-US" w:eastAsia="zh-CN"/>
              </w:rPr>
            </w:pPr>
            <w:r>
              <w:rPr>
                <w:rFonts w:hint="eastAsia"/>
                <w:highlight w:val="none"/>
                <w:lang w:val="en-US" w:eastAsia="zh-CN"/>
              </w:rPr>
              <w:t>1</w:t>
            </w:r>
          </w:p>
        </w:tc>
        <w:tc>
          <w:tcPr>
            <w:tcW w:w="605" w:type="pct"/>
            <w:shd w:val="clear" w:color="auto" w:fill="auto"/>
            <w:noWrap w:val="0"/>
            <w:vAlign w:val="center"/>
          </w:tcPr>
          <w:p w14:paraId="1F51C0B1">
            <w:pPr>
              <w:pStyle w:val="32"/>
              <w:bidi w:val="0"/>
              <w:rPr>
                <w:rFonts w:hint="eastAsia"/>
                <w:highlight w:val="none"/>
                <w:lang w:val="en-US" w:eastAsia="zh-CN"/>
              </w:rPr>
            </w:pPr>
            <w:r>
              <w:rPr>
                <w:rFonts w:hint="eastAsia"/>
                <w:highlight w:val="none"/>
                <w:lang w:val="en-US" w:eastAsia="zh-CN"/>
              </w:rPr>
              <w:t>0</w:t>
            </w:r>
          </w:p>
        </w:tc>
        <w:tc>
          <w:tcPr>
            <w:tcW w:w="672" w:type="pct"/>
            <w:shd w:val="clear" w:color="auto" w:fill="auto"/>
            <w:noWrap w:val="0"/>
            <w:vAlign w:val="center"/>
          </w:tcPr>
          <w:p w14:paraId="41AE9E7F">
            <w:pPr>
              <w:pStyle w:val="32"/>
              <w:bidi w:val="0"/>
              <w:rPr>
                <w:rFonts w:hint="eastAsia"/>
                <w:highlight w:val="none"/>
                <w:lang w:val="en-US" w:eastAsia="zh-CN"/>
              </w:rPr>
            </w:pPr>
            <w:r>
              <w:rPr>
                <w:rFonts w:hint="eastAsia"/>
                <w:highlight w:val="none"/>
                <w:lang w:val="en-US" w:eastAsia="zh-CN"/>
              </w:rPr>
              <w:t>1</w:t>
            </w:r>
          </w:p>
        </w:tc>
        <w:tc>
          <w:tcPr>
            <w:tcW w:w="767" w:type="pct"/>
            <w:shd w:val="clear" w:color="auto" w:fill="auto"/>
            <w:noWrap w:val="0"/>
            <w:vAlign w:val="center"/>
          </w:tcPr>
          <w:p w14:paraId="3647B2F8">
            <w:pPr>
              <w:pStyle w:val="32"/>
              <w:bidi w:val="0"/>
              <w:rPr>
                <w:rFonts w:hint="eastAsia"/>
                <w:highlight w:val="none"/>
                <w:lang w:val="en-US" w:eastAsia="zh-CN"/>
              </w:rPr>
            </w:pPr>
            <w:r>
              <w:rPr>
                <w:rFonts w:hint="eastAsia"/>
                <w:highlight w:val="none"/>
                <w:lang w:val="en-US" w:eastAsia="zh-CN"/>
              </w:rPr>
              <w:t>0</w:t>
            </w:r>
          </w:p>
        </w:tc>
        <w:tc>
          <w:tcPr>
            <w:tcW w:w="767" w:type="pct"/>
            <w:vMerge w:val="continue"/>
            <w:noWrap w:val="0"/>
            <w:vAlign w:val="center"/>
          </w:tcPr>
          <w:p w14:paraId="7DE8197A">
            <w:pPr>
              <w:pStyle w:val="32"/>
              <w:bidi w:val="0"/>
              <w:rPr>
                <w:rFonts w:hint="eastAsia"/>
                <w:highlight w:val="none"/>
              </w:rPr>
            </w:pPr>
          </w:p>
        </w:tc>
      </w:tr>
    </w:tbl>
    <w:p w14:paraId="100ACF35">
      <w:pPr>
        <w:pStyle w:val="22"/>
        <w:bidi w:val="0"/>
        <w:rPr>
          <w:rFonts w:hint="eastAsia"/>
          <w:highlight w:val="none"/>
        </w:rPr>
      </w:pPr>
      <w:r>
        <w:rPr>
          <w:rFonts w:hint="eastAsia"/>
          <w:highlight w:val="none"/>
        </w:rPr>
        <w:t>监控系统主要设备清单如</w:t>
      </w:r>
      <w:r>
        <w:rPr>
          <w:rFonts w:hint="eastAsia"/>
          <w:highlight w:val="none"/>
          <w:lang w:val="en-US" w:eastAsia="zh-CN"/>
        </w:rPr>
        <w:t>表2.4-3</w:t>
      </w:r>
      <w:r>
        <w:rPr>
          <w:rFonts w:hint="eastAsia"/>
          <w:highlight w:val="none"/>
        </w:rPr>
        <w:t>所示。</w:t>
      </w:r>
    </w:p>
    <w:p w14:paraId="3CAB06B0">
      <w:pPr>
        <w:pStyle w:val="31"/>
        <w:bidi w:val="0"/>
        <w:rPr>
          <w:rFonts w:hint="eastAsia"/>
          <w:highlight w:val="none"/>
          <w:lang w:val="en-US" w:eastAsia="zh-CN"/>
        </w:rPr>
      </w:pPr>
      <w:r>
        <w:rPr>
          <w:rFonts w:hint="eastAsia"/>
          <w:highlight w:val="none"/>
          <w:lang w:val="en-US" w:eastAsia="zh-CN"/>
        </w:rPr>
        <w:t xml:space="preserve">表2.4-3  </w:t>
      </w:r>
      <w:r>
        <w:rPr>
          <w:rFonts w:hint="eastAsia"/>
          <w:highlight w:val="none"/>
        </w:rPr>
        <w:t>监测监控设备清单表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
        <w:gridCol w:w="2809"/>
        <w:gridCol w:w="1799"/>
        <w:gridCol w:w="1551"/>
        <w:gridCol w:w="2198"/>
      </w:tblGrid>
      <w:tr w14:paraId="791F0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553" w:type="pct"/>
            <w:noWrap w:val="0"/>
            <w:vAlign w:val="center"/>
          </w:tcPr>
          <w:p w14:paraId="5F2C5DBB">
            <w:pPr>
              <w:pStyle w:val="32"/>
              <w:bidi w:val="0"/>
              <w:rPr>
                <w:rFonts w:hint="eastAsia"/>
                <w:highlight w:val="none"/>
              </w:rPr>
            </w:pPr>
            <w:r>
              <w:rPr>
                <w:rFonts w:hint="eastAsia"/>
                <w:highlight w:val="none"/>
              </w:rPr>
              <w:t>序号</w:t>
            </w:r>
          </w:p>
        </w:tc>
        <w:tc>
          <w:tcPr>
            <w:tcW w:w="1494" w:type="pct"/>
            <w:noWrap w:val="0"/>
            <w:vAlign w:val="center"/>
          </w:tcPr>
          <w:p w14:paraId="3DBF26B1">
            <w:pPr>
              <w:pStyle w:val="32"/>
              <w:bidi w:val="0"/>
              <w:rPr>
                <w:rFonts w:hint="eastAsia"/>
                <w:highlight w:val="none"/>
              </w:rPr>
            </w:pPr>
            <w:r>
              <w:rPr>
                <w:rFonts w:hint="eastAsia"/>
                <w:highlight w:val="none"/>
              </w:rPr>
              <w:t>设备名称</w:t>
            </w:r>
          </w:p>
        </w:tc>
        <w:tc>
          <w:tcPr>
            <w:tcW w:w="957" w:type="pct"/>
            <w:noWrap w:val="0"/>
            <w:vAlign w:val="center"/>
          </w:tcPr>
          <w:p w14:paraId="3BACACFB">
            <w:pPr>
              <w:pStyle w:val="32"/>
              <w:bidi w:val="0"/>
              <w:rPr>
                <w:rFonts w:hint="eastAsia"/>
                <w:highlight w:val="none"/>
              </w:rPr>
            </w:pPr>
            <w:r>
              <w:rPr>
                <w:rFonts w:hint="eastAsia"/>
                <w:highlight w:val="none"/>
              </w:rPr>
              <w:t>单位</w:t>
            </w:r>
          </w:p>
        </w:tc>
        <w:tc>
          <w:tcPr>
            <w:tcW w:w="825" w:type="pct"/>
            <w:noWrap w:val="0"/>
            <w:vAlign w:val="center"/>
          </w:tcPr>
          <w:p w14:paraId="173EB200">
            <w:pPr>
              <w:pStyle w:val="32"/>
              <w:bidi w:val="0"/>
              <w:rPr>
                <w:rFonts w:hint="eastAsia"/>
                <w:highlight w:val="none"/>
              </w:rPr>
            </w:pPr>
            <w:r>
              <w:rPr>
                <w:rFonts w:hint="eastAsia"/>
                <w:highlight w:val="none"/>
              </w:rPr>
              <w:t>数量</w:t>
            </w:r>
          </w:p>
        </w:tc>
        <w:tc>
          <w:tcPr>
            <w:tcW w:w="1169" w:type="pct"/>
            <w:noWrap w:val="0"/>
            <w:vAlign w:val="center"/>
          </w:tcPr>
          <w:p w14:paraId="2822C8D7">
            <w:pPr>
              <w:pStyle w:val="32"/>
              <w:bidi w:val="0"/>
              <w:rPr>
                <w:rFonts w:hint="eastAsia"/>
                <w:highlight w:val="none"/>
              </w:rPr>
            </w:pPr>
            <w:r>
              <w:rPr>
                <w:rFonts w:hint="eastAsia"/>
                <w:highlight w:val="none"/>
              </w:rPr>
              <w:t>备注</w:t>
            </w:r>
          </w:p>
        </w:tc>
      </w:tr>
      <w:tr w14:paraId="6C350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4027F24">
            <w:pPr>
              <w:pStyle w:val="32"/>
              <w:bidi w:val="0"/>
              <w:rPr>
                <w:rFonts w:hint="eastAsia"/>
                <w:highlight w:val="none"/>
              </w:rPr>
            </w:pPr>
            <w:r>
              <w:rPr>
                <w:rFonts w:hint="eastAsia"/>
                <w:highlight w:val="none"/>
              </w:rPr>
              <w:t>1</w:t>
            </w:r>
          </w:p>
        </w:tc>
        <w:tc>
          <w:tcPr>
            <w:tcW w:w="1494" w:type="pct"/>
            <w:noWrap w:val="0"/>
            <w:vAlign w:val="center"/>
          </w:tcPr>
          <w:p w14:paraId="19E41486">
            <w:pPr>
              <w:pStyle w:val="32"/>
              <w:bidi w:val="0"/>
              <w:rPr>
                <w:rFonts w:hint="eastAsia"/>
                <w:highlight w:val="none"/>
              </w:rPr>
            </w:pPr>
            <w:r>
              <w:rPr>
                <w:rFonts w:hint="eastAsia"/>
                <w:highlight w:val="none"/>
              </w:rPr>
              <w:t>风速监测</w:t>
            </w:r>
          </w:p>
        </w:tc>
        <w:tc>
          <w:tcPr>
            <w:tcW w:w="957" w:type="pct"/>
            <w:noWrap w:val="0"/>
            <w:vAlign w:val="center"/>
          </w:tcPr>
          <w:p w14:paraId="6A86D246">
            <w:pPr>
              <w:pStyle w:val="32"/>
              <w:bidi w:val="0"/>
              <w:rPr>
                <w:rFonts w:hint="eastAsia"/>
                <w:highlight w:val="none"/>
              </w:rPr>
            </w:pPr>
            <w:r>
              <w:rPr>
                <w:rFonts w:hint="eastAsia"/>
                <w:highlight w:val="none"/>
              </w:rPr>
              <w:t>台</w:t>
            </w:r>
          </w:p>
        </w:tc>
        <w:tc>
          <w:tcPr>
            <w:tcW w:w="825" w:type="pct"/>
            <w:noWrap w:val="0"/>
            <w:vAlign w:val="center"/>
          </w:tcPr>
          <w:p w14:paraId="0F07EBCF">
            <w:pPr>
              <w:pStyle w:val="32"/>
              <w:bidi w:val="0"/>
              <w:rPr>
                <w:rFonts w:hint="eastAsia"/>
                <w:highlight w:val="none"/>
                <w:lang w:val="en-US" w:eastAsia="zh-CN"/>
              </w:rPr>
            </w:pPr>
            <w:r>
              <w:rPr>
                <w:rFonts w:hint="eastAsia"/>
                <w:highlight w:val="none"/>
                <w:lang w:val="en-US" w:eastAsia="zh-CN"/>
              </w:rPr>
              <w:t>1</w:t>
            </w:r>
          </w:p>
        </w:tc>
        <w:tc>
          <w:tcPr>
            <w:tcW w:w="1169" w:type="pct"/>
            <w:noWrap w:val="0"/>
            <w:vAlign w:val="center"/>
          </w:tcPr>
          <w:p w14:paraId="1BA12B27">
            <w:pPr>
              <w:pStyle w:val="32"/>
              <w:bidi w:val="0"/>
              <w:rPr>
                <w:rFonts w:hint="eastAsia"/>
                <w:highlight w:val="none"/>
                <w:lang w:val="en-US" w:eastAsia="zh-CN"/>
              </w:rPr>
            </w:pPr>
            <w:r>
              <w:rPr>
                <w:rFonts w:hint="eastAsia"/>
                <w:highlight w:val="none"/>
                <w:lang w:val="en-US" w:eastAsia="zh-CN"/>
              </w:rPr>
              <w:t>可重复利用</w:t>
            </w:r>
          </w:p>
        </w:tc>
      </w:tr>
      <w:tr w14:paraId="438B0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20DDE6F">
            <w:pPr>
              <w:pStyle w:val="32"/>
              <w:bidi w:val="0"/>
              <w:rPr>
                <w:rFonts w:hint="eastAsia"/>
                <w:highlight w:val="none"/>
              </w:rPr>
            </w:pPr>
            <w:r>
              <w:rPr>
                <w:rFonts w:hint="eastAsia"/>
                <w:highlight w:val="none"/>
              </w:rPr>
              <w:t>2</w:t>
            </w:r>
          </w:p>
        </w:tc>
        <w:tc>
          <w:tcPr>
            <w:tcW w:w="1494" w:type="pct"/>
            <w:noWrap w:val="0"/>
            <w:vAlign w:val="center"/>
          </w:tcPr>
          <w:p w14:paraId="6ED1F30D">
            <w:pPr>
              <w:pStyle w:val="32"/>
              <w:bidi w:val="0"/>
              <w:rPr>
                <w:rFonts w:hint="eastAsia"/>
                <w:highlight w:val="none"/>
              </w:rPr>
            </w:pPr>
            <w:r>
              <w:rPr>
                <w:rFonts w:hint="eastAsia"/>
                <w:highlight w:val="none"/>
              </w:rPr>
              <w:t>一氧化碳监测</w:t>
            </w:r>
          </w:p>
        </w:tc>
        <w:tc>
          <w:tcPr>
            <w:tcW w:w="957" w:type="pct"/>
            <w:noWrap w:val="0"/>
            <w:vAlign w:val="center"/>
          </w:tcPr>
          <w:p w14:paraId="20463039">
            <w:pPr>
              <w:pStyle w:val="32"/>
              <w:bidi w:val="0"/>
              <w:rPr>
                <w:rFonts w:hint="eastAsia"/>
                <w:highlight w:val="none"/>
              </w:rPr>
            </w:pPr>
            <w:r>
              <w:rPr>
                <w:rFonts w:hint="eastAsia"/>
                <w:highlight w:val="none"/>
              </w:rPr>
              <w:t>台</w:t>
            </w:r>
          </w:p>
        </w:tc>
        <w:tc>
          <w:tcPr>
            <w:tcW w:w="825" w:type="pct"/>
            <w:noWrap w:val="0"/>
            <w:vAlign w:val="center"/>
          </w:tcPr>
          <w:p w14:paraId="4A1F1365">
            <w:pPr>
              <w:pStyle w:val="32"/>
              <w:bidi w:val="0"/>
              <w:rPr>
                <w:rFonts w:hint="eastAsia"/>
                <w:highlight w:val="none"/>
                <w:lang w:eastAsia="zh-CN"/>
              </w:rPr>
            </w:pPr>
            <w:r>
              <w:rPr>
                <w:rFonts w:hint="eastAsia"/>
                <w:highlight w:val="none"/>
                <w:lang w:val="en-US" w:eastAsia="zh-CN"/>
              </w:rPr>
              <w:t>2</w:t>
            </w:r>
          </w:p>
        </w:tc>
        <w:tc>
          <w:tcPr>
            <w:tcW w:w="1169" w:type="pct"/>
            <w:noWrap w:val="0"/>
            <w:vAlign w:val="center"/>
          </w:tcPr>
          <w:p w14:paraId="6ACD4BF5">
            <w:pPr>
              <w:pStyle w:val="32"/>
              <w:bidi w:val="0"/>
              <w:rPr>
                <w:rFonts w:hint="eastAsia"/>
                <w:highlight w:val="none"/>
                <w:lang w:val="en-US" w:eastAsia="zh-CN"/>
              </w:rPr>
            </w:pPr>
            <w:r>
              <w:rPr>
                <w:rFonts w:hint="eastAsia"/>
                <w:highlight w:val="none"/>
                <w:lang w:val="en-US" w:eastAsia="zh-CN"/>
              </w:rPr>
              <w:t>可重复利用</w:t>
            </w:r>
          </w:p>
        </w:tc>
      </w:tr>
      <w:tr w14:paraId="010A0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2B1A9900">
            <w:pPr>
              <w:pStyle w:val="32"/>
              <w:bidi w:val="0"/>
              <w:rPr>
                <w:rFonts w:hint="eastAsia"/>
                <w:highlight w:val="none"/>
                <w:lang w:val="en-US" w:eastAsia="zh-CN"/>
              </w:rPr>
            </w:pPr>
            <w:r>
              <w:rPr>
                <w:rFonts w:hint="eastAsia"/>
                <w:highlight w:val="none"/>
              </w:rPr>
              <w:t>3</w:t>
            </w:r>
          </w:p>
        </w:tc>
        <w:tc>
          <w:tcPr>
            <w:tcW w:w="1494" w:type="pct"/>
            <w:noWrap w:val="0"/>
            <w:vAlign w:val="center"/>
          </w:tcPr>
          <w:p w14:paraId="24DC3BBF">
            <w:pPr>
              <w:pStyle w:val="32"/>
              <w:bidi w:val="0"/>
              <w:rPr>
                <w:rFonts w:hint="eastAsia"/>
                <w:highlight w:val="none"/>
                <w:lang w:val="en-US" w:eastAsia="zh-CN"/>
              </w:rPr>
            </w:pPr>
            <w:r>
              <w:rPr>
                <w:rFonts w:hint="eastAsia"/>
                <w:highlight w:val="none"/>
                <w:lang w:val="en-US" w:eastAsia="zh-CN"/>
              </w:rPr>
              <w:t>二氧化氮</w:t>
            </w:r>
            <w:r>
              <w:rPr>
                <w:rFonts w:hint="eastAsia"/>
                <w:highlight w:val="none"/>
              </w:rPr>
              <w:t>监测</w:t>
            </w:r>
          </w:p>
        </w:tc>
        <w:tc>
          <w:tcPr>
            <w:tcW w:w="957" w:type="pct"/>
            <w:noWrap w:val="0"/>
            <w:vAlign w:val="center"/>
          </w:tcPr>
          <w:p w14:paraId="20504441">
            <w:pPr>
              <w:pStyle w:val="32"/>
              <w:bidi w:val="0"/>
              <w:rPr>
                <w:rFonts w:hint="eastAsia"/>
                <w:highlight w:val="none"/>
                <w:lang w:val="en-US" w:eastAsia="zh-CN"/>
              </w:rPr>
            </w:pPr>
            <w:r>
              <w:rPr>
                <w:rFonts w:hint="eastAsia"/>
                <w:highlight w:val="none"/>
              </w:rPr>
              <w:t>台</w:t>
            </w:r>
          </w:p>
        </w:tc>
        <w:tc>
          <w:tcPr>
            <w:tcW w:w="825" w:type="pct"/>
            <w:noWrap w:val="0"/>
            <w:vAlign w:val="center"/>
          </w:tcPr>
          <w:p w14:paraId="7E201CAF">
            <w:pPr>
              <w:pStyle w:val="32"/>
              <w:bidi w:val="0"/>
              <w:rPr>
                <w:rFonts w:hint="eastAsia"/>
                <w:highlight w:val="none"/>
                <w:lang w:val="en-US" w:eastAsia="zh-CN"/>
              </w:rPr>
            </w:pPr>
            <w:r>
              <w:rPr>
                <w:rFonts w:hint="eastAsia"/>
                <w:highlight w:val="none"/>
                <w:lang w:val="en-US" w:eastAsia="zh-CN"/>
              </w:rPr>
              <w:t>2</w:t>
            </w:r>
          </w:p>
        </w:tc>
        <w:tc>
          <w:tcPr>
            <w:tcW w:w="1169" w:type="pct"/>
            <w:noWrap w:val="0"/>
            <w:vAlign w:val="center"/>
          </w:tcPr>
          <w:p w14:paraId="4209BAC2">
            <w:pPr>
              <w:pStyle w:val="32"/>
              <w:bidi w:val="0"/>
              <w:rPr>
                <w:rFonts w:hint="eastAsia"/>
                <w:highlight w:val="none"/>
                <w:lang w:val="en-US" w:eastAsia="zh-CN"/>
              </w:rPr>
            </w:pPr>
            <w:r>
              <w:rPr>
                <w:rFonts w:hint="eastAsia"/>
                <w:highlight w:val="none"/>
                <w:lang w:val="en-US" w:eastAsia="zh-CN"/>
              </w:rPr>
              <w:t>可重复利用</w:t>
            </w:r>
          </w:p>
        </w:tc>
      </w:tr>
      <w:tr w14:paraId="1B23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7E5C13E8">
            <w:pPr>
              <w:pStyle w:val="32"/>
              <w:bidi w:val="0"/>
              <w:rPr>
                <w:rFonts w:hint="eastAsia"/>
                <w:highlight w:val="none"/>
              </w:rPr>
            </w:pPr>
            <w:r>
              <w:rPr>
                <w:rFonts w:hint="eastAsia"/>
                <w:highlight w:val="none"/>
              </w:rPr>
              <w:t>4</w:t>
            </w:r>
          </w:p>
        </w:tc>
        <w:tc>
          <w:tcPr>
            <w:tcW w:w="1494" w:type="pct"/>
            <w:noWrap w:val="0"/>
            <w:vAlign w:val="center"/>
          </w:tcPr>
          <w:p w14:paraId="715B8EE7">
            <w:pPr>
              <w:pStyle w:val="32"/>
              <w:bidi w:val="0"/>
              <w:rPr>
                <w:rFonts w:hint="eastAsia"/>
                <w:highlight w:val="none"/>
              </w:rPr>
            </w:pPr>
            <w:r>
              <w:rPr>
                <w:rFonts w:hint="eastAsia"/>
                <w:highlight w:val="none"/>
              </w:rPr>
              <w:t>开停传感器</w:t>
            </w:r>
          </w:p>
        </w:tc>
        <w:tc>
          <w:tcPr>
            <w:tcW w:w="957" w:type="pct"/>
            <w:noWrap w:val="0"/>
            <w:vAlign w:val="center"/>
          </w:tcPr>
          <w:p w14:paraId="44F75CDA">
            <w:pPr>
              <w:pStyle w:val="32"/>
              <w:bidi w:val="0"/>
              <w:rPr>
                <w:rFonts w:hint="eastAsia"/>
                <w:highlight w:val="none"/>
              </w:rPr>
            </w:pPr>
            <w:r>
              <w:rPr>
                <w:rFonts w:hint="eastAsia"/>
                <w:highlight w:val="none"/>
              </w:rPr>
              <w:t>台</w:t>
            </w:r>
          </w:p>
        </w:tc>
        <w:tc>
          <w:tcPr>
            <w:tcW w:w="825" w:type="pct"/>
            <w:noWrap w:val="0"/>
            <w:vAlign w:val="center"/>
          </w:tcPr>
          <w:p w14:paraId="064D2FCC">
            <w:pPr>
              <w:pStyle w:val="32"/>
              <w:bidi w:val="0"/>
              <w:rPr>
                <w:rFonts w:hint="eastAsia"/>
                <w:highlight w:val="none"/>
                <w:lang w:val="en-US" w:eastAsia="zh-CN"/>
              </w:rPr>
            </w:pPr>
            <w:r>
              <w:rPr>
                <w:rFonts w:hint="eastAsia"/>
                <w:highlight w:val="none"/>
                <w:lang w:val="en-US" w:eastAsia="zh-CN"/>
              </w:rPr>
              <w:t>7</w:t>
            </w:r>
          </w:p>
        </w:tc>
        <w:tc>
          <w:tcPr>
            <w:tcW w:w="1169" w:type="pct"/>
            <w:noWrap w:val="0"/>
            <w:vAlign w:val="center"/>
          </w:tcPr>
          <w:p w14:paraId="0361AB5F">
            <w:pPr>
              <w:pStyle w:val="32"/>
              <w:bidi w:val="0"/>
              <w:rPr>
                <w:rFonts w:hint="eastAsia"/>
                <w:highlight w:val="none"/>
                <w:lang w:val="en-US" w:eastAsia="zh-CN"/>
              </w:rPr>
            </w:pPr>
            <w:r>
              <w:rPr>
                <w:rFonts w:hint="eastAsia"/>
                <w:highlight w:val="none"/>
                <w:lang w:val="en-US" w:eastAsia="zh-CN"/>
              </w:rPr>
              <w:t>可重复利用</w:t>
            </w:r>
          </w:p>
        </w:tc>
      </w:tr>
      <w:tr w14:paraId="7C271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7AF5C049">
            <w:pPr>
              <w:pStyle w:val="32"/>
              <w:bidi w:val="0"/>
              <w:rPr>
                <w:rFonts w:hint="eastAsia"/>
                <w:highlight w:val="none"/>
              </w:rPr>
            </w:pPr>
            <w:r>
              <w:rPr>
                <w:rFonts w:hint="eastAsia"/>
                <w:highlight w:val="none"/>
              </w:rPr>
              <w:t>5</w:t>
            </w:r>
          </w:p>
        </w:tc>
        <w:tc>
          <w:tcPr>
            <w:tcW w:w="1494" w:type="pct"/>
            <w:noWrap w:val="0"/>
            <w:vAlign w:val="center"/>
          </w:tcPr>
          <w:p w14:paraId="3176980B">
            <w:pPr>
              <w:pStyle w:val="32"/>
              <w:bidi w:val="0"/>
              <w:rPr>
                <w:rFonts w:hint="eastAsia"/>
                <w:highlight w:val="none"/>
              </w:rPr>
            </w:pPr>
            <w:r>
              <w:rPr>
                <w:rFonts w:hint="eastAsia"/>
                <w:highlight w:val="none"/>
              </w:rPr>
              <w:t>风压传感器</w:t>
            </w:r>
          </w:p>
        </w:tc>
        <w:tc>
          <w:tcPr>
            <w:tcW w:w="957" w:type="pct"/>
            <w:noWrap w:val="0"/>
            <w:vAlign w:val="center"/>
          </w:tcPr>
          <w:p w14:paraId="149BF290">
            <w:pPr>
              <w:pStyle w:val="32"/>
              <w:bidi w:val="0"/>
              <w:rPr>
                <w:rFonts w:hint="eastAsia"/>
                <w:highlight w:val="none"/>
              </w:rPr>
            </w:pPr>
            <w:r>
              <w:rPr>
                <w:rFonts w:hint="eastAsia"/>
                <w:highlight w:val="none"/>
              </w:rPr>
              <w:t>台</w:t>
            </w:r>
          </w:p>
        </w:tc>
        <w:tc>
          <w:tcPr>
            <w:tcW w:w="825" w:type="pct"/>
            <w:noWrap w:val="0"/>
            <w:vAlign w:val="center"/>
          </w:tcPr>
          <w:p w14:paraId="2D0984C5">
            <w:pPr>
              <w:pStyle w:val="32"/>
              <w:bidi w:val="0"/>
              <w:rPr>
                <w:rFonts w:hint="eastAsia"/>
                <w:highlight w:val="none"/>
                <w:lang w:eastAsia="zh-CN"/>
              </w:rPr>
            </w:pPr>
            <w:r>
              <w:rPr>
                <w:rFonts w:hint="eastAsia"/>
                <w:highlight w:val="none"/>
                <w:lang w:val="en-US" w:eastAsia="zh-CN"/>
              </w:rPr>
              <w:t>1</w:t>
            </w:r>
          </w:p>
        </w:tc>
        <w:tc>
          <w:tcPr>
            <w:tcW w:w="1169" w:type="pct"/>
            <w:noWrap w:val="0"/>
            <w:vAlign w:val="center"/>
          </w:tcPr>
          <w:p w14:paraId="104BF2EE">
            <w:pPr>
              <w:pStyle w:val="32"/>
              <w:bidi w:val="0"/>
              <w:rPr>
                <w:rFonts w:hint="eastAsia"/>
                <w:highlight w:val="none"/>
                <w:lang w:val="en-US" w:eastAsia="zh-CN"/>
              </w:rPr>
            </w:pPr>
            <w:r>
              <w:rPr>
                <w:rFonts w:hint="eastAsia"/>
                <w:highlight w:val="none"/>
                <w:lang w:val="en-US" w:eastAsia="zh-CN"/>
              </w:rPr>
              <w:t>可重复利用</w:t>
            </w:r>
          </w:p>
        </w:tc>
      </w:tr>
      <w:tr w14:paraId="4BDA8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60EB396B">
            <w:pPr>
              <w:pStyle w:val="32"/>
              <w:bidi w:val="0"/>
              <w:rPr>
                <w:rFonts w:hint="eastAsia"/>
                <w:highlight w:val="none"/>
              </w:rPr>
            </w:pPr>
            <w:r>
              <w:rPr>
                <w:rFonts w:hint="eastAsia"/>
                <w:highlight w:val="none"/>
              </w:rPr>
              <w:t>6</w:t>
            </w:r>
          </w:p>
        </w:tc>
        <w:tc>
          <w:tcPr>
            <w:tcW w:w="1494" w:type="pct"/>
            <w:noWrap w:val="0"/>
            <w:vAlign w:val="center"/>
          </w:tcPr>
          <w:p w14:paraId="2CEA891C">
            <w:pPr>
              <w:pStyle w:val="32"/>
              <w:bidi w:val="0"/>
              <w:rPr>
                <w:rFonts w:hint="eastAsia"/>
                <w:highlight w:val="none"/>
              </w:rPr>
            </w:pPr>
            <w:r>
              <w:rPr>
                <w:rFonts w:hint="eastAsia"/>
                <w:highlight w:val="none"/>
              </w:rPr>
              <w:t>数据传输分站</w:t>
            </w:r>
          </w:p>
        </w:tc>
        <w:tc>
          <w:tcPr>
            <w:tcW w:w="957" w:type="pct"/>
            <w:noWrap w:val="0"/>
            <w:vAlign w:val="center"/>
          </w:tcPr>
          <w:p w14:paraId="130D8050">
            <w:pPr>
              <w:pStyle w:val="32"/>
              <w:bidi w:val="0"/>
              <w:rPr>
                <w:rFonts w:hint="eastAsia"/>
                <w:highlight w:val="none"/>
              </w:rPr>
            </w:pPr>
            <w:r>
              <w:rPr>
                <w:rFonts w:hint="eastAsia"/>
                <w:highlight w:val="none"/>
              </w:rPr>
              <w:t>台</w:t>
            </w:r>
          </w:p>
        </w:tc>
        <w:tc>
          <w:tcPr>
            <w:tcW w:w="825" w:type="pct"/>
            <w:noWrap w:val="0"/>
            <w:vAlign w:val="center"/>
          </w:tcPr>
          <w:p w14:paraId="31702A79">
            <w:pPr>
              <w:pStyle w:val="32"/>
              <w:bidi w:val="0"/>
              <w:rPr>
                <w:rFonts w:hint="eastAsia"/>
                <w:highlight w:val="none"/>
                <w:lang w:eastAsia="zh-CN"/>
              </w:rPr>
            </w:pPr>
            <w:r>
              <w:rPr>
                <w:rFonts w:hint="eastAsia"/>
                <w:highlight w:val="none"/>
                <w:lang w:val="en-US" w:eastAsia="zh-CN"/>
              </w:rPr>
              <w:t>2</w:t>
            </w:r>
          </w:p>
        </w:tc>
        <w:tc>
          <w:tcPr>
            <w:tcW w:w="1169" w:type="pct"/>
            <w:noWrap w:val="0"/>
            <w:vAlign w:val="center"/>
          </w:tcPr>
          <w:p w14:paraId="467E3E8D">
            <w:pPr>
              <w:pStyle w:val="32"/>
              <w:bidi w:val="0"/>
              <w:rPr>
                <w:rFonts w:hint="eastAsia"/>
                <w:highlight w:val="none"/>
              </w:rPr>
            </w:pPr>
          </w:p>
        </w:tc>
      </w:tr>
      <w:tr w14:paraId="4D7A6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598AF06">
            <w:pPr>
              <w:pStyle w:val="32"/>
              <w:bidi w:val="0"/>
              <w:rPr>
                <w:rFonts w:hint="eastAsia"/>
                <w:highlight w:val="none"/>
              </w:rPr>
            </w:pPr>
            <w:r>
              <w:rPr>
                <w:rFonts w:hint="eastAsia"/>
                <w:highlight w:val="none"/>
              </w:rPr>
              <w:t>7</w:t>
            </w:r>
          </w:p>
        </w:tc>
        <w:tc>
          <w:tcPr>
            <w:tcW w:w="1494" w:type="pct"/>
            <w:noWrap w:val="0"/>
            <w:vAlign w:val="center"/>
          </w:tcPr>
          <w:p w14:paraId="26135AE2">
            <w:pPr>
              <w:pStyle w:val="32"/>
              <w:bidi w:val="0"/>
              <w:rPr>
                <w:rFonts w:hint="eastAsia"/>
                <w:highlight w:val="none"/>
              </w:rPr>
            </w:pPr>
            <w:r>
              <w:rPr>
                <w:rFonts w:hint="eastAsia"/>
                <w:highlight w:val="none"/>
              </w:rPr>
              <w:t>监测及定位</w:t>
            </w:r>
          </w:p>
          <w:p w14:paraId="1FC906FE">
            <w:pPr>
              <w:pStyle w:val="32"/>
              <w:bidi w:val="0"/>
              <w:rPr>
                <w:rFonts w:hint="eastAsia"/>
                <w:highlight w:val="none"/>
              </w:rPr>
            </w:pPr>
            <w:r>
              <w:rPr>
                <w:rFonts w:hint="eastAsia"/>
                <w:highlight w:val="none"/>
              </w:rPr>
              <w:t>服务器</w:t>
            </w:r>
          </w:p>
        </w:tc>
        <w:tc>
          <w:tcPr>
            <w:tcW w:w="957" w:type="pct"/>
            <w:noWrap w:val="0"/>
            <w:vAlign w:val="center"/>
          </w:tcPr>
          <w:p w14:paraId="4E4438DE">
            <w:pPr>
              <w:pStyle w:val="32"/>
              <w:bidi w:val="0"/>
              <w:rPr>
                <w:rFonts w:hint="eastAsia"/>
                <w:highlight w:val="none"/>
              </w:rPr>
            </w:pPr>
            <w:r>
              <w:rPr>
                <w:rFonts w:hint="eastAsia"/>
                <w:highlight w:val="none"/>
              </w:rPr>
              <w:t>套</w:t>
            </w:r>
          </w:p>
        </w:tc>
        <w:tc>
          <w:tcPr>
            <w:tcW w:w="825" w:type="pct"/>
            <w:noWrap w:val="0"/>
            <w:vAlign w:val="center"/>
          </w:tcPr>
          <w:p w14:paraId="1BB5C971">
            <w:pPr>
              <w:pStyle w:val="32"/>
              <w:bidi w:val="0"/>
              <w:rPr>
                <w:rFonts w:hint="eastAsia"/>
                <w:highlight w:val="none"/>
                <w:lang w:eastAsia="zh-CN"/>
              </w:rPr>
            </w:pPr>
            <w:r>
              <w:rPr>
                <w:rFonts w:hint="eastAsia"/>
                <w:highlight w:val="none"/>
                <w:lang w:val="en-US" w:eastAsia="zh-CN"/>
              </w:rPr>
              <w:t>1</w:t>
            </w:r>
          </w:p>
        </w:tc>
        <w:tc>
          <w:tcPr>
            <w:tcW w:w="1169" w:type="pct"/>
            <w:noWrap w:val="0"/>
            <w:vAlign w:val="center"/>
          </w:tcPr>
          <w:p w14:paraId="238C75E8">
            <w:pPr>
              <w:pStyle w:val="32"/>
              <w:bidi w:val="0"/>
              <w:rPr>
                <w:rFonts w:hint="eastAsia"/>
                <w:highlight w:val="none"/>
              </w:rPr>
            </w:pPr>
          </w:p>
        </w:tc>
      </w:tr>
      <w:tr w14:paraId="78761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842EB80">
            <w:pPr>
              <w:pStyle w:val="32"/>
              <w:bidi w:val="0"/>
              <w:rPr>
                <w:rFonts w:hint="eastAsia"/>
                <w:highlight w:val="none"/>
              </w:rPr>
            </w:pPr>
            <w:r>
              <w:rPr>
                <w:rFonts w:hint="eastAsia"/>
                <w:highlight w:val="none"/>
              </w:rPr>
              <w:t>8</w:t>
            </w:r>
          </w:p>
        </w:tc>
        <w:tc>
          <w:tcPr>
            <w:tcW w:w="1494" w:type="pct"/>
            <w:noWrap w:val="0"/>
            <w:vAlign w:val="center"/>
          </w:tcPr>
          <w:p w14:paraId="584C80AC">
            <w:pPr>
              <w:pStyle w:val="32"/>
              <w:bidi w:val="0"/>
              <w:rPr>
                <w:rFonts w:hint="eastAsia"/>
                <w:highlight w:val="none"/>
              </w:rPr>
            </w:pPr>
            <w:r>
              <w:rPr>
                <w:rFonts w:hint="eastAsia"/>
                <w:highlight w:val="none"/>
              </w:rPr>
              <w:t>监测软件</w:t>
            </w:r>
          </w:p>
        </w:tc>
        <w:tc>
          <w:tcPr>
            <w:tcW w:w="957" w:type="pct"/>
            <w:noWrap w:val="0"/>
            <w:vAlign w:val="center"/>
          </w:tcPr>
          <w:p w14:paraId="4A9E5BBE">
            <w:pPr>
              <w:pStyle w:val="32"/>
              <w:bidi w:val="0"/>
              <w:rPr>
                <w:rFonts w:hint="eastAsia"/>
                <w:highlight w:val="none"/>
              </w:rPr>
            </w:pPr>
            <w:r>
              <w:rPr>
                <w:rFonts w:hint="eastAsia"/>
                <w:highlight w:val="none"/>
              </w:rPr>
              <w:t>套</w:t>
            </w:r>
          </w:p>
        </w:tc>
        <w:tc>
          <w:tcPr>
            <w:tcW w:w="825" w:type="pct"/>
            <w:noWrap w:val="0"/>
            <w:vAlign w:val="center"/>
          </w:tcPr>
          <w:p w14:paraId="1A866E0B">
            <w:pPr>
              <w:pStyle w:val="32"/>
              <w:bidi w:val="0"/>
              <w:rPr>
                <w:rFonts w:hint="eastAsia"/>
                <w:highlight w:val="none"/>
              </w:rPr>
            </w:pPr>
            <w:r>
              <w:rPr>
                <w:rFonts w:hint="eastAsia"/>
                <w:highlight w:val="none"/>
              </w:rPr>
              <w:t>1</w:t>
            </w:r>
          </w:p>
        </w:tc>
        <w:tc>
          <w:tcPr>
            <w:tcW w:w="1169" w:type="pct"/>
            <w:noWrap w:val="0"/>
            <w:vAlign w:val="center"/>
          </w:tcPr>
          <w:p w14:paraId="09C61D40">
            <w:pPr>
              <w:pStyle w:val="32"/>
              <w:bidi w:val="0"/>
              <w:rPr>
                <w:rFonts w:hint="eastAsia"/>
                <w:highlight w:val="none"/>
              </w:rPr>
            </w:pPr>
          </w:p>
        </w:tc>
      </w:tr>
      <w:tr w14:paraId="3E8E6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209FD738">
            <w:pPr>
              <w:pStyle w:val="32"/>
              <w:bidi w:val="0"/>
              <w:rPr>
                <w:rFonts w:hint="eastAsia"/>
                <w:highlight w:val="none"/>
              </w:rPr>
            </w:pPr>
            <w:r>
              <w:rPr>
                <w:rFonts w:hint="eastAsia"/>
                <w:highlight w:val="none"/>
              </w:rPr>
              <w:t>9</w:t>
            </w:r>
          </w:p>
        </w:tc>
        <w:tc>
          <w:tcPr>
            <w:tcW w:w="1494" w:type="pct"/>
            <w:noWrap w:val="0"/>
            <w:vAlign w:val="center"/>
          </w:tcPr>
          <w:p w14:paraId="1FBE1901">
            <w:pPr>
              <w:pStyle w:val="32"/>
              <w:bidi w:val="0"/>
              <w:rPr>
                <w:rFonts w:hint="eastAsia"/>
                <w:highlight w:val="none"/>
              </w:rPr>
            </w:pPr>
            <w:r>
              <w:rPr>
                <w:rFonts w:hint="eastAsia"/>
                <w:highlight w:val="none"/>
              </w:rPr>
              <w:t>电源线</w:t>
            </w:r>
          </w:p>
        </w:tc>
        <w:tc>
          <w:tcPr>
            <w:tcW w:w="957" w:type="pct"/>
            <w:noWrap w:val="0"/>
            <w:vAlign w:val="center"/>
          </w:tcPr>
          <w:p w14:paraId="1CDBDB08">
            <w:pPr>
              <w:pStyle w:val="32"/>
              <w:bidi w:val="0"/>
              <w:rPr>
                <w:rFonts w:hint="eastAsia"/>
                <w:highlight w:val="none"/>
              </w:rPr>
            </w:pPr>
            <w:r>
              <w:rPr>
                <w:rFonts w:hint="eastAsia"/>
                <w:highlight w:val="none"/>
              </w:rPr>
              <w:t>km</w:t>
            </w:r>
          </w:p>
        </w:tc>
        <w:tc>
          <w:tcPr>
            <w:tcW w:w="825" w:type="pct"/>
            <w:noWrap w:val="0"/>
            <w:vAlign w:val="center"/>
          </w:tcPr>
          <w:p w14:paraId="5E999F85">
            <w:pPr>
              <w:pStyle w:val="32"/>
              <w:bidi w:val="0"/>
              <w:rPr>
                <w:rFonts w:hint="eastAsia"/>
                <w:highlight w:val="none"/>
                <w:lang w:val="en-US" w:eastAsia="zh-CN"/>
              </w:rPr>
            </w:pPr>
            <w:r>
              <w:rPr>
                <w:rFonts w:hint="eastAsia"/>
                <w:highlight w:val="none"/>
                <w:lang w:val="en-US" w:eastAsia="zh-CN"/>
              </w:rPr>
              <w:t>5</w:t>
            </w:r>
          </w:p>
        </w:tc>
        <w:tc>
          <w:tcPr>
            <w:tcW w:w="1169" w:type="pct"/>
            <w:noWrap w:val="0"/>
            <w:vAlign w:val="center"/>
          </w:tcPr>
          <w:p w14:paraId="075A9A72">
            <w:pPr>
              <w:pStyle w:val="32"/>
              <w:bidi w:val="0"/>
              <w:rPr>
                <w:rFonts w:hint="eastAsia"/>
                <w:highlight w:val="none"/>
              </w:rPr>
            </w:pPr>
          </w:p>
        </w:tc>
      </w:tr>
      <w:tr w14:paraId="576C0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3796BC0">
            <w:pPr>
              <w:pStyle w:val="32"/>
              <w:bidi w:val="0"/>
              <w:rPr>
                <w:rFonts w:hint="eastAsia"/>
                <w:highlight w:val="none"/>
              </w:rPr>
            </w:pPr>
            <w:r>
              <w:rPr>
                <w:rFonts w:hint="eastAsia"/>
                <w:highlight w:val="none"/>
              </w:rPr>
              <w:t>10</w:t>
            </w:r>
          </w:p>
        </w:tc>
        <w:tc>
          <w:tcPr>
            <w:tcW w:w="1494" w:type="pct"/>
            <w:noWrap w:val="0"/>
            <w:vAlign w:val="center"/>
          </w:tcPr>
          <w:p w14:paraId="10FE9F80">
            <w:pPr>
              <w:pStyle w:val="32"/>
              <w:bidi w:val="0"/>
              <w:rPr>
                <w:rFonts w:hint="eastAsia"/>
                <w:highlight w:val="none"/>
              </w:rPr>
            </w:pPr>
            <w:r>
              <w:rPr>
                <w:rFonts w:hint="eastAsia"/>
                <w:highlight w:val="none"/>
              </w:rPr>
              <w:t>机房防雷器</w:t>
            </w:r>
          </w:p>
        </w:tc>
        <w:tc>
          <w:tcPr>
            <w:tcW w:w="957" w:type="pct"/>
            <w:noWrap w:val="0"/>
            <w:vAlign w:val="center"/>
          </w:tcPr>
          <w:p w14:paraId="17238403">
            <w:pPr>
              <w:pStyle w:val="32"/>
              <w:bidi w:val="0"/>
              <w:rPr>
                <w:rFonts w:hint="eastAsia"/>
                <w:highlight w:val="none"/>
              </w:rPr>
            </w:pPr>
            <w:r>
              <w:rPr>
                <w:rFonts w:hint="eastAsia"/>
                <w:highlight w:val="none"/>
              </w:rPr>
              <w:t>台</w:t>
            </w:r>
          </w:p>
        </w:tc>
        <w:tc>
          <w:tcPr>
            <w:tcW w:w="825" w:type="pct"/>
            <w:noWrap w:val="0"/>
            <w:vAlign w:val="center"/>
          </w:tcPr>
          <w:p w14:paraId="01FD9029">
            <w:pPr>
              <w:pStyle w:val="32"/>
              <w:bidi w:val="0"/>
              <w:rPr>
                <w:rFonts w:hint="eastAsia"/>
                <w:highlight w:val="none"/>
              </w:rPr>
            </w:pPr>
            <w:r>
              <w:rPr>
                <w:rFonts w:hint="eastAsia"/>
                <w:highlight w:val="none"/>
              </w:rPr>
              <w:t>1</w:t>
            </w:r>
          </w:p>
        </w:tc>
        <w:tc>
          <w:tcPr>
            <w:tcW w:w="1169" w:type="pct"/>
            <w:noWrap w:val="0"/>
            <w:vAlign w:val="center"/>
          </w:tcPr>
          <w:p w14:paraId="4AADF1AC">
            <w:pPr>
              <w:pStyle w:val="32"/>
              <w:bidi w:val="0"/>
              <w:rPr>
                <w:rFonts w:hint="eastAsia"/>
                <w:highlight w:val="none"/>
              </w:rPr>
            </w:pPr>
          </w:p>
        </w:tc>
      </w:tr>
      <w:tr w14:paraId="72F94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631DF764">
            <w:pPr>
              <w:pStyle w:val="32"/>
              <w:bidi w:val="0"/>
              <w:rPr>
                <w:rFonts w:hint="eastAsia"/>
                <w:highlight w:val="none"/>
              </w:rPr>
            </w:pPr>
            <w:r>
              <w:rPr>
                <w:rFonts w:hint="eastAsia"/>
                <w:highlight w:val="none"/>
              </w:rPr>
              <w:t>11</w:t>
            </w:r>
          </w:p>
        </w:tc>
        <w:tc>
          <w:tcPr>
            <w:tcW w:w="1494" w:type="pct"/>
            <w:noWrap w:val="0"/>
            <w:vAlign w:val="center"/>
          </w:tcPr>
          <w:p w14:paraId="1584E66A">
            <w:pPr>
              <w:pStyle w:val="32"/>
              <w:bidi w:val="0"/>
              <w:rPr>
                <w:rFonts w:hint="eastAsia"/>
                <w:highlight w:val="none"/>
              </w:rPr>
            </w:pPr>
            <w:r>
              <w:rPr>
                <w:rFonts w:hint="eastAsia"/>
                <w:highlight w:val="none"/>
              </w:rPr>
              <w:t>光纤配线盒</w:t>
            </w:r>
          </w:p>
        </w:tc>
        <w:tc>
          <w:tcPr>
            <w:tcW w:w="957" w:type="pct"/>
            <w:noWrap w:val="0"/>
            <w:vAlign w:val="center"/>
          </w:tcPr>
          <w:p w14:paraId="233BD7E5">
            <w:pPr>
              <w:pStyle w:val="32"/>
              <w:bidi w:val="0"/>
              <w:rPr>
                <w:rFonts w:hint="eastAsia"/>
                <w:highlight w:val="none"/>
              </w:rPr>
            </w:pPr>
            <w:r>
              <w:rPr>
                <w:rFonts w:hint="eastAsia"/>
                <w:highlight w:val="none"/>
              </w:rPr>
              <w:t>台</w:t>
            </w:r>
          </w:p>
        </w:tc>
        <w:tc>
          <w:tcPr>
            <w:tcW w:w="825" w:type="pct"/>
            <w:noWrap w:val="0"/>
            <w:vAlign w:val="center"/>
          </w:tcPr>
          <w:p w14:paraId="1EFE5AC7">
            <w:pPr>
              <w:pStyle w:val="32"/>
              <w:bidi w:val="0"/>
              <w:rPr>
                <w:rFonts w:hint="eastAsia"/>
                <w:highlight w:val="none"/>
              </w:rPr>
            </w:pPr>
            <w:r>
              <w:rPr>
                <w:rFonts w:hint="eastAsia"/>
                <w:highlight w:val="none"/>
              </w:rPr>
              <w:t>1</w:t>
            </w:r>
          </w:p>
        </w:tc>
        <w:tc>
          <w:tcPr>
            <w:tcW w:w="1169" w:type="pct"/>
            <w:noWrap w:val="0"/>
            <w:vAlign w:val="center"/>
          </w:tcPr>
          <w:p w14:paraId="48815EF7">
            <w:pPr>
              <w:pStyle w:val="32"/>
              <w:bidi w:val="0"/>
              <w:rPr>
                <w:rFonts w:hint="eastAsia"/>
                <w:highlight w:val="none"/>
              </w:rPr>
            </w:pPr>
          </w:p>
        </w:tc>
      </w:tr>
      <w:tr w14:paraId="4D8E4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339D2934">
            <w:pPr>
              <w:pStyle w:val="32"/>
              <w:bidi w:val="0"/>
              <w:rPr>
                <w:rFonts w:hint="eastAsia"/>
                <w:highlight w:val="none"/>
              </w:rPr>
            </w:pPr>
            <w:r>
              <w:rPr>
                <w:rFonts w:hint="eastAsia"/>
                <w:highlight w:val="none"/>
              </w:rPr>
              <w:t>12</w:t>
            </w:r>
          </w:p>
        </w:tc>
        <w:tc>
          <w:tcPr>
            <w:tcW w:w="1494" w:type="pct"/>
            <w:noWrap w:val="0"/>
            <w:vAlign w:val="center"/>
          </w:tcPr>
          <w:p w14:paraId="52787BA3">
            <w:pPr>
              <w:pStyle w:val="32"/>
              <w:bidi w:val="0"/>
              <w:rPr>
                <w:rFonts w:hint="eastAsia"/>
                <w:highlight w:val="none"/>
              </w:rPr>
            </w:pPr>
            <w:r>
              <w:rPr>
                <w:rFonts w:hint="eastAsia"/>
                <w:highlight w:val="none"/>
              </w:rPr>
              <w:t>声光报警器</w:t>
            </w:r>
          </w:p>
        </w:tc>
        <w:tc>
          <w:tcPr>
            <w:tcW w:w="957" w:type="pct"/>
            <w:noWrap w:val="0"/>
            <w:vAlign w:val="center"/>
          </w:tcPr>
          <w:p w14:paraId="67C9D7FF">
            <w:pPr>
              <w:pStyle w:val="32"/>
              <w:bidi w:val="0"/>
              <w:rPr>
                <w:rFonts w:hint="eastAsia"/>
                <w:highlight w:val="none"/>
              </w:rPr>
            </w:pPr>
            <w:r>
              <w:rPr>
                <w:rFonts w:hint="eastAsia"/>
                <w:highlight w:val="none"/>
              </w:rPr>
              <w:t>套</w:t>
            </w:r>
          </w:p>
        </w:tc>
        <w:tc>
          <w:tcPr>
            <w:tcW w:w="825" w:type="pct"/>
            <w:noWrap w:val="0"/>
            <w:vAlign w:val="center"/>
          </w:tcPr>
          <w:p w14:paraId="2EAA597B">
            <w:pPr>
              <w:pStyle w:val="32"/>
              <w:bidi w:val="0"/>
              <w:rPr>
                <w:rFonts w:hint="eastAsia"/>
                <w:highlight w:val="none"/>
              </w:rPr>
            </w:pPr>
            <w:r>
              <w:rPr>
                <w:rFonts w:hint="eastAsia"/>
                <w:highlight w:val="none"/>
              </w:rPr>
              <w:t>1</w:t>
            </w:r>
          </w:p>
        </w:tc>
        <w:tc>
          <w:tcPr>
            <w:tcW w:w="1169" w:type="pct"/>
            <w:noWrap w:val="0"/>
            <w:vAlign w:val="center"/>
          </w:tcPr>
          <w:p w14:paraId="4F883ABB">
            <w:pPr>
              <w:pStyle w:val="32"/>
              <w:bidi w:val="0"/>
              <w:rPr>
                <w:rFonts w:hint="eastAsia"/>
                <w:highlight w:val="none"/>
              </w:rPr>
            </w:pPr>
          </w:p>
        </w:tc>
      </w:tr>
      <w:tr w14:paraId="0EF5C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5026D1D0">
            <w:pPr>
              <w:pStyle w:val="32"/>
              <w:bidi w:val="0"/>
              <w:rPr>
                <w:rFonts w:hint="eastAsia"/>
                <w:highlight w:val="none"/>
              </w:rPr>
            </w:pPr>
            <w:r>
              <w:rPr>
                <w:rFonts w:hint="eastAsia"/>
                <w:highlight w:val="none"/>
              </w:rPr>
              <w:t>13</w:t>
            </w:r>
          </w:p>
        </w:tc>
        <w:tc>
          <w:tcPr>
            <w:tcW w:w="1494" w:type="pct"/>
            <w:noWrap w:val="0"/>
            <w:vAlign w:val="center"/>
          </w:tcPr>
          <w:p w14:paraId="42995E5A">
            <w:pPr>
              <w:pStyle w:val="32"/>
              <w:bidi w:val="0"/>
              <w:rPr>
                <w:rFonts w:hint="eastAsia"/>
                <w:highlight w:val="none"/>
              </w:rPr>
            </w:pPr>
            <w:r>
              <w:rPr>
                <w:rFonts w:hint="eastAsia"/>
                <w:highlight w:val="none"/>
              </w:rPr>
              <w:t>报警控制软件</w:t>
            </w:r>
          </w:p>
        </w:tc>
        <w:tc>
          <w:tcPr>
            <w:tcW w:w="957" w:type="pct"/>
            <w:noWrap w:val="0"/>
            <w:vAlign w:val="center"/>
          </w:tcPr>
          <w:p w14:paraId="30E915E4">
            <w:pPr>
              <w:pStyle w:val="32"/>
              <w:bidi w:val="0"/>
              <w:rPr>
                <w:rFonts w:hint="eastAsia"/>
                <w:highlight w:val="none"/>
              </w:rPr>
            </w:pPr>
            <w:r>
              <w:rPr>
                <w:rFonts w:hint="eastAsia"/>
                <w:highlight w:val="none"/>
              </w:rPr>
              <w:t>套</w:t>
            </w:r>
          </w:p>
        </w:tc>
        <w:tc>
          <w:tcPr>
            <w:tcW w:w="825" w:type="pct"/>
            <w:noWrap w:val="0"/>
            <w:vAlign w:val="center"/>
          </w:tcPr>
          <w:p w14:paraId="5154E93F">
            <w:pPr>
              <w:pStyle w:val="32"/>
              <w:bidi w:val="0"/>
              <w:rPr>
                <w:rFonts w:hint="eastAsia"/>
                <w:highlight w:val="none"/>
              </w:rPr>
            </w:pPr>
            <w:r>
              <w:rPr>
                <w:rFonts w:hint="eastAsia"/>
                <w:highlight w:val="none"/>
              </w:rPr>
              <w:t>1</w:t>
            </w:r>
          </w:p>
        </w:tc>
        <w:tc>
          <w:tcPr>
            <w:tcW w:w="1169" w:type="pct"/>
            <w:noWrap w:val="0"/>
            <w:vAlign w:val="center"/>
          </w:tcPr>
          <w:p w14:paraId="66EDBF84">
            <w:pPr>
              <w:pStyle w:val="32"/>
              <w:bidi w:val="0"/>
              <w:rPr>
                <w:rFonts w:hint="eastAsia"/>
                <w:highlight w:val="none"/>
              </w:rPr>
            </w:pPr>
          </w:p>
        </w:tc>
      </w:tr>
      <w:tr w14:paraId="4275E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43CE07BE">
            <w:pPr>
              <w:pStyle w:val="32"/>
              <w:bidi w:val="0"/>
              <w:rPr>
                <w:rFonts w:hint="eastAsia"/>
                <w:highlight w:val="none"/>
              </w:rPr>
            </w:pPr>
            <w:r>
              <w:rPr>
                <w:rFonts w:hint="eastAsia"/>
                <w:highlight w:val="none"/>
              </w:rPr>
              <w:t>14</w:t>
            </w:r>
          </w:p>
        </w:tc>
        <w:tc>
          <w:tcPr>
            <w:tcW w:w="1494" w:type="pct"/>
            <w:noWrap w:val="0"/>
            <w:vAlign w:val="center"/>
          </w:tcPr>
          <w:p w14:paraId="37244F51">
            <w:pPr>
              <w:pStyle w:val="32"/>
              <w:bidi w:val="0"/>
              <w:rPr>
                <w:rFonts w:hint="eastAsia"/>
                <w:highlight w:val="none"/>
              </w:rPr>
            </w:pPr>
            <w:r>
              <w:rPr>
                <w:rFonts w:hint="eastAsia"/>
                <w:highlight w:val="none"/>
              </w:rPr>
              <w:t>UPS电源</w:t>
            </w:r>
          </w:p>
        </w:tc>
        <w:tc>
          <w:tcPr>
            <w:tcW w:w="957" w:type="pct"/>
            <w:noWrap w:val="0"/>
            <w:vAlign w:val="center"/>
          </w:tcPr>
          <w:p w14:paraId="3FA2C73C">
            <w:pPr>
              <w:pStyle w:val="32"/>
              <w:bidi w:val="0"/>
              <w:rPr>
                <w:rFonts w:hint="eastAsia"/>
                <w:highlight w:val="none"/>
              </w:rPr>
            </w:pPr>
            <w:r>
              <w:rPr>
                <w:rFonts w:hint="eastAsia"/>
                <w:highlight w:val="none"/>
              </w:rPr>
              <w:t>台</w:t>
            </w:r>
          </w:p>
        </w:tc>
        <w:tc>
          <w:tcPr>
            <w:tcW w:w="825" w:type="pct"/>
            <w:noWrap w:val="0"/>
            <w:vAlign w:val="center"/>
          </w:tcPr>
          <w:p w14:paraId="1EF5430C">
            <w:pPr>
              <w:pStyle w:val="32"/>
              <w:bidi w:val="0"/>
              <w:rPr>
                <w:rFonts w:hint="eastAsia"/>
                <w:highlight w:val="none"/>
              </w:rPr>
            </w:pPr>
            <w:r>
              <w:rPr>
                <w:rFonts w:hint="eastAsia"/>
                <w:highlight w:val="none"/>
              </w:rPr>
              <w:t>1</w:t>
            </w:r>
          </w:p>
        </w:tc>
        <w:tc>
          <w:tcPr>
            <w:tcW w:w="1169" w:type="pct"/>
            <w:noWrap w:val="0"/>
            <w:vAlign w:val="center"/>
          </w:tcPr>
          <w:p w14:paraId="34BDE146">
            <w:pPr>
              <w:pStyle w:val="32"/>
              <w:bidi w:val="0"/>
              <w:rPr>
                <w:rFonts w:hint="eastAsia"/>
                <w:highlight w:val="none"/>
              </w:rPr>
            </w:pPr>
          </w:p>
        </w:tc>
      </w:tr>
      <w:tr w14:paraId="52D09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53E57BAE">
            <w:pPr>
              <w:pStyle w:val="32"/>
              <w:bidi w:val="0"/>
              <w:rPr>
                <w:rFonts w:hint="eastAsia"/>
                <w:highlight w:val="none"/>
              </w:rPr>
            </w:pPr>
            <w:r>
              <w:rPr>
                <w:rFonts w:hint="eastAsia"/>
                <w:highlight w:val="none"/>
              </w:rPr>
              <w:t>15</w:t>
            </w:r>
          </w:p>
        </w:tc>
        <w:tc>
          <w:tcPr>
            <w:tcW w:w="1494" w:type="pct"/>
            <w:noWrap w:val="0"/>
            <w:vAlign w:val="center"/>
          </w:tcPr>
          <w:p w14:paraId="244B1875">
            <w:pPr>
              <w:pStyle w:val="32"/>
              <w:bidi w:val="0"/>
              <w:rPr>
                <w:rFonts w:hint="eastAsia"/>
                <w:highlight w:val="none"/>
              </w:rPr>
            </w:pPr>
            <w:r>
              <w:rPr>
                <w:rFonts w:hint="eastAsia"/>
                <w:highlight w:val="none"/>
              </w:rPr>
              <w:t>机房防雷器</w:t>
            </w:r>
          </w:p>
        </w:tc>
        <w:tc>
          <w:tcPr>
            <w:tcW w:w="957" w:type="pct"/>
            <w:noWrap w:val="0"/>
            <w:vAlign w:val="center"/>
          </w:tcPr>
          <w:p w14:paraId="343CE2B8">
            <w:pPr>
              <w:pStyle w:val="32"/>
              <w:bidi w:val="0"/>
              <w:rPr>
                <w:rFonts w:hint="eastAsia"/>
                <w:highlight w:val="none"/>
              </w:rPr>
            </w:pPr>
            <w:r>
              <w:rPr>
                <w:rFonts w:hint="eastAsia"/>
                <w:highlight w:val="none"/>
              </w:rPr>
              <w:t>台</w:t>
            </w:r>
          </w:p>
        </w:tc>
        <w:tc>
          <w:tcPr>
            <w:tcW w:w="825" w:type="pct"/>
            <w:noWrap w:val="0"/>
            <w:vAlign w:val="center"/>
          </w:tcPr>
          <w:p w14:paraId="36306A43">
            <w:pPr>
              <w:pStyle w:val="32"/>
              <w:bidi w:val="0"/>
              <w:rPr>
                <w:rFonts w:hint="eastAsia"/>
                <w:highlight w:val="none"/>
              </w:rPr>
            </w:pPr>
            <w:r>
              <w:rPr>
                <w:rFonts w:hint="eastAsia"/>
                <w:highlight w:val="none"/>
              </w:rPr>
              <w:t>1</w:t>
            </w:r>
          </w:p>
        </w:tc>
        <w:tc>
          <w:tcPr>
            <w:tcW w:w="1169" w:type="pct"/>
            <w:noWrap w:val="0"/>
            <w:vAlign w:val="center"/>
          </w:tcPr>
          <w:p w14:paraId="3C26275C">
            <w:pPr>
              <w:pStyle w:val="32"/>
              <w:bidi w:val="0"/>
              <w:rPr>
                <w:rFonts w:hint="eastAsia"/>
                <w:highlight w:val="none"/>
              </w:rPr>
            </w:pPr>
          </w:p>
        </w:tc>
      </w:tr>
      <w:tr w14:paraId="6D8D6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3" w:type="pct"/>
            <w:noWrap w:val="0"/>
            <w:vAlign w:val="center"/>
          </w:tcPr>
          <w:p w14:paraId="22EBB897">
            <w:pPr>
              <w:pStyle w:val="32"/>
              <w:bidi w:val="0"/>
              <w:rPr>
                <w:rFonts w:hint="default"/>
                <w:highlight w:val="none"/>
                <w:lang w:val="en-US" w:eastAsia="zh-CN"/>
              </w:rPr>
            </w:pPr>
            <w:r>
              <w:rPr>
                <w:rFonts w:hint="eastAsia"/>
                <w:highlight w:val="none"/>
                <w:lang w:val="en-US" w:eastAsia="zh-CN"/>
              </w:rPr>
              <w:t>16</w:t>
            </w:r>
          </w:p>
        </w:tc>
        <w:tc>
          <w:tcPr>
            <w:tcW w:w="1494" w:type="pct"/>
            <w:noWrap w:val="0"/>
            <w:vAlign w:val="center"/>
          </w:tcPr>
          <w:p w14:paraId="089B4F2C">
            <w:pPr>
              <w:pStyle w:val="32"/>
              <w:bidi w:val="0"/>
              <w:rPr>
                <w:rFonts w:hint="eastAsia"/>
                <w:highlight w:val="none"/>
              </w:rPr>
            </w:pPr>
            <w:r>
              <w:rPr>
                <w:rFonts w:hint="eastAsia"/>
                <w:highlight w:val="none"/>
              </w:rPr>
              <w:t>光纤配线盒</w:t>
            </w:r>
          </w:p>
        </w:tc>
        <w:tc>
          <w:tcPr>
            <w:tcW w:w="957" w:type="pct"/>
            <w:noWrap w:val="0"/>
            <w:vAlign w:val="center"/>
          </w:tcPr>
          <w:p w14:paraId="3BA30F0C">
            <w:pPr>
              <w:pStyle w:val="32"/>
              <w:bidi w:val="0"/>
              <w:rPr>
                <w:rFonts w:hint="eastAsia"/>
                <w:highlight w:val="none"/>
              </w:rPr>
            </w:pPr>
            <w:r>
              <w:rPr>
                <w:rFonts w:hint="eastAsia"/>
                <w:highlight w:val="none"/>
              </w:rPr>
              <w:t>台</w:t>
            </w:r>
          </w:p>
        </w:tc>
        <w:tc>
          <w:tcPr>
            <w:tcW w:w="825" w:type="pct"/>
            <w:noWrap w:val="0"/>
            <w:vAlign w:val="center"/>
          </w:tcPr>
          <w:p w14:paraId="52A4A786">
            <w:pPr>
              <w:pStyle w:val="32"/>
              <w:bidi w:val="0"/>
              <w:rPr>
                <w:rFonts w:hint="eastAsia"/>
                <w:highlight w:val="none"/>
              </w:rPr>
            </w:pPr>
            <w:r>
              <w:rPr>
                <w:rFonts w:hint="eastAsia"/>
                <w:highlight w:val="none"/>
              </w:rPr>
              <w:t>1</w:t>
            </w:r>
          </w:p>
        </w:tc>
        <w:tc>
          <w:tcPr>
            <w:tcW w:w="1169" w:type="pct"/>
            <w:noWrap w:val="0"/>
            <w:vAlign w:val="center"/>
          </w:tcPr>
          <w:p w14:paraId="4DEB7BB2">
            <w:pPr>
              <w:pStyle w:val="32"/>
              <w:bidi w:val="0"/>
              <w:rPr>
                <w:rFonts w:hint="eastAsia"/>
                <w:highlight w:val="none"/>
              </w:rPr>
            </w:pPr>
          </w:p>
        </w:tc>
      </w:tr>
    </w:tbl>
    <w:p w14:paraId="50295D45">
      <w:pPr>
        <w:pStyle w:val="22"/>
        <w:bidi w:val="0"/>
        <w:rPr>
          <w:rFonts w:hint="default"/>
          <w:highlight w:val="none"/>
          <w:lang w:val="en-US" w:eastAsia="zh-CN"/>
        </w:rPr>
      </w:pPr>
      <w:r>
        <w:rPr>
          <w:rFonts w:hint="eastAsia"/>
          <w:highlight w:val="none"/>
          <w:lang w:val="en-US" w:eastAsia="zh-CN"/>
        </w:rPr>
        <w:t>3、视频监控</w:t>
      </w:r>
    </w:p>
    <w:p w14:paraId="057C13B4">
      <w:pPr>
        <w:pStyle w:val="22"/>
        <w:bidi w:val="0"/>
        <w:rPr>
          <w:rFonts w:hint="eastAsia"/>
          <w:highlight w:val="none"/>
        </w:rPr>
      </w:pPr>
      <w:r>
        <w:rPr>
          <w:rFonts w:hint="eastAsia"/>
          <w:highlight w:val="none"/>
          <w:lang w:val="en-US" w:eastAsia="zh-CN"/>
        </w:rPr>
        <w:t>①</w:t>
      </w:r>
      <w:r>
        <w:rPr>
          <w:rFonts w:hint="eastAsia"/>
          <w:highlight w:val="none"/>
        </w:rPr>
        <w:t>系统构成</w:t>
      </w:r>
    </w:p>
    <w:p w14:paraId="22C7BC68">
      <w:pPr>
        <w:pStyle w:val="22"/>
        <w:bidi w:val="0"/>
        <w:rPr>
          <w:rFonts w:hint="eastAsia"/>
          <w:highlight w:val="none"/>
        </w:rPr>
      </w:pPr>
      <w:r>
        <w:rPr>
          <w:rFonts w:hint="eastAsia"/>
          <w:highlight w:val="none"/>
        </w:rPr>
        <w:t>系统是由摄像、传输、控制、显示、记录登记5大部分组成，对矿井地面、井下重要工作场所实施视频监控，总控室房设有视频监控显示终端，用于显示</w:t>
      </w:r>
      <w:r>
        <w:rPr>
          <w:rFonts w:hint="eastAsia"/>
          <w:highlight w:val="none"/>
          <w:lang w:val="en-US" w:eastAsia="zh-CN"/>
        </w:rPr>
        <w:t>井</w:t>
      </w:r>
      <w:r>
        <w:rPr>
          <w:rFonts w:hint="eastAsia"/>
          <w:highlight w:val="none"/>
        </w:rPr>
        <w:t>口、井下车场、安全出口等场所的视频监控图像。</w:t>
      </w:r>
    </w:p>
    <w:p w14:paraId="4F24A808">
      <w:pPr>
        <w:pStyle w:val="22"/>
        <w:bidi w:val="0"/>
        <w:rPr>
          <w:rFonts w:hint="eastAsia"/>
          <w:highlight w:val="none"/>
        </w:rPr>
      </w:pPr>
      <w:r>
        <w:rPr>
          <w:rFonts w:hint="eastAsia"/>
          <w:highlight w:val="none"/>
          <w:lang w:val="en-US" w:eastAsia="zh-CN"/>
        </w:rPr>
        <w:t>②</w:t>
      </w:r>
      <w:r>
        <w:rPr>
          <w:rFonts w:hint="eastAsia"/>
          <w:highlight w:val="none"/>
        </w:rPr>
        <w:t>视频监控前端摄像机设置位置</w:t>
      </w:r>
    </w:p>
    <w:p w14:paraId="7E815815">
      <w:pPr>
        <w:pStyle w:val="22"/>
        <w:bidi w:val="0"/>
        <w:rPr>
          <w:rFonts w:hint="eastAsia"/>
          <w:highlight w:val="none"/>
        </w:rPr>
      </w:pPr>
      <w:r>
        <w:rPr>
          <w:rFonts w:hint="eastAsia"/>
          <w:highlight w:val="none"/>
          <w:lang w:val="en-US" w:eastAsia="zh-CN"/>
        </w:rPr>
        <w:t>a.</w:t>
      </w:r>
      <w:r>
        <w:rPr>
          <w:rFonts w:hint="eastAsia"/>
          <w:highlight w:val="none"/>
        </w:rPr>
        <w:t>各</w:t>
      </w:r>
      <w:r>
        <w:rPr>
          <w:rFonts w:hint="eastAsia"/>
          <w:highlight w:val="none"/>
          <w:lang w:val="en-US" w:eastAsia="zh-CN"/>
        </w:rPr>
        <w:t>井</w:t>
      </w:r>
      <w:r>
        <w:rPr>
          <w:rFonts w:hint="eastAsia"/>
          <w:highlight w:val="none"/>
        </w:rPr>
        <w:t>口、</w:t>
      </w:r>
      <w:r>
        <w:rPr>
          <w:rFonts w:hint="eastAsia"/>
          <w:highlight w:val="none"/>
          <w:lang w:val="en-US" w:eastAsia="zh-CN"/>
        </w:rPr>
        <w:t>井底车场</w:t>
      </w:r>
      <w:r>
        <w:rPr>
          <w:rFonts w:hint="eastAsia"/>
          <w:highlight w:val="none"/>
        </w:rPr>
        <w:t>，安全出口等人员进出场所，应设视频监控；</w:t>
      </w:r>
    </w:p>
    <w:p w14:paraId="794E6ED0">
      <w:pPr>
        <w:pStyle w:val="22"/>
        <w:bidi w:val="0"/>
        <w:rPr>
          <w:rFonts w:hint="eastAsia"/>
          <w:highlight w:val="none"/>
        </w:rPr>
      </w:pPr>
      <w:r>
        <w:rPr>
          <w:rFonts w:hint="eastAsia"/>
          <w:highlight w:val="none"/>
          <w:lang w:val="en-US" w:eastAsia="zh-CN"/>
        </w:rPr>
        <w:t>b.</w:t>
      </w:r>
      <w:r>
        <w:rPr>
          <w:rFonts w:hint="eastAsia"/>
          <w:highlight w:val="none"/>
        </w:rPr>
        <w:t>中央变电所等主要硐室设视频监控，该矿山井下未设置炸药库、油库等硐室；</w:t>
      </w:r>
    </w:p>
    <w:p w14:paraId="7DD2CB30">
      <w:pPr>
        <w:pStyle w:val="22"/>
        <w:bidi w:val="0"/>
        <w:rPr>
          <w:rFonts w:hint="eastAsia"/>
          <w:highlight w:val="none"/>
        </w:rPr>
      </w:pPr>
      <w:r>
        <w:rPr>
          <w:rFonts w:hint="eastAsia"/>
          <w:highlight w:val="none"/>
          <w:lang w:val="en-US" w:eastAsia="zh-CN"/>
        </w:rPr>
        <w:t>c.</w:t>
      </w:r>
      <w:r>
        <w:rPr>
          <w:rFonts w:hint="eastAsia"/>
          <w:highlight w:val="none"/>
        </w:rPr>
        <w:t>其它需要视频监控的地点。</w:t>
      </w:r>
    </w:p>
    <w:p w14:paraId="35BD56D1">
      <w:pPr>
        <w:pStyle w:val="22"/>
        <w:bidi w:val="0"/>
        <w:rPr>
          <w:rFonts w:hint="eastAsia"/>
          <w:highlight w:val="none"/>
        </w:rPr>
      </w:pPr>
      <w:r>
        <w:rPr>
          <w:rFonts w:hint="eastAsia"/>
          <w:highlight w:val="none"/>
        </w:rPr>
        <w:t>视频监测摄像设备安装位置见</w:t>
      </w:r>
      <w:r>
        <w:rPr>
          <w:rFonts w:hint="eastAsia"/>
          <w:highlight w:val="none"/>
          <w:lang w:val="en-US" w:eastAsia="zh-CN"/>
        </w:rPr>
        <w:t>表2.4-4</w:t>
      </w:r>
      <w:r>
        <w:rPr>
          <w:rFonts w:hint="eastAsia"/>
          <w:highlight w:val="none"/>
        </w:rPr>
        <w:t>。</w:t>
      </w:r>
    </w:p>
    <w:p w14:paraId="12C90BE9">
      <w:pPr>
        <w:pStyle w:val="31"/>
        <w:bidi w:val="0"/>
        <w:rPr>
          <w:rFonts w:hint="eastAsia"/>
          <w:highlight w:val="none"/>
          <w:lang w:val="en-US" w:eastAsia="zh-CN"/>
        </w:rPr>
      </w:pPr>
      <w:r>
        <w:rPr>
          <w:rFonts w:hint="eastAsia"/>
          <w:highlight w:val="none"/>
          <w:lang w:val="en-US" w:eastAsia="zh-CN"/>
        </w:rPr>
        <w:t xml:space="preserve">表2.4-4  </w:t>
      </w:r>
      <w:r>
        <w:rPr>
          <w:rFonts w:hint="eastAsia"/>
          <w:highlight w:val="none"/>
        </w:rPr>
        <w:t>摄像设备安装位置</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2"/>
        <w:gridCol w:w="4113"/>
        <w:gridCol w:w="1523"/>
        <w:gridCol w:w="2163"/>
      </w:tblGrid>
      <w:tr w14:paraId="0E096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blHeader/>
        </w:trPr>
        <w:tc>
          <w:tcPr>
            <w:tcW w:w="852" w:type="pct"/>
            <w:tcBorders>
              <w:top w:val="single" w:color="auto" w:sz="4" w:space="0"/>
            </w:tcBorders>
            <w:noWrap w:val="0"/>
            <w:vAlign w:val="center"/>
          </w:tcPr>
          <w:p w14:paraId="345EC2D0">
            <w:pPr>
              <w:pStyle w:val="32"/>
              <w:bidi w:val="0"/>
              <w:rPr>
                <w:rFonts w:hint="eastAsia"/>
                <w:highlight w:val="none"/>
              </w:rPr>
            </w:pPr>
            <w:r>
              <w:rPr>
                <w:rFonts w:hint="eastAsia"/>
                <w:highlight w:val="none"/>
              </w:rPr>
              <w:t>中段标高</w:t>
            </w:r>
          </w:p>
        </w:tc>
        <w:tc>
          <w:tcPr>
            <w:tcW w:w="2187" w:type="pct"/>
            <w:tcBorders>
              <w:top w:val="single" w:color="auto" w:sz="4" w:space="0"/>
            </w:tcBorders>
            <w:noWrap w:val="0"/>
            <w:vAlign w:val="center"/>
          </w:tcPr>
          <w:p w14:paraId="00B00C67">
            <w:pPr>
              <w:pStyle w:val="32"/>
              <w:bidi w:val="0"/>
              <w:rPr>
                <w:rFonts w:hint="eastAsia"/>
                <w:highlight w:val="none"/>
              </w:rPr>
            </w:pPr>
            <w:r>
              <w:rPr>
                <w:rFonts w:hint="eastAsia"/>
                <w:highlight w:val="none"/>
              </w:rPr>
              <w:t>安装地点</w:t>
            </w:r>
          </w:p>
        </w:tc>
        <w:tc>
          <w:tcPr>
            <w:tcW w:w="810" w:type="pct"/>
            <w:tcBorders>
              <w:top w:val="single" w:color="auto" w:sz="4" w:space="0"/>
            </w:tcBorders>
            <w:noWrap w:val="0"/>
            <w:vAlign w:val="center"/>
          </w:tcPr>
          <w:p w14:paraId="5411F169">
            <w:pPr>
              <w:pStyle w:val="32"/>
              <w:bidi w:val="0"/>
              <w:rPr>
                <w:rFonts w:hint="eastAsia"/>
                <w:highlight w:val="none"/>
              </w:rPr>
            </w:pPr>
            <w:r>
              <w:rPr>
                <w:rFonts w:hint="eastAsia"/>
                <w:highlight w:val="none"/>
              </w:rPr>
              <w:t>安装数量</w:t>
            </w:r>
          </w:p>
        </w:tc>
        <w:tc>
          <w:tcPr>
            <w:tcW w:w="1150" w:type="pct"/>
            <w:tcBorders>
              <w:top w:val="single" w:color="auto" w:sz="4" w:space="0"/>
            </w:tcBorders>
            <w:noWrap w:val="0"/>
            <w:vAlign w:val="center"/>
          </w:tcPr>
          <w:p w14:paraId="1A654F47">
            <w:pPr>
              <w:pStyle w:val="32"/>
              <w:bidi w:val="0"/>
              <w:rPr>
                <w:rFonts w:hint="eastAsia"/>
                <w:highlight w:val="none"/>
              </w:rPr>
            </w:pPr>
            <w:r>
              <w:rPr>
                <w:rFonts w:hint="eastAsia"/>
                <w:highlight w:val="none"/>
              </w:rPr>
              <w:t>备　注</w:t>
            </w:r>
          </w:p>
        </w:tc>
      </w:tr>
      <w:tr w14:paraId="6A75C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5351422E">
            <w:pPr>
              <w:pStyle w:val="32"/>
              <w:bidi w:val="0"/>
              <w:rPr>
                <w:rFonts w:hint="eastAsia"/>
                <w:highlight w:val="none"/>
              </w:rPr>
            </w:pPr>
            <w:r>
              <w:rPr>
                <w:rFonts w:hint="eastAsia"/>
                <w:highlight w:val="none"/>
                <w:lang w:val="en-US" w:eastAsia="zh-CN"/>
              </w:rPr>
              <w:t>地表</w:t>
            </w:r>
          </w:p>
        </w:tc>
        <w:tc>
          <w:tcPr>
            <w:tcW w:w="2187" w:type="pct"/>
            <w:noWrap w:val="0"/>
            <w:vAlign w:val="center"/>
          </w:tcPr>
          <w:p w14:paraId="77C73C9D">
            <w:pPr>
              <w:pStyle w:val="32"/>
              <w:bidi w:val="0"/>
              <w:rPr>
                <w:rFonts w:hint="eastAsia"/>
                <w:highlight w:val="none"/>
                <w:lang w:val="en-US" w:eastAsia="zh-CN"/>
              </w:rPr>
            </w:pPr>
            <w:r>
              <w:rPr>
                <w:rFonts w:hint="eastAsia"/>
                <w:highlight w:val="none"/>
                <w:lang w:val="en-US" w:eastAsia="zh-CN"/>
              </w:rPr>
              <w:t>斜坡道硐口、回风竖井井口</w:t>
            </w:r>
          </w:p>
        </w:tc>
        <w:tc>
          <w:tcPr>
            <w:tcW w:w="810" w:type="pct"/>
            <w:noWrap w:val="0"/>
            <w:vAlign w:val="center"/>
          </w:tcPr>
          <w:p w14:paraId="0382A446">
            <w:pPr>
              <w:pStyle w:val="32"/>
              <w:bidi w:val="0"/>
              <w:rPr>
                <w:rFonts w:hint="eastAsia"/>
                <w:highlight w:val="none"/>
                <w:lang w:val="en-US" w:eastAsia="zh-CN"/>
              </w:rPr>
            </w:pPr>
            <w:r>
              <w:rPr>
                <w:rFonts w:hint="eastAsia"/>
                <w:highlight w:val="none"/>
                <w:lang w:val="en-US" w:eastAsia="zh-CN"/>
              </w:rPr>
              <w:t>2</w:t>
            </w:r>
          </w:p>
        </w:tc>
        <w:tc>
          <w:tcPr>
            <w:tcW w:w="1150" w:type="pct"/>
            <w:vMerge w:val="restart"/>
            <w:noWrap w:val="0"/>
            <w:vAlign w:val="center"/>
          </w:tcPr>
          <w:p w14:paraId="3590E331">
            <w:pPr>
              <w:pStyle w:val="32"/>
              <w:bidi w:val="0"/>
              <w:rPr>
                <w:rFonts w:hint="eastAsia"/>
                <w:highlight w:val="none"/>
              </w:rPr>
            </w:pPr>
            <w:r>
              <w:rPr>
                <w:rFonts w:hint="eastAsia"/>
                <w:highlight w:val="none"/>
              </w:rPr>
              <w:t>可重复利用前期工程摄像设备，必要时需购买新设备</w:t>
            </w:r>
          </w:p>
        </w:tc>
      </w:tr>
      <w:tr w14:paraId="76EB5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23AFCDEF">
            <w:pPr>
              <w:pStyle w:val="32"/>
              <w:bidi w:val="0"/>
              <w:rPr>
                <w:rFonts w:hint="eastAsia"/>
                <w:highlight w:val="none"/>
                <w:lang w:val="en-US" w:eastAsia="zh-CN"/>
              </w:rPr>
            </w:pPr>
            <w:r>
              <w:rPr>
                <w:rFonts w:hint="eastAsia"/>
                <w:highlight w:val="none"/>
                <w:lang w:val="en-US" w:eastAsia="zh-CN"/>
              </w:rPr>
              <w:t>138m中段</w:t>
            </w:r>
          </w:p>
        </w:tc>
        <w:tc>
          <w:tcPr>
            <w:tcW w:w="2187" w:type="pct"/>
            <w:noWrap w:val="0"/>
            <w:vAlign w:val="center"/>
          </w:tcPr>
          <w:p w14:paraId="206FD834">
            <w:pPr>
              <w:pStyle w:val="32"/>
              <w:bidi w:val="0"/>
              <w:rPr>
                <w:rFonts w:hint="default"/>
                <w:highlight w:val="none"/>
                <w:lang w:val="en-US" w:eastAsia="zh-CN"/>
              </w:rPr>
            </w:pPr>
            <w:r>
              <w:rPr>
                <w:rFonts w:hint="eastAsia"/>
                <w:highlight w:val="none"/>
                <w:lang w:val="en-US" w:eastAsia="zh-CN"/>
              </w:rPr>
              <w:t>斜坡道车场</w:t>
            </w:r>
          </w:p>
        </w:tc>
        <w:tc>
          <w:tcPr>
            <w:tcW w:w="810" w:type="pct"/>
            <w:noWrap w:val="0"/>
            <w:vAlign w:val="center"/>
          </w:tcPr>
          <w:p w14:paraId="68CABD9B">
            <w:pPr>
              <w:pStyle w:val="32"/>
              <w:bidi w:val="0"/>
              <w:rPr>
                <w:rFonts w:hint="eastAsia"/>
                <w:highlight w:val="none"/>
                <w:lang w:val="en-US" w:eastAsia="zh-CN"/>
              </w:rPr>
            </w:pPr>
            <w:r>
              <w:rPr>
                <w:rFonts w:hint="eastAsia"/>
                <w:highlight w:val="none"/>
                <w:lang w:val="en-US" w:eastAsia="zh-CN"/>
              </w:rPr>
              <w:t>1</w:t>
            </w:r>
          </w:p>
        </w:tc>
        <w:tc>
          <w:tcPr>
            <w:tcW w:w="1150" w:type="pct"/>
            <w:vMerge w:val="continue"/>
            <w:noWrap w:val="0"/>
            <w:vAlign w:val="center"/>
          </w:tcPr>
          <w:p w14:paraId="1263A8C1">
            <w:pPr>
              <w:pStyle w:val="32"/>
              <w:bidi w:val="0"/>
              <w:rPr>
                <w:rFonts w:hint="eastAsia"/>
                <w:highlight w:val="none"/>
              </w:rPr>
            </w:pPr>
          </w:p>
        </w:tc>
      </w:tr>
      <w:tr w14:paraId="0BCE6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20608B32">
            <w:pPr>
              <w:pStyle w:val="32"/>
              <w:bidi w:val="0"/>
              <w:rPr>
                <w:rFonts w:hint="eastAsia"/>
                <w:highlight w:val="none"/>
                <w:lang w:val="en-US" w:eastAsia="zh-CN"/>
              </w:rPr>
            </w:pPr>
            <w:r>
              <w:rPr>
                <w:rFonts w:hint="eastAsia"/>
                <w:highlight w:val="none"/>
                <w:lang w:val="en-US" w:eastAsia="zh-CN"/>
              </w:rPr>
              <w:t>108m中段</w:t>
            </w:r>
          </w:p>
        </w:tc>
        <w:tc>
          <w:tcPr>
            <w:tcW w:w="2187" w:type="pct"/>
            <w:noWrap w:val="0"/>
            <w:vAlign w:val="center"/>
          </w:tcPr>
          <w:p w14:paraId="0725FA57">
            <w:pPr>
              <w:pStyle w:val="32"/>
              <w:bidi w:val="0"/>
              <w:rPr>
                <w:rFonts w:hint="eastAsia"/>
                <w:highlight w:val="none"/>
                <w:lang w:val="en-US" w:eastAsia="zh-CN"/>
              </w:rPr>
            </w:pPr>
            <w:r>
              <w:rPr>
                <w:rFonts w:hint="eastAsia"/>
                <w:highlight w:val="none"/>
                <w:lang w:val="en-US" w:eastAsia="zh-CN"/>
              </w:rPr>
              <w:t>斜坡道车场</w:t>
            </w:r>
          </w:p>
        </w:tc>
        <w:tc>
          <w:tcPr>
            <w:tcW w:w="810" w:type="pct"/>
            <w:noWrap w:val="0"/>
            <w:vAlign w:val="center"/>
          </w:tcPr>
          <w:p w14:paraId="206CD3AB">
            <w:pPr>
              <w:pStyle w:val="32"/>
              <w:bidi w:val="0"/>
              <w:rPr>
                <w:rFonts w:hint="eastAsia"/>
                <w:highlight w:val="none"/>
                <w:lang w:val="en-US" w:eastAsia="zh-CN"/>
              </w:rPr>
            </w:pPr>
            <w:r>
              <w:rPr>
                <w:rFonts w:hint="eastAsia"/>
                <w:highlight w:val="none"/>
                <w:lang w:val="en-US" w:eastAsia="zh-CN"/>
              </w:rPr>
              <w:t>1</w:t>
            </w:r>
          </w:p>
        </w:tc>
        <w:tc>
          <w:tcPr>
            <w:tcW w:w="1150" w:type="pct"/>
            <w:vMerge w:val="continue"/>
            <w:noWrap w:val="0"/>
            <w:vAlign w:val="center"/>
          </w:tcPr>
          <w:p w14:paraId="17F4C833">
            <w:pPr>
              <w:pStyle w:val="32"/>
              <w:bidi w:val="0"/>
              <w:rPr>
                <w:rFonts w:hint="eastAsia"/>
                <w:highlight w:val="none"/>
              </w:rPr>
            </w:pPr>
          </w:p>
        </w:tc>
      </w:tr>
      <w:tr w14:paraId="442DB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70B96979">
            <w:pPr>
              <w:pStyle w:val="32"/>
              <w:bidi w:val="0"/>
              <w:rPr>
                <w:rFonts w:hint="eastAsia"/>
                <w:highlight w:val="none"/>
                <w:lang w:val="en-US" w:eastAsia="zh-CN"/>
              </w:rPr>
            </w:pPr>
            <w:r>
              <w:rPr>
                <w:rFonts w:hint="eastAsia"/>
                <w:highlight w:val="none"/>
                <w:lang w:val="en-US" w:eastAsia="zh-CN"/>
              </w:rPr>
              <w:t>63m中段</w:t>
            </w:r>
          </w:p>
        </w:tc>
        <w:tc>
          <w:tcPr>
            <w:tcW w:w="2187" w:type="pct"/>
            <w:noWrap w:val="0"/>
            <w:vAlign w:val="center"/>
          </w:tcPr>
          <w:p w14:paraId="2F16556C">
            <w:pPr>
              <w:pStyle w:val="32"/>
              <w:bidi w:val="0"/>
              <w:rPr>
                <w:rFonts w:hint="eastAsia"/>
                <w:highlight w:val="none"/>
                <w:lang w:val="en-US" w:eastAsia="zh-CN"/>
              </w:rPr>
            </w:pPr>
            <w:r>
              <w:rPr>
                <w:rFonts w:hint="eastAsia"/>
                <w:highlight w:val="none"/>
                <w:lang w:val="en-US" w:eastAsia="zh-CN"/>
              </w:rPr>
              <w:t>斜坡道车场</w:t>
            </w:r>
          </w:p>
        </w:tc>
        <w:tc>
          <w:tcPr>
            <w:tcW w:w="810" w:type="pct"/>
            <w:noWrap w:val="0"/>
            <w:vAlign w:val="center"/>
          </w:tcPr>
          <w:p w14:paraId="480EEE15">
            <w:pPr>
              <w:pStyle w:val="32"/>
              <w:bidi w:val="0"/>
              <w:rPr>
                <w:rFonts w:hint="eastAsia"/>
                <w:highlight w:val="none"/>
                <w:lang w:val="en-US" w:eastAsia="zh-CN"/>
              </w:rPr>
            </w:pPr>
            <w:r>
              <w:rPr>
                <w:rFonts w:hint="eastAsia"/>
                <w:highlight w:val="none"/>
                <w:lang w:val="en-US" w:eastAsia="zh-CN"/>
              </w:rPr>
              <w:t>1</w:t>
            </w:r>
          </w:p>
        </w:tc>
        <w:tc>
          <w:tcPr>
            <w:tcW w:w="1150" w:type="pct"/>
            <w:vMerge w:val="continue"/>
            <w:noWrap w:val="0"/>
            <w:vAlign w:val="center"/>
          </w:tcPr>
          <w:p w14:paraId="3D0D98F4">
            <w:pPr>
              <w:pStyle w:val="32"/>
              <w:bidi w:val="0"/>
              <w:rPr>
                <w:rFonts w:hint="eastAsia"/>
                <w:highlight w:val="none"/>
              </w:rPr>
            </w:pPr>
          </w:p>
        </w:tc>
      </w:tr>
      <w:tr w14:paraId="60D0F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03D48ED1">
            <w:pPr>
              <w:pStyle w:val="32"/>
              <w:bidi w:val="0"/>
              <w:rPr>
                <w:rFonts w:hint="eastAsia"/>
                <w:highlight w:val="none"/>
                <w:lang w:val="en-US" w:eastAsia="zh-CN"/>
              </w:rPr>
            </w:pPr>
            <w:r>
              <w:rPr>
                <w:rFonts w:hint="eastAsia"/>
                <w:highlight w:val="none"/>
                <w:lang w:val="en-US" w:eastAsia="zh-CN"/>
              </w:rPr>
              <w:t>18m中段</w:t>
            </w:r>
          </w:p>
        </w:tc>
        <w:tc>
          <w:tcPr>
            <w:tcW w:w="2187" w:type="pct"/>
            <w:noWrap w:val="0"/>
            <w:vAlign w:val="center"/>
          </w:tcPr>
          <w:p w14:paraId="2C362C9B">
            <w:pPr>
              <w:pStyle w:val="32"/>
              <w:bidi w:val="0"/>
              <w:rPr>
                <w:rFonts w:hint="eastAsia"/>
                <w:highlight w:val="none"/>
                <w:lang w:val="en-US" w:eastAsia="zh-CN"/>
              </w:rPr>
            </w:pPr>
            <w:r>
              <w:rPr>
                <w:rFonts w:hint="eastAsia"/>
                <w:highlight w:val="none"/>
                <w:lang w:val="en-US" w:eastAsia="zh-CN"/>
              </w:rPr>
              <w:t>斜坡道车场</w:t>
            </w:r>
          </w:p>
        </w:tc>
        <w:tc>
          <w:tcPr>
            <w:tcW w:w="810" w:type="pct"/>
            <w:noWrap w:val="0"/>
            <w:vAlign w:val="center"/>
          </w:tcPr>
          <w:p w14:paraId="78D21038">
            <w:pPr>
              <w:pStyle w:val="32"/>
              <w:bidi w:val="0"/>
              <w:rPr>
                <w:rFonts w:hint="default"/>
                <w:highlight w:val="none"/>
                <w:lang w:val="en-US" w:eastAsia="zh-CN"/>
              </w:rPr>
            </w:pPr>
            <w:r>
              <w:rPr>
                <w:rFonts w:hint="eastAsia"/>
                <w:highlight w:val="none"/>
                <w:lang w:val="en-US" w:eastAsia="zh-CN"/>
              </w:rPr>
              <w:t>1</w:t>
            </w:r>
          </w:p>
        </w:tc>
        <w:tc>
          <w:tcPr>
            <w:tcW w:w="1150" w:type="pct"/>
            <w:vMerge w:val="continue"/>
            <w:noWrap w:val="0"/>
            <w:vAlign w:val="center"/>
          </w:tcPr>
          <w:p w14:paraId="1E8F76A2">
            <w:pPr>
              <w:pStyle w:val="32"/>
              <w:bidi w:val="0"/>
              <w:rPr>
                <w:rFonts w:hint="eastAsia"/>
                <w:highlight w:val="none"/>
              </w:rPr>
            </w:pPr>
          </w:p>
        </w:tc>
      </w:tr>
      <w:tr w14:paraId="0386F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852" w:type="pct"/>
            <w:noWrap w:val="0"/>
            <w:vAlign w:val="center"/>
          </w:tcPr>
          <w:p w14:paraId="3F2DD4D4">
            <w:pPr>
              <w:pStyle w:val="32"/>
              <w:bidi w:val="0"/>
              <w:rPr>
                <w:rFonts w:hint="eastAsia"/>
                <w:highlight w:val="none"/>
                <w:lang w:val="en-US" w:eastAsia="zh-CN"/>
              </w:rPr>
            </w:pPr>
            <w:r>
              <w:rPr>
                <w:rFonts w:hint="eastAsia"/>
                <w:highlight w:val="none"/>
                <w:lang w:val="en-US" w:eastAsia="zh-CN"/>
              </w:rPr>
              <w:t>-27m中段</w:t>
            </w:r>
          </w:p>
        </w:tc>
        <w:tc>
          <w:tcPr>
            <w:tcW w:w="2187" w:type="pct"/>
            <w:noWrap w:val="0"/>
            <w:vAlign w:val="center"/>
          </w:tcPr>
          <w:p w14:paraId="0D076E8E">
            <w:pPr>
              <w:pStyle w:val="32"/>
              <w:bidi w:val="0"/>
              <w:rPr>
                <w:rFonts w:hint="eastAsia"/>
                <w:highlight w:val="none"/>
                <w:lang w:val="en-US" w:eastAsia="zh-CN"/>
              </w:rPr>
            </w:pPr>
            <w:r>
              <w:rPr>
                <w:rFonts w:hint="eastAsia"/>
                <w:highlight w:val="none"/>
                <w:lang w:val="en-US" w:eastAsia="zh-CN"/>
              </w:rPr>
              <w:t>斜坡道车场、水泵硐室、</w:t>
            </w:r>
          </w:p>
          <w:p w14:paraId="13F75A50">
            <w:pPr>
              <w:pStyle w:val="32"/>
              <w:bidi w:val="0"/>
              <w:rPr>
                <w:rFonts w:hint="eastAsia"/>
                <w:highlight w:val="none"/>
                <w:lang w:val="en-US" w:eastAsia="zh-CN"/>
              </w:rPr>
            </w:pPr>
            <w:r>
              <w:rPr>
                <w:rFonts w:hint="eastAsia"/>
                <w:highlight w:val="none"/>
                <w:lang w:val="en-US" w:eastAsia="zh-CN"/>
              </w:rPr>
              <w:t>中央变电硐室</w:t>
            </w:r>
          </w:p>
        </w:tc>
        <w:tc>
          <w:tcPr>
            <w:tcW w:w="810" w:type="pct"/>
            <w:noWrap w:val="0"/>
            <w:vAlign w:val="center"/>
          </w:tcPr>
          <w:p w14:paraId="4EDD70AF">
            <w:pPr>
              <w:pStyle w:val="32"/>
              <w:bidi w:val="0"/>
              <w:rPr>
                <w:rFonts w:hint="eastAsia"/>
                <w:highlight w:val="none"/>
                <w:lang w:val="en-US" w:eastAsia="zh-CN"/>
              </w:rPr>
            </w:pPr>
            <w:r>
              <w:rPr>
                <w:rFonts w:hint="eastAsia"/>
                <w:highlight w:val="none"/>
                <w:lang w:val="en-US" w:eastAsia="zh-CN"/>
              </w:rPr>
              <w:t>2</w:t>
            </w:r>
          </w:p>
        </w:tc>
        <w:tc>
          <w:tcPr>
            <w:tcW w:w="1150" w:type="pct"/>
            <w:vMerge w:val="continue"/>
            <w:noWrap w:val="0"/>
            <w:vAlign w:val="center"/>
          </w:tcPr>
          <w:p w14:paraId="2B604AE2">
            <w:pPr>
              <w:pStyle w:val="32"/>
              <w:bidi w:val="0"/>
              <w:rPr>
                <w:rFonts w:hint="eastAsia"/>
                <w:highlight w:val="none"/>
              </w:rPr>
            </w:pPr>
          </w:p>
        </w:tc>
      </w:tr>
    </w:tbl>
    <w:p w14:paraId="15F022E9">
      <w:pPr>
        <w:pStyle w:val="22"/>
        <w:bidi w:val="0"/>
        <w:rPr>
          <w:rFonts w:hint="eastAsia"/>
          <w:highlight w:val="none"/>
        </w:rPr>
      </w:pPr>
      <w:r>
        <w:rPr>
          <w:rFonts w:hint="eastAsia"/>
          <w:highlight w:val="none"/>
          <w:lang w:val="en-US" w:eastAsia="zh-CN"/>
        </w:rPr>
        <w:t>③</w:t>
      </w:r>
      <w:r>
        <w:rPr>
          <w:rFonts w:hint="eastAsia"/>
          <w:highlight w:val="none"/>
        </w:rPr>
        <w:t>本视频监控设计主要设备参数、功能：</w:t>
      </w:r>
    </w:p>
    <w:p w14:paraId="479E8263">
      <w:pPr>
        <w:pStyle w:val="22"/>
        <w:bidi w:val="0"/>
        <w:rPr>
          <w:rFonts w:hint="eastAsia"/>
          <w:highlight w:val="none"/>
        </w:rPr>
      </w:pPr>
      <w:r>
        <w:rPr>
          <w:rFonts w:hint="eastAsia"/>
          <w:highlight w:val="none"/>
        </w:rPr>
        <w:t>——硬盘录像机，配置智能46寸显示器；</w:t>
      </w:r>
    </w:p>
    <w:p w14:paraId="6762EC16">
      <w:pPr>
        <w:pStyle w:val="22"/>
        <w:bidi w:val="0"/>
        <w:rPr>
          <w:rFonts w:hint="eastAsia"/>
          <w:highlight w:val="none"/>
        </w:rPr>
      </w:pPr>
      <w:r>
        <w:rPr>
          <w:rFonts w:hint="eastAsia"/>
          <w:highlight w:val="none"/>
        </w:rPr>
        <w:t>——硬盘采用</w:t>
      </w:r>
      <w:r>
        <w:rPr>
          <w:rFonts w:hint="eastAsia"/>
          <w:highlight w:val="none"/>
          <w:lang w:val="en-US" w:eastAsia="zh-CN"/>
        </w:rPr>
        <w:t>2</w:t>
      </w:r>
      <w:r>
        <w:rPr>
          <w:rFonts w:hint="eastAsia"/>
          <w:highlight w:val="none"/>
        </w:rPr>
        <w:t>T专用硬盘，能满足信息存储要求；</w:t>
      </w:r>
    </w:p>
    <w:p w14:paraId="07BDF752">
      <w:pPr>
        <w:pStyle w:val="22"/>
        <w:bidi w:val="0"/>
        <w:rPr>
          <w:rFonts w:hint="eastAsia"/>
          <w:highlight w:val="none"/>
        </w:rPr>
      </w:pPr>
      <w:r>
        <w:rPr>
          <w:rFonts w:hint="eastAsia"/>
          <w:highlight w:val="none"/>
        </w:rPr>
        <w:t>——光缆选用阻燃光缆。</w:t>
      </w:r>
    </w:p>
    <w:p w14:paraId="010AC5AB">
      <w:pPr>
        <w:pStyle w:val="22"/>
        <w:bidi w:val="0"/>
        <w:rPr>
          <w:rFonts w:hint="eastAsia"/>
          <w:highlight w:val="none"/>
        </w:rPr>
      </w:pPr>
      <w:r>
        <w:rPr>
          <w:rFonts w:hint="eastAsia"/>
          <w:highlight w:val="none"/>
        </w:rPr>
        <w:t>视频监控系统设备配置量，见</w:t>
      </w:r>
      <w:r>
        <w:rPr>
          <w:rFonts w:hint="eastAsia"/>
          <w:highlight w:val="none"/>
          <w:lang w:val="en-US" w:eastAsia="zh-CN"/>
        </w:rPr>
        <w:t>表2.4-5</w:t>
      </w:r>
      <w:r>
        <w:rPr>
          <w:rFonts w:hint="eastAsia"/>
          <w:highlight w:val="none"/>
        </w:rPr>
        <w:t>。</w:t>
      </w:r>
    </w:p>
    <w:p w14:paraId="24D8C351">
      <w:pPr>
        <w:pStyle w:val="31"/>
        <w:bidi w:val="0"/>
        <w:rPr>
          <w:rFonts w:hint="eastAsia"/>
          <w:highlight w:val="none"/>
          <w:lang w:val="en-US" w:eastAsia="zh-CN"/>
        </w:rPr>
      </w:pPr>
      <w:r>
        <w:rPr>
          <w:rFonts w:hint="eastAsia"/>
          <w:highlight w:val="none"/>
          <w:lang w:val="en-US" w:eastAsia="zh-CN"/>
        </w:rPr>
        <w:t xml:space="preserve">表2.4-5  </w:t>
      </w:r>
      <w:r>
        <w:rPr>
          <w:rFonts w:hint="eastAsia"/>
          <w:highlight w:val="none"/>
        </w:rPr>
        <w:t>视频监控系统设备配置表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8"/>
        <w:gridCol w:w="3563"/>
        <w:gridCol w:w="1158"/>
        <w:gridCol w:w="1158"/>
        <w:gridCol w:w="2360"/>
      </w:tblGrid>
      <w:tr w14:paraId="09A05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616" w:type="pct"/>
            <w:tcBorders>
              <w:top w:val="single" w:color="auto" w:sz="4" w:space="0"/>
            </w:tcBorders>
            <w:noWrap w:val="0"/>
            <w:vAlign w:val="center"/>
          </w:tcPr>
          <w:p w14:paraId="4168CFA0">
            <w:pPr>
              <w:pStyle w:val="32"/>
              <w:bidi w:val="0"/>
              <w:rPr>
                <w:rFonts w:hint="eastAsia"/>
                <w:highlight w:val="none"/>
              </w:rPr>
            </w:pPr>
            <w:r>
              <w:rPr>
                <w:rFonts w:hint="eastAsia"/>
                <w:highlight w:val="none"/>
              </w:rPr>
              <w:t>序号</w:t>
            </w:r>
          </w:p>
        </w:tc>
        <w:tc>
          <w:tcPr>
            <w:tcW w:w="1895" w:type="pct"/>
            <w:tcBorders>
              <w:top w:val="single" w:color="auto" w:sz="4" w:space="0"/>
            </w:tcBorders>
            <w:noWrap w:val="0"/>
            <w:vAlign w:val="center"/>
          </w:tcPr>
          <w:p w14:paraId="6F771A21">
            <w:pPr>
              <w:pStyle w:val="32"/>
              <w:bidi w:val="0"/>
              <w:rPr>
                <w:rFonts w:hint="eastAsia"/>
                <w:highlight w:val="none"/>
              </w:rPr>
            </w:pPr>
            <w:r>
              <w:rPr>
                <w:rFonts w:hint="eastAsia"/>
                <w:highlight w:val="none"/>
              </w:rPr>
              <w:t>设备名称</w:t>
            </w:r>
          </w:p>
        </w:tc>
        <w:tc>
          <w:tcPr>
            <w:tcW w:w="616" w:type="pct"/>
            <w:tcBorders>
              <w:top w:val="single" w:color="auto" w:sz="4" w:space="0"/>
            </w:tcBorders>
            <w:noWrap w:val="0"/>
            <w:vAlign w:val="center"/>
          </w:tcPr>
          <w:p w14:paraId="7591EA3F">
            <w:pPr>
              <w:pStyle w:val="32"/>
              <w:bidi w:val="0"/>
              <w:rPr>
                <w:rFonts w:hint="eastAsia"/>
                <w:highlight w:val="none"/>
              </w:rPr>
            </w:pPr>
            <w:r>
              <w:rPr>
                <w:rFonts w:hint="eastAsia"/>
                <w:highlight w:val="none"/>
              </w:rPr>
              <w:t>数量</w:t>
            </w:r>
          </w:p>
        </w:tc>
        <w:tc>
          <w:tcPr>
            <w:tcW w:w="616" w:type="pct"/>
            <w:tcBorders>
              <w:top w:val="single" w:color="auto" w:sz="4" w:space="0"/>
            </w:tcBorders>
            <w:noWrap w:val="0"/>
            <w:vAlign w:val="center"/>
          </w:tcPr>
          <w:p w14:paraId="25E7282A">
            <w:pPr>
              <w:pStyle w:val="32"/>
              <w:bidi w:val="0"/>
              <w:rPr>
                <w:rFonts w:hint="eastAsia"/>
                <w:highlight w:val="none"/>
              </w:rPr>
            </w:pPr>
            <w:r>
              <w:rPr>
                <w:rFonts w:hint="eastAsia"/>
                <w:highlight w:val="none"/>
              </w:rPr>
              <w:t>单位</w:t>
            </w:r>
          </w:p>
        </w:tc>
        <w:tc>
          <w:tcPr>
            <w:tcW w:w="1255" w:type="pct"/>
            <w:tcBorders>
              <w:top w:val="single" w:color="auto" w:sz="4" w:space="0"/>
            </w:tcBorders>
            <w:noWrap w:val="0"/>
            <w:vAlign w:val="center"/>
          </w:tcPr>
          <w:p w14:paraId="0A700523">
            <w:pPr>
              <w:pStyle w:val="32"/>
              <w:bidi w:val="0"/>
              <w:rPr>
                <w:rFonts w:hint="eastAsia"/>
                <w:highlight w:val="none"/>
              </w:rPr>
            </w:pPr>
            <w:r>
              <w:rPr>
                <w:rFonts w:hint="eastAsia"/>
                <w:highlight w:val="none"/>
              </w:rPr>
              <w:t>备注</w:t>
            </w:r>
          </w:p>
        </w:tc>
      </w:tr>
      <w:tr w14:paraId="1E9D7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4983AF43">
            <w:pPr>
              <w:pStyle w:val="32"/>
              <w:bidi w:val="0"/>
              <w:rPr>
                <w:rFonts w:hint="eastAsia"/>
                <w:highlight w:val="none"/>
              </w:rPr>
            </w:pPr>
            <w:r>
              <w:rPr>
                <w:rFonts w:hint="eastAsia"/>
                <w:highlight w:val="none"/>
              </w:rPr>
              <w:t>1</w:t>
            </w:r>
          </w:p>
        </w:tc>
        <w:tc>
          <w:tcPr>
            <w:tcW w:w="1895" w:type="pct"/>
            <w:noWrap w:val="0"/>
            <w:vAlign w:val="center"/>
          </w:tcPr>
          <w:p w14:paraId="5339A678">
            <w:pPr>
              <w:pStyle w:val="32"/>
              <w:bidi w:val="0"/>
              <w:rPr>
                <w:rFonts w:hint="eastAsia"/>
                <w:highlight w:val="none"/>
              </w:rPr>
            </w:pPr>
            <w:r>
              <w:rPr>
                <w:rFonts w:hint="eastAsia"/>
                <w:highlight w:val="none"/>
              </w:rPr>
              <w:t>视频服务器</w:t>
            </w:r>
          </w:p>
        </w:tc>
        <w:tc>
          <w:tcPr>
            <w:tcW w:w="616" w:type="pct"/>
            <w:noWrap w:val="0"/>
            <w:vAlign w:val="center"/>
          </w:tcPr>
          <w:p w14:paraId="064FD09C">
            <w:pPr>
              <w:pStyle w:val="32"/>
              <w:bidi w:val="0"/>
              <w:rPr>
                <w:rFonts w:hint="eastAsia"/>
                <w:highlight w:val="none"/>
              </w:rPr>
            </w:pPr>
            <w:r>
              <w:rPr>
                <w:rFonts w:hint="eastAsia"/>
                <w:highlight w:val="none"/>
              </w:rPr>
              <w:t>1</w:t>
            </w:r>
          </w:p>
        </w:tc>
        <w:tc>
          <w:tcPr>
            <w:tcW w:w="616" w:type="pct"/>
            <w:noWrap w:val="0"/>
            <w:vAlign w:val="center"/>
          </w:tcPr>
          <w:p w14:paraId="6FAAD581">
            <w:pPr>
              <w:pStyle w:val="32"/>
              <w:bidi w:val="0"/>
              <w:rPr>
                <w:rFonts w:hint="eastAsia"/>
                <w:highlight w:val="none"/>
              </w:rPr>
            </w:pPr>
            <w:r>
              <w:rPr>
                <w:rFonts w:hint="eastAsia"/>
                <w:highlight w:val="none"/>
              </w:rPr>
              <w:t>套</w:t>
            </w:r>
          </w:p>
        </w:tc>
        <w:tc>
          <w:tcPr>
            <w:tcW w:w="1255" w:type="pct"/>
            <w:noWrap w:val="0"/>
            <w:vAlign w:val="center"/>
          </w:tcPr>
          <w:p w14:paraId="484ACB01">
            <w:pPr>
              <w:pStyle w:val="32"/>
              <w:bidi w:val="0"/>
              <w:rPr>
                <w:rFonts w:hint="eastAsia"/>
                <w:highlight w:val="none"/>
              </w:rPr>
            </w:pPr>
          </w:p>
        </w:tc>
      </w:tr>
      <w:tr w14:paraId="56823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56BC9C81">
            <w:pPr>
              <w:pStyle w:val="32"/>
              <w:bidi w:val="0"/>
              <w:rPr>
                <w:rFonts w:hint="eastAsia"/>
                <w:highlight w:val="none"/>
              </w:rPr>
            </w:pPr>
            <w:r>
              <w:rPr>
                <w:rFonts w:hint="eastAsia"/>
                <w:highlight w:val="none"/>
              </w:rPr>
              <w:t>2</w:t>
            </w:r>
          </w:p>
        </w:tc>
        <w:tc>
          <w:tcPr>
            <w:tcW w:w="1895" w:type="pct"/>
            <w:noWrap w:val="0"/>
            <w:vAlign w:val="center"/>
          </w:tcPr>
          <w:p w14:paraId="17D70F72">
            <w:pPr>
              <w:pStyle w:val="32"/>
              <w:bidi w:val="0"/>
              <w:rPr>
                <w:rFonts w:hint="eastAsia"/>
                <w:highlight w:val="none"/>
              </w:rPr>
            </w:pPr>
            <w:r>
              <w:rPr>
                <w:rFonts w:hint="eastAsia"/>
                <w:highlight w:val="none"/>
              </w:rPr>
              <w:t>硬盘</w:t>
            </w:r>
          </w:p>
        </w:tc>
        <w:tc>
          <w:tcPr>
            <w:tcW w:w="616" w:type="pct"/>
            <w:noWrap w:val="0"/>
            <w:vAlign w:val="center"/>
          </w:tcPr>
          <w:p w14:paraId="395DACD4">
            <w:pPr>
              <w:pStyle w:val="32"/>
              <w:bidi w:val="0"/>
              <w:rPr>
                <w:rFonts w:hint="eastAsia"/>
                <w:highlight w:val="none"/>
                <w:lang w:eastAsia="zh-CN"/>
              </w:rPr>
            </w:pPr>
            <w:r>
              <w:rPr>
                <w:rFonts w:hint="eastAsia"/>
                <w:highlight w:val="none"/>
                <w:lang w:val="en-US" w:eastAsia="zh-CN"/>
              </w:rPr>
              <w:t>4</w:t>
            </w:r>
          </w:p>
        </w:tc>
        <w:tc>
          <w:tcPr>
            <w:tcW w:w="616" w:type="pct"/>
            <w:noWrap w:val="0"/>
            <w:vAlign w:val="center"/>
          </w:tcPr>
          <w:p w14:paraId="3DD46096">
            <w:pPr>
              <w:pStyle w:val="32"/>
              <w:bidi w:val="0"/>
              <w:rPr>
                <w:rFonts w:hint="eastAsia"/>
                <w:highlight w:val="none"/>
              </w:rPr>
            </w:pPr>
            <w:r>
              <w:rPr>
                <w:rFonts w:hint="eastAsia"/>
                <w:highlight w:val="none"/>
              </w:rPr>
              <w:t>块</w:t>
            </w:r>
          </w:p>
        </w:tc>
        <w:tc>
          <w:tcPr>
            <w:tcW w:w="1255" w:type="pct"/>
            <w:noWrap w:val="0"/>
            <w:vAlign w:val="center"/>
          </w:tcPr>
          <w:p w14:paraId="17D2E306">
            <w:pPr>
              <w:pStyle w:val="32"/>
              <w:bidi w:val="0"/>
              <w:rPr>
                <w:rFonts w:hint="eastAsia"/>
                <w:highlight w:val="none"/>
              </w:rPr>
            </w:pPr>
          </w:p>
        </w:tc>
      </w:tr>
      <w:tr w14:paraId="6E774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0D8DAEF7">
            <w:pPr>
              <w:pStyle w:val="32"/>
              <w:bidi w:val="0"/>
              <w:rPr>
                <w:rFonts w:hint="eastAsia"/>
                <w:highlight w:val="none"/>
              </w:rPr>
            </w:pPr>
            <w:r>
              <w:rPr>
                <w:rFonts w:hint="eastAsia"/>
                <w:highlight w:val="none"/>
              </w:rPr>
              <w:t>3</w:t>
            </w:r>
          </w:p>
        </w:tc>
        <w:tc>
          <w:tcPr>
            <w:tcW w:w="1895" w:type="pct"/>
            <w:noWrap w:val="0"/>
            <w:vAlign w:val="center"/>
          </w:tcPr>
          <w:p w14:paraId="64C9E56E">
            <w:pPr>
              <w:pStyle w:val="32"/>
              <w:bidi w:val="0"/>
              <w:rPr>
                <w:rFonts w:hint="eastAsia"/>
                <w:highlight w:val="none"/>
              </w:rPr>
            </w:pPr>
            <w:r>
              <w:rPr>
                <w:rFonts w:hint="eastAsia"/>
                <w:highlight w:val="none"/>
              </w:rPr>
              <w:t>摄像机支架及电源</w:t>
            </w:r>
          </w:p>
        </w:tc>
        <w:tc>
          <w:tcPr>
            <w:tcW w:w="616" w:type="pct"/>
            <w:noWrap w:val="0"/>
            <w:vAlign w:val="center"/>
          </w:tcPr>
          <w:p w14:paraId="342580EA">
            <w:pPr>
              <w:pStyle w:val="32"/>
              <w:bidi w:val="0"/>
              <w:rPr>
                <w:rFonts w:hint="eastAsia"/>
                <w:highlight w:val="none"/>
                <w:lang w:eastAsia="zh-CN"/>
              </w:rPr>
            </w:pPr>
            <w:r>
              <w:rPr>
                <w:rFonts w:hint="eastAsia"/>
                <w:highlight w:val="none"/>
                <w:lang w:val="en-US" w:eastAsia="zh-CN"/>
              </w:rPr>
              <w:t>4</w:t>
            </w:r>
          </w:p>
        </w:tc>
        <w:tc>
          <w:tcPr>
            <w:tcW w:w="616" w:type="pct"/>
            <w:noWrap w:val="0"/>
            <w:vAlign w:val="center"/>
          </w:tcPr>
          <w:p w14:paraId="3BFE77E4">
            <w:pPr>
              <w:pStyle w:val="32"/>
              <w:bidi w:val="0"/>
              <w:rPr>
                <w:rFonts w:hint="eastAsia"/>
                <w:highlight w:val="none"/>
              </w:rPr>
            </w:pPr>
            <w:r>
              <w:rPr>
                <w:rFonts w:hint="eastAsia"/>
                <w:highlight w:val="none"/>
              </w:rPr>
              <w:t>台</w:t>
            </w:r>
          </w:p>
        </w:tc>
        <w:tc>
          <w:tcPr>
            <w:tcW w:w="1255" w:type="pct"/>
            <w:noWrap w:val="0"/>
            <w:vAlign w:val="center"/>
          </w:tcPr>
          <w:p w14:paraId="5F82DF31">
            <w:pPr>
              <w:pStyle w:val="32"/>
              <w:bidi w:val="0"/>
              <w:rPr>
                <w:rFonts w:hint="eastAsia"/>
                <w:highlight w:val="none"/>
              </w:rPr>
            </w:pPr>
          </w:p>
        </w:tc>
      </w:tr>
      <w:tr w14:paraId="78C58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29356DCE">
            <w:pPr>
              <w:pStyle w:val="32"/>
              <w:bidi w:val="0"/>
              <w:rPr>
                <w:rFonts w:hint="eastAsia"/>
                <w:highlight w:val="none"/>
              </w:rPr>
            </w:pPr>
            <w:r>
              <w:rPr>
                <w:rFonts w:hint="eastAsia"/>
                <w:highlight w:val="none"/>
              </w:rPr>
              <w:t>4</w:t>
            </w:r>
          </w:p>
        </w:tc>
        <w:tc>
          <w:tcPr>
            <w:tcW w:w="1895" w:type="pct"/>
            <w:noWrap w:val="0"/>
            <w:vAlign w:val="center"/>
          </w:tcPr>
          <w:p w14:paraId="1D341D99">
            <w:pPr>
              <w:pStyle w:val="32"/>
              <w:bidi w:val="0"/>
              <w:rPr>
                <w:rFonts w:hint="eastAsia"/>
                <w:highlight w:val="none"/>
              </w:rPr>
            </w:pPr>
            <w:r>
              <w:rPr>
                <w:rFonts w:hint="eastAsia"/>
                <w:highlight w:val="none"/>
              </w:rPr>
              <w:t>硬盘录象机</w:t>
            </w:r>
          </w:p>
        </w:tc>
        <w:tc>
          <w:tcPr>
            <w:tcW w:w="616" w:type="pct"/>
            <w:noWrap w:val="0"/>
            <w:vAlign w:val="center"/>
          </w:tcPr>
          <w:p w14:paraId="2EF9A6B0">
            <w:pPr>
              <w:pStyle w:val="32"/>
              <w:bidi w:val="0"/>
              <w:rPr>
                <w:rFonts w:hint="eastAsia"/>
                <w:highlight w:val="none"/>
              </w:rPr>
            </w:pPr>
            <w:r>
              <w:rPr>
                <w:rFonts w:hint="eastAsia"/>
                <w:highlight w:val="none"/>
              </w:rPr>
              <w:t>1</w:t>
            </w:r>
          </w:p>
        </w:tc>
        <w:tc>
          <w:tcPr>
            <w:tcW w:w="616" w:type="pct"/>
            <w:noWrap w:val="0"/>
            <w:vAlign w:val="center"/>
          </w:tcPr>
          <w:p w14:paraId="1F5BC9FA">
            <w:pPr>
              <w:pStyle w:val="32"/>
              <w:bidi w:val="0"/>
              <w:rPr>
                <w:rFonts w:hint="eastAsia"/>
                <w:highlight w:val="none"/>
              </w:rPr>
            </w:pPr>
            <w:r>
              <w:rPr>
                <w:rFonts w:hint="eastAsia"/>
                <w:highlight w:val="none"/>
              </w:rPr>
              <w:t>台</w:t>
            </w:r>
          </w:p>
        </w:tc>
        <w:tc>
          <w:tcPr>
            <w:tcW w:w="1255" w:type="pct"/>
            <w:noWrap w:val="0"/>
            <w:vAlign w:val="center"/>
          </w:tcPr>
          <w:p w14:paraId="761AAC89">
            <w:pPr>
              <w:pStyle w:val="32"/>
              <w:bidi w:val="0"/>
              <w:rPr>
                <w:rFonts w:hint="eastAsia"/>
                <w:highlight w:val="none"/>
              </w:rPr>
            </w:pPr>
          </w:p>
        </w:tc>
      </w:tr>
      <w:tr w14:paraId="1174A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48614A5E">
            <w:pPr>
              <w:pStyle w:val="32"/>
              <w:bidi w:val="0"/>
              <w:rPr>
                <w:rFonts w:hint="eastAsia"/>
                <w:highlight w:val="none"/>
              </w:rPr>
            </w:pPr>
            <w:r>
              <w:rPr>
                <w:rFonts w:hint="eastAsia"/>
                <w:highlight w:val="none"/>
              </w:rPr>
              <w:t>5</w:t>
            </w:r>
          </w:p>
        </w:tc>
        <w:tc>
          <w:tcPr>
            <w:tcW w:w="1895" w:type="pct"/>
            <w:noWrap w:val="0"/>
            <w:vAlign w:val="center"/>
          </w:tcPr>
          <w:p w14:paraId="415ED2A6">
            <w:pPr>
              <w:pStyle w:val="32"/>
              <w:bidi w:val="0"/>
              <w:rPr>
                <w:rFonts w:hint="eastAsia"/>
                <w:highlight w:val="none"/>
              </w:rPr>
            </w:pPr>
            <w:r>
              <w:rPr>
                <w:rFonts w:hint="eastAsia"/>
                <w:highlight w:val="none"/>
              </w:rPr>
              <w:t>摄像仪</w:t>
            </w:r>
          </w:p>
        </w:tc>
        <w:tc>
          <w:tcPr>
            <w:tcW w:w="616" w:type="pct"/>
            <w:noWrap w:val="0"/>
            <w:vAlign w:val="center"/>
          </w:tcPr>
          <w:p w14:paraId="45F71587">
            <w:pPr>
              <w:pStyle w:val="32"/>
              <w:bidi w:val="0"/>
              <w:rPr>
                <w:rFonts w:hint="eastAsia"/>
                <w:highlight w:val="none"/>
                <w:lang w:val="en-US" w:eastAsia="zh-CN"/>
              </w:rPr>
            </w:pPr>
            <w:r>
              <w:rPr>
                <w:rFonts w:hint="eastAsia"/>
                <w:highlight w:val="none"/>
                <w:lang w:val="en-US" w:eastAsia="zh-CN"/>
              </w:rPr>
              <w:t>4</w:t>
            </w:r>
          </w:p>
        </w:tc>
        <w:tc>
          <w:tcPr>
            <w:tcW w:w="616" w:type="pct"/>
            <w:noWrap w:val="0"/>
            <w:vAlign w:val="center"/>
          </w:tcPr>
          <w:p w14:paraId="6899E668">
            <w:pPr>
              <w:pStyle w:val="32"/>
              <w:bidi w:val="0"/>
              <w:rPr>
                <w:rFonts w:hint="eastAsia"/>
                <w:highlight w:val="none"/>
              </w:rPr>
            </w:pPr>
            <w:r>
              <w:rPr>
                <w:rFonts w:hint="eastAsia"/>
                <w:highlight w:val="none"/>
              </w:rPr>
              <w:t>台</w:t>
            </w:r>
          </w:p>
        </w:tc>
        <w:tc>
          <w:tcPr>
            <w:tcW w:w="1255" w:type="pct"/>
            <w:noWrap w:val="0"/>
            <w:vAlign w:val="center"/>
          </w:tcPr>
          <w:p w14:paraId="2D937629">
            <w:pPr>
              <w:pStyle w:val="32"/>
              <w:bidi w:val="0"/>
              <w:rPr>
                <w:rFonts w:hint="eastAsia"/>
                <w:highlight w:val="none"/>
                <w:lang w:val="en-US" w:eastAsia="zh-CN"/>
              </w:rPr>
            </w:pPr>
            <w:r>
              <w:rPr>
                <w:rFonts w:hint="eastAsia"/>
                <w:highlight w:val="none"/>
                <w:lang w:val="en-US" w:eastAsia="zh-CN"/>
              </w:rPr>
              <w:t>可重复利用</w:t>
            </w:r>
          </w:p>
        </w:tc>
      </w:tr>
      <w:tr w14:paraId="20B02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209CEC92">
            <w:pPr>
              <w:pStyle w:val="32"/>
              <w:bidi w:val="0"/>
              <w:rPr>
                <w:rFonts w:hint="eastAsia"/>
                <w:highlight w:val="none"/>
              </w:rPr>
            </w:pPr>
            <w:r>
              <w:rPr>
                <w:rFonts w:hint="eastAsia"/>
                <w:highlight w:val="none"/>
              </w:rPr>
              <w:t>6</w:t>
            </w:r>
          </w:p>
        </w:tc>
        <w:tc>
          <w:tcPr>
            <w:tcW w:w="1895" w:type="pct"/>
            <w:noWrap w:val="0"/>
            <w:vAlign w:val="center"/>
          </w:tcPr>
          <w:p w14:paraId="07D21F84">
            <w:pPr>
              <w:pStyle w:val="32"/>
              <w:bidi w:val="0"/>
              <w:rPr>
                <w:rFonts w:hint="eastAsia"/>
                <w:highlight w:val="none"/>
              </w:rPr>
            </w:pPr>
            <w:r>
              <w:rPr>
                <w:rFonts w:hint="eastAsia"/>
                <w:highlight w:val="none"/>
              </w:rPr>
              <w:t>矿用通讯光缆</w:t>
            </w:r>
          </w:p>
        </w:tc>
        <w:tc>
          <w:tcPr>
            <w:tcW w:w="616" w:type="pct"/>
            <w:noWrap w:val="0"/>
            <w:vAlign w:val="center"/>
          </w:tcPr>
          <w:p w14:paraId="1A949B50">
            <w:pPr>
              <w:pStyle w:val="32"/>
              <w:bidi w:val="0"/>
              <w:rPr>
                <w:rFonts w:hint="eastAsia"/>
                <w:highlight w:val="none"/>
                <w:lang w:eastAsia="zh-CN"/>
              </w:rPr>
            </w:pPr>
            <w:r>
              <w:rPr>
                <w:rFonts w:hint="eastAsia"/>
                <w:highlight w:val="none"/>
                <w:lang w:val="en-US" w:eastAsia="zh-CN"/>
              </w:rPr>
              <w:t>5</w:t>
            </w:r>
          </w:p>
        </w:tc>
        <w:tc>
          <w:tcPr>
            <w:tcW w:w="616" w:type="pct"/>
            <w:noWrap w:val="0"/>
            <w:vAlign w:val="center"/>
          </w:tcPr>
          <w:p w14:paraId="3D3758D7">
            <w:pPr>
              <w:pStyle w:val="32"/>
              <w:bidi w:val="0"/>
              <w:rPr>
                <w:rFonts w:hint="eastAsia"/>
                <w:highlight w:val="none"/>
              </w:rPr>
            </w:pPr>
            <w:r>
              <w:rPr>
                <w:rFonts w:hint="eastAsia"/>
                <w:highlight w:val="none"/>
              </w:rPr>
              <w:t>km</w:t>
            </w:r>
          </w:p>
        </w:tc>
        <w:tc>
          <w:tcPr>
            <w:tcW w:w="1255" w:type="pct"/>
            <w:noWrap w:val="0"/>
            <w:vAlign w:val="center"/>
          </w:tcPr>
          <w:p w14:paraId="6C2D9BC5">
            <w:pPr>
              <w:pStyle w:val="32"/>
              <w:bidi w:val="0"/>
              <w:rPr>
                <w:rFonts w:hint="eastAsia"/>
                <w:highlight w:val="none"/>
              </w:rPr>
            </w:pPr>
          </w:p>
        </w:tc>
      </w:tr>
      <w:tr w14:paraId="2387F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14EBDBD5">
            <w:pPr>
              <w:pStyle w:val="32"/>
              <w:bidi w:val="0"/>
              <w:rPr>
                <w:rFonts w:hint="eastAsia"/>
                <w:highlight w:val="none"/>
              </w:rPr>
            </w:pPr>
            <w:r>
              <w:rPr>
                <w:rFonts w:hint="eastAsia"/>
                <w:highlight w:val="none"/>
              </w:rPr>
              <w:t>7</w:t>
            </w:r>
          </w:p>
        </w:tc>
        <w:tc>
          <w:tcPr>
            <w:tcW w:w="1895" w:type="pct"/>
            <w:noWrap w:val="0"/>
            <w:vAlign w:val="center"/>
          </w:tcPr>
          <w:p w14:paraId="210596BD">
            <w:pPr>
              <w:pStyle w:val="32"/>
              <w:bidi w:val="0"/>
              <w:rPr>
                <w:rFonts w:hint="eastAsia"/>
                <w:highlight w:val="none"/>
              </w:rPr>
            </w:pPr>
            <w:r>
              <w:rPr>
                <w:rFonts w:hint="eastAsia"/>
                <w:highlight w:val="none"/>
              </w:rPr>
              <w:t>电源电缆</w:t>
            </w:r>
          </w:p>
        </w:tc>
        <w:tc>
          <w:tcPr>
            <w:tcW w:w="616" w:type="pct"/>
            <w:noWrap w:val="0"/>
            <w:vAlign w:val="center"/>
          </w:tcPr>
          <w:p w14:paraId="2ECEE6E5">
            <w:pPr>
              <w:pStyle w:val="32"/>
              <w:bidi w:val="0"/>
              <w:rPr>
                <w:rFonts w:hint="eastAsia"/>
                <w:highlight w:val="none"/>
                <w:lang w:val="en-US" w:eastAsia="zh-CN"/>
              </w:rPr>
            </w:pPr>
            <w:r>
              <w:rPr>
                <w:rFonts w:hint="eastAsia"/>
                <w:highlight w:val="none"/>
                <w:lang w:val="en-US" w:eastAsia="zh-CN"/>
              </w:rPr>
              <w:t>5</w:t>
            </w:r>
          </w:p>
        </w:tc>
        <w:tc>
          <w:tcPr>
            <w:tcW w:w="616" w:type="pct"/>
            <w:noWrap w:val="0"/>
            <w:vAlign w:val="center"/>
          </w:tcPr>
          <w:p w14:paraId="75A950E9">
            <w:pPr>
              <w:pStyle w:val="32"/>
              <w:bidi w:val="0"/>
              <w:rPr>
                <w:rFonts w:hint="eastAsia"/>
                <w:highlight w:val="none"/>
              </w:rPr>
            </w:pPr>
            <w:r>
              <w:rPr>
                <w:rFonts w:hint="eastAsia"/>
                <w:highlight w:val="none"/>
              </w:rPr>
              <w:t>km</w:t>
            </w:r>
          </w:p>
        </w:tc>
        <w:tc>
          <w:tcPr>
            <w:tcW w:w="1255" w:type="pct"/>
            <w:noWrap w:val="0"/>
            <w:vAlign w:val="center"/>
          </w:tcPr>
          <w:p w14:paraId="115D10AB">
            <w:pPr>
              <w:pStyle w:val="32"/>
              <w:bidi w:val="0"/>
              <w:rPr>
                <w:rFonts w:hint="eastAsia"/>
                <w:highlight w:val="none"/>
              </w:rPr>
            </w:pPr>
          </w:p>
        </w:tc>
      </w:tr>
      <w:tr w14:paraId="7241B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2281C8FB">
            <w:pPr>
              <w:pStyle w:val="32"/>
              <w:bidi w:val="0"/>
              <w:rPr>
                <w:rFonts w:hint="eastAsia"/>
                <w:highlight w:val="none"/>
              </w:rPr>
            </w:pPr>
            <w:r>
              <w:rPr>
                <w:rFonts w:hint="eastAsia"/>
                <w:highlight w:val="none"/>
              </w:rPr>
              <w:t>8</w:t>
            </w:r>
          </w:p>
        </w:tc>
        <w:tc>
          <w:tcPr>
            <w:tcW w:w="1895" w:type="pct"/>
            <w:noWrap w:val="0"/>
            <w:vAlign w:val="center"/>
          </w:tcPr>
          <w:p w14:paraId="535AEEC3">
            <w:pPr>
              <w:pStyle w:val="32"/>
              <w:bidi w:val="0"/>
              <w:rPr>
                <w:rFonts w:hint="eastAsia"/>
                <w:highlight w:val="none"/>
              </w:rPr>
            </w:pPr>
            <w:r>
              <w:rPr>
                <w:rFonts w:hint="eastAsia"/>
                <w:highlight w:val="none"/>
              </w:rPr>
              <w:t>光缆终端盒</w:t>
            </w:r>
          </w:p>
        </w:tc>
        <w:tc>
          <w:tcPr>
            <w:tcW w:w="616" w:type="pct"/>
            <w:noWrap w:val="0"/>
            <w:vAlign w:val="center"/>
          </w:tcPr>
          <w:p w14:paraId="2C2CDC64">
            <w:pPr>
              <w:pStyle w:val="32"/>
              <w:bidi w:val="0"/>
              <w:rPr>
                <w:rFonts w:hint="eastAsia"/>
                <w:highlight w:val="none"/>
                <w:lang w:val="en-US" w:eastAsia="zh-CN"/>
              </w:rPr>
            </w:pPr>
            <w:r>
              <w:rPr>
                <w:rFonts w:hint="eastAsia"/>
                <w:highlight w:val="none"/>
                <w:lang w:val="en-US" w:eastAsia="zh-CN"/>
              </w:rPr>
              <w:t>3</w:t>
            </w:r>
          </w:p>
        </w:tc>
        <w:tc>
          <w:tcPr>
            <w:tcW w:w="616" w:type="pct"/>
            <w:noWrap w:val="0"/>
            <w:vAlign w:val="center"/>
          </w:tcPr>
          <w:p w14:paraId="007A2DE0">
            <w:pPr>
              <w:pStyle w:val="32"/>
              <w:bidi w:val="0"/>
              <w:rPr>
                <w:rFonts w:hint="eastAsia"/>
                <w:highlight w:val="none"/>
              </w:rPr>
            </w:pPr>
            <w:r>
              <w:rPr>
                <w:rFonts w:hint="eastAsia"/>
                <w:highlight w:val="none"/>
              </w:rPr>
              <w:t>个</w:t>
            </w:r>
          </w:p>
        </w:tc>
        <w:tc>
          <w:tcPr>
            <w:tcW w:w="1255" w:type="pct"/>
            <w:noWrap w:val="0"/>
            <w:vAlign w:val="center"/>
          </w:tcPr>
          <w:p w14:paraId="4A55495A">
            <w:pPr>
              <w:pStyle w:val="32"/>
              <w:bidi w:val="0"/>
              <w:rPr>
                <w:rFonts w:hint="eastAsia"/>
                <w:highlight w:val="none"/>
              </w:rPr>
            </w:pPr>
          </w:p>
        </w:tc>
      </w:tr>
      <w:tr w14:paraId="3B4CA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34C083E2">
            <w:pPr>
              <w:pStyle w:val="32"/>
              <w:bidi w:val="0"/>
              <w:rPr>
                <w:rFonts w:hint="eastAsia"/>
                <w:highlight w:val="none"/>
              </w:rPr>
            </w:pPr>
            <w:r>
              <w:rPr>
                <w:rFonts w:hint="eastAsia"/>
                <w:highlight w:val="none"/>
              </w:rPr>
              <w:t>9</w:t>
            </w:r>
          </w:p>
        </w:tc>
        <w:tc>
          <w:tcPr>
            <w:tcW w:w="1895" w:type="pct"/>
            <w:noWrap w:val="0"/>
            <w:vAlign w:val="center"/>
          </w:tcPr>
          <w:p w14:paraId="0060B244">
            <w:pPr>
              <w:pStyle w:val="32"/>
              <w:bidi w:val="0"/>
              <w:rPr>
                <w:rFonts w:hint="eastAsia"/>
                <w:highlight w:val="none"/>
              </w:rPr>
            </w:pPr>
            <w:r>
              <w:rPr>
                <w:rFonts w:hint="eastAsia"/>
                <w:highlight w:val="none"/>
              </w:rPr>
              <w:t>光纤收发器</w:t>
            </w:r>
          </w:p>
        </w:tc>
        <w:tc>
          <w:tcPr>
            <w:tcW w:w="616" w:type="pct"/>
            <w:noWrap w:val="0"/>
            <w:vAlign w:val="center"/>
          </w:tcPr>
          <w:p w14:paraId="6F05521B">
            <w:pPr>
              <w:pStyle w:val="32"/>
              <w:bidi w:val="0"/>
              <w:rPr>
                <w:rFonts w:hint="eastAsia"/>
                <w:highlight w:val="none"/>
                <w:lang w:eastAsia="zh-CN"/>
              </w:rPr>
            </w:pPr>
            <w:r>
              <w:rPr>
                <w:rFonts w:hint="eastAsia"/>
                <w:highlight w:val="none"/>
                <w:lang w:val="en-US" w:eastAsia="zh-CN"/>
              </w:rPr>
              <w:t>5</w:t>
            </w:r>
          </w:p>
        </w:tc>
        <w:tc>
          <w:tcPr>
            <w:tcW w:w="616" w:type="pct"/>
            <w:noWrap w:val="0"/>
            <w:vAlign w:val="center"/>
          </w:tcPr>
          <w:p w14:paraId="08511257">
            <w:pPr>
              <w:pStyle w:val="32"/>
              <w:bidi w:val="0"/>
              <w:rPr>
                <w:rFonts w:hint="eastAsia"/>
                <w:highlight w:val="none"/>
              </w:rPr>
            </w:pPr>
            <w:r>
              <w:rPr>
                <w:rFonts w:hint="eastAsia"/>
                <w:highlight w:val="none"/>
              </w:rPr>
              <w:t>对</w:t>
            </w:r>
          </w:p>
        </w:tc>
        <w:tc>
          <w:tcPr>
            <w:tcW w:w="1255" w:type="pct"/>
            <w:noWrap w:val="0"/>
            <w:vAlign w:val="center"/>
          </w:tcPr>
          <w:p w14:paraId="6A9753AB">
            <w:pPr>
              <w:pStyle w:val="32"/>
              <w:bidi w:val="0"/>
              <w:rPr>
                <w:rFonts w:hint="eastAsia"/>
                <w:highlight w:val="none"/>
              </w:rPr>
            </w:pPr>
          </w:p>
        </w:tc>
      </w:tr>
      <w:tr w14:paraId="76D25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2D13CE3A">
            <w:pPr>
              <w:pStyle w:val="32"/>
              <w:bidi w:val="0"/>
              <w:rPr>
                <w:rFonts w:hint="eastAsia"/>
                <w:highlight w:val="none"/>
                <w:lang w:val="en-US" w:eastAsia="zh-CN"/>
              </w:rPr>
            </w:pPr>
            <w:r>
              <w:rPr>
                <w:rFonts w:hint="eastAsia"/>
                <w:highlight w:val="none"/>
                <w:lang w:val="en-US" w:eastAsia="zh-CN"/>
              </w:rPr>
              <w:t>10</w:t>
            </w:r>
          </w:p>
        </w:tc>
        <w:tc>
          <w:tcPr>
            <w:tcW w:w="1895" w:type="pct"/>
            <w:noWrap w:val="0"/>
            <w:vAlign w:val="center"/>
          </w:tcPr>
          <w:p w14:paraId="62F159E1">
            <w:pPr>
              <w:pStyle w:val="32"/>
              <w:bidi w:val="0"/>
              <w:rPr>
                <w:rFonts w:hint="eastAsia"/>
                <w:highlight w:val="none"/>
              </w:rPr>
            </w:pPr>
            <w:r>
              <w:rPr>
                <w:rFonts w:hint="eastAsia"/>
                <w:highlight w:val="none"/>
              </w:rPr>
              <w:t>VGA线</w:t>
            </w:r>
          </w:p>
        </w:tc>
        <w:tc>
          <w:tcPr>
            <w:tcW w:w="616" w:type="pct"/>
            <w:noWrap w:val="0"/>
            <w:vAlign w:val="center"/>
          </w:tcPr>
          <w:p w14:paraId="07BA3F57">
            <w:pPr>
              <w:pStyle w:val="32"/>
              <w:bidi w:val="0"/>
              <w:rPr>
                <w:rFonts w:hint="eastAsia"/>
                <w:highlight w:val="none"/>
              </w:rPr>
            </w:pPr>
            <w:r>
              <w:rPr>
                <w:rFonts w:hint="eastAsia"/>
                <w:highlight w:val="none"/>
              </w:rPr>
              <w:t>1</w:t>
            </w:r>
          </w:p>
        </w:tc>
        <w:tc>
          <w:tcPr>
            <w:tcW w:w="616" w:type="pct"/>
            <w:noWrap w:val="0"/>
            <w:vAlign w:val="center"/>
          </w:tcPr>
          <w:p w14:paraId="32CF80BD">
            <w:pPr>
              <w:pStyle w:val="32"/>
              <w:bidi w:val="0"/>
              <w:rPr>
                <w:rFonts w:hint="eastAsia"/>
                <w:highlight w:val="none"/>
              </w:rPr>
            </w:pPr>
            <w:r>
              <w:rPr>
                <w:rFonts w:hint="eastAsia"/>
                <w:highlight w:val="none"/>
              </w:rPr>
              <w:t>根</w:t>
            </w:r>
          </w:p>
        </w:tc>
        <w:tc>
          <w:tcPr>
            <w:tcW w:w="1255" w:type="pct"/>
            <w:noWrap w:val="0"/>
            <w:vAlign w:val="center"/>
          </w:tcPr>
          <w:p w14:paraId="48C55D4C">
            <w:pPr>
              <w:pStyle w:val="32"/>
              <w:bidi w:val="0"/>
              <w:rPr>
                <w:rFonts w:hint="eastAsia"/>
                <w:highlight w:val="none"/>
              </w:rPr>
            </w:pPr>
          </w:p>
        </w:tc>
      </w:tr>
    </w:tbl>
    <w:p w14:paraId="66EA392D">
      <w:pPr>
        <w:pStyle w:val="22"/>
        <w:bidi w:val="0"/>
        <w:rPr>
          <w:rFonts w:hint="eastAsia"/>
          <w:highlight w:val="none"/>
          <w:lang w:eastAsia="zh-CN"/>
        </w:rPr>
      </w:pPr>
    </w:p>
    <w:p w14:paraId="41FD7983">
      <w:pPr>
        <w:pStyle w:val="22"/>
        <w:numPr>
          <w:ilvl w:val="0"/>
          <w:numId w:val="24"/>
        </w:numPr>
        <w:bidi w:val="0"/>
        <w:rPr>
          <w:rFonts w:hint="eastAsia"/>
          <w:highlight w:val="none"/>
          <w:lang w:val="en-US" w:eastAsia="zh-CN"/>
        </w:rPr>
      </w:pPr>
      <w:r>
        <w:rPr>
          <w:rFonts w:hint="eastAsia"/>
          <w:highlight w:val="none"/>
          <w:lang w:val="en-US" w:eastAsia="zh-CN"/>
        </w:rPr>
        <w:t>人员定位系统</w:t>
      </w:r>
    </w:p>
    <w:p w14:paraId="71BAD6F3">
      <w:pPr>
        <w:pStyle w:val="22"/>
        <w:bidi w:val="0"/>
        <w:rPr>
          <w:rFonts w:hint="eastAsia"/>
          <w:highlight w:val="none"/>
          <w:lang w:val="en-US" w:eastAsia="zh-CN"/>
        </w:rPr>
      </w:pPr>
      <w:r>
        <w:rPr>
          <w:rFonts w:hint="eastAsia"/>
          <w:highlight w:val="none"/>
          <w:lang w:val="en-US" w:eastAsia="zh-CN"/>
        </w:rPr>
        <w:t>本项目全矿总下井作业人员数52人，最大班井下作业人数27人（安全生产调度指挥中心人员不下井），为更好的满足矿山安全生产，根据《国家矿山安全监察局关于印发&lt;关于加强非煤矿山安全生产工作的指导意见&gt;的通知》（矿安〔2022〕4号）文件要求，本项目新建立人员定位系统。</w:t>
      </w:r>
    </w:p>
    <w:p w14:paraId="62C2D4F6">
      <w:pPr>
        <w:pStyle w:val="22"/>
        <w:bidi w:val="0"/>
        <w:rPr>
          <w:rFonts w:hint="eastAsia"/>
          <w:highlight w:val="none"/>
          <w:lang w:val="en-US" w:eastAsia="zh-CN"/>
        </w:rPr>
      </w:pPr>
      <w:r>
        <w:rPr>
          <w:rFonts w:hint="eastAsia"/>
          <w:highlight w:val="none"/>
          <w:lang w:val="en-US" w:eastAsia="zh-CN"/>
        </w:rPr>
        <w:t>人员定位运用矿井人员管理系统，该系统采用最先进的射频技术，结构先进、稳定可靠，便于安装与维护。且具备容量大、读卡速度快、识别卡携带方便、软件功能齐全、查询统计、考勤管理、人员管理等特点。</w:t>
      </w:r>
    </w:p>
    <w:p w14:paraId="63852273">
      <w:pPr>
        <w:pStyle w:val="22"/>
        <w:bidi w:val="0"/>
        <w:rPr>
          <w:highlight w:val="none"/>
        </w:rPr>
      </w:pPr>
      <w:r>
        <w:rPr>
          <w:rFonts w:hint="eastAsia"/>
          <w:highlight w:val="none"/>
          <w:lang w:val="en-US" w:eastAsia="zh-CN"/>
        </w:rPr>
        <w:t>1、</w:t>
      </w:r>
      <w:r>
        <w:rPr>
          <w:rFonts w:hint="eastAsia"/>
          <w:highlight w:val="none"/>
        </w:rPr>
        <w:t>人员定位系统的构成</w:t>
      </w:r>
    </w:p>
    <w:p w14:paraId="7172A11C">
      <w:pPr>
        <w:pStyle w:val="22"/>
        <w:bidi w:val="0"/>
        <w:rPr>
          <w:rFonts w:hint="eastAsia"/>
          <w:highlight w:val="none"/>
          <w:lang w:val="en-US" w:eastAsia="zh-CN"/>
        </w:rPr>
      </w:pPr>
      <w:r>
        <w:rPr>
          <w:rFonts w:hint="eastAsia"/>
          <w:highlight w:val="none"/>
          <w:lang w:val="en-US" w:eastAsia="zh-CN"/>
        </w:rPr>
        <w:t>系统主要由如下部分组成：安装于井下作业区的重要设备设施、监控计算机、系统软件、人员定位传输基站、人员定位分站、无线定位发射器等。</w:t>
      </w:r>
    </w:p>
    <w:p w14:paraId="2BFC8FFF">
      <w:pPr>
        <w:pStyle w:val="22"/>
        <w:bidi w:val="0"/>
        <w:rPr>
          <w:rFonts w:hint="eastAsia"/>
          <w:highlight w:val="none"/>
          <w:lang w:val="en-US" w:eastAsia="zh-CN"/>
        </w:rPr>
      </w:pPr>
      <w:r>
        <w:rPr>
          <w:rFonts w:hint="eastAsia"/>
          <w:highlight w:val="none"/>
          <w:lang w:val="en-US" w:eastAsia="zh-CN"/>
        </w:rPr>
        <w:t>监控主机：负责整个系统设备及人员检测数据的管理、分站实时数据通讯、统计存储、屏幕显示、查询打印、画面编辑、网络通讯等任务；</w:t>
      </w:r>
    </w:p>
    <w:p w14:paraId="66D9B869">
      <w:pPr>
        <w:pStyle w:val="22"/>
        <w:bidi w:val="0"/>
        <w:rPr>
          <w:rFonts w:hint="eastAsia"/>
          <w:highlight w:val="none"/>
          <w:lang w:val="en-US" w:eastAsia="zh-CN"/>
        </w:rPr>
      </w:pPr>
      <w:r>
        <w:rPr>
          <w:rFonts w:hint="eastAsia"/>
          <w:highlight w:val="none"/>
          <w:lang w:val="en-US" w:eastAsia="zh-CN"/>
        </w:rPr>
        <w:t>系统软件：完成人员信息编码采集、识别、加工、显示、存储、查询和报表打印；</w:t>
      </w:r>
    </w:p>
    <w:p w14:paraId="0C245722">
      <w:pPr>
        <w:pStyle w:val="22"/>
        <w:bidi w:val="0"/>
        <w:rPr>
          <w:rFonts w:hint="eastAsia"/>
          <w:highlight w:val="none"/>
          <w:lang w:val="en-US" w:eastAsia="zh-CN"/>
        </w:rPr>
      </w:pPr>
      <w:r>
        <w:rPr>
          <w:rFonts w:hint="eastAsia"/>
          <w:highlight w:val="none"/>
          <w:lang w:val="en-US" w:eastAsia="zh-CN"/>
        </w:rPr>
        <w:t>网络交换机：用于人员定位分站与监控主机之间的通讯；</w:t>
      </w:r>
    </w:p>
    <w:p w14:paraId="22C3255B">
      <w:pPr>
        <w:pStyle w:val="22"/>
        <w:bidi w:val="0"/>
        <w:rPr>
          <w:rFonts w:hint="eastAsia"/>
          <w:highlight w:val="none"/>
          <w:lang w:val="en-US" w:eastAsia="zh-CN"/>
        </w:rPr>
      </w:pPr>
      <w:r>
        <w:rPr>
          <w:rFonts w:hint="eastAsia"/>
          <w:highlight w:val="none"/>
          <w:lang w:val="en-US" w:eastAsia="zh-CN"/>
        </w:rPr>
        <w:t>人员定位传输分站：通过与无线编码接收器的有线通讯，实时获取人员编码数据（可本地显示）；</w:t>
      </w:r>
    </w:p>
    <w:p w14:paraId="08799C9F">
      <w:pPr>
        <w:pStyle w:val="22"/>
        <w:bidi w:val="0"/>
        <w:rPr>
          <w:rFonts w:hint="eastAsia"/>
          <w:highlight w:val="none"/>
          <w:lang w:val="en-US" w:eastAsia="zh-CN"/>
        </w:rPr>
      </w:pPr>
      <w:r>
        <w:rPr>
          <w:rFonts w:hint="eastAsia"/>
          <w:highlight w:val="none"/>
          <w:lang w:val="en-US" w:eastAsia="zh-CN"/>
        </w:rPr>
        <w:t>人员定位分站（读卡器）：接收识别卡发出的无线定位信号；</w:t>
      </w:r>
    </w:p>
    <w:p w14:paraId="3168D659">
      <w:pPr>
        <w:pStyle w:val="22"/>
        <w:bidi w:val="0"/>
        <w:rPr>
          <w:rFonts w:hint="eastAsia"/>
          <w:highlight w:val="none"/>
          <w:lang w:val="en-US" w:eastAsia="zh-CN"/>
        </w:rPr>
      </w:pPr>
      <w:r>
        <w:rPr>
          <w:rFonts w:hint="eastAsia"/>
          <w:highlight w:val="none"/>
          <w:lang w:val="en-US" w:eastAsia="zh-CN"/>
        </w:rPr>
        <w:t>无线定位发射器（识别卡）：承载唯一的人员编码信息，当被无线信号激活后，将编码数据发送给接收器。</w:t>
      </w:r>
    </w:p>
    <w:p w14:paraId="75D94CD7">
      <w:pPr>
        <w:pStyle w:val="22"/>
        <w:bidi w:val="0"/>
        <w:rPr>
          <w:rFonts w:hint="eastAsia"/>
          <w:highlight w:val="none"/>
          <w:lang w:val="en-US" w:eastAsia="zh-CN"/>
        </w:rPr>
      </w:pPr>
      <w:r>
        <w:rPr>
          <w:rFonts w:hint="eastAsia"/>
          <w:highlight w:val="none"/>
          <w:lang w:val="en-US" w:eastAsia="zh-CN"/>
        </w:rPr>
        <w:t>人员定位系统应满足监测及管理功能，主机应安装在地面，并双机备份，且应在矿山生产调度室设置显示终端。人员出入井口和重点区域进出口等地点应安装读卡器。</w:t>
      </w:r>
    </w:p>
    <w:p w14:paraId="5933C574">
      <w:pPr>
        <w:pStyle w:val="22"/>
        <w:bidi w:val="0"/>
        <w:rPr>
          <w:rFonts w:hint="eastAsia"/>
          <w:highlight w:val="none"/>
        </w:rPr>
      </w:pPr>
      <w:r>
        <w:rPr>
          <w:rFonts w:hint="eastAsia"/>
          <w:highlight w:val="none"/>
          <w:lang w:val="en-US" w:eastAsia="zh-CN"/>
        </w:rPr>
        <w:t>读卡器应安装在便于读卡、观察、调试、检验，且围岩稳固、支护良好、无淋水、无杂物、不容易受到损害的位置。主机及读卡器的备用电源应能保证连续工作2h以上。识别卡应专人专卡，并配备不少于经常下井人员总数10%的备用卡，并考虑外来人员，根据劳动组织确定识别卡数量57张。</w:t>
      </w:r>
    </w:p>
    <w:p w14:paraId="47C91DBA">
      <w:pPr>
        <w:pStyle w:val="22"/>
        <w:bidi w:val="0"/>
        <w:rPr>
          <w:rFonts w:hint="eastAsia" w:eastAsia="宋体"/>
          <w:highlight w:val="none"/>
          <w:lang w:val="en-US" w:eastAsia="zh-CN"/>
        </w:rPr>
      </w:pPr>
      <w:r>
        <w:rPr>
          <w:rFonts w:hint="eastAsia"/>
          <w:highlight w:val="none"/>
          <w:lang w:val="en-US" w:eastAsia="zh-CN"/>
        </w:rPr>
        <w:t>2、分站（读卡器）设置</w:t>
      </w:r>
    </w:p>
    <w:p w14:paraId="27995F9F">
      <w:pPr>
        <w:pStyle w:val="22"/>
        <w:bidi w:val="0"/>
        <w:rPr>
          <w:rFonts w:hint="eastAsia"/>
          <w:highlight w:val="none"/>
          <w:lang w:val="en-US" w:eastAsia="zh-CN"/>
        </w:rPr>
      </w:pPr>
      <w:r>
        <w:rPr>
          <w:rFonts w:hint="eastAsia"/>
          <w:highlight w:val="none"/>
          <w:lang w:val="en-US" w:eastAsia="zh-CN"/>
        </w:rPr>
        <w:t>a.矿井人员定位分站（读卡器）具体设置位置：</w:t>
      </w:r>
    </w:p>
    <w:p w14:paraId="72FF1BAE">
      <w:pPr>
        <w:pStyle w:val="22"/>
        <w:bidi w:val="0"/>
        <w:rPr>
          <w:rFonts w:hint="eastAsia"/>
          <w:highlight w:val="none"/>
          <w:lang w:val="en-US" w:eastAsia="zh-CN"/>
        </w:rPr>
      </w:pPr>
      <w:r>
        <w:rPr>
          <w:rFonts w:hint="eastAsia"/>
          <w:highlight w:val="none"/>
          <w:lang w:val="en-US" w:eastAsia="zh-CN"/>
        </w:rPr>
        <w:t>有人员出入的井口、重点区域出入口、限制区域等设置读卡分站。</w:t>
      </w:r>
    </w:p>
    <w:p w14:paraId="12233EB6">
      <w:pPr>
        <w:pStyle w:val="22"/>
        <w:bidi w:val="0"/>
        <w:rPr>
          <w:rFonts w:hint="eastAsia"/>
          <w:highlight w:val="none"/>
          <w:lang w:val="en-US" w:eastAsia="zh-CN"/>
        </w:rPr>
      </w:pPr>
      <w:r>
        <w:rPr>
          <w:rFonts w:hint="eastAsia"/>
          <w:highlight w:val="none"/>
          <w:lang w:val="en-US" w:eastAsia="zh-CN"/>
        </w:rPr>
        <w:t>b.人员定位分站的数量</w:t>
      </w:r>
    </w:p>
    <w:p w14:paraId="1853EA03">
      <w:pPr>
        <w:pStyle w:val="22"/>
        <w:bidi w:val="0"/>
        <w:rPr>
          <w:rFonts w:hint="eastAsia"/>
          <w:highlight w:val="none"/>
        </w:rPr>
      </w:pPr>
      <w:r>
        <w:rPr>
          <w:rFonts w:hint="eastAsia"/>
          <w:highlight w:val="none"/>
          <w:lang w:val="en-US" w:eastAsia="zh-CN"/>
        </w:rPr>
        <w:t>设计设置4台，另备用1台，共计5台人员定位分站。人员定位分站可重复利用上部开采完毕中段设备。</w:t>
      </w:r>
    </w:p>
    <w:p w14:paraId="67F4C5DC">
      <w:pPr>
        <w:pStyle w:val="22"/>
        <w:bidi w:val="0"/>
        <w:rPr>
          <w:rFonts w:hint="eastAsia"/>
          <w:highlight w:val="none"/>
        </w:rPr>
      </w:pPr>
      <w:r>
        <w:rPr>
          <w:rFonts w:hint="eastAsia"/>
          <w:highlight w:val="none"/>
        </w:rPr>
        <w:t>具体安装位置见</w:t>
      </w:r>
      <w:r>
        <w:rPr>
          <w:rFonts w:hint="eastAsia"/>
          <w:highlight w:val="none"/>
          <w:lang w:val="en-US" w:eastAsia="zh-CN"/>
        </w:rPr>
        <w:t>表2.4-6</w:t>
      </w:r>
      <w:r>
        <w:rPr>
          <w:rFonts w:hint="eastAsia"/>
          <w:highlight w:val="none"/>
        </w:rPr>
        <w:t>。</w:t>
      </w:r>
    </w:p>
    <w:p w14:paraId="59AE6AEC">
      <w:pPr>
        <w:pStyle w:val="31"/>
        <w:bidi w:val="0"/>
        <w:ind w:left="0" w:leftChars="0" w:right="0" w:rightChars="0" w:firstLine="0" w:firstLineChars="0"/>
        <w:jc w:val="center"/>
        <w:rPr>
          <w:rFonts w:hint="eastAsia"/>
          <w:highlight w:val="none"/>
          <w:lang w:val="en-US" w:eastAsia="zh-CN"/>
        </w:rPr>
      </w:pPr>
      <w:r>
        <w:rPr>
          <w:rFonts w:hint="eastAsia"/>
          <w:highlight w:val="none"/>
          <w:lang w:val="en-US" w:eastAsia="zh-CN"/>
        </w:rPr>
        <w:t xml:space="preserve">表2.4-6  </w:t>
      </w:r>
      <w:r>
        <w:rPr>
          <w:rFonts w:hint="eastAsia"/>
          <w:highlight w:val="none"/>
        </w:rPr>
        <w:t>人员定位分站（读卡器）安装位置</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3"/>
        <w:gridCol w:w="5156"/>
        <w:gridCol w:w="1508"/>
      </w:tblGrid>
      <w:tr w14:paraId="42AE2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335D81E5">
            <w:pPr>
              <w:pStyle w:val="32"/>
              <w:widowControl w:val="0"/>
              <w:bidi w:val="0"/>
              <w:rPr>
                <w:rFonts w:hint="eastAsia"/>
                <w:highlight w:val="none"/>
                <w:lang w:val="en-US" w:eastAsia="zh-CN"/>
              </w:rPr>
            </w:pPr>
            <w:r>
              <w:rPr>
                <w:rFonts w:hint="eastAsia"/>
                <w:highlight w:val="none"/>
                <w:lang w:val="en-US" w:eastAsia="zh-CN"/>
              </w:rPr>
              <w:t>位置</w:t>
            </w:r>
          </w:p>
        </w:tc>
        <w:tc>
          <w:tcPr>
            <w:tcW w:w="2742" w:type="pct"/>
            <w:noWrap w:val="0"/>
            <w:vAlign w:val="center"/>
          </w:tcPr>
          <w:p w14:paraId="1C4F75DC">
            <w:pPr>
              <w:pStyle w:val="32"/>
              <w:widowControl w:val="0"/>
              <w:bidi w:val="0"/>
              <w:rPr>
                <w:rFonts w:hint="eastAsia"/>
                <w:highlight w:val="none"/>
                <w:lang w:val="en-US" w:eastAsia="zh-CN"/>
              </w:rPr>
            </w:pPr>
            <w:r>
              <w:rPr>
                <w:rFonts w:hint="eastAsia"/>
                <w:highlight w:val="none"/>
                <w:lang w:val="en-US" w:eastAsia="zh-CN"/>
              </w:rPr>
              <w:t>安装地点</w:t>
            </w:r>
          </w:p>
        </w:tc>
        <w:tc>
          <w:tcPr>
            <w:tcW w:w="802" w:type="pct"/>
            <w:noWrap w:val="0"/>
            <w:vAlign w:val="center"/>
          </w:tcPr>
          <w:p w14:paraId="4F414786">
            <w:pPr>
              <w:pStyle w:val="32"/>
              <w:widowControl w:val="0"/>
              <w:bidi w:val="0"/>
              <w:rPr>
                <w:rFonts w:hint="eastAsia"/>
                <w:highlight w:val="none"/>
                <w:lang w:val="en-US" w:eastAsia="zh-CN"/>
              </w:rPr>
            </w:pPr>
            <w:r>
              <w:rPr>
                <w:rFonts w:hint="eastAsia"/>
                <w:highlight w:val="none"/>
                <w:lang w:val="en-US" w:eastAsia="zh-CN"/>
              </w:rPr>
              <w:t>安装数量</w:t>
            </w:r>
          </w:p>
        </w:tc>
      </w:tr>
      <w:tr w14:paraId="0E355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0F85C0AC">
            <w:pPr>
              <w:pStyle w:val="32"/>
              <w:widowControl w:val="0"/>
              <w:bidi w:val="0"/>
              <w:rPr>
                <w:rFonts w:hint="eastAsia"/>
                <w:highlight w:val="none"/>
                <w:lang w:val="en-US" w:eastAsia="zh-CN"/>
              </w:rPr>
            </w:pPr>
            <w:r>
              <w:rPr>
                <w:rFonts w:hint="eastAsia"/>
                <w:highlight w:val="none"/>
                <w:lang w:val="en-US" w:eastAsia="zh-CN"/>
              </w:rPr>
              <w:t>地表</w:t>
            </w:r>
          </w:p>
        </w:tc>
        <w:tc>
          <w:tcPr>
            <w:tcW w:w="2742" w:type="pct"/>
            <w:noWrap w:val="0"/>
            <w:vAlign w:val="center"/>
          </w:tcPr>
          <w:p w14:paraId="5748E1B0">
            <w:pPr>
              <w:pStyle w:val="32"/>
              <w:widowControl w:val="0"/>
              <w:bidi w:val="0"/>
              <w:rPr>
                <w:rFonts w:hint="eastAsia"/>
                <w:highlight w:val="none"/>
                <w:lang w:val="en-US" w:eastAsia="zh-CN"/>
              </w:rPr>
            </w:pPr>
            <w:r>
              <w:rPr>
                <w:rFonts w:hint="eastAsia"/>
                <w:highlight w:val="none"/>
                <w:lang w:val="en-US" w:eastAsia="zh-CN"/>
              </w:rPr>
              <w:t>斜坡道硐口</w:t>
            </w:r>
          </w:p>
        </w:tc>
        <w:tc>
          <w:tcPr>
            <w:tcW w:w="802" w:type="pct"/>
            <w:noWrap w:val="0"/>
            <w:vAlign w:val="center"/>
          </w:tcPr>
          <w:p w14:paraId="4F38D53D">
            <w:pPr>
              <w:pStyle w:val="32"/>
              <w:widowControl w:val="0"/>
              <w:bidi w:val="0"/>
              <w:rPr>
                <w:rFonts w:hint="eastAsia"/>
                <w:highlight w:val="none"/>
                <w:lang w:val="en-US" w:eastAsia="zh-CN"/>
              </w:rPr>
            </w:pPr>
            <w:r>
              <w:rPr>
                <w:rFonts w:hint="eastAsia"/>
                <w:highlight w:val="none"/>
                <w:lang w:val="en-US" w:eastAsia="zh-CN"/>
              </w:rPr>
              <w:t>1</w:t>
            </w:r>
          </w:p>
        </w:tc>
      </w:tr>
      <w:tr w14:paraId="70379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454" w:type="pct"/>
            <w:noWrap w:val="0"/>
            <w:vAlign w:val="center"/>
          </w:tcPr>
          <w:p w14:paraId="53D94928">
            <w:pPr>
              <w:pStyle w:val="32"/>
              <w:widowControl w:val="0"/>
              <w:bidi w:val="0"/>
              <w:rPr>
                <w:rFonts w:hint="eastAsia"/>
                <w:highlight w:val="none"/>
                <w:lang w:val="en-US" w:eastAsia="zh-CN"/>
              </w:rPr>
            </w:pPr>
            <w:r>
              <w:rPr>
                <w:rFonts w:hint="eastAsia"/>
                <w:highlight w:val="none"/>
                <w:lang w:val="en-US" w:eastAsia="zh-CN"/>
              </w:rPr>
              <w:t>138m中段</w:t>
            </w:r>
          </w:p>
        </w:tc>
        <w:tc>
          <w:tcPr>
            <w:tcW w:w="2742" w:type="pct"/>
            <w:noWrap w:val="0"/>
            <w:vAlign w:val="center"/>
          </w:tcPr>
          <w:p w14:paraId="1EBC6384">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61F0EB72">
            <w:pPr>
              <w:pStyle w:val="32"/>
              <w:widowControl w:val="0"/>
              <w:bidi w:val="0"/>
              <w:rPr>
                <w:rFonts w:hint="eastAsia"/>
                <w:highlight w:val="none"/>
                <w:lang w:val="en-US" w:eastAsia="zh-CN"/>
              </w:rPr>
            </w:pPr>
            <w:r>
              <w:rPr>
                <w:rFonts w:hint="eastAsia"/>
                <w:highlight w:val="none"/>
                <w:lang w:val="en-US" w:eastAsia="zh-CN"/>
              </w:rPr>
              <w:t>1</w:t>
            </w:r>
          </w:p>
        </w:tc>
      </w:tr>
      <w:tr w14:paraId="757BE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454" w:type="pct"/>
            <w:noWrap w:val="0"/>
            <w:vAlign w:val="center"/>
          </w:tcPr>
          <w:p w14:paraId="6A66EA5A">
            <w:pPr>
              <w:pStyle w:val="32"/>
              <w:widowControl w:val="0"/>
              <w:bidi w:val="0"/>
              <w:rPr>
                <w:rFonts w:hint="eastAsia"/>
                <w:highlight w:val="none"/>
                <w:lang w:val="en-US" w:eastAsia="zh-CN"/>
              </w:rPr>
            </w:pPr>
            <w:r>
              <w:rPr>
                <w:rFonts w:hint="eastAsia"/>
                <w:highlight w:val="none"/>
                <w:lang w:val="en-US" w:eastAsia="zh-CN"/>
              </w:rPr>
              <w:t>108m中段</w:t>
            </w:r>
          </w:p>
        </w:tc>
        <w:tc>
          <w:tcPr>
            <w:tcW w:w="2742" w:type="pct"/>
            <w:noWrap w:val="0"/>
            <w:vAlign w:val="center"/>
          </w:tcPr>
          <w:p w14:paraId="0AA0FCCA">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4332B841">
            <w:pPr>
              <w:pStyle w:val="32"/>
              <w:widowControl w:val="0"/>
              <w:bidi w:val="0"/>
              <w:rPr>
                <w:rFonts w:hint="eastAsia"/>
                <w:highlight w:val="none"/>
                <w:lang w:val="en-US" w:eastAsia="zh-CN"/>
              </w:rPr>
            </w:pPr>
            <w:r>
              <w:rPr>
                <w:rFonts w:hint="eastAsia"/>
                <w:highlight w:val="none"/>
                <w:lang w:val="en-US" w:eastAsia="zh-CN"/>
              </w:rPr>
              <w:t>1</w:t>
            </w:r>
          </w:p>
        </w:tc>
      </w:tr>
      <w:tr w14:paraId="125B5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64285B74">
            <w:pPr>
              <w:pStyle w:val="32"/>
              <w:widowControl w:val="0"/>
              <w:bidi w:val="0"/>
              <w:rPr>
                <w:rFonts w:hint="eastAsia"/>
                <w:highlight w:val="none"/>
                <w:lang w:val="en-US" w:eastAsia="zh-CN"/>
              </w:rPr>
            </w:pPr>
            <w:r>
              <w:rPr>
                <w:rFonts w:hint="eastAsia"/>
                <w:highlight w:val="none"/>
                <w:lang w:val="en-US" w:eastAsia="zh-CN"/>
              </w:rPr>
              <w:t>63m中段</w:t>
            </w:r>
          </w:p>
        </w:tc>
        <w:tc>
          <w:tcPr>
            <w:tcW w:w="2742" w:type="pct"/>
            <w:noWrap w:val="0"/>
            <w:vAlign w:val="center"/>
          </w:tcPr>
          <w:p w14:paraId="436AB696">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473637F5">
            <w:pPr>
              <w:pStyle w:val="32"/>
              <w:widowControl w:val="0"/>
              <w:bidi w:val="0"/>
              <w:rPr>
                <w:rFonts w:hint="eastAsia"/>
                <w:highlight w:val="none"/>
                <w:lang w:val="en-US" w:eastAsia="zh-CN"/>
              </w:rPr>
            </w:pPr>
            <w:r>
              <w:rPr>
                <w:rFonts w:hint="eastAsia"/>
                <w:highlight w:val="none"/>
                <w:lang w:val="en-US" w:eastAsia="zh-CN"/>
              </w:rPr>
              <w:t>1</w:t>
            </w:r>
          </w:p>
        </w:tc>
      </w:tr>
      <w:tr w14:paraId="53882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0CCBCCB0">
            <w:pPr>
              <w:pStyle w:val="32"/>
              <w:widowControl w:val="0"/>
              <w:bidi w:val="0"/>
              <w:rPr>
                <w:rFonts w:hint="eastAsia"/>
                <w:highlight w:val="none"/>
                <w:lang w:val="en-US" w:eastAsia="zh-CN"/>
              </w:rPr>
            </w:pPr>
            <w:r>
              <w:rPr>
                <w:rFonts w:hint="eastAsia"/>
                <w:highlight w:val="none"/>
                <w:lang w:val="en-US" w:eastAsia="zh-CN"/>
              </w:rPr>
              <w:t>18m中段</w:t>
            </w:r>
          </w:p>
        </w:tc>
        <w:tc>
          <w:tcPr>
            <w:tcW w:w="2742" w:type="pct"/>
            <w:noWrap w:val="0"/>
            <w:vAlign w:val="center"/>
          </w:tcPr>
          <w:p w14:paraId="2FF905E0">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7906F2E0">
            <w:pPr>
              <w:pStyle w:val="32"/>
              <w:widowControl w:val="0"/>
              <w:bidi w:val="0"/>
              <w:rPr>
                <w:rFonts w:hint="eastAsia"/>
                <w:highlight w:val="none"/>
                <w:lang w:val="en-US" w:eastAsia="zh-CN"/>
              </w:rPr>
            </w:pPr>
            <w:r>
              <w:rPr>
                <w:rFonts w:hint="eastAsia"/>
                <w:highlight w:val="none"/>
                <w:lang w:val="en-US" w:eastAsia="zh-CN"/>
              </w:rPr>
              <w:t>1</w:t>
            </w:r>
          </w:p>
        </w:tc>
      </w:tr>
      <w:tr w14:paraId="25BA8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1DF053FD">
            <w:pPr>
              <w:pStyle w:val="32"/>
              <w:widowControl w:val="0"/>
              <w:bidi w:val="0"/>
              <w:rPr>
                <w:rFonts w:hint="eastAsia"/>
                <w:highlight w:val="none"/>
                <w:lang w:val="en-US" w:eastAsia="zh-CN"/>
              </w:rPr>
            </w:pPr>
            <w:r>
              <w:rPr>
                <w:rFonts w:hint="eastAsia"/>
                <w:highlight w:val="none"/>
                <w:lang w:val="en-US" w:eastAsia="zh-CN"/>
              </w:rPr>
              <w:t>-27m中段</w:t>
            </w:r>
          </w:p>
        </w:tc>
        <w:tc>
          <w:tcPr>
            <w:tcW w:w="2742" w:type="pct"/>
            <w:noWrap w:val="0"/>
            <w:vAlign w:val="center"/>
          </w:tcPr>
          <w:p w14:paraId="67BD56A2">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7EB644F3">
            <w:pPr>
              <w:pStyle w:val="32"/>
              <w:widowControl w:val="0"/>
              <w:bidi w:val="0"/>
              <w:rPr>
                <w:rFonts w:hint="default"/>
                <w:highlight w:val="none"/>
                <w:lang w:val="en-US" w:eastAsia="zh-CN"/>
              </w:rPr>
            </w:pPr>
            <w:r>
              <w:rPr>
                <w:rFonts w:hint="eastAsia"/>
                <w:highlight w:val="none"/>
                <w:lang w:val="en-US" w:eastAsia="zh-CN"/>
              </w:rPr>
              <w:t>1</w:t>
            </w:r>
          </w:p>
        </w:tc>
      </w:tr>
      <w:tr w14:paraId="7E458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2D997A11">
            <w:pPr>
              <w:pStyle w:val="32"/>
              <w:widowControl w:val="0"/>
              <w:bidi w:val="0"/>
              <w:rPr>
                <w:rFonts w:hint="default"/>
                <w:highlight w:val="none"/>
                <w:lang w:val="en-US" w:eastAsia="zh-CN"/>
              </w:rPr>
            </w:pPr>
            <w:r>
              <w:rPr>
                <w:rFonts w:hint="eastAsia"/>
                <w:highlight w:val="none"/>
                <w:lang w:val="en-US" w:eastAsia="zh-CN"/>
              </w:rPr>
              <w:t>-67m中段</w:t>
            </w:r>
          </w:p>
        </w:tc>
        <w:tc>
          <w:tcPr>
            <w:tcW w:w="2742" w:type="pct"/>
            <w:noWrap w:val="0"/>
            <w:vAlign w:val="center"/>
          </w:tcPr>
          <w:p w14:paraId="62BB308E">
            <w:pPr>
              <w:pStyle w:val="32"/>
              <w:widowControl w:val="0"/>
              <w:bidi w:val="0"/>
              <w:rPr>
                <w:rFonts w:hint="eastAsia"/>
                <w:highlight w:val="none"/>
                <w:lang w:val="en-US" w:eastAsia="zh-CN"/>
              </w:rPr>
            </w:pPr>
            <w:r>
              <w:rPr>
                <w:rFonts w:hint="eastAsia"/>
                <w:highlight w:val="none"/>
                <w:lang w:val="en-US" w:eastAsia="zh-CN"/>
              </w:rPr>
              <w:t>斜坡道车场</w:t>
            </w:r>
          </w:p>
        </w:tc>
        <w:tc>
          <w:tcPr>
            <w:tcW w:w="802" w:type="pct"/>
            <w:noWrap w:val="0"/>
            <w:vAlign w:val="center"/>
          </w:tcPr>
          <w:p w14:paraId="2A5ACE00">
            <w:pPr>
              <w:pStyle w:val="32"/>
              <w:widowControl w:val="0"/>
              <w:bidi w:val="0"/>
              <w:rPr>
                <w:rFonts w:hint="default"/>
                <w:highlight w:val="none"/>
                <w:lang w:val="en-US" w:eastAsia="zh-CN"/>
              </w:rPr>
            </w:pPr>
            <w:r>
              <w:rPr>
                <w:rFonts w:hint="eastAsia"/>
                <w:highlight w:val="none"/>
                <w:lang w:val="en-US" w:eastAsia="zh-CN"/>
              </w:rPr>
              <w:t>1</w:t>
            </w:r>
          </w:p>
        </w:tc>
      </w:tr>
      <w:tr w14:paraId="462A3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454" w:type="pct"/>
            <w:noWrap w:val="0"/>
            <w:vAlign w:val="center"/>
          </w:tcPr>
          <w:p w14:paraId="6CB9E5FF">
            <w:pPr>
              <w:pStyle w:val="32"/>
              <w:widowControl w:val="0"/>
              <w:bidi w:val="0"/>
              <w:rPr>
                <w:rFonts w:hint="default"/>
                <w:highlight w:val="none"/>
                <w:lang w:val="en-US" w:eastAsia="zh-CN"/>
              </w:rPr>
            </w:pPr>
            <w:r>
              <w:rPr>
                <w:rFonts w:hint="eastAsia"/>
                <w:highlight w:val="none"/>
                <w:lang w:val="en-US" w:eastAsia="zh-CN"/>
              </w:rPr>
              <w:t>备用</w:t>
            </w:r>
          </w:p>
        </w:tc>
        <w:tc>
          <w:tcPr>
            <w:tcW w:w="2742" w:type="pct"/>
            <w:noWrap w:val="0"/>
            <w:vAlign w:val="center"/>
          </w:tcPr>
          <w:p w14:paraId="234FF923">
            <w:pPr>
              <w:pStyle w:val="32"/>
              <w:widowControl w:val="0"/>
              <w:bidi w:val="0"/>
              <w:rPr>
                <w:rFonts w:hint="eastAsia"/>
                <w:highlight w:val="none"/>
                <w:lang w:val="en-US" w:eastAsia="zh-CN"/>
              </w:rPr>
            </w:pPr>
          </w:p>
        </w:tc>
        <w:tc>
          <w:tcPr>
            <w:tcW w:w="802" w:type="pct"/>
            <w:noWrap w:val="0"/>
            <w:vAlign w:val="center"/>
          </w:tcPr>
          <w:p w14:paraId="235092B3">
            <w:pPr>
              <w:pStyle w:val="32"/>
              <w:widowControl w:val="0"/>
              <w:bidi w:val="0"/>
              <w:rPr>
                <w:rFonts w:hint="default"/>
                <w:highlight w:val="none"/>
                <w:lang w:val="en-US" w:eastAsia="zh-CN"/>
              </w:rPr>
            </w:pPr>
            <w:r>
              <w:rPr>
                <w:rFonts w:hint="eastAsia"/>
                <w:highlight w:val="none"/>
                <w:lang w:val="en-US" w:eastAsia="zh-CN"/>
              </w:rPr>
              <w:t>1</w:t>
            </w:r>
          </w:p>
        </w:tc>
      </w:tr>
    </w:tbl>
    <w:p w14:paraId="44BAFF87">
      <w:pPr>
        <w:pStyle w:val="31"/>
        <w:bidi w:val="0"/>
        <w:rPr>
          <w:rFonts w:hint="eastAsia"/>
          <w:highlight w:val="none"/>
        </w:rPr>
      </w:pPr>
    </w:p>
    <w:p w14:paraId="73CB1106">
      <w:pPr>
        <w:pStyle w:val="22"/>
        <w:numPr>
          <w:ilvl w:val="0"/>
          <w:numId w:val="24"/>
        </w:numPr>
        <w:bidi w:val="0"/>
        <w:rPr>
          <w:rFonts w:hint="default"/>
          <w:highlight w:val="none"/>
          <w:lang w:val="en-US" w:eastAsia="zh-CN"/>
        </w:rPr>
      </w:pPr>
      <w:r>
        <w:rPr>
          <w:rFonts w:hint="eastAsia"/>
          <w:highlight w:val="none"/>
          <w:lang w:val="en-US" w:eastAsia="zh-CN"/>
        </w:rPr>
        <w:t>紧急避险系统</w:t>
      </w:r>
    </w:p>
    <w:p w14:paraId="43C184BA">
      <w:pPr>
        <w:pStyle w:val="22"/>
        <w:bidi w:val="0"/>
        <w:rPr>
          <w:rFonts w:hint="eastAsia"/>
          <w:highlight w:val="none"/>
        </w:rPr>
      </w:pPr>
      <w:r>
        <w:rPr>
          <w:rFonts w:hint="eastAsia"/>
          <w:highlight w:val="none"/>
        </w:rPr>
        <w:t>本矿山水文地质条件简单，并且生产中段在地面最低安全出口以下垂直距离未超过500m，因此不需在最低采矿生产中段设置普通型紧急避险硐室。</w:t>
      </w:r>
    </w:p>
    <w:p w14:paraId="6CB72458">
      <w:pPr>
        <w:pStyle w:val="22"/>
        <w:bidi w:val="0"/>
        <w:rPr>
          <w:rFonts w:hint="eastAsia"/>
          <w:highlight w:val="none"/>
        </w:rPr>
      </w:pPr>
      <w:r>
        <w:rPr>
          <w:rFonts w:hint="eastAsia"/>
          <w:highlight w:val="none"/>
          <w:lang w:val="en-US" w:eastAsia="zh-CN"/>
        </w:rPr>
        <w:t>1、</w:t>
      </w:r>
      <w:r>
        <w:rPr>
          <w:rFonts w:hint="eastAsia"/>
          <w:highlight w:val="none"/>
        </w:rPr>
        <w:t>系统设置</w:t>
      </w:r>
    </w:p>
    <w:p w14:paraId="0F44AC18">
      <w:pPr>
        <w:pStyle w:val="22"/>
        <w:bidi w:val="0"/>
        <w:rPr>
          <w:rFonts w:hint="eastAsia"/>
          <w:highlight w:val="none"/>
        </w:rPr>
      </w:pPr>
      <w:r>
        <w:rPr>
          <w:rFonts w:hint="eastAsia"/>
          <w:highlight w:val="none"/>
        </w:rPr>
        <w:t>矿山井下紧急避险系统由避灾路线、避灾设施组成的系统，在井下发生紧急情况下，为遇险人员安全避险提供生命保障的有机整体。</w:t>
      </w:r>
    </w:p>
    <w:p w14:paraId="0A247410">
      <w:pPr>
        <w:pStyle w:val="22"/>
        <w:bidi w:val="0"/>
        <w:rPr>
          <w:rFonts w:hint="eastAsia"/>
          <w:highlight w:val="none"/>
        </w:rPr>
      </w:pPr>
      <w:r>
        <w:rPr>
          <w:rFonts w:hint="eastAsia"/>
          <w:highlight w:val="none"/>
          <w:lang w:val="en-US" w:eastAsia="zh-CN"/>
        </w:rPr>
        <w:t>a.</w:t>
      </w:r>
      <w:r>
        <w:rPr>
          <w:rFonts w:hint="eastAsia"/>
          <w:highlight w:val="none"/>
        </w:rPr>
        <w:t>紧急避险遵循“撤离优先，避险就近”的原则。矿山根据井下生产作业实际，建立健全生产安全事故应急预案，明确不同事故条件下不同作业区域人员的紧急避险原则、方法、路线和应急处理措施。</w:t>
      </w:r>
    </w:p>
    <w:p w14:paraId="50D8737A">
      <w:pPr>
        <w:pStyle w:val="22"/>
        <w:bidi w:val="0"/>
        <w:rPr>
          <w:rFonts w:hint="eastAsia"/>
          <w:highlight w:val="none"/>
        </w:rPr>
      </w:pPr>
      <w:r>
        <w:rPr>
          <w:rFonts w:hint="eastAsia"/>
          <w:highlight w:val="none"/>
          <w:lang w:val="en-US" w:eastAsia="zh-CN"/>
        </w:rPr>
        <w:t>b.</w:t>
      </w:r>
      <w:r>
        <w:rPr>
          <w:rFonts w:hint="eastAsia"/>
          <w:highlight w:val="none"/>
        </w:rPr>
        <w:t>矿山规定做好应急预案的培训和演练工作，确保井下作业人员熟练掌握紧急避险原则、线路和现场应急处理措施。</w:t>
      </w:r>
    </w:p>
    <w:p w14:paraId="57FD87D5">
      <w:pPr>
        <w:pStyle w:val="22"/>
        <w:bidi w:val="0"/>
        <w:rPr>
          <w:rFonts w:hint="eastAsia"/>
          <w:highlight w:val="none"/>
        </w:rPr>
      </w:pPr>
      <w:r>
        <w:rPr>
          <w:rFonts w:hint="eastAsia"/>
          <w:highlight w:val="none"/>
          <w:lang w:val="en-US" w:eastAsia="zh-CN"/>
        </w:rPr>
        <w:t>c.</w:t>
      </w:r>
      <w:r>
        <w:rPr>
          <w:rFonts w:hint="eastAsia"/>
          <w:highlight w:val="none"/>
        </w:rPr>
        <w:t>避险路线选择安全条件好最好、距离最短的行动路线，当距离较长时，在途中设置中继站，并配备自救器。</w:t>
      </w:r>
    </w:p>
    <w:p w14:paraId="0A2D2FE2">
      <w:pPr>
        <w:pStyle w:val="22"/>
        <w:bidi w:val="0"/>
        <w:rPr>
          <w:rFonts w:hint="eastAsia"/>
          <w:highlight w:val="none"/>
        </w:rPr>
      </w:pPr>
      <w:r>
        <w:rPr>
          <w:rFonts w:hint="eastAsia"/>
          <w:highlight w:val="none"/>
          <w:lang w:val="en-US" w:eastAsia="zh-CN"/>
        </w:rPr>
        <w:t>d.</w:t>
      </w:r>
      <w:r>
        <w:rPr>
          <w:rFonts w:hint="eastAsia"/>
          <w:highlight w:val="none"/>
        </w:rPr>
        <w:t>矿山按照GB14161的规定，做好井下避灾路线的标识，并定期检查维护避灾路线，保持其通畅。</w:t>
      </w:r>
    </w:p>
    <w:p w14:paraId="1B1FE7C4">
      <w:pPr>
        <w:pStyle w:val="22"/>
        <w:bidi w:val="0"/>
        <w:rPr>
          <w:rFonts w:hint="eastAsia"/>
          <w:highlight w:val="none"/>
        </w:rPr>
      </w:pPr>
      <w:r>
        <w:rPr>
          <w:rFonts w:hint="eastAsia"/>
          <w:highlight w:val="none"/>
          <w:lang w:val="en-US" w:eastAsia="zh-CN"/>
        </w:rPr>
        <w:t>e.</w:t>
      </w:r>
      <w:r>
        <w:rPr>
          <w:rFonts w:hint="eastAsia"/>
          <w:highlight w:val="none"/>
        </w:rPr>
        <w:t>事故发生时，遇险人员迅速判定事故地点、类型，并按照现场应急处置措施的要求，正确撤离或避险。</w:t>
      </w:r>
    </w:p>
    <w:p w14:paraId="68D1C353">
      <w:pPr>
        <w:pStyle w:val="22"/>
        <w:bidi w:val="0"/>
        <w:rPr>
          <w:rFonts w:hint="default" w:eastAsia="宋体"/>
          <w:highlight w:val="none"/>
          <w:lang w:val="en-US" w:eastAsia="zh-CN"/>
        </w:rPr>
      </w:pPr>
      <w:r>
        <w:rPr>
          <w:rFonts w:hint="eastAsia"/>
          <w:highlight w:val="none"/>
          <w:lang w:val="en-US" w:eastAsia="zh-CN"/>
        </w:rPr>
        <w:t>2、自救器</w:t>
      </w:r>
    </w:p>
    <w:p w14:paraId="393382AB">
      <w:pPr>
        <w:pStyle w:val="22"/>
        <w:bidi w:val="0"/>
        <w:rPr>
          <w:rFonts w:hint="eastAsia"/>
          <w:highlight w:val="none"/>
        </w:rPr>
      </w:pPr>
      <w:r>
        <w:rPr>
          <w:rFonts w:hint="eastAsia"/>
          <w:highlight w:val="none"/>
          <w:lang w:val="en-US" w:eastAsia="zh-CN"/>
        </w:rPr>
        <w:t>a.</w:t>
      </w:r>
      <w:r>
        <w:rPr>
          <w:rFonts w:hint="eastAsia"/>
          <w:highlight w:val="none"/>
        </w:rPr>
        <w:t>自救器的配备</w:t>
      </w:r>
    </w:p>
    <w:p w14:paraId="52A83A3F">
      <w:pPr>
        <w:pStyle w:val="22"/>
        <w:bidi w:val="0"/>
        <w:rPr>
          <w:rFonts w:hint="eastAsia"/>
          <w:highlight w:val="none"/>
        </w:rPr>
      </w:pPr>
      <w:r>
        <w:rPr>
          <w:rFonts w:hint="eastAsia"/>
          <w:highlight w:val="none"/>
        </w:rPr>
        <w:t>自救器配备数量按全矿总下井人数进行配置，该矿山全矿总下井人员数量共计52人，其中最大班作业人员27人，矿山企业应当确保入井人员每人配备1台自救器，取52台；并在井下避灾路线上设置的自救器补给站等紧急避险地点配备1.2倍同时作业最大人数的自救器，取33台。</w:t>
      </w:r>
    </w:p>
    <w:p w14:paraId="34D47BF9">
      <w:pPr>
        <w:pStyle w:val="22"/>
        <w:bidi w:val="0"/>
        <w:rPr>
          <w:rFonts w:hint="eastAsia"/>
          <w:highlight w:val="none"/>
        </w:rPr>
      </w:pPr>
      <w:r>
        <w:rPr>
          <w:rFonts w:hint="eastAsia"/>
          <w:highlight w:val="none"/>
        </w:rPr>
        <w:t>备用自救器不少于入井人员总数和紧急避险地点自救器总数两者之和的10%，备用自救器为（52+33）×10%=9台。</w:t>
      </w:r>
    </w:p>
    <w:p w14:paraId="61072A85">
      <w:pPr>
        <w:pStyle w:val="22"/>
        <w:bidi w:val="0"/>
        <w:rPr>
          <w:rFonts w:hint="eastAsia"/>
          <w:highlight w:val="none"/>
        </w:rPr>
      </w:pPr>
      <w:r>
        <w:rPr>
          <w:rFonts w:hint="eastAsia"/>
          <w:highlight w:val="none"/>
        </w:rPr>
        <w:t>综上全矿自救器共配备94台，其中人员带入井下52台，紧急避险地点配备33台，备用9台。</w:t>
      </w:r>
    </w:p>
    <w:p w14:paraId="4D0690A1">
      <w:pPr>
        <w:pStyle w:val="22"/>
        <w:bidi w:val="0"/>
        <w:rPr>
          <w:rFonts w:hint="eastAsia"/>
          <w:highlight w:val="none"/>
        </w:rPr>
      </w:pPr>
      <w:r>
        <w:rPr>
          <w:rFonts w:hint="eastAsia"/>
          <w:highlight w:val="none"/>
        </w:rPr>
        <w:t>设计选用便携式气体检测仪10台，下井工段长、带班长、安全员等人员随身携带气体检测仪。</w:t>
      </w:r>
    </w:p>
    <w:p w14:paraId="342FF0F8">
      <w:pPr>
        <w:pStyle w:val="22"/>
        <w:bidi w:val="0"/>
        <w:rPr>
          <w:rFonts w:hint="eastAsia"/>
          <w:highlight w:val="none"/>
        </w:rPr>
      </w:pPr>
      <w:r>
        <w:rPr>
          <w:rFonts w:hint="eastAsia"/>
          <w:highlight w:val="none"/>
        </w:rPr>
        <w:t>入井人员随身携带的自救器额定防护时间不低于30分钟。紧急避险地点配备的自救器额定防护时间不低于45分钟。</w:t>
      </w:r>
    </w:p>
    <w:p w14:paraId="09DD549C">
      <w:pPr>
        <w:pStyle w:val="22"/>
        <w:bidi w:val="0"/>
        <w:rPr>
          <w:rFonts w:hint="eastAsia"/>
          <w:highlight w:val="none"/>
        </w:rPr>
      </w:pPr>
      <w:r>
        <w:rPr>
          <w:rFonts w:hint="eastAsia"/>
          <w:highlight w:val="none"/>
        </w:rPr>
        <w:t>人员进入独头掘进工作面和通风不良的采场之前，应开动局部通风设备通风，确保空气质量满足作业要求；人员进入采掘工作面时，应携带便携式气体检测报警仪从进风侧进入，一旦报警应立即撤离。</w:t>
      </w:r>
    </w:p>
    <w:p w14:paraId="2CD21A01">
      <w:pPr>
        <w:pStyle w:val="22"/>
        <w:bidi w:val="0"/>
        <w:rPr>
          <w:rFonts w:hint="eastAsia"/>
          <w:highlight w:val="none"/>
        </w:rPr>
      </w:pPr>
      <w:r>
        <w:rPr>
          <w:rFonts w:hint="eastAsia"/>
          <w:highlight w:val="none"/>
          <w:lang w:val="en-US" w:eastAsia="zh-CN"/>
        </w:rPr>
        <w:t>b.</w:t>
      </w:r>
      <w:r>
        <w:rPr>
          <w:rFonts w:hint="eastAsia"/>
          <w:highlight w:val="none"/>
        </w:rPr>
        <w:t>自救器的选型、技术特征</w:t>
      </w:r>
    </w:p>
    <w:p w14:paraId="2442DEFC">
      <w:pPr>
        <w:pStyle w:val="22"/>
        <w:bidi w:val="0"/>
        <w:rPr>
          <w:rFonts w:hint="eastAsia"/>
          <w:highlight w:val="none"/>
        </w:rPr>
      </w:pPr>
      <w:r>
        <w:rPr>
          <w:rFonts w:hint="eastAsia"/>
          <w:highlight w:val="none"/>
        </w:rPr>
        <w:t>选择隔绝式压缩氧气自救器，该自救器是人体呼吸系统保护装置，主要用于矿山井下开采作业中，当矿井内遇有灾害事故，造成环境中缺氧或出现高浓度有毒气体危及生命安全时矿工可及时佩戴本自救器，实现呼吸系统的保护，并从灾区撤离脱险。</w:t>
      </w:r>
    </w:p>
    <w:p w14:paraId="74B27DEB">
      <w:pPr>
        <w:pStyle w:val="22"/>
        <w:bidi w:val="0"/>
        <w:rPr>
          <w:rFonts w:hint="eastAsia"/>
          <w:highlight w:val="none"/>
        </w:rPr>
      </w:pPr>
      <w:r>
        <w:rPr>
          <w:rFonts w:hint="eastAsia"/>
          <w:highlight w:val="none"/>
        </w:rPr>
        <w:t>氧气瓶配有减压阀和安全阀，使用过程安全可靠。自救器清净罐内配有二氧化碳吸收剂，可充分吸收人体呼出的二氧化碳，有效降低呼吸气囊中二氧化碳废气的含量。自救器内有自动/手动补给装置，使用中气囊瘪或感到呼吸量不足时，可自动或手动按压补给阀为气囊中快速补给氧气。采用工程塑料外壳，强度可靠，并且不会出现锈蚀现象，适宜井下环境使用。</w:t>
      </w:r>
    </w:p>
    <w:p w14:paraId="597D73AB">
      <w:pPr>
        <w:pStyle w:val="22"/>
        <w:bidi w:val="0"/>
        <w:rPr>
          <w:rFonts w:hint="eastAsia"/>
          <w:highlight w:val="none"/>
          <w:lang w:val="en-US" w:eastAsia="zh-CN"/>
        </w:rPr>
      </w:pPr>
      <w:r>
        <w:rPr>
          <w:rFonts w:hint="eastAsia"/>
          <w:highlight w:val="none"/>
          <w:lang w:val="en-US" w:eastAsia="zh-CN"/>
        </w:rPr>
        <w:t>3、紧急避险硐室</w:t>
      </w:r>
    </w:p>
    <w:p w14:paraId="16584ED9">
      <w:pPr>
        <w:pStyle w:val="22"/>
        <w:bidi w:val="0"/>
        <w:rPr>
          <w:rFonts w:hint="eastAsia"/>
          <w:highlight w:val="none"/>
          <w:lang w:val="en-US" w:eastAsia="zh-CN"/>
        </w:rPr>
      </w:pPr>
      <w:r>
        <w:rPr>
          <w:rFonts w:hint="eastAsia"/>
          <w:highlight w:val="none"/>
          <w:lang w:val="en-US" w:eastAsia="zh-CN"/>
        </w:rPr>
        <w:t>按照《金属非金属地下矿山紧急避险系统建设规范》（AQ/T 2033-2023），本溪市辉宏矿业有限公司于2025年2月编制完成的《辽宁省本溪县草河城镇徐堡村矿区铁矿资源储量核实报告》，确定矿床水文地质条件属于简单类型；生产中段与最低安全出口垂直距离339.8m（斜坡道硐口272.8m～-67m生产中段），不超过500m，因此无需设置普通型紧急避险硐室。</w:t>
      </w:r>
    </w:p>
    <w:p w14:paraId="663CDF37">
      <w:pPr>
        <w:pStyle w:val="22"/>
        <w:bidi w:val="0"/>
        <w:rPr>
          <w:rFonts w:hint="default"/>
          <w:highlight w:val="none"/>
          <w:lang w:val="en-US" w:eastAsia="zh-CN"/>
        </w:rPr>
      </w:pPr>
      <w:r>
        <w:rPr>
          <w:rFonts w:hint="eastAsia"/>
          <w:highlight w:val="none"/>
          <w:lang w:val="en-US" w:eastAsia="zh-CN"/>
        </w:rPr>
        <w:t>4、避灾线路</w:t>
      </w:r>
    </w:p>
    <w:p w14:paraId="75D53B4F">
      <w:pPr>
        <w:pStyle w:val="22"/>
        <w:bidi w:val="0"/>
        <w:rPr>
          <w:rFonts w:hint="eastAsia"/>
          <w:highlight w:val="none"/>
        </w:rPr>
      </w:pPr>
      <w:r>
        <w:rPr>
          <w:rFonts w:hint="eastAsia"/>
          <w:highlight w:val="none"/>
          <w:lang w:val="en-US" w:eastAsia="zh-CN"/>
        </w:rPr>
        <w:t>a.</w:t>
      </w:r>
      <w:r>
        <w:rPr>
          <w:rFonts w:hint="eastAsia"/>
          <w:highlight w:val="none"/>
        </w:rPr>
        <w:t>各中段避灾线路</w:t>
      </w:r>
    </w:p>
    <w:p w14:paraId="54936FF9">
      <w:pPr>
        <w:pStyle w:val="22"/>
        <w:bidi w:val="0"/>
        <w:rPr>
          <w:rFonts w:hint="eastAsia"/>
          <w:highlight w:val="none"/>
        </w:rPr>
      </w:pPr>
      <w:r>
        <w:rPr>
          <w:rFonts w:hint="eastAsia"/>
          <w:highlight w:val="none"/>
        </w:rPr>
        <w:t>各中段采场作业面→采场通风人行天井上行→上中段巷道。</w:t>
      </w:r>
    </w:p>
    <w:p w14:paraId="2775A3C9">
      <w:pPr>
        <w:pStyle w:val="22"/>
        <w:bidi w:val="0"/>
        <w:rPr>
          <w:rFonts w:hint="eastAsia"/>
          <w:highlight w:val="none"/>
        </w:rPr>
      </w:pPr>
      <w:r>
        <w:rPr>
          <w:rFonts w:hint="eastAsia"/>
          <w:highlight w:val="none"/>
          <w:lang w:val="en-US" w:eastAsia="zh-CN"/>
        </w:rPr>
        <w:t>b.</w:t>
      </w:r>
      <w:r>
        <w:rPr>
          <w:rFonts w:hint="eastAsia"/>
          <w:highlight w:val="none"/>
        </w:rPr>
        <w:t>遇气体、火灾灾害时</w:t>
      </w:r>
    </w:p>
    <w:p w14:paraId="3118C9E4">
      <w:pPr>
        <w:pStyle w:val="22"/>
        <w:bidi w:val="0"/>
        <w:rPr>
          <w:rFonts w:hint="eastAsia"/>
          <w:highlight w:val="none"/>
        </w:rPr>
      </w:pPr>
      <w:r>
        <w:rPr>
          <w:rFonts w:hint="eastAsia"/>
          <w:highlight w:val="none"/>
        </w:rPr>
        <w:t>中段人员（打开自救器）向进风侧走，如</w:t>
      </w:r>
      <w:r>
        <w:rPr>
          <w:rFonts w:hint="eastAsia"/>
          <w:highlight w:val="none"/>
          <w:lang w:val="en-US" w:eastAsia="zh-CN"/>
        </w:rPr>
        <w:t>斜坡道硐口</w:t>
      </w:r>
      <w:r>
        <w:rPr>
          <w:rFonts w:hint="eastAsia"/>
          <w:highlight w:val="none"/>
        </w:rPr>
        <w:t>，应立即往</w:t>
      </w:r>
      <w:r>
        <w:rPr>
          <w:rFonts w:hint="eastAsia"/>
          <w:highlight w:val="none"/>
          <w:lang w:val="en-US" w:eastAsia="zh-CN"/>
        </w:rPr>
        <w:t>斜坡道车场</w:t>
      </w:r>
      <w:r>
        <w:rPr>
          <w:rFonts w:hint="eastAsia"/>
          <w:highlight w:val="none"/>
        </w:rPr>
        <w:t>方向走，过风门至地面。</w:t>
      </w:r>
    </w:p>
    <w:p w14:paraId="55F1E964">
      <w:pPr>
        <w:pStyle w:val="22"/>
        <w:bidi w:val="0"/>
        <w:rPr>
          <w:rFonts w:hint="eastAsia"/>
          <w:highlight w:val="none"/>
        </w:rPr>
      </w:pPr>
      <w:r>
        <w:rPr>
          <w:rFonts w:hint="eastAsia"/>
          <w:highlight w:val="none"/>
          <w:lang w:val="en-US" w:eastAsia="zh-CN"/>
        </w:rPr>
        <w:t>c.</w:t>
      </w:r>
      <w:r>
        <w:rPr>
          <w:rFonts w:hint="eastAsia"/>
          <w:highlight w:val="none"/>
        </w:rPr>
        <w:t>遇水灾时</w:t>
      </w:r>
    </w:p>
    <w:p w14:paraId="311B1795">
      <w:pPr>
        <w:pStyle w:val="22"/>
        <w:bidi w:val="0"/>
        <w:rPr>
          <w:rFonts w:hint="eastAsia"/>
          <w:highlight w:val="none"/>
        </w:rPr>
      </w:pPr>
      <w:r>
        <w:rPr>
          <w:rFonts w:hint="eastAsia"/>
          <w:highlight w:val="none"/>
        </w:rPr>
        <w:t>各中段人员→运输平巷→矿房天井→上一中段→</w:t>
      </w:r>
      <w:r>
        <w:rPr>
          <w:rFonts w:hint="eastAsia"/>
          <w:highlight w:val="none"/>
          <w:lang w:val="en-US" w:eastAsia="zh-CN"/>
        </w:rPr>
        <w:t>斜坡道硐口、风井</w:t>
      </w:r>
      <w:r>
        <w:rPr>
          <w:rFonts w:hint="eastAsia"/>
          <w:highlight w:val="none"/>
        </w:rPr>
        <w:t>→地面。</w:t>
      </w:r>
    </w:p>
    <w:p w14:paraId="71BF072C">
      <w:pPr>
        <w:pStyle w:val="22"/>
        <w:numPr>
          <w:ilvl w:val="0"/>
          <w:numId w:val="24"/>
        </w:numPr>
        <w:bidi w:val="0"/>
        <w:rPr>
          <w:rFonts w:hint="eastAsia"/>
          <w:highlight w:val="none"/>
        </w:rPr>
      </w:pPr>
      <w:r>
        <w:rPr>
          <w:rFonts w:hint="eastAsia"/>
          <w:highlight w:val="none"/>
        </w:rPr>
        <w:t>压风自救系统</w:t>
      </w:r>
    </w:p>
    <w:p w14:paraId="16D768C7">
      <w:pPr>
        <w:pStyle w:val="22"/>
        <w:bidi w:val="0"/>
        <w:rPr>
          <w:rFonts w:hint="eastAsia" w:eastAsia="宋体"/>
          <w:highlight w:val="none"/>
          <w:lang w:val="en-US" w:eastAsia="zh-CN"/>
        </w:rPr>
      </w:pPr>
      <w:r>
        <w:rPr>
          <w:rFonts w:hint="eastAsia"/>
          <w:highlight w:val="none"/>
          <w:lang w:val="en-US" w:eastAsia="zh-CN"/>
        </w:rPr>
        <w:t>1、系统构成</w:t>
      </w:r>
    </w:p>
    <w:p w14:paraId="1A92BDE1">
      <w:pPr>
        <w:pStyle w:val="22"/>
        <w:bidi w:val="0"/>
        <w:rPr>
          <w:rFonts w:hint="eastAsia"/>
          <w:highlight w:val="none"/>
        </w:rPr>
      </w:pPr>
      <w:r>
        <w:rPr>
          <w:rFonts w:hint="eastAsia"/>
          <w:highlight w:val="none"/>
        </w:rPr>
        <w:t>压风自救系统是在矿山发生灾变时，为井下提供新鲜风流的系统，包括空气压缩机、压风管道、供气阀门、油水分离器、压风自救装置等。压风自救系统与生产压风系统共用。</w:t>
      </w:r>
    </w:p>
    <w:p w14:paraId="54F20338">
      <w:pPr>
        <w:pStyle w:val="22"/>
        <w:bidi w:val="0"/>
        <w:rPr>
          <w:rFonts w:hint="eastAsia" w:eastAsia="宋体"/>
          <w:highlight w:val="none"/>
          <w:lang w:val="en-US" w:eastAsia="zh-CN"/>
        </w:rPr>
      </w:pPr>
      <w:r>
        <w:rPr>
          <w:rFonts w:hint="eastAsia"/>
          <w:highlight w:val="none"/>
          <w:lang w:val="en-US" w:eastAsia="zh-CN"/>
        </w:rPr>
        <w:t>2、空压机、压风自救装置及管道</w:t>
      </w:r>
    </w:p>
    <w:p w14:paraId="09A7FFDB">
      <w:pPr>
        <w:pStyle w:val="22"/>
        <w:bidi w:val="0"/>
        <w:rPr>
          <w:rFonts w:hint="eastAsia"/>
          <w:highlight w:val="none"/>
          <w:lang w:eastAsia="zh-CN"/>
        </w:rPr>
      </w:pPr>
      <w:r>
        <w:rPr>
          <w:rFonts w:hint="eastAsia"/>
          <w:highlight w:val="none"/>
        </w:rPr>
        <w:t>压风自救装置选用的型号为LAYF、箱型，外型尺寸为：760×385×180mm，一组有6个出口，可供6人同时使用，产品符合《矿井压风自救装置技术条件》（MT390－1995）标准的要求，装置具有减压、节流、消噪声、过滤和开关等功能。压力调节范围：0.05～0.1MPa，消噪能力：＜85dB（A），防护方法：半面罩</w:t>
      </w:r>
      <w:r>
        <w:rPr>
          <w:rFonts w:hint="eastAsia"/>
          <w:highlight w:val="none"/>
          <w:lang w:eastAsia="zh-CN"/>
        </w:rPr>
        <w:t>。</w:t>
      </w:r>
    </w:p>
    <w:p w14:paraId="1988914C">
      <w:pPr>
        <w:pStyle w:val="22"/>
        <w:bidi w:val="0"/>
        <w:rPr>
          <w:rFonts w:hint="eastAsia"/>
          <w:highlight w:val="none"/>
          <w:lang w:eastAsia="zh-CN"/>
        </w:rPr>
      </w:pPr>
      <w:r>
        <w:rPr>
          <w:rFonts w:hint="eastAsia"/>
          <w:highlight w:val="none"/>
        </w:rPr>
        <w:t>设计压风管道与现生产供风管道共用。经计算主干管选用</w:t>
      </w:r>
      <w:r>
        <w:rPr>
          <w:highlight w:val="none"/>
        </w:rPr>
        <w:t>Φ</w:t>
      </w:r>
      <w:r>
        <w:rPr>
          <w:rFonts w:hint="eastAsia"/>
          <w:highlight w:val="none"/>
          <w:lang w:val="en-US" w:eastAsia="zh-CN"/>
        </w:rPr>
        <w:t>194</w:t>
      </w:r>
      <w:r>
        <w:rPr>
          <w:highlight w:val="none"/>
        </w:rPr>
        <w:t>×</w:t>
      </w:r>
      <w:r>
        <w:rPr>
          <w:rFonts w:hint="eastAsia"/>
          <w:highlight w:val="none"/>
          <w:lang w:val="en-US" w:eastAsia="zh-CN"/>
        </w:rPr>
        <w:t>6m</w:t>
      </w:r>
      <w:r>
        <w:rPr>
          <w:rFonts w:hint="eastAsia"/>
          <w:highlight w:val="none"/>
        </w:rPr>
        <w:t>m</w:t>
      </w:r>
      <w:r>
        <w:rPr>
          <w:rFonts w:hint="eastAsia"/>
          <w:highlight w:val="none"/>
          <w:lang w:eastAsia="zh-CN"/>
        </w:rPr>
        <w:t>无缝</w:t>
      </w:r>
      <w:r>
        <w:rPr>
          <w:rFonts w:hint="eastAsia"/>
          <w:highlight w:val="none"/>
        </w:rPr>
        <w:t>钢管</w:t>
      </w:r>
      <w:r>
        <w:rPr>
          <w:rFonts w:hint="eastAsia"/>
          <w:highlight w:val="none"/>
          <w:lang w:eastAsia="zh-CN"/>
        </w:rPr>
        <w:t>。</w:t>
      </w:r>
    </w:p>
    <w:p w14:paraId="0A707793">
      <w:pPr>
        <w:pStyle w:val="22"/>
        <w:bidi w:val="0"/>
        <w:rPr>
          <w:rFonts w:hint="default"/>
          <w:highlight w:val="none"/>
          <w:lang w:val="en-US" w:eastAsia="zh-CN"/>
        </w:rPr>
      </w:pPr>
      <w:r>
        <w:rPr>
          <w:rFonts w:hint="eastAsia"/>
          <w:highlight w:val="none"/>
          <w:lang w:val="en-US" w:eastAsia="zh-CN"/>
        </w:rPr>
        <w:t>3、供气阀门、压风自救装置安装位置</w:t>
      </w:r>
    </w:p>
    <w:p w14:paraId="3FE22A36">
      <w:pPr>
        <w:pStyle w:val="22"/>
        <w:bidi w:val="0"/>
        <w:rPr>
          <w:rFonts w:hint="eastAsia"/>
          <w:highlight w:val="none"/>
        </w:rPr>
      </w:pPr>
      <w:r>
        <w:rPr>
          <w:rFonts w:hint="eastAsia"/>
          <w:highlight w:val="none"/>
          <w:lang w:val="en-US" w:eastAsia="zh-CN"/>
        </w:rPr>
        <w:t>①供气</w:t>
      </w:r>
      <w:r>
        <w:rPr>
          <w:rFonts w:hint="eastAsia"/>
          <w:highlight w:val="none"/>
        </w:rPr>
        <w:t>阀门规范要求安装地点</w:t>
      </w:r>
    </w:p>
    <w:p w14:paraId="43C430DE">
      <w:pPr>
        <w:pStyle w:val="22"/>
        <w:bidi w:val="0"/>
        <w:rPr>
          <w:rFonts w:hint="eastAsia"/>
          <w:highlight w:val="none"/>
        </w:rPr>
      </w:pPr>
      <w:r>
        <w:rPr>
          <w:rFonts w:hint="eastAsia"/>
          <w:highlight w:val="none"/>
          <w:lang w:val="en-US" w:eastAsia="zh-CN"/>
        </w:rPr>
        <w:t>a.采掘作业场所、紧急避险设施</w:t>
      </w:r>
      <w:r>
        <w:rPr>
          <w:rFonts w:hint="eastAsia"/>
          <w:highlight w:val="none"/>
        </w:rPr>
        <w:t>；</w:t>
      </w:r>
    </w:p>
    <w:p w14:paraId="34A70D72">
      <w:pPr>
        <w:pStyle w:val="22"/>
        <w:bidi w:val="0"/>
        <w:rPr>
          <w:rFonts w:hint="eastAsia"/>
          <w:highlight w:val="none"/>
          <w:lang w:val="en-US" w:eastAsia="zh-CN"/>
        </w:rPr>
      </w:pPr>
      <w:r>
        <w:rPr>
          <w:rFonts w:hint="eastAsia"/>
          <w:highlight w:val="none"/>
          <w:lang w:val="en-US" w:eastAsia="zh-CN"/>
        </w:rPr>
        <w:t>b.</w:t>
      </w:r>
      <w:r>
        <w:rPr>
          <w:rFonts w:hint="eastAsia"/>
          <w:highlight w:val="none"/>
        </w:rPr>
        <w:t>各主要生产中段和分段进风巷道的压风管道上</w:t>
      </w:r>
      <w:r>
        <w:rPr>
          <w:rFonts w:hint="eastAsia"/>
          <w:highlight w:val="none"/>
          <w:lang w:val="en-US" w:eastAsia="zh-CN"/>
        </w:rPr>
        <w:t>设置供气阀门，中段和分段间隔应不大于200m。</w:t>
      </w:r>
    </w:p>
    <w:p w14:paraId="404CDE14">
      <w:pPr>
        <w:pStyle w:val="22"/>
        <w:bidi w:val="0"/>
        <w:rPr>
          <w:rFonts w:hint="eastAsia"/>
          <w:highlight w:val="none"/>
        </w:rPr>
      </w:pPr>
      <w:r>
        <w:rPr>
          <w:rFonts w:hint="eastAsia"/>
          <w:highlight w:val="none"/>
          <w:lang w:val="en-US" w:eastAsia="zh-CN"/>
        </w:rPr>
        <w:t>c.</w:t>
      </w:r>
      <w:r>
        <w:rPr>
          <w:rFonts w:hint="eastAsia"/>
          <w:highlight w:val="none"/>
        </w:rPr>
        <w:t>独头掘进巷道距掘进工作面不大于100m处的压风管道上应安设一组</w:t>
      </w:r>
      <w:r>
        <w:rPr>
          <w:rFonts w:hint="eastAsia"/>
          <w:highlight w:val="none"/>
          <w:lang w:val="en-US" w:eastAsia="zh-CN"/>
        </w:rPr>
        <w:t>供气阀门</w:t>
      </w:r>
      <w:r>
        <w:rPr>
          <w:rFonts w:hint="eastAsia"/>
          <w:highlight w:val="none"/>
        </w:rPr>
        <w:t>，</w:t>
      </w:r>
      <w:r>
        <w:rPr>
          <w:rFonts w:hint="eastAsia"/>
          <w:highlight w:val="none"/>
          <w:lang w:val="en-US" w:eastAsia="zh-CN"/>
        </w:rPr>
        <w:t>相邻两组供气阀门安设间距应不大于</w:t>
      </w:r>
      <w:r>
        <w:rPr>
          <w:rFonts w:hint="eastAsia"/>
          <w:highlight w:val="none"/>
        </w:rPr>
        <w:t>200m；</w:t>
      </w:r>
    </w:p>
    <w:p w14:paraId="43AED856">
      <w:pPr>
        <w:pStyle w:val="22"/>
        <w:bidi w:val="0"/>
        <w:rPr>
          <w:rFonts w:hint="eastAsia"/>
          <w:highlight w:val="none"/>
        </w:rPr>
      </w:pPr>
      <w:r>
        <w:rPr>
          <w:rFonts w:hint="eastAsia"/>
          <w:highlight w:val="none"/>
          <w:lang w:val="en-US" w:eastAsia="zh-CN"/>
        </w:rPr>
        <w:t>d.</w:t>
      </w:r>
      <w:r>
        <w:rPr>
          <w:rFonts w:hint="eastAsia"/>
          <w:highlight w:val="none"/>
        </w:rPr>
        <w:t>爆破时撤离人员集中地点的压风管道上应安设一组</w:t>
      </w:r>
      <w:r>
        <w:rPr>
          <w:rFonts w:hint="eastAsia"/>
          <w:highlight w:val="none"/>
          <w:lang w:val="en-US" w:eastAsia="zh-CN"/>
        </w:rPr>
        <w:t>供气</w:t>
      </w:r>
      <w:r>
        <w:rPr>
          <w:rFonts w:hint="eastAsia"/>
          <w:highlight w:val="none"/>
        </w:rPr>
        <w:t>阀门。</w:t>
      </w:r>
    </w:p>
    <w:p w14:paraId="29071885">
      <w:pPr>
        <w:pStyle w:val="22"/>
        <w:bidi w:val="0"/>
        <w:rPr>
          <w:rFonts w:hint="eastAsia"/>
          <w:highlight w:val="none"/>
        </w:rPr>
      </w:pPr>
      <w:r>
        <w:rPr>
          <w:rFonts w:hint="eastAsia"/>
          <w:highlight w:val="none"/>
          <w:lang w:val="en-US" w:eastAsia="zh-CN"/>
        </w:rPr>
        <w:t>②</w:t>
      </w:r>
      <w:r>
        <w:rPr>
          <w:rFonts w:hint="eastAsia"/>
          <w:highlight w:val="none"/>
        </w:rPr>
        <w:t>矿井</w:t>
      </w:r>
      <w:r>
        <w:rPr>
          <w:rFonts w:hint="eastAsia"/>
          <w:highlight w:val="none"/>
          <w:lang w:val="en-US" w:eastAsia="zh-CN"/>
        </w:rPr>
        <w:t>供气阀门</w:t>
      </w:r>
      <w:r>
        <w:rPr>
          <w:rFonts w:hint="eastAsia"/>
          <w:highlight w:val="none"/>
        </w:rPr>
        <w:t>具体安装位置</w:t>
      </w:r>
    </w:p>
    <w:p w14:paraId="49FD8838">
      <w:pPr>
        <w:pStyle w:val="22"/>
        <w:bidi w:val="0"/>
        <w:rPr>
          <w:rFonts w:hint="eastAsia"/>
          <w:highlight w:val="none"/>
        </w:rPr>
      </w:pPr>
      <w:r>
        <w:rPr>
          <w:rFonts w:hint="eastAsia"/>
          <w:highlight w:val="none"/>
          <w:lang w:val="en-US" w:eastAsia="zh-CN"/>
        </w:rPr>
        <w:t>a.</w:t>
      </w:r>
      <w:r>
        <w:rPr>
          <w:rFonts w:hint="eastAsia"/>
          <w:highlight w:val="none"/>
        </w:rPr>
        <w:t>各中段运输巷，设置</w:t>
      </w:r>
      <w:r>
        <w:rPr>
          <w:rFonts w:hint="eastAsia"/>
          <w:highlight w:val="none"/>
          <w:lang w:val="en-US" w:eastAsia="zh-CN"/>
        </w:rPr>
        <w:t>12</w:t>
      </w:r>
      <w:r>
        <w:rPr>
          <w:rFonts w:hint="eastAsia"/>
          <w:highlight w:val="none"/>
        </w:rPr>
        <w:t>个</w:t>
      </w:r>
      <w:r>
        <w:rPr>
          <w:rFonts w:hint="eastAsia"/>
          <w:highlight w:val="none"/>
          <w:lang w:val="en-US" w:eastAsia="zh-CN"/>
        </w:rPr>
        <w:t>供气阀门</w:t>
      </w:r>
      <w:r>
        <w:rPr>
          <w:rFonts w:hint="eastAsia"/>
          <w:highlight w:val="none"/>
        </w:rPr>
        <w:t>；</w:t>
      </w:r>
    </w:p>
    <w:p w14:paraId="5939CDAC">
      <w:pPr>
        <w:pStyle w:val="22"/>
        <w:bidi w:val="0"/>
        <w:rPr>
          <w:rFonts w:hint="eastAsia"/>
          <w:highlight w:val="none"/>
        </w:rPr>
      </w:pPr>
      <w:r>
        <w:rPr>
          <w:rFonts w:hint="eastAsia"/>
          <w:highlight w:val="none"/>
          <w:lang w:val="en-US" w:eastAsia="zh-CN"/>
        </w:rPr>
        <w:t>b.</w:t>
      </w:r>
      <w:r>
        <w:rPr>
          <w:rFonts w:hint="eastAsia"/>
          <w:highlight w:val="none"/>
        </w:rPr>
        <w:t>掘进作业面：各中段穿脉主运输巷安装</w:t>
      </w:r>
      <w:r>
        <w:rPr>
          <w:rFonts w:hint="eastAsia"/>
          <w:highlight w:val="none"/>
          <w:lang w:val="en-US" w:eastAsia="zh-CN"/>
        </w:rPr>
        <w:t>供气阀门</w:t>
      </w:r>
      <w:r>
        <w:rPr>
          <w:rFonts w:hint="eastAsia"/>
          <w:highlight w:val="none"/>
        </w:rPr>
        <w:t>，位置距掘进头100m以内。每处装一组；</w:t>
      </w:r>
    </w:p>
    <w:p w14:paraId="7672C534">
      <w:pPr>
        <w:pStyle w:val="22"/>
        <w:bidi w:val="0"/>
        <w:rPr>
          <w:rFonts w:hint="eastAsia"/>
          <w:highlight w:val="none"/>
        </w:rPr>
      </w:pPr>
      <w:r>
        <w:rPr>
          <w:rFonts w:hint="eastAsia"/>
          <w:highlight w:val="none"/>
          <w:lang w:val="en-US" w:eastAsia="zh-CN"/>
        </w:rPr>
        <w:t>③</w:t>
      </w:r>
      <w:r>
        <w:rPr>
          <w:rFonts w:hint="eastAsia"/>
          <w:highlight w:val="none"/>
        </w:rPr>
        <w:t>压风自救装置规范要求安装位置</w:t>
      </w:r>
    </w:p>
    <w:p w14:paraId="494E22AF">
      <w:pPr>
        <w:pStyle w:val="22"/>
        <w:bidi w:val="0"/>
        <w:rPr>
          <w:rFonts w:hint="eastAsia"/>
          <w:highlight w:val="none"/>
        </w:rPr>
      </w:pPr>
      <w:r>
        <w:rPr>
          <w:rFonts w:hint="eastAsia"/>
          <w:highlight w:val="none"/>
        </w:rPr>
        <w:t>有毒有害气体涌出的独头掘进巷道，距掘进工作面不大于100m处的压风管道上应安设压风自救装置。</w:t>
      </w:r>
    </w:p>
    <w:p w14:paraId="5CCF0304">
      <w:pPr>
        <w:pStyle w:val="22"/>
        <w:bidi w:val="0"/>
        <w:rPr>
          <w:rFonts w:hint="eastAsia"/>
          <w:highlight w:val="none"/>
        </w:rPr>
      </w:pPr>
      <w:r>
        <w:rPr>
          <w:rFonts w:hint="eastAsia"/>
          <w:highlight w:val="none"/>
          <w:lang w:val="en-US" w:eastAsia="zh-CN"/>
        </w:rPr>
        <w:t>138m中段、108m中段、63m中段、18m中段、-27m中段、-67m中段巷道</w:t>
      </w:r>
      <w:r>
        <w:rPr>
          <w:rFonts w:hint="eastAsia"/>
          <w:highlight w:val="none"/>
        </w:rPr>
        <w:t>设置压风自救装置。</w:t>
      </w:r>
    </w:p>
    <w:p w14:paraId="7D266469">
      <w:pPr>
        <w:pStyle w:val="22"/>
        <w:bidi w:val="0"/>
        <w:rPr>
          <w:rFonts w:hint="eastAsia"/>
          <w:highlight w:val="none"/>
        </w:rPr>
      </w:pPr>
      <w:r>
        <w:rPr>
          <w:rFonts w:hint="eastAsia"/>
          <w:highlight w:val="none"/>
        </w:rPr>
        <w:t>压风自救装置安装位置距掘进工作面不大于100m处的压风管道上。</w:t>
      </w:r>
    </w:p>
    <w:p w14:paraId="16C166D1">
      <w:pPr>
        <w:pStyle w:val="22"/>
        <w:numPr>
          <w:ilvl w:val="0"/>
          <w:numId w:val="24"/>
        </w:numPr>
        <w:bidi w:val="0"/>
        <w:rPr>
          <w:rFonts w:hint="eastAsia"/>
          <w:highlight w:val="none"/>
          <w:lang w:eastAsia="zh-CN"/>
        </w:rPr>
      </w:pPr>
      <w:r>
        <w:rPr>
          <w:rFonts w:hint="eastAsia"/>
          <w:highlight w:val="none"/>
          <w:lang w:eastAsia="zh-CN"/>
        </w:rPr>
        <w:t>供水施救系统</w:t>
      </w:r>
    </w:p>
    <w:p w14:paraId="5C341767">
      <w:pPr>
        <w:pStyle w:val="22"/>
        <w:bidi w:val="0"/>
        <w:rPr>
          <w:rFonts w:hint="eastAsia" w:eastAsia="宋体"/>
          <w:highlight w:val="none"/>
          <w:lang w:val="en-US" w:eastAsia="zh-CN"/>
        </w:rPr>
      </w:pPr>
      <w:r>
        <w:rPr>
          <w:rFonts w:hint="eastAsia"/>
          <w:highlight w:val="none"/>
          <w:lang w:val="en-US" w:eastAsia="zh-CN"/>
        </w:rPr>
        <w:t>1、系统构成</w:t>
      </w:r>
    </w:p>
    <w:p w14:paraId="363CCCC1">
      <w:pPr>
        <w:pStyle w:val="22"/>
        <w:bidi w:val="0"/>
        <w:rPr>
          <w:rFonts w:hint="eastAsia"/>
          <w:highlight w:val="none"/>
          <w:lang w:eastAsia="zh-CN"/>
        </w:rPr>
      </w:pPr>
      <w:r>
        <w:rPr>
          <w:rFonts w:hint="eastAsia"/>
          <w:highlight w:val="none"/>
          <w:lang w:eastAsia="zh-CN"/>
        </w:rPr>
        <w:t>供水施救系统是在矿山发生灾变时，为井下提供生活饮用水的系统，包括水源、过滤装置、供水管路、供水阀门等。供水施救管道利用原有生产、消防供水管道。</w:t>
      </w:r>
    </w:p>
    <w:p w14:paraId="2C7E4D57">
      <w:pPr>
        <w:pStyle w:val="22"/>
        <w:bidi w:val="0"/>
        <w:rPr>
          <w:rFonts w:hint="eastAsia"/>
          <w:highlight w:val="none"/>
          <w:lang w:val="en-US" w:eastAsia="zh-CN"/>
        </w:rPr>
      </w:pPr>
      <w:r>
        <w:rPr>
          <w:rFonts w:hint="eastAsia"/>
          <w:highlight w:val="none"/>
          <w:lang w:val="en-US" w:eastAsia="zh-CN"/>
        </w:rPr>
        <w:t>2、水源、管道、减压阀的选择</w:t>
      </w:r>
    </w:p>
    <w:p w14:paraId="0119E9AE">
      <w:pPr>
        <w:pStyle w:val="22"/>
        <w:bidi w:val="0"/>
        <w:rPr>
          <w:rFonts w:hint="eastAsia"/>
          <w:highlight w:val="none"/>
          <w:lang w:val="en-US" w:eastAsia="zh-CN"/>
        </w:rPr>
      </w:pPr>
      <w:r>
        <w:rPr>
          <w:rFonts w:hint="eastAsia"/>
          <w:highlight w:val="none"/>
          <w:lang w:val="en-US" w:eastAsia="zh-CN"/>
        </w:rPr>
        <w:t>水源由矿区深水井提供，采用恒压供水至生活辅助水池，再从高位水箱接配水管网。供水水质应满足《生活饮用水质卫生标准》（GB5749-2022）中规定的水质要求。</w:t>
      </w:r>
    </w:p>
    <w:p w14:paraId="72CCA8C6">
      <w:pPr>
        <w:pStyle w:val="22"/>
        <w:bidi w:val="0"/>
        <w:rPr>
          <w:rFonts w:hint="eastAsia"/>
          <w:highlight w:val="none"/>
          <w:lang w:val="en-US" w:eastAsia="zh-CN"/>
        </w:rPr>
      </w:pPr>
      <w:r>
        <w:rPr>
          <w:rFonts w:hint="eastAsia"/>
          <w:highlight w:val="none"/>
          <w:lang w:val="en-US" w:eastAsia="zh-CN"/>
        </w:rPr>
        <w:t>采用现有钢管接到作业场所，采用静压供水至作业场所。当井下需要供水施救时将现有的生活用水注入生活辅助水池中，关闭管道上生产水箱阀门，打开供水施救水箱闸阀三通接通供水施救系统。日常管理中及时检查维护供水施救系统，正常情况下供水施救系统处于关闭状态，灾害需要时及时打开，要确保供水施救系统能够随时正常使用</w:t>
      </w:r>
      <w:r>
        <w:rPr>
          <w:rFonts w:hint="eastAsia"/>
          <w:highlight w:val="none"/>
        </w:rPr>
        <w:t>。</w:t>
      </w:r>
    </w:p>
    <w:p w14:paraId="7F06E2CE">
      <w:pPr>
        <w:pStyle w:val="22"/>
        <w:bidi w:val="0"/>
        <w:rPr>
          <w:rFonts w:hint="eastAsia"/>
          <w:highlight w:val="none"/>
          <w:lang w:val="en-US" w:eastAsia="zh-CN"/>
        </w:rPr>
      </w:pPr>
      <w:r>
        <w:rPr>
          <w:rFonts w:hint="eastAsia"/>
          <w:highlight w:val="none"/>
          <w:lang w:val="en-US" w:eastAsia="zh-CN"/>
        </w:rPr>
        <w:t>3、供水阀门、供水施救装置安装地点</w:t>
      </w:r>
    </w:p>
    <w:p w14:paraId="01E3F66C">
      <w:pPr>
        <w:pStyle w:val="22"/>
        <w:bidi w:val="0"/>
        <w:rPr>
          <w:rFonts w:hint="eastAsia"/>
          <w:highlight w:val="none"/>
        </w:rPr>
      </w:pPr>
      <w:r>
        <w:rPr>
          <w:rFonts w:hint="eastAsia"/>
          <w:highlight w:val="none"/>
          <w:lang w:val="en-US" w:eastAsia="zh-CN"/>
        </w:rPr>
        <w:t>138m中段、108m中段、63m中段、18m中段、-27m中段、-67m中段巷道</w:t>
      </w:r>
      <w:r>
        <w:rPr>
          <w:rFonts w:hint="eastAsia"/>
          <w:highlight w:val="none"/>
        </w:rPr>
        <w:t>设置</w:t>
      </w:r>
      <w:r>
        <w:rPr>
          <w:rFonts w:hint="eastAsia"/>
          <w:highlight w:val="none"/>
          <w:lang w:val="en-US" w:eastAsia="zh-CN"/>
        </w:rPr>
        <w:t>供水</w:t>
      </w:r>
      <w:r>
        <w:rPr>
          <w:rFonts w:hint="eastAsia"/>
          <w:highlight w:val="none"/>
        </w:rPr>
        <w:t>阀门、供水施救装置。</w:t>
      </w:r>
    </w:p>
    <w:p w14:paraId="5DD287EA">
      <w:pPr>
        <w:pStyle w:val="22"/>
        <w:bidi w:val="0"/>
        <w:rPr>
          <w:rFonts w:hint="eastAsia"/>
          <w:highlight w:val="none"/>
        </w:rPr>
      </w:pPr>
      <w:r>
        <w:rPr>
          <w:rFonts w:hint="eastAsia"/>
          <w:highlight w:val="none"/>
        </w:rPr>
        <w:t>独头掘进巷道距掘进工作面不大于100m处的</w:t>
      </w:r>
      <w:r>
        <w:rPr>
          <w:rFonts w:hint="eastAsia"/>
          <w:highlight w:val="none"/>
          <w:lang w:val="en-US" w:eastAsia="zh-CN"/>
        </w:rPr>
        <w:t>供水</w:t>
      </w:r>
      <w:r>
        <w:rPr>
          <w:rFonts w:hint="eastAsia"/>
          <w:highlight w:val="none"/>
        </w:rPr>
        <w:t>管道上应安设一组</w:t>
      </w:r>
      <w:r>
        <w:rPr>
          <w:rFonts w:hint="eastAsia"/>
          <w:highlight w:val="none"/>
          <w:lang w:val="en-US" w:eastAsia="zh-CN"/>
        </w:rPr>
        <w:t>供水</w:t>
      </w:r>
      <w:r>
        <w:rPr>
          <w:rFonts w:hint="eastAsia"/>
          <w:highlight w:val="none"/>
        </w:rPr>
        <w:t>阀门，</w:t>
      </w:r>
      <w:r>
        <w:rPr>
          <w:rFonts w:hint="eastAsia"/>
          <w:highlight w:val="none"/>
          <w:lang w:val="en-US" w:eastAsia="zh-CN"/>
        </w:rPr>
        <w:t>相邻两组供水阀门安设间距应不大于</w:t>
      </w:r>
      <w:r>
        <w:rPr>
          <w:rFonts w:hint="eastAsia"/>
          <w:highlight w:val="none"/>
        </w:rPr>
        <w:t>200m；；</w:t>
      </w:r>
    </w:p>
    <w:p w14:paraId="7DD34B7B">
      <w:pPr>
        <w:pStyle w:val="22"/>
        <w:bidi w:val="0"/>
        <w:rPr>
          <w:rFonts w:hint="eastAsia"/>
          <w:highlight w:val="none"/>
        </w:rPr>
      </w:pPr>
      <w:r>
        <w:rPr>
          <w:rFonts w:hint="eastAsia"/>
          <w:highlight w:val="none"/>
        </w:rPr>
        <w:t>爆破时撤离人员集中地点的压风管道上应安设一组</w:t>
      </w:r>
      <w:r>
        <w:rPr>
          <w:rFonts w:hint="eastAsia"/>
          <w:highlight w:val="none"/>
          <w:lang w:val="en-US" w:eastAsia="zh-CN"/>
        </w:rPr>
        <w:t>供水</w:t>
      </w:r>
      <w:r>
        <w:rPr>
          <w:rFonts w:hint="eastAsia"/>
          <w:highlight w:val="none"/>
        </w:rPr>
        <w:t>阀门。</w:t>
      </w:r>
    </w:p>
    <w:p w14:paraId="0CF0175E">
      <w:pPr>
        <w:pStyle w:val="22"/>
        <w:bidi w:val="0"/>
        <w:rPr>
          <w:rFonts w:hint="default"/>
          <w:highlight w:val="none"/>
          <w:lang w:val="en-US" w:eastAsia="zh-CN"/>
        </w:rPr>
      </w:pPr>
      <w:r>
        <w:rPr>
          <w:rFonts w:hint="eastAsia"/>
          <w:highlight w:val="none"/>
          <w:lang w:val="en-US" w:eastAsia="zh-CN"/>
        </w:rPr>
        <w:t>3、供水阀门数量配备表</w:t>
      </w:r>
    </w:p>
    <w:p w14:paraId="21AA5753">
      <w:pPr>
        <w:pStyle w:val="22"/>
        <w:bidi w:val="0"/>
        <w:rPr>
          <w:rFonts w:hint="eastAsia"/>
          <w:highlight w:val="none"/>
        </w:rPr>
      </w:pPr>
      <w:r>
        <w:rPr>
          <w:rFonts w:hint="eastAsia"/>
          <w:highlight w:val="none"/>
          <w:lang w:val="en-US" w:eastAsia="zh-CN"/>
        </w:rPr>
        <w:t>供水</w:t>
      </w:r>
      <w:r>
        <w:rPr>
          <w:rFonts w:hint="eastAsia"/>
          <w:highlight w:val="none"/>
        </w:rPr>
        <w:t>阀门数量配备见</w:t>
      </w:r>
      <w:r>
        <w:rPr>
          <w:rFonts w:hint="eastAsia"/>
          <w:highlight w:val="none"/>
          <w:lang w:eastAsia="zh-CN"/>
        </w:rPr>
        <w:t>表2.4-7</w:t>
      </w:r>
      <w:r>
        <w:rPr>
          <w:rFonts w:hint="eastAsia"/>
          <w:highlight w:val="none"/>
        </w:rPr>
        <w:t>。</w:t>
      </w:r>
    </w:p>
    <w:p w14:paraId="653E5B71">
      <w:pPr>
        <w:pStyle w:val="31"/>
        <w:bidi w:val="0"/>
        <w:rPr>
          <w:rFonts w:hint="eastAsia"/>
          <w:highlight w:val="none"/>
          <w:lang w:val="en-US" w:eastAsia="zh-CN"/>
        </w:rPr>
      </w:pPr>
      <w:r>
        <w:rPr>
          <w:rFonts w:hint="eastAsia"/>
          <w:highlight w:val="none"/>
          <w:lang w:val="en-US" w:eastAsia="zh-CN"/>
        </w:rPr>
        <w:t>表2.4-7  供水施救系统</w:t>
      </w:r>
      <w:r>
        <w:rPr>
          <w:rFonts w:hint="eastAsia"/>
          <w:highlight w:val="none"/>
        </w:rPr>
        <w:t>专用安全设施</w:t>
      </w:r>
      <w:r>
        <w:rPr>
          <w:rFonts w:hint="eastAsia"/>
          <w:highlight w:val="none"/>
          <w:lang w:val="en-US" w:eastAsia="zh-CN"/>
        </w:rPr>
        <w:t>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1908"/>
        <w:gridCol w:w="1911"/>
        <w:gridCol w:w="858"/>
        <w:gridCol w:w="871"/>
        <w:gridCol w:w="2983"/>
      </w:tblGrid>
      <w:tr w14:paraId="31D0F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trPr>
        <w:tc>
          <w:tcPr>
            <w:tcW w:w="461" w:type="pct"/>
            <w:tcBorders>
              <w:top w:val="single" w:color="auto" w:sz="4" w:space="0"/>
            </w:tcBorders>
            <w:noWrap w:val="0"/>
            <w:vAlign w:val="center"/>
          </w:tcPr>
          <w:p w14:paraId="55DE4361">
            <w:pPr>
              <w:pStyle w:val="32"/>
              <w:bidi w:val="0"/>
              <w:rPr>
                <w:rFonts w:hint="eastAsia"/>
                <w:highlight w:val="none"/>
              </w:rPr>
            </w:pPr>
            <w:r>
              <w:rPr>
                <w:rFonts w:hint="eastAsia"/>
                <w:highlight w:val="none"/>
              </w:rPr>
              <w:t>序号</w:t>
            </w:r>
          </w:p>
        </w:tc>
        <w:tc>
          <w:tcPr>
            <w:tcW w:w="1015" w:type="pct"/>
            <w:tcBorders>
              <w:top w:val="single" w:color="auto" w:sz="4" w:space="0"/>
            </w:tcBorders>
            <w:noWrap w:val="0"/>
            <w:vAlign w:val="center"/>
          </w:tcPr>
          <w:p w14:paraId="5352B322">
            <w:pPr>
              <w:pStyle w:val="32"/>
              <w:bidi w:val="0"/>
              <w:rPr>
                <w:rFonts w:hint="eastAsia"/>
                <w:highlight w:val="none"/>
              </w:rPr>
            </w:pPr>
            <w:r>
              <w:rPr>
                <w:rFonts w:hint="eastAsia"/>
                <w:highlight w:val="none"/>
              </w:rPr>
              <w:t>名　称</w:t>
            </w:r>
          </w:p>
        </w:tc>
        <w:tc>
          <w:tcPr>
            <w:tcW w:w="1016" w:type="pct"/>
            <w:tcBorders>
              <w:top w:val="single" w:color="auto" w:sz="4" w:space="0"/>
            </w:tcBorders>
            <w:noWrap w:val="0"/>
            <w:vAlign w:val="center"/>
          </w:tcPr>
          <w:p w14:paraId="381B762D">
            <w:pPr>
              <w:pStyle w:val="32"/>
              <w:bidi w:val="0"/>
              <w:rPr>
                <w:rFonts w:hint="eastAsia"/>
                <w:highlight w:val="none"/>
              </w:rPr>
            </w:pPr>
            <w:r>
              <w:rPr>
                <w:rFonts w:hint="eastAsia"/>
                <w:highlight w:val="none"/>
              </w:rPr>
              <w:t>型　号</w:t>
            </w:r>
          </w:p>
        </w:tc>
        <w:tc>
          <w:tcPr>
            <w:tcW w:w="456" w:type="pct"/>
            <w:tcBorders>
              <w:top w:val="single" w:color="auto" w:sz="4" w:space="0"/>
            </w:tcBorders>
            <w:noWrap w:val="0"/>
            <w:vAlign w:val="center"/>
          </w:tcPr>
          <w:p w14:paraId="1CF20A64">
            <w:pPr>
              <w:pStyle w:val="32"/>
              <w:bidi w:val="0"/>
              <w:rPr>
                <w:rFonts w:hint="eastAsia"/>
                <w:highlight w:val="none"/>
              </w:rPr>
            </w:pPr>
            <w:r>
              <w:rPr>
                <w:rFonts w:hint="eastAsia"/>
                <w:highlight w:val="none"/>
              </w:rPr>
              <w:t>数量</w:t>
            </w:r>
          </w:p>
        </w:tc>
        <w:tc>
          <w:tcPr>
            <w:tcW w:w="463" w:type="pct"/>
            <w:tcBorders>
              <w:top w:val="single" w:color="auto" w:sz="4" w:space="0"/>
            </w:tcBorders>
            <w:noWrap w:val="0"/>
            <w:vAlign w:val="center"/>
          </w:tcPr>
          <w:p w14:paraId="74873536">
            <w:pPr>
              <w:pStyle w:val="32"/>
              <w:bidi w:val="0"/>
              <w:rPr>
                <w:rFonts w:hint="eastAsia"/>
                <w:highlight w:val="none"/>
              </w:rPr>
            </w:pPr>
            <w:r>
              <w:rPr>
                <w:rFonts w:hint="eastAsia"/>
                <w:highlight w:val="none"/>
              </w:rPr>
              <w:t>单位</w:t>
            </w:r>
          </w:p>
        </w:tc>
        <w:tc>
          <w:tcPr>
            <w:tcW w:w="1586" w:type="pct"/>
            <w:tcBorders>
              <w:top w:val="single" w:color="auto" w:sz="4" w:space="0"/>
            </w:tcBorders>
            <w:noWrap w:val="0"/>
            <w:vAlign w:val="center"/>
          </w:tcPr>
          <w:p w14:paraId="7DA239C3">
            <w:pPr>
              <w:pStyle w:val="32"/>
              <w:bidi w:val="0"/>
              <w:rPr>
                <w:rFonts w:hint="eastAsia"/>
                <w:highlight w:val="none"/>
              </w:rPr>
            </w:pPr>
            <w:r>
              <w:rPr>
                <w:rFonts w:hint="eastAsia"/>
                <w:highlight w:val="none"/>
              </w:rPr>
              <w:t>备注</w:t>
            </w:r>
          </w:p>
        </w:tc>
      </w:tr>
      <w:tr w14:paraId="3AD7A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1" w:type="pct"/>
            <w:noWrap w:val="0"/>
            <w:vAlign w:val="center"/>
          </w:tcPr>
          <w:p w14:paraId="7EF47452">
            <w:pPr>
              <w:pStyle w:val="32"/>
              <w:bidi w:val="0"/>
              <w:rPr>
                <w:rFonts w:hint="eastAsia"/>
                <w:highlight w:val="none"/>
              </w:rPr>
            </w:pPr>
            <w:r>
              <w:rPr>
                <w:rFonts w:hint="eastAsia"/>
                <w:highlight w:val="none"/>
              </w:rPr>
              <w:t>1</w:t>
            </w:r>
          </w:p>
        </w:tc>
        <w:tc>
          <w:tcPr>
            <w:tcW w:w="1015" w:type="pct"/>
            <w:noWrap w:val="0"/>
            <w:vAlign w:val="center"/>
          </w:tcPr>
          <w:p w14:paraId="4B513D3A">
            <w:pPr>
              <w:pStyle w:val="32"/>
              <w:bidi w:val="0"/>
              <w:rPr>
                <w:rFonts w:hint="eastAsia"/>
                <w:highlight w:val="none"/>
              </w:rPr>
            </w:pPr>
            <w:r>
              <w:rPr>
                <w:rFonts w:hint="eastAsia"/>
                <w:highlight w:val="none"/>
              </w:rPr>
              <w:t>水　源</w:t>
            </w:r>
          </w:p>
        </w:tc>
        <w:tc>
          <w:tcPr>
            <w:tcW w:w="1016" w:type="pct"/>
            <w:noWrap w:val="0"/>
            <w:vAlign w:val="center"/>
          </w:tcPr>
          <w:p w14:paraId="54BFC94B">
            <w:pPr>
              <w:pStyle w:val="32"/>
              <w:bidi w:val="0"/>
              <w:rPr>
                <w:rFonts w:hint="eastAsia"/>
                <w:highlight w:val="none"/>
              </w:rPr>
            </w:pPr>
            <w:r>
              <w:rPr>
                <w:rFonts w:hint="eastAsia"/>
                <w:highlight w:val="none"/>
              </w:rPr>
              <w:t>地面水箱</w:t>
            </w:r>
          </w:p>
        </w:tc>
        <w:tc>
          <w:tcPr>
            <w:tcW w:w="456" w:type="pct"/>
            <w:noWrap w:val="0"/>
            <w:vAlign w:val="center"/>
          </w:tcPr>
          <w:p w14:paraId="44D3C191">
            <w:pPr>
              <w:pStyle w:val="32"/>
              <w:bidi w:val="0"/>
              <w:rPr>
                <w:rFonts w:hint="eastAsia"/>
                <w:highlight w:val="none"/>
                <w:lang w:eastAsia="zh-CN"/>
              </w:rPr>
            </w:pPr>
            <w:r>
              <w:rPr>
                <w:rFonts w:hint="eastAsia"/>
                <w:highlight w:val="none"/>
                <w:lang w:val="en-US" w:eastAsia="zh-CN"/>
              </w:rPr>
              <w:t>1</w:t>
            </w:r>
          </w:p>
        </w:tc>
        <w:tc>
          <w:tcPr>
            <w:tcW w:w="463" w:type="pct"/>
            <w:noWrap w:val="0"/>
            <w:vAlign w:val="center"/>
          </w:tcPr>
          <w:p w14:paraId="0958E0CD">
            <w:pPr>
              <w:pStyle w:val="32"/>
              <w:bidi w:val="0"/>
              <w:rPr>
                <w:rFonts w:hint="eastAsia"/>
                <w:highlight w:val="none"/>
              </w:rPr>
            </w:pPr>
            <w:r>
              <w:rPr>
                <w:rFonts w:hint="eastAsia"/>
                <w:highlight w:val="none"/>
              </w:rPr>
              <w:t>个</w:t>
            </w:r>
          </w:p>
        </w:tc>
        <w:tc>
          <w:tcPr>
            <w:tcW w:w="1586" w:type="pct"/>
            <w:noWrap w:val="0"/>
            <w:vAlign w:val="center"/>
          </w:tcPr>
          <w:p w14:paraId="4E69C9A1">
            <w:pPr>
              <w:pStyle w:val="32"/>
              <w:bidi w:val="0"/>
              <w:rPr>
                <w:rFonts w:hint="eastAsia"/>
                <w:highlight w:val="none"/>
              </w:rPr>
            </w:pPr>
            <w:r>
              <w:rPr>
                <w:rFonts w:hint="eastAsia"/>
                <w:highlight w:val="none"/>
              </w:rPr>
              <w:t>要求水质应能供人饮用</w:t>
            </w:r>
          </w:p>
        </w:tc>
      </w:tr>
      <w:tr w14:paraId="70E2F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1" w:type="pct"/>
            <w:noWrap w:val="0"/>
            <w:vAlign w:val="center"/>
          </w:tcPr>
          <w:p w14:paraId="25A8F932">
            <w:pPr>
              <w:pStyle w:val="32"/>
              <w:bidi w:val="0"/>
              <w:rPr>
                <w:rFonts w:hint="eastAsia"/>
                <w:highlight w:val="none"/>
              </w:rPr>
            </w:pPr>
            <w:r>
              <w:rPr>
                <w:rFonts w:hint="eastAsia"/>
                <w:highlight w:val="none"/>
              </w:rPr>
              <w:t>2</w:t>
            </w:r>
          </w:p>
        </w:tc>
        <w:tc>
          <w:tcPr>
            <w:tcW w:w="1015" w:type="pct"/>
            <w:noWrap w:val="0"/>
            <w:vAlign w:val="center"/>
          </w:tcPr>
          <w:p w14:paraId="79A91114">
            <w:pPr>
              <w:pStyle w:val="32"/>
              <w:bidi w:val="0"/>
              <w:rPr>
                <w:rFonts w:hint="eastAsia"/>
                <w:highlight w:val="none"/>
              </w:rPr>
            </w:pPr>
            <w:r>
              <w:rPr>
                <w:rFonts w:hint="eastAsia"/>
                <w:highlight w:val="none"/>
              </w:rPr>
              <w:t>中段主巷</w:t>
            </w:r>
          </w:p>
          <w:p w14:paraId="112CCA5F">
            <w:pPr>
              <w:pStyle w:val="32"/>
              <w:bidi w:val="0"/>
              <w:rPr>
                <w:rFonts w:hint="eastAsia"/>
                <w:highlight w:val="none"/>
              </w:rPr>
            </w:pPr>
            <w:r>
              <w:rPr>
                <w:rFonts w:hint="eastAsia"/>
                <w:highlight w:val="none"/>
              </w:rPr>
              <w:t>供水管路</w:t>
            </w:r>
          </w:p>
        </w:tc>
        <w:tc>
          <w:tcPr>
            <w:tcW w:w="1016" w:type="pct"/>
            <w:noWrap w:val="0"/>
            <w:vAlign w:val="center"/>
          </w:tcPr>
          <w:p w14:paraId="64DBA9E3">
            <w:pPr>
              <w:pStyle w:val="32"/>
              <w:bidi w:val="0"/>
              <w:rPr>
                <w:rFonts w:hint="eastAsia"/>
                <w:highlight w:val="none"/>
              </w:rPr>
            </w:pPr>
            <w:r>
              <w:rPr>
                <w:rFonts w:hint="eastAsia"/>
                <w:highlight w:val="none"/>
              </w:rPr>
              <w:t>D</w:t>
            </w:r>
            <w:r>
              <w:rPr>
                <w:rFonts w:hint="eastAsia"/>
                <w:highlight w:val="none"/>
                <w:lang w:val="en-US" w:eastAsia="zh-CN"/>
              </w:rPr>
              <w:t>N80</w:t>
            </w:r>
            <w:r>
              <w:rPr>
                <w:rFonts w:hint="eastAsia"/>
                <w:highlight w:val="none"/>
              </w:rPr>
              <w:t>无缝钢管</w:t>
            </w:r>
          </w:p>
        </w:tc>
        <w:tc>
          <w:tcPr>
            <w:tcW w:w="456" w:type="pct"/>
            <w:noWrap w:val="0"/>
            <w:vAlign w:val="center"/>
          </w:tcPr>
          <w:p w14:paraId="30352BAE">
            <w:pPr>
              <w:pStyle w:val="32"/>
              <w:bidi w:val="0"/>
              <w:rPr>
                <w:rFonts w:hint="eastAsia"/>
                <w:highlight w:val="none"/>
              </w:rPr>
            </w:pPr>
          </w:p>
        </w:tc>
        <w:tc>
          <w:tcPr>
            <w:tcW w:w="463" w:type="pct"/>
            <w:noWrap w:val="0"/>
            <w:vAlign w:val="center"/>
          </w:tcPr>
          <w:p w14:paraId="566EA59C">
            <w:pPr>
              <w:pStyle w:val="32"/>
              <w:bidi w:val="0"/>
              <w:rPr>
                <w:rFonts w:hint="eastAsia"/>
                <w:highlight w:val="none"/>
              </w:rPr>
            </w:pPr>
          </w:p>
        </w:tc>
        <w:tc>
          <w:tcPr>
            <w:tcW w:w="1586" w:type="pct"/>
            <w:noWrap w:val="0"/>
            <w:vAlign w:val="center"/>
          </w:tcPr>
          <w:p w14:paraId="457B1163">
            <w:pPr>
              <w:pStyle w:val="32"/>
              <w:bidi w:val="0"/>
              <w:rPr>
                <w:rFonts w:hint="eastAsia"/>
                <w:highlight w:val="none"/>
              </w:rPr>
            </w:pPr>
            <w:r>
              <w:rPr>
                <w:rFonts w:hint="eastAsia"/>
                <w:highlight w:val="none"/>
              </w:rPr>
              <w:t>根据需要采用现供水管路设相应闸阀三通等共用</w:t>
            </w:r>
          </w:p>
        </w:tc>
      </w:tr>
      <w:tr w14:paraId="7A9C7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1" w:type="pct"/>
            <w:noWrap w:val="0"/>
            <w:vAlign w:val="center"/>
          </w:tcPr>
          <w:p w14:paraId="01019B2A">
            <w:pPr>
              <w:pStyle w:val="32"/>
              <w:bidi w:val="0"/>
              <w:rPr>
                <w:rFonts w:hint="eastAsia"/>
                <w:highlight w:val="none"/>
              </w:rPr>
            </w:pPr>
            <w:r>
              <w:rPr>
                <w:rFonts w:hint="eastAsia"/>
                <w:highlight w:val="none"/>
              </w:rPr>
              <w:t>3</w:t>
            </w:r>
          </w:p>
        </w:tc>
        <w:tc>
          <w:tcPr>
            <w:tcW w:w="1015" w:type="pct"/>
            <w:noWrap w:val="0"/>
            <w:vAlign w:val="center"/>
          </w:tcPr>
          <w:p w14:paraId="61F6D920">
            <w:pPr>
              <w:pStyle w:val="32"/>
              <w:bidi w:val="0"/>
              <w:rPr>
                <w:rFonts w:hint="eastAsia"/>
                <w:highlight w:val="none"/>
              </w:rPr>
            </w:pPr>
            <w:r>
              <w:rPr>
                <w:rFonts w:hint="eastAsia"/>
                <w:highlight w:val="none"/>
                <w:lang w:val="en-US" w:eastAsia="zh-CN"/>
              </w:rPr>
              <w:t>供水</w:t>
            </w:r>
            <w:r>
              <w:rPr>
                <w:rFonts w:hint="eastAsia"/>
                <w:highlight w:val="none"/>
              </w:rPr>
              <w:t>阀门</w:t>
            </w:r>
          </w:p>
        </w:tc>
        <w:tc>
          <w:tcPr>
            <w:tcW w:w="1016" w:type="pct"/>
            <w:noWrap w:val="0"/>
            <w:vAlign w:val="center"/>
          </w:tcPr>
          <w:p w14:paraId="1A0F063D">
            <w:pPr>
              <w:pStyle w:val="32"/>
              <w:bidi w:val="0"/>
              <w:rPr>
                <w:rFonts w:hint="eastAsia"/>
                <w:highlight w:val="none"/>
              </w:rPr>
            </w:pPr>
          </w:p>
        </w:tc>
        <w:tc>
          <w:tcPr>
            <w:tcW w:w="456" w:type="pct"/>
            <w:noWrap w:val="0"/>
            <w:vAlign w:val="center"/>
          </w:tcPr>
          <w:p w14:paraId="432B4EB0">
            <w:pPr>
              <w:pStyle w:val="32"/>
              <w:bidi w:val="0"/>
              <w:rPr>
                <w:rFonts w:hint="default"/>
                <w:highlight w:val="none"/>
                <w:lang w:val="en-US" w:eastAsia="zh-CN"/>
              </w:rPr>
            </w:pPr>
            <w:r>
              <w:rPr>
                <w:rFonts w:hint="eastAsia"/>
                <w:highlight w:val="none"/>
                <w:lang w:val="en-US" w:eastAsia="zh-CN"/>
              </w:rPr>
              <w:t>12</w:t>
            </w:r>
          </w:p>
        </w:tc>
        <w:tc>
          <w:tcPr>
            <w:tcW w:w="463" w:type="pct"/>
            <w:noWrap w:val="0"/>
            <w:vAlign w:val="center"/>
          </w:tcPr>
          <w:p w14:paraId="4AFC20E6">
            <w:pPr>
              <w:pStyle w:val="32"/>
              <w:bidi w:val="0"/>
              <w:rPr>
                <w:rFonts w:hint="eastAsia"/>
                <w:highlight w:val="none"/>
              </w:rPr>
            </w:pPr>
            <w:r>
              <w:rPr>
                <w:rFonts w:hint="eastAsia"/>
                <w:highlight w:val="none"/>
              </w:rPr>
              <w:t>个</w:t>
            </w:r>
          </w:p>
        </w:tc>
        <w:tc>
          <w:tcPr>
            <w:tcW w:w="1586" w:type="pct"/>
            <w:noWrap w:val="0"/>
            <w:vAlign w:val="center"/>
          </w:tcPr>
          <w:p w14:paraId="59645027">
            <w:pPr>
              <w:pStyle w:val="32"/>
              <w:bidi w:val="0"/>
              <w:rPr>
                <w:rFonts w:hint="eastAsia"/>
                <w:highlight w:val="none"/>
              </w:rPr>
            </w:pPr>
          </w:p>
        </w:tc>
      </w:tr>
      <w:tr w14:paraId="4C622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1" w:type="pct"/>
            <w:noWrap w:val="0"/>
            <w:vAlign w:val="center"/>
          </w:tcPr>
          <w:p w14:paraId="31E38326">
            <w:pPr>
              <w:pStyle w:val="32"/>
              <w:bidi w:val="0"/>
              <w:rPr>
                <w:rFonts w:hint="eastAsia"/>
                <w:highlight w:val="none"/>
              </w:rPr>
            </w:pPr>
            <w:r>
              <w:rPr>
                <w:rFonts w:hint="eastAsia"/>
                <w:highlight w:val="none"/>
              </w:rPr>
              <w:t>4</w:t>
            </w:r>
          </w:p>
        </w:tc>
        <w:tc>
          <w:tcPr>
            <w:tcW w:w="1015" w:type="pct"/>
            <w:noWrap w:val="0"/>
            <w:vAlign w:val="center"/>
          </w:tcPr>
          <w:p w14:paraId="0B4222C6">
            <w:pPr>
              <w:pStyle w:val="32"/>
              <w:bidi w:val="0"/>
              <w:rPr>
                <w:rFonts w:hint="eastAsia"/>
                <w:highlight w:val="none"/>
              </w:rPr>
            </w:pPr>
            <w:r>
              <w:rPr>
                <w:rFonts w:hint="eastAsia"/>
                <w:highlight w:val="none"/>
              </w:rPr>
              <w:t>供水施救装置</w:t>
            </w:r>
          </w:p>
        </w:tc>
        <w:tc>
          <w:tcPr>
            <w:tcW w:w="1016" w:type="pct"/>
            <w:noWrap w:val="0"/>
            <w:vAlign w:val="center"/>
          </w:tcPr>
          <w:p w14:paraId="1FF93788">
            <w:pPr>
              <w:pStyle w:val="32"/>
              <w:bidi w:val="0"/>
              <w:rPr>
                <w:rFonts w:hint="eastAsia"/>
                <w:highlight w:val="none"/>
              </w:rPr>
            </w:pPr>
          </w:p>
        </w:tc>
        <w:tc>
          <w:tcPr>
            <w:tcW w:w="456" w:type="pct"/>
            <w:noWrap w:val="0"/>
            <w:vAlign w:val="center"/>
          </w:tcPr>
          <w:p w14:paraId="6F1DFB80">
            <w:pPr>
              <w:pStyle w:val="32"/>
              <w:bidi w:val="0"/>
              <w:rPr>
                <w:rFonts w:hint="default"/>
                <w:highlight w:val="none"/>
                <w:lang w:val="en-US" w:eastAsia="zh-CN"/>
              </w:rPr>
            </w:pPr>
            <w:r>
              <w:rPr>
                <w:rFonts w:hint="eastAsia"/>
                <w:highlight w:val="none"/>
                <w:lang w:val="en-US" w:eastAsia="zh-CN"/>
              </w:rPr>
              <w:t>12</w:t>
            </w:r>
          </w:p>
        </w:tc>
        <w:tc>
          <w:tcPr>
            <w:tcW w:w="463" w:type="pct"/>
            <w:noWrap w:val="0"/>
            <w:vAlign w:val="center"/>
          </w:tcPr>
          <w:p w14:paraId="60834451">
            <w:pPr>
              <w:pStyle w:val="32"/>
              <w:bidi w:val="0"/>
              <w:rPr>
                <w:rFonts w:hint="eastAsia"/>
                <w:highlight w:val="none"/>
                <w:lang w:val="en-US" w:eastAsia="zh-CN"/>
              </w:rPr>
            </w:pPr>
            <w:r>
              <w:rPr>
                <w:rFonts w:hint="eastAsia"/>
                <w:highlight w:val="none"/>
                <w:lang w:val="en-US" w:eastAsia="zh-CN"/>
              </w:rPr>
              <w:t>组</w:t>
            </w:r>
          </w:p>
        </w:tc>
        <w:tc>
          <w:tcPr>
            <w:tcW w:w="1586" w:type="pct"/>
            <w:noWrap w:val="0"/>
            <w:vAlign w:val="center"/>
          </w:tcPr>
          <w:p w14:paraId="4CE06B0C">
            <w:pPr>
              <w:pStyle w:val="32"/>
              <w:bidi w:val="0"/>
              <w:rPr>
                <w:rFonts w:hint="eastAsia"/>
                <w:highlight w:val="none"/>
              </w:rPr>
            </w:pPr>
          </w:p>
        </w:tc>
      </w:tr>
      <w:tr w14:paraId="15EF5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1" w:type="pct"/>
            <w:noWrap w:val="0"/>
            <w:vAlign w:val="center"/>
          </w:tcPr>
          <w:p w14:paraId="72D0F5C4">
            <w:pPr>
              <w:pStyle w:val="32"/>
              <w:bidi w:val="0"/>
              <w:rPr>
                <w:rFonts w:hint="eastAsia"/>
                <w:highlight w:val="none"/>
              </w:rPr>
            </w:pPr>
            <w:r>
              <w:rPr>
                <w:rFonts w:hint="eastAsia"/>
                <w:highlight w:val="none"/>
              </w:rPr>
              <w:t>5</w:t>
            </w:r>
          </w:p>
        </w:tc>
        <w:tc>
          <w:tcPr>
            <w:tcW w:w="1015" w:type="pct"/>
            <w:noWrap w:val="0"/>
            <w:vAlign w:val="center"/>
          </w:tcPr>
          <w:p w14:paraId="20B20E4C">
            <w:pPr>
              <w:pStyle w:val="32"/>
              <w:bidi w:val="0"/>
              <w:rPr>
                <w:rFonts w:hint="eastAsia"/>
                <w:highlight w:val="none"/>
              </w:rPr>
            </w:pPr>
            <w:r>
              <w:rPr>
                <w:rFonts w:hint="eastAsia"/>
                <w:highlight w:val="none"/>
              </w:rPr>
              <w:t>管壁标示</w:t>
            </w:r>
          </w:p>
        </w:tc>
        <w:tc>
          <w:tcPr>
            <w:tcW w:w="1016" w:type="pct"/>
            <w:noWrap w:val="0"/>
            <w:vAlign w:val="center"/>
          </w:tcPr>
          <w:p w14:paraId="731AED6E">
            <w:pPr>
              <w:pStyle w:val="32"/>
              <w:bidi w:val="0"/>
              <w:rPr>
                <w:rFonts w:hint="eastAsia"/>
                <w:highlight w:val="none"/>
              </w:rPr>
            </w:pPr>
            <w:r>
              <w:rPr>
                <w:rFonts w:hint="eastAsia"/>
                <w:highlight w:val="none"/>
              </w:rPr>
              <w:t>刷　漆</w:t>
            </w:r>
          </w:p>
        </w:tc>
        <w:tc>
          <w:tcPr>
            <w:tcW w:w="456" w:type="pct"/>
            <w:noWrap w:val="0"/>
            <w:vAlign w:val="center"/>
          </w:tcPr>
          <w:p w14:paraId="08F9B5AC">
            <w:pPr>
              <w:pStyle w:val="32"/>
              <w:bidi w:val="0"/>
              <w:rPr>
                <w:rFonts w:hint="eastAsia"/>
                <w:highlight w:val="none"/>
              </w:rPr>
            </w:pPr>
            <w:r>
              <w:rPr>
                <w:rFonts w:hint="eastAsia"/>
                <w:highlight w:val="none"/>
              </w:rPr>
              <w:t>1</w:t>
            </w:r>
          </w:p>
        </w:tc>
        <w:tc>
          <w:tcPr>
            <w:tcW w:w="463" w:type="pct"/>
            <w:noWrap w:val="0"/>
            <w:vAlign w:val="center"/>
          </w:tcPr>
          <w:p w14:paraId="44D8B73E">
            <w:pPr>
              <w:pStyle w:val="32"/>
              <w:bidi w:val="0"/>
              <w:rPr>
                <w:rFonts w:hint="eastAsia"/>
                <w:highlight w:val="none"/>
              </w:rPr>
            </w:pPr>
            <w:r>
              <w:rPr>
                <w:rFonts w:hint="eastAsia"/>
                <w:highlight w:val="none"/>
              </w:rPr>
              <w:t>项</w:t>
            </w:r>
          </w:p>
        </w:tc>
        <w:tc>
          <w:tcPr>
            <w:tcW w:w="1586" w:type="pct"/>
            <w:noWrap w:val="0"/>
            <w:vAlign w:val="center"/>
          </w:tcPr>
          <w:p w14:paraId="6EE4255C">
            <w:pPr>
              <w:pStyle w:val="32"/>
              <w:bidi w:val="0"/>
              <w:rPr>
                <w:rFonts w:hint="eastAsia"/>
                <w:highlight w:val="none"/>
              </w:rPr>
            </w:pPr>
          </w:p>
        </w:tc>
      </w:tr>
    </w:tbl>
    <w:p w14:paraId="190D460D">
      <w:pPr>
        <w:pStyle w:val="22"/>
        <w:bidi w:val="0"/>
        <w:rPr>
          <w:rFonts w:hint="eastAsia"/>
          <w:highlight w:val="none"/>
        </w:rPr>
      </w:pPr>
      <w:r>
        <w:rPr>
          <w:rFonts w:hint="eastAsia"/>
          <w:highlight w:val="none"/>
          <w:lang w:val="en-US" w:eastAsia="zh-CN"/>
        </w:rPr>
        <w:t>可重复利用生产结束中段供水施救设备，必要时需购买新设备。</w:t>
      </w:r>
    </w:p>
    <w:p w14:paraId="2B3F1066">
      <w:pPr>
        <w:pStyle w:val="22"/>
        <w:numPr>
          <w:ilvl w:val="0"/>
          <w:numId w:val="24"/>
        </w:numPr>
        <w:bidi w:val="0"/>
        <w:rPr>
          <w:rFonts w:hint="eastAsia"/>
          <w:highlight w:val="none"/>
          <w:lang w:val="en-US" w:eastAsia="zh-CN"/>
        </w:rPr>
      </w:pPr>
      <w:r>
        <w:rPr>
          <w:rFonts w:hint="eastAsia"/>
          <w:highlight w:val="none"/>
          <w:lang w:val="en-US" w:eastAsia="zh-CN"/>
        </w:rPr>
        <w:t>通信联络系统</w:t>
      </w:r>
    </w:p>
    <w:p w14:paraId="7F2A0C38">
      <w:pPr>
        <w:pStyle w:val="22"/>
        <w:bidi w:val="0"/>
        <w:rPr>
          <w:rFonts w:hint="default"/>
          <w:highlight w:val="none"/>
          <w:lang w:val="en-US" w:eastAsia="zh-CN"/>
        </w:rPr>
      </w:pPr>
      <w:r>
        <w:rPr>
          <w:rFonts w:hint="eastAsia"/>
          <w:highlight w:val="none"/>
          <w:lang w:val="en-US" w:eastAsia="zh-CN"/>
        </w:rPr>
        <w:t>1、系统构成</w:t>
      </w:r>
    </w:p>
    <w:p w14:paraId="172E2BB0">
      <w:pPr>
        <w:pStyle w:val="22"/>
        <w:bidi w:val="0"/>
        <w:rPr>
          <w:rFonts w:hint="default"/>
          <w:highlight w:val="none"/>
          <w:lang w:val="en-US" w:eastAsia="zh-CN"/>
        </w:rPr>
      </w:pPr>
      <w:r>
        <w:rPr>
          <w:rFonts w:hint="default"/>
          <w:highlight w:val="none"/>
          <w:lang w:val="en-US" w:eastAsia="zh-CN"/>
        </w:rPr>
        <w:t>在生产、调度、管理、救援等各环节中，通过发送和接收通信信号实现通信及联络的系统，有线通信联络系统由控制中心、终端、线缆等组成。本设计主要针对有线通信系统，地面井下共用一个控制中心，总机设在矿本部。矿区外部通信采用光缆传输，接入当地通讯网络，由此可实现语音、图像及数据传送。</w:t>
      </w:r>
    </w:p>
    <w:p w14:paraId="0132741E">
      <w:pPr>
        <w:pStyle w:val="22"/>
        <w:bidi w:val="0"/>
        <w:rPr>
          <w:rFonts w:hint="eastAsia"/>
          <w:highlight w:val="none"/>
          <w:lang w:val="en-US" w:eastAsia="zh-CN"/>
        </w:rPr>
      </w:pPr>
      <w:r>
        <w:rPr>
          <w:rFonts w:hint="eastAsia"/>
          <w:highlight w:val="none"/>
          <w:lang w:val="en-US" w:eastAsia="zh-CN"/>
        </w:rPr>
        <w:t>2、设计配备</w:t>
      </w:r>
    </w:p>
    <w:p w14:paraId="37FC9FAA">
      <w:pPr>
        <w:pStyle w:val="22"/>
        <w:bidi w:val="0"/>
        <w:rPr>
          <w:rFonts w:hint="eastAsia"/>
          <w:highlight w:val="none"/>
          <w:lang w:eastAsia="zh-CN"/>
        </w:rPr>
      </w:pPr>
      <w:r>
        <w:rPr>
          <w:rFonts w:hint="eastAsia"/>
          <w:highlight w:val="none"/>
        </w:rPr>
        <w:t>系统主要由通讯联络主机、调度台、矿用电话等构成。通信线缆设置</w:t>
      </w:r>
      <w:r>
        <w:rPr>
          <w:rFonts w:hint="eastAsia"/>
          <w:highlight w:val="none"/>
          <w:lang w:val="en-US" w:eastAsia="zh-CN"/>
        </w:rPr>
        <w:t>两</w:t>
      </w:r>
      <w:r>
        <w:rPr>
          <w:rFonts w:hint="eastAsia"/>
          <w:highlight w:val="none"/>
        </w:rPr>
        <w:t>条，分别从</w:t>
      </w:r>
      <w:r>
        <w:rPr>
          <w:rFonts w:hint="eastAsia"/>
          <w:highlight w:val="none"/>
          <w:lang w:val="en-US" w:eastAsia="zh-CN"/>
        </w:rPr>
        <w:t>主井、风井</w:t>
      </w:r>
      <w:r>
        <w:rPr>
          <w:rFonts w:hint="eastAsia"/>
          <w:highlight w:val="none"/>
        </w:rPr>
        <w:t>进入井下，当其中任何一条通信线缆发生故障时，另外一条线缆完成井下各通信终端的通信任务。严禁利用大地作为井下通信线路的回路</w:t>
      </w:r>
      <w:r>
        <w:rPr>
          <w:rFonts w:hint="eastAsia"/>
          <w:highlight w:val="none"/>
          <w:lang w:eastAsia="zh-CN"/>
        </w:rPr>
        <w:t>。</w:t>
      </w:r>
    </w:p>
    <w:p w14:paraId="66C25750">
      <w:pPr>
        <w:pStyle w:val="22"/>
        <w:bidi w:val="0"/>
        <w:rPr>
          <w:rFonts w:hint="eastAsia"/>
          <w:highlight w:val="none"/>
          <w:lang w:val="en-US" w:eastAsia="zh-CN"/>
        </w:rPr>
      </w:pPr>
      <w:r>
        <w:rPr>
          <w:rFonts w:hint="eastAsia"/>
          <w:highlight w:val="none"/>
          <w:lang w:val="en-US" w:eastAsia="zh-CN"/>
        </w:rPr>
        <w:t>3、通讯终端配备表</w:t>
      </w:r>
    </w:p>
    <w:p w14:paraId="156D8EF0">
      <w:pPr>
        <w:pStyle w:val="22"/>
        <w:bidi w:val="0"/>
        <w:rPr>
          <w:rFonts w:hint="eastAsia"/>
          <w:highlight w:val="none"/>
        </w:rPr>
      </w:pPr>
      <w:r>
        <w:rPr>
          <w:rFonts w:hint="eastAsia"/>
          <w:highlight w:val="none"/>
        </w:rPr>
        <w:t>井下、地面中端配置表，通信联络系统</w:t>
      </w:r>
      <w:r>
        <w:rPr>
          <w:rFonts w:hint="eastAsia"/>
          <w:highlight w:val="none"/>
          <w:lang w:val="en-US" w:eastAsia="zh-CN"/>
        </w:rPr>
        <w:t>共</w:t>
      </w:r>
      <w:r>
        <w:rPr>
          <w:rFonts w:hint="eastAsia"/>
          <w:highlight w:val="none"/>
        </w:rPr>
        <w:t>设置</w:t>
      </w:r>
      <w:r>
        <w:rPr>
          <w:rFonts w:hint="eastAsia"/>
          <w:highlight w:val="none"/>
          <w:lang w:val="en-US" w:eastAsia="zh-CN"/>
        </w:rPr>
        <w:t>12</w:t>
      </w:r>
      <w:r>
        <w:rPr>
          <w:rFonts w:hint="eastAsia"/>
          <w:highlight w:val="none"/>
        </w:rPr>
        <w:t>个电话终端。井下</w:t>
      </w:r>
      <w:r>
        <w:rPr>
          <w:rFonts w:hint="eastAsia"/>
          <w:highlight w:val="none"/>
          <w:lang w:val="en-US" w:eastAsia="zh-CN"/>
        </w:rPr>
        <w:t>5</w:t>
      </w:r>
      <w:r>
        <w:rPr>
          <w:rFonts w:hint="eastAsia"/>
          <w:highlight w:val="none"/>
        </w:rPr>
        <w:t>部电话，地面</w:t>
      </w:r>
      <w:r>
        <w:rPr>
          <w:rFonts w:hint="eastAsia"/>
          <w:highlight w:val="none"/>
          <w:lang w:val="en-US" w:eastAsia="zh-CN"/>
        </w:rPr>
        <w:t>7</w:t>
      </w:r>
      <w:r>
        <w:rPr>
          <w:rFonts w:hint="eastAsia"/>
          <w:highlight w:val="none"/>
        </w:rPr>
        <w:t>部。见</w:t>
      </w:r>
      <w:r>
        <w:rPr>
          <w:rFonts w:hint="eastAsia"/>
          <w:highlight w:val="none"/>
          <w:lang w:val="en-US"/>
        </w:rPr>
        <w:t>表2.4-8</w:t>
      </w:r>
      <w:r>
        <w:rPr>
          <w:rFonts w:hint="eastAsia"/>
          <w:highlight w:val="none"/>
          <w:lang w:val="en-US" w:eastAsia="zh-CN"/>
        </w:rPr>
        <w:t>、</w:t>
      </w:r>
      <w:r>
        <w:rPr>
          <w:rFonts w:hint="eastAsia"/>
          <w:highlight w:val="none"/>
          <w:lang w:val="en-US"/>
        </w:rPr>
        <w:t>表2.4-9</w:t>
      </w:r>
      <w:r>
        <w:rPr>
          <w:rFonts w:hint="eastAsia"/>
          <w:highlight w:val="none"/>
        </w:rPr>
        <w:t>。</w:t>
      </w:r>
    </w:p>
    <w:p w14:paraId="03ED8801">
      <w:pPr>
        <w:pStyle w:val="31"/>
        <w:bidi w:val="0"/>
        <w:rPr>
          <w:rFonts w:hint="eastAsia"/>
          <w:highlight w:val="none"/>
          <w:lang w:val="en-US" w:eastAsia="zh-CN"/>
        </w:rPr>
      </w:pPr>
      <w:r>
        <w:rPr>
          <w:rFonts w:hint="eastAsia"/>
          <w:highlight w:val="none"/>
          <w:lang w:val="en-US" w:eastAsia="zh-CN"/>
        </w:rPr>
        <w:t>表2.4-8  井下终端配备表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79"/>
        <w:gridCol w:w="4416"/>
        <w:gridCol w:w="1425"/>
        <w:gridCol w:w="1677"/>
      </w:tblGrid>
      <w:tr w14:paraId="20424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000" w:type="pct"/>
            <w:tcBorders>
              <w:top w:val="single" w:color="auto" w:sz="4" w:space="0"/>
            </w:tcBorders>
            <w:noWrap w:val="0"/>
            <w:vAlign w:val="center"/>
          </w:tcPr>
          <w:p w14:paraId="64FDDB04">
            <w:pPr>
              <w:pStyle w:val="32"/>
              <w:bidi w:val="0"/>
              <w:rPr>
                <w:rFonts w:hint="eastAsia"/>
                <w:highlight w:val="none"/>
              </w:rPr>
            </w:pPr>
            <w:r>
              <w:rPr>
                <w:rFonts w:hint="eastAsia"/>
                <w:highlight w:val="none"/>
              </w:rPr>
              <w:t>中段标高</w:t>
            </w:r>
          </w:p>
        </w:tc>
        <w:tc>
          <w:tcPr>
            <w:tcW w:w="2349" w:type="pct"/>
            <w:tcBorders>
              <w:top w:val="single" w:color="auto" w:sz="4" w:space="0"/>
            </w:tcBorders>
            <w:noWrap w:val="0"/>
            <w:vAlign w:val="center"/>
          </w:tcPr>
          <w:p w14:paraId="39897556">
            <w:pPr>
              <w:pStyle w:val="32"/>
              <w:bidi w:val="0"/>
              <w:rPr>
                <w:rFonts w:hint="eastAsia"/>
                <w:highlight w:val="none"/>
              </w:rPr>
            </w:pPr>
            <w:r>
              <w:rPr>
                <w:rFonts w:hint="eastAsia"/>
                <w:highlight w:val="none"/>
              </w:rPr>
              <w:t>安装地点</w:t>
            </w:r>
          </w:p>
        </w:tc>
        <w:tc>
          <w:tcPr>
            <w:tcW w:w="758" w:type="pct"/>
            <w:tcBorders>
              <w:top w:val="single" w:color="auto" w:sz="4" w:space="0"/>
            </w:tcBorders>
            <w:noWrap w:val="0"/>
            <w:vAlign w:val="center"/>
          </w:tcPr>
          <w:p w14:paraId="04B4ED3B">
            <w:pPr>
              <w:pStyle w:val="32"/>
              <w:bidi w:val="0"/>
              <w:rPr>
                <w:rFonts w:hint="eastAsia"/>
                <w:highlight w:val="none"/>
              </w:rPr>
            </w:pPr>
            <w:r>
              <w:rPr>
                <w:rFonts w:hint="eastAsia"/>
                <w:highlight w:val="none"/>
              </w:rPr>
              <w:t>安装数量</w:t>
            </w:r>
          </w:p>
        </w:tc>
        <w:tc>
          <w:tcPr>
            <w:tcW w:w="892" w:type="pct"/>
            <w:tcBorders>
              <w:top w:val="single" w:color="auto" w:sz="4" w:space="0"/>
            </w:tcBorders>
            <w:noWrap w:val="0"/>
            <w:vAlign w:val="center"/>
          </w:tcPr>
          <w:p w14:paraId="4760ADAC">
            <w:pPr>
              <w:pStyle w:val="32"/>
              <w:bidi w:val="0"/>
              <w:rPr>
                <w:rFonts w:hint="eastAsia"/>
                <w:highlight w:val="none"/>
              </w:rPr>
            </w:pPr>
            <w:r>
              <w:rPr>
                <w:rFonts w:hint="eastAsia"/>
                <w:highlight w:val="none"/>
              </w:rPr>
              <w:t>备　注</w:t>
            </w:r>
          </w:p>
        </w:tc>
      </w:tr>
      <w:tr w14:paraId="7CBEE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1000" w:type="pct"/>
            <w:noWrap w:val="0"/>
            <w:vAlign w:val="center"/>
          </w:tcPr>
          <w:p w14:paraId="763FA1D7">
            <w:pPr>
              <w:pStyle w:val="32"/>
              <w:bidi w:val="0"/>
              <w:rPr>
                <w:rFonts w:hint="eastAsia"/>
                <w:highlight w:val="none"/>
              </w:rPr>
            </w:pPr>
            <w:r>
              <w:rPr>
                <w:rFonts w:hint="eastAsia"/>
                <w:highlight w:val="none"/>
                <w:lang w:val="en-US" w:eastAsia="zh-CN"/>
              </w:rPr>
              <w:t>地表</w:t>
            </w:r>
          </w:p>
        </w:tc>
        <w:tc>
          <w:tcPr>
            <w:tcW w:w="2349" w:type="pct"/>
            <w:noWrap w:val="0"/>
            <w:vAlign w:val="center"/>
          </w:tcPr>
          <w:p w14:paraId="498C6553">
            <w:pPr>
              <w:pStyle w:val="32"/>
              <w:bidi w:val="0"/>
              <w:rPr>
                <w:rFonts w:hint="eastAsia"/>
                <w:highlight w:val="none"/>
                <w:lang w:val="en-US" w:eastAsia="zh-CN"/>
              </w:rPr>
            </w:pPr>
            <w:r>
              <w:rPr>
                <w:rFonts w:hint="eastAsia"/>
                <w:highlight w:val="none"/>
                <w:lang w:val="en-US" w:eastAsia="zh-CN"/>
              </w:rPr>
              <w:t>斜坡道硐口、回风竖井井口</w:t>
            </w:r>
          </w:p>
        </w:tc>
        <w:tc>
          <w:tcPr>
            <w:tcW w:w="758" w:type="pct"/>
            <w:noWrap w:val="0"/>
            <w:vAlign w:val="center"/>
          </w:tcPr>
          <w:p w14:paraId="3CD32B46">
            <w:pPr>
              <w:pStyle w:val="32"/>
              <w:bidi w:val="0"/>
              <w:rPr>
                <w:rFonts w:hint="eastAsia"/>
                <w:highlight w:val="none"/>
                <w:lang w:val="en-US" w:eastAsia="zh-CN"/>
              </w:rPr>
            </w:pPr>
            <w:r>
              <w:rPr>
                <w:rFonts w:hint="eastAsia"/>
                <w:highlight w:val="none"/>
                <w:lang w:val="en-US" w:eastAsia="zh-CN"/>
              </w:rPr>
              <w:t>2</w:t>
            </w:r>
          </w:p>
        </w:tc>
        <w:tc>
          <w:tcPr>
            <w:tcW w:w="892" w:type="pct"/>
            <w:vMerge w:val="restart"/>
            <w:noWrap w:val="0"/>
            <w:vAlign w:val="center"/>
          </w:tcPr>
          <w:p w14:paraId="5F9053B5">
            <w:pPr>
              <w:pStyle w:val="32"/>
              <w:bidi w:val="0"/>
              <w:rPr>
                <w:rFonts w:hint="eastAsia"/>
                <w:highlight w:val="none"/>
              </w:rPr>
            </w:pPr>
            <w:r>
              <w:rPr>
                <w:rFonts w:hint="eastAsia"/>
                <w:highlight w:val="none"/>
              </w:rPr>
              <w:t>可重复利用前期工程</w:t>
            </w:r>
            <w:r>
              <w:rPr>
                <w:rFonts w:hint="eastAsia"/>
                <w:highlight w:val="none"/>
                <w:lang w:val="en-US" w:eastAsia="zh-CN"/>
              </w:rPr>
              <w:t>通信</w:t>
            </w:r>
            <w:r>
              <w:rPr>
                <w:rFonts w:hint="eastAsia"/>
                <w:highlight w:val="none"/>
              </w:rPr>
              <w:t>设备，必要时需购买新设备</w:t>
            </w:r>
          </w:p>
        </w:tc>
      </w:tr>
      <w:tr w14:paraId="28873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5A1EBF8B">
            <w:pPr>
              <w:pStyle w:val="32"/>
              <w:bidi w:val="0"/>
              <w:rPr>
                <w:rFonts w:hint="eastAsia"/>
                <w:highlight w:val="none"/>
                <w:lang w:val="en-US" w:eastAsia="zh-CN"/>
              </w:rPr>
            </w:pPr>
            <w:r>
              <w:rPr>
                <w:rFonts w:hint="eastAsia"/>
                <w:highlight w:val="none"/>
                <w:lang w:val="en-US" w:eastAsia="zh-CN"/>
              </w:rPr>
              <w:t>138m中段</w:t>
            </w:r>
          </w:p>
        </w:tc>
        <w:tc>
          <w:tcPr>
            <w:tcW w:w="2349" w:type="pct"/>
            <w:noWrap w:val="0"/>
            <w:vAlign w:val="center"/>
          </w:tcPr>
          <w:p w14:paraId="48671C7B">
            <w:pPr>
              <w:pStyle w:val="32"/>
              <w:bidi w:val="0"/>
              <w:rPr>
                <w:rFonts w:hint="eastAsia"/>
                <w:highlight w:val="none"/>
                <w:lang w:val="en-US" w:eastAsia="zh-CN"/>
              </w:rPr>
            </w:pPr>
            <w:r>
              <w:rPr>
                <w:rFonts w:hint="eastAsia"/>
                <w:highlight w:val="none"/>
                <w:lang w:val="en-US" w:eastAsia="zh-CN"/>
              </w:rPr>
              <w:t>斜坡道车场</w:t>
            </w:r>
          </w:p>
        </w:tc>
        <w:tc>
          <w:tcPr>
            <w:tcW w:w="758" w:type="pct"/>
            <w:noWrap w:val="0"/>
            <w:vAlign w:val="center"/>
          </w:tcPr>
          <w:p w14:paraId="141C8462">
            <w:pPr>
              <w:pStyle w:val="32"/>
              <w:bidi w:val="0"/>
              <w:rPr>
                <w:rFonts w:hint="eastAsia"/>
                <w:highlight w:val="none"/>
                <w:lang w:val="en-US" w:eastAsia="zh-CN"/>
              </w:rPr>
            </w:pPr>
            <w:r>
              <w:rPr>
                <w:rFonts w:hint="eastAsia"/>
                <w:highlight w:val="none"/>
                <w:lang w:val="en-US" w:eastAsia="zh-CN"/>
              </w:rPr>
              <w:t>1</w:t>
            </w:r>
          </w:p>
        </w:tc>
        <w:tc>
          <w:tcPr>
            <w:tcW w:w="892" w:type="pct"/>
            <w:vMerge w:val="continue"/>
            <w:noWrap w:val="0"/>
            <w:vAlign w:val="center"/>
          </w:tcPr>
          <w:p w14:paraId="6439199B">
            <w:pPr>
              <w:pStyle w:val="32"/>
              <w:bidi w:val="0"/>
              <w:rPr>
                <w:rFonts w:hint="eastAsia"/>
                <w:highlight w:val="none"/>
              </w:rPr>
            </w:pPr>
          </w:p>
        </w:tc>
      </w:tr>
      <w:tr w14:paraId="7670A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4EBC34BA">
            <w:pPr>
              <w:pStyle w:val="32"/>
              <w:bidi w:val="0"/>
              <w:rPr>
                <w:rFonts w:hint="eastAsia"/>
                <w:highlight w:val="none"/>
              </w:rPr>
            </w:pPr>
            <w:r>
              <w:rPr>
                <w:rFonts w:hint="eastAsia"/>
                <w:highlight w:val="none"/>
                <w:lang w:val="en-US" w:eastAsia="zh-CN"/>
              </w:rPr>
              <w:t>108m中段</w:t>
            </w:r>
          </w:p>
        </w:tc>
        <w:tc>
          <w:tcPr>
            <w:tcW w:w="2349" w:type="pct"/>
            <w:noWrap w:val="0"/>
            <w:vAlign w:val="center"/>
          </w:tcPr>
          <w:p w14:paraId="4A610735">
            <w:pPr>
              <w:pStyle w:val="32"/>
              <w:bidi w:val="0"/>
              <w:rPr>
                <w:rFonts w:hint="eastAsia"/>
                <w:highlight w:val="none"/>
                <w:lang w:val="en-US" w:eastAsia="zh-CN"/>
              </w:rPr>
            </w:pPr>
            <w:r>
              <w:rPr>
                <w:rFonts w:hint="eastAsia"/>
                <w:highlight w:val="none"/>
                <w:lang w:val="en-US" w:eastAsia="zh-CN"/>
              </w:rPr>
              <w:t>斜坡道车场、采场</w:t>
            </w:r>
          </w:p>
        </w:tc>
        <w:tc>
          <w:tcPr>
            <w:tcW w:w="758" w:type="pct"/>
            <w:noWrap w:val="0"/>
            <w:vAlign w:val="center"/>
          </w:tcPr>
          <w:p w14:paraId="4B5DF415">
            <w:pPr>
              <w:pStyle w:val="32"/>
              <w:bidi w:val="0"/>
              <w:rPr>
                <w:rFonts w:hint="eastAsia"/>
                <w:highlight w:val="none"/>
                <w:lang w:val="en-US" w:eastAsia="zh-CN"/>
              </w:rPr>
            </w:pPr>
            <w:r>
              <w:rPr>
                <w:rFonts w:hint="eastAsia"/>
                <w:highlight w:val="none"/>
                <w:lang w:val="en-US" w:eastAsia="zh-CN"/>
              </w:rPr>
              <w:t>2</w:t>
            </w:r>
          </w:p>
        </w:tc>
        <w:tc>
          <w:tcPr>
            <w:tcW w:w="892" w:type="pct"/>
            <w:vMerge w:val="continue"/>
            <w:noWrap w:val="0"/>
            <w:vAlign w:val="center"/>
          </w:tcPr>
          <w:p w14:paraId="10335094">
            <w:pPr>
              <w:pStyle w:val="32"/>
              <w:bidi w:val="0"/>
              <w:rPr>
                <w:rFonts w:hint="eastAsia"/>
                <w:highlight w:val="none"/>
              </w:rPr>
            </w:pPr>
          </w:p>
        </w:tc>
      </w:tr>
      <w:tr w14:paraId="54833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3056DB85">
            <w:pPr>
              <w:pStyle w:val="32"/>
              <w:bidi w:val="0"/>
              <w:rPr>
                <w:rFonts w:hint="eastAsia"/>
                <w:highlight w:val="none"/>
                <w:lang w:val="en-US" w:eastAsia="zh-CN"/>
              </w:rPr>
            </w:pPr>
            <w:r>
              <w:rPr>
                <w:rFonts w:hint="eastAsia"/>
                <w:highlight w:val="none"/>
                <w:lang w:val="en-US" w:eastAsia="zh-CN"/>
              </w:rPr>
              <w:t>63m中段</w:t>
            </w:r>
          </w:p>
        </w:tc>
        <w:tc>
          <w:tcPr>
            <w:tcW w:w="2349" w:type="pct"/>
            <w:noWrap w:val="0"/>
            <w:vAlign w:val="center"/>
          </w:tcPr>
          <w:p w14:paraId="2A861D63">
            <w:pPr>
              <w:pStyle w:val="32"/>
              <w:bidi w:val="0"/>
              <w:rPr>
                <w:rFonts w:hint="eastAsia"/>
                <w:highlight w:val="none"/>
                <w:lang w:val="en-US" w:eastAsia="zh-CN"/>
              </w:rPr>
            </w:pPr>
            <w:r>
              <w:rPr>
                <w:rFonts w:hint="eastAsia"/>
                <w:highlight w:val="none"/>
                <w:lang w:val="en-US" w:eastAsia="zh-CN"/>
              </w:rPr>
              <w:t>斜坡道车场、采场</w:t>
            </w:r>
          </w:p>
        </w:tc>
        <w:tc>
          <w:tcPr>
            <w:tcW w:w="758" w:type="pct"/>
            <w:noWrap w:val="0"/>
            <w:vAlign w:val="center"/>
          </w:tcPr>
          <w:p w14:paraId="520CE703">
            <w:pPr>
              <w:pStyle w:val="32"/>
              <w:bidi w:val="0"/>
              <w:rPr>
                <w:rFonts w:hint="eastAsia"/>
                <w:highlight w:val="none"/>
                <w:lang w:val="en-US" w:eastAsia="zh-CN"/>
              </w:rPr>
            </w:pPr>
            <w:r>
              <w:rPr>
                <w:rFonts w:hint="eastAsia"/>
                <w:highlight w:val="none"/>
                <w:lang w:val="en-US" w:eastAsia="zh-CN"/>
              </w:rPr>
              <w:t>2</w:t>
            </w:r>
          </w:p>
        </w:tc>
        <w:tc>
          <w:tcPr>
            <w:tcW w:w="892" w:type="pct"/>
            <w:vMerge w:val="continue"/>
            <w:noWrap w:val="0"/>
            <w:vAlign w:val="center"/>
          </w:tcPr>
          <w:p w14:paraId="26183600">
            <w:pPr>
              <w:pStyle w:val="32"/>
              <w:bidi w:val="0"/>
              <w:rPr>
                <w:rFonts w:hint="eastAsia"/>
                <w:highlight w:val="none"/>
              </w:rPr>
            </w:pPr>
          </w:p>
        </w:tc>
      </w:tr>
      <w:tr w14:paraId="7536E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1ACEF629">
            <w:pPr>
              <w:pStyle w:val="32"/>
              <w:bidi w:val="0"/>
              <w:rPr>
                <w:rFonts w:hint="eastAsia"/>
                <w:highlight w:val="none"/>
                <w:lang w:val="en-US" w:eastAsia="zh-CN"/>
              </w:rPr>
            </w:pPr>
            <w:r>
              <w:rPr>
                <w:rFonts w:hint="eastAsia"/>
                <w:highlight w:val="none"/>
                <w:lang w:val="en-US" w:eastAsia="zh-CN"/>
              </w:rPr>
              <w:t>18m中段</w:t>
            </w:r>
          </w:p>
        </w:tc>
        <w:tc>
          <w:tcPr>
            <w:tcW w:w="2349" w:type="pct"/>
            <w:noWrap w:val="0"/>
            <w:vAlign w:val="center"/>
          </w:tcPr>
          <w:p w14:paraId="61FE886C">
            <w:pPr>
              <w:pStyle w:val="32"/>
              <w:bidi w:val="0"/>
              <w:rPr>
                <w:rFonts w:hint="eastAsia"/>
                <w:highlight w:val="none"/>
                <w:lang w:val="en-US" w:eastAsia="zh-CN"/>
              </w:rPr>
            </w:pPr>
            <w:r>
              <w:rPr>
                <w:rFonts w:hint="eastAsia"/>
                <w:highlight w:val="none"/>
                <w:lang w:val="en-US" w:eastAsia="zh-CN"/>
              </w:rPr>
              <w:t>斜坡道车场、采场</w:t>
            </w:r>
          </w:p>
        </w:tc>
        <w:tc>
          <w:tcPr>
            <w:tcW w:w="758" w:type="pct"/>
            <w:noWrap w:val="0"/>
            <w:vAlign w:val="center"/>
          </w:tcPr>
          <w:p w14:paraId="1EF67FEF">
            <w:pPr>
              <w:pStyle w:val="32"/>
              <w:bidi w:val="0"/>
              <w:rPr>
                <w:rFonts w:hint="default"/>
                <w:highlight w:val="none"/>
                <w:lang w:val="en-US" w:eastAsia="zh-CN"/>
              </w:rPr>
            </w:pPr>
            <w:r>
              <w:rPr>
                <w:rFonts w:hint="eastAsia"/>
                <w:highlight w:val="none"/>
                <w:lang w:val="en-US" w:eastAsia="zh-CN"/>
              </w:rPr>
              <w:t>2</w:t>
            </w:r>
          </w:p>
        </w:tc>
        <w:tc>
          <w:tcPr>
            <w:tcW w:w="892" w:type="pct"/>
            <w:vMerge w:val="continue"/>
            <w:noWrap w:val="0"/>
            <w:vAlign w:val="center"/>
          </w:tcPr>
          <w:p w14:paraId="3FBF3EAE">
            <w:pPr>
              <w:pStyle w:val="32"/>
              <w:bidi w:val="0"/>
              <w:rPr>
                <w:rFonts w:hint="eastAsia"/>
                <w:highlight w:val="none"/>
              </w:rPr>
            </w:pPr>
          </w:p>
        </w:tc>
      </w:tr>
      <w:tr w14:paraId="3A2CE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47BE5905">
            <w:pPr>
              <w:pStyle w:val="32"/>
              <w:bidi w:val="0"/>
              <w:rPr>
                <w:rFonts w:hint="eastAsia"/>
                <w:highlight w:val="none"/>
                <w:lang w:val="en-US" w:eastAsia="zh-CN"/>
              </w:rPr>
            </w:pPr>
            <w:r>
              <w:rPr>
                <w:rFonts w:hint="eastAsia"/>
                <w:highlight w:val="none"/>
                <w:lang w:val="en-US" w:eastAsia="zh-CN"/>
              </w:rPr>
              <w:t>-27m中段</w:t>
            </w:r>
          </w:p>
        </w:tc>
        <w:tc>
          <w:tcPr>
            <w:tcW w:w="2349" w:type="pct"/>
            <w:noWrap w:val="0"/>
            <w:vAlign w:val="center"/>
          </w:tcPr>
          <w:p w14:paraId="39FDF8A5">
            <w:pPr>
              <w:pStyle w:val="32"/>
              <w:bidi w:val="0"/>
              <w:rPr>
                <w:rFonts w:hint="eastAsia"/>
                <w:highlight w:val="none"/>
                <w:lang w:val="en-US" w:eastAsia="zh-CN"/>
              </w:rPr>
            </w:pPr>
            <w:r>
              <w:rPr>
                <w:rFonts w:hint="eastAsia"/>
                <w:highlight w:val="none"/>
                <w:lang w:val="en-US" w:eastAsia="zh-CN"/>
              </w:rPr>
              <w:t>斜坡道车场、采场</w:t>
            </w:r>
          </w:p>
        </w:tc>
        <w:tc>
          <w:tcPr>
            <w:tcW w:w="758" w:type="pct"/>
            <w:noWrap w:val="0"/>
            <w:vAlign w:val="center"/>
          </w:tcPr>
          <w:p w14:paraId="789C6B77">
            <w:pPr>
              <w:pStyle w:val="32"/>
              <w:bidi w:val="0"/>
              <w:rPr>
                <w:rFonts w:hint="default"/>
                <w:highlight w:val="none"/>
                <w:lang w:val="en-US" w:eastAsia="zh-CN"/>
              </w:rPr>
            </w:pPr>
            <w:r>
              <w:rPr>
                <w:rFonts w:hint="eastAsia"/>
                <w:highlight w:val="none"/>
                <w:lang w:val="en-US" w:eastAsia="zh-CN"/>
              </w:rPr>
              <w:t>2</w:t>
            </w:r>
          </w:p>
        </w:tc>
        <w:tc>
          <w:tcPr>
            <w:tcW w:w="892" w:type="pct"/>
            <w:vMerge w:val="continue"/>
            <w:noWrap w:val="0"/>
            <w:vAlign w:val="center"/>
          </w:tcPr>
          <w:p w14:paraId="2B25789B">
            <w:pPr>
              <w:pStyle w:val="32"/>
              <w:bidi w:val="0"/>
              <w:rPr>
                <w:rFonts w:hint="eastAsia"/>
                <w:highlight w:val="none"/>
              </w:rPr>
            </w:pPr>
          </w:p>
        </w:tc>
      </w:tr>
      <w:tr w14:paraId="284BF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pct"/>
            <w:noWrap w:val="0"/>
            <w:vAlign w:val="center"/>
          </w:tcPr>
          <w:p w14:paraId="6A4091A1">
            <w:pPr>
              <w:pStyle w:val="32"/>
              <w:bidi w:val="0"/>
              <w:rPr>
                <w:rFonts w:hint="eastAsia"/>
                <w:highlight w:val="none"/>
                <w:lang w:val="en-US" w:eastAsia="zh-CN"/>
              </w:rPr>
            </w:pPr>
            <w:r>
              <w:rPr>
                <w:rFonts w:hint="eastAsia"/>
                <w:highlight w:val="none"/>
                <w:lang w:val="en-US" w:eastAsia="zh-CN"/>
              </w:rPr>
              <w:t>-67m中段</w:t>
            </w:r>
          </w:p>
        </w:tc>
        <w:tc>
          <w:tcPr>
            <w:tcW w:w="2349" w:type="pct"/>
            <w:noWrap w:val="0"/>
            <w:vAlign w:val="center"/>
          </w:tcPr>
          <w:p w14:paraId="1C380986">
            <w:pPr>
              <w:pStyle w:val="32"/>
              <w:bidi w:val="0"/>
              <w:rPr>
                <w:rFonts w:hint="eastAsia"/>
                <w:highlight w:val="none"/>
                <w:lang w:val="en-US" w:eastAsia="zh-CN"/>
              </w:rPr>
            </w:pPr>
            <w:r>
              <w:rPr>
                <w:rFonts w:hint="eastAsia"/>
                <w:highlight w:val="none"/>
                <w:lang w:val="en-US" w:eastAsia="zh-CN"/>
              </w:rPr>
              <w:t>斜坡道车场、采场、水泵硐室</w:t>
            </w:r>
          </w:p>
        </w:tc>
        <w:tc>
          <w:tcPr>
            <w:tcW w:w="758" w:type="pct"/>
            <w:noWrap w:val="0"/>
            <w:vAlign w:val="center"/>
          </w:tcPr>
          <w:p w14:paraId="1CC80634">
            <w:pPr>
              <w:pStyle w:val="32"/>
              <w:bidi w:val="0"/>
              <w:rPr>
                <w:rFonts w:hint="eastAsia"/>
                <w:highlight w:val="none"/>
                <w:lang w:val="en-US" w:eastAsia="zh-CN"/>
              </w:rPr>
            </w:pPr>
            <w:r>
              <w:rPr>
                <w:rFonts w:hint="eastAsia"/>
                <w:highlight w:val="none"/>
                <w:lang w:val="en-US" w:eastAsia="zh-CN"/>
              </w:rPr>
              <w:t>3</w:t>
            </w:r>
          </w:p>
        </w:tc>
        <w:tc>
          <w:tcPr>
            <w:tcW w:w="892" w:type="pct"/>
            <w:vMerge w:val="continue"/>
            <w:noWrap w:val="0"/>
            <w:vAlign w:val="center"/>
          </w:tcPr>
          <w:p w14:paraId="1C3B5ED9">
            <w:pPr>
              <w:pStyle w:val="32"/>
              <w:bidi w:val="0"/>
              <w:rPr>
                <w:rFonts w:hint="eastAsia"/>
                <w:highlight w:val="none"/>
              </w:rPr>
            </w:pPr>
          </w:p>
        </w:tc>
      </w:tr>
    </w:tbl>
    <w:p w14:paraId="71746C1A">
      <w:pPr>
        <w:pStyle w:val="31"/>
        <w:bidi w:val="0"/>
        <w:rPr>
          <w:rFonts w:hint="eastAsia"/>
          <w:highlight w:val="none"/>
          <w:lang w:val="en-US" w:eastAsia="zh-CN"/>
        </w:rPr>
      </w:pPr>
    </w:p>
    <w:p w14:paraId="69C0EA15">
      <w:pPr>
        <w:pStyle w:val="31"/>
        <w:bidi w:val="0"/>
        <w:rPr>
          <w:rFonts w:hint="eastAsia"/>
          <w:highlight w:val="none"/>
          <w:lang w:val="en-US" w:eastAsia="zh-CN"/>
        </w:rPr>
      </w:pPr>
      <w:r>
        <w:rPr>
          <w:rFonts w:hint="eastAsia"/>
          <w:highlight w:val="none"/>
          <w:lang w:val="en-US" w:eastAsia="zh-CN"/>
        </w:rPr>
        <w:t>表2.4-9  地面终端配备表</w:t>
      </w:r>
    </w:p>
    <w:tbl>
      <w:tblPr>
        <w:tblStyle w:val="2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99"/>
        <w:gridCol w:w="4700"/>
      </w:tblGrid>
      <w:tr w14:paraId="1FA2D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0C337CFE">
            <w:pPr>
              <w:pStyle w:val="32"/>
              <w:bidi w:val="0"/>
              <w:rPr>
                <w:rFonts w:hint="eastAsia"/>
                <w:highlight w:val="none"/>
              </w:rPr>
            </w:pPr>
            <w:r>
              <w:rPr>
                <w:rFonts w:hint="eastAsia"/>
                <w:highlight w:val="none"/>
              </w:rPr>
              <w:t>部</w:t>
            </w:r>
            <w:r>
              <w:rPr>
                <w:rFonts w:hint="eastAsia"/>
                <w:highlight w:val="none"/>
                <w:lang w:val="en-US" w:eastAsia="zh-CN"/>
              </w:rPr>
              <w:t xml:space="preserve"> </w:t>
            </w:r>
            <w:r>
              <w:rPr>
                <w:rFonts w:hint="eastAsia"/>
                <w:highlight w:val="none"/>
              </w:rPr>
              <w:t>门</w:t>
            </w:r>
          </w:p>
        </w:tc>
        <w:tc>
          <w:tcPr>
            <w:tcW w:w="2500" w:type="pct"/>
            <w:noWrap w:val="0"/>
            <w:vAlign w:val="center"/>
          </w:tcPr>
          <w:p w14:paraId="065155FD">
            <w:pPr>
              <w:pStyle w:val="32"/>
              <w:bidi w:val="0"/>
              <w:rPr>
                <w:rFonts w:hint="eastAsia"/>
                <w:highlight w:val="none"/>
              </w:rPr>
            </w:pPr>
            <w:r>
              <w:rPr>
                <w:rFonts w:hint="eastAsia"/>
                <w:highlight w:val="none"/>
              </w:rPr>
              <w:t>数量</w:t>
            </w:r>
          </w:p>
        </w:tc>
      </w:tr>
      <w:tr w14:paraId="6E089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4AB86E64">
            <w:pPr>
              <w:pStyle w:val="32"/>
              <w:bidi w:val="0"/>
              <w:rPr>
                <w:rFonts w:hint="eastAsia"/>
                <w:highlight w:val="none"/>
              </w:rPr>
            </w:pPr>
            <w:r>
              <w:rPr>
                <w:rFonts w:hint="eastAsia"/>
                <w:highlight w:val="none"/>
              </w:rPr>
              <w:t>办公室</w:t>
            </w:r>
          </w:p>
        </w:tc>
        <w:tc>
          <w:tcPr>
            <w:tcW w:w="2500" w:type="pct"/>
            <w:noWrap w:val="0"/>
            <w:vAlign w:val="center"/>
          </w:tcPr>
          <w:p w14:paraId="2889548C">
            <w:pPr>
              <w:pStyle w:val="32"/>
              <w:bidi w:val="0"/>
              <w:rPr>
                <w:rFonts w:hint="eastAsia"/>
                <w:highlight w:val="none"/>
                <w:lang w:eastAsia="zh-CN"/>
              </w:rPr>
            </w:pPr>
            <w:r>
              <w:rPr>
                <w:rFonts w:hint="eastAsia"/>
                <w:highlight w:val="none"/>
                <w:lang w:val="en-US" w:eastAsia="zh-CN"/>
              </w:rPr>
              <w:t>2</w:t>
            </w:r>
          </w:p>
        </w:tc>
      </w:tr>
      <w:tr w14:paraId="5BD1E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4EE376EA">
            <w:pPr>
              <w:pStyle w:val="32"/>
              <w:bidi w:val="0"/>
              <w:rPr>
                <w:rFonts w:hint="eastAsia"/>
                <w:highlight w:val="none"/>
              </w:rPr>
            </w:pPr>
            <w:r>
              <w:rPr>
                <w:rFonts w:hint="eastAsia"/>
                <w:highlight w:val="none"/>
              </w:rPr>
              <w:t>值班室</w:t>
            </w:r>
          </w:p>
        </w:tc>
        <w:tc>
          <w:tcPr>
            <w:tcW w:w="2500" w:type="pct"/>
            <w:noWrap w:val="0"/>
            <w:vAlign w:val="center"/>
          </w:tcPr>
          <w:p w14:paraId="4D4956A6">
            <w:pPr>
              <w:pStyle w:val="32"/>
              <w:bidi w:val="0"/>
              <w:rPr>
                <w:rFonts w:hint="eastAsia"/>
                <w:highlight w:val="none"/>
                <w:lang w:eastAsia="zh-CN"/>
              </w:rPr>
            </w:pPr>
            <w:r>
              <w:rPr>
                <w:rFonts w:hint="eastAsia"/>
                <w:highlight w:val="none"/>
                <w:lang w:val="en-US" w:eastAsia="zh-CN"/>
              </w:rPr>
              <w:t>1</w:t>
            </w:r>
          </w:p>
        </w:tc>
      </w:tr>
      <w:tr w14:paraId="5C098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1F69BC71">
            <w:pPr>
              <w:pStyle w:val="32"/>
              <w:bidi w:val="0"/>
              <w:rPr>
                <w:rFonts w:hint="eastAsia"/>
                <w:highlight w:val="none"/>
              </w:rPr>
            </w:pPr>
            <w:r>
              <w:rPr>
                <w:rFonts w:hint="eastAsia"/>
                <w:highlight w:val="none"/>
              </w:rPr>
              <w:t>矿</w:t>
            </w:r>
            <w:r>
              <w:rPr>
                <w:rFonts w:hint="eastAsia"/>
                <w:highlight w:val="none"/>
                <w:lang w:val="en-US" w:eastAsia="zh-CN"/>
              </w:rPr>
              <w:t xml:space="preserve"> </w:t>
            </w:r>
            <w:r>
              <w:rPr>
                <w:rFonts w:hint="eastAsia"/>
                <w:highlight w:val="none"/>
              </w:rPr>
              <w:t>部</w:t>
            </w:r>
          </w:p>
        </w:tc>
        <w:tc>
          <w:tcPr>
            <w:tcW w:w="2500" w:type="pct"/>
            <w:noWrap w:val="0"/>
            <w:vAlign w:val="center"/>
          </w:tcPr>
          <w:p w14:paraId="2BA5FD14">
            <w:pPr>
              <w:pStyle w:val="32"/>
              <w:bidi w:val="0"/>
              <w:rPr>
                <w:rFonts w:hint="eastAsia"/>
                <w:highlight w:val="none"/>
                <w:lang w:eastAsia="zh-CN"/>
              </w:rPr>
            </w:pPr>
            <w:r>
              <w:rPr>
                <w:rFonts w:hint="eastAsia"/>
                <w:highlight w:val="none"/>
                <w:lang w:val="en-US" w:eastAsia="zh-CN"/>
              </w:rPr>
              <w:t>1</w:t>
            </w:r>
          </w:p>
        </w:tc>
      </w:tr>
      <w:tr w14:paraId="6E777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35C55FA5">
            <w:pPr>
              <w:pStyle w:val="32"/>
              <w:bidi w:val="0"/>
              <w:rPr>
                <w:rFonts w:hint="eastAsia"/>
                <w:highlight w:val="none"/>
              </w:rPr>
            </w:pPr>
            <w:r>
              <w:rPr>
                <w:rFonts w:hint="eastAsia"/>
                <w:highlight w:val="none"/>
              </w:rPr>
              <w:t>其它机动备用</w:t>
            </w:r>
          </w:p>
        </w:tc>
        <w:tc>
          <w:tcPr>
            <w:tcW w:w="2500" w:type="pct"/>
            <w:noWrap w:val="0"/>
            <w:vAlign w:val="center"/>
          </w:tcPr>
          <w:p w14:paraId="2C266318">
            <w:pPr>
              <w:pStyle w:val="32"/>
              <w:bidi w:val="0"/>
              <w:rPr>
                <w:rFonts w:hint="eastAsia"/>
                <w:highlight w:val="none"/>
                <w:lang w:eastAsia="zh-CN"/>
              </w:rPr>
            </w:pPr>
            <w:r>
              <w:rPr>
                <w:rFonts w:hint="eastAsia"/>
                <w:highlight w:val="none"/>
                <w:lang w:val="en-US" w:eastAsia="zh-CN"/>
              </w:rPr>
              <w:t>1</w:t>
            </w:r>
          </w:p>
        </w:tc>
      </w:tr>
      <w:tr w14:paraId="761BF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716A100C">
            <w:pPr>
              <w:pStyle w:val="32"/>
              <w:bidi w:val="0"/>
              <w:rPr>
                <w:rFonts w:hint="eastAsia"/>
                <w:highlight w:val="none"/>
              </w:rPr>
            </w:pPr>
            <w:r>
              <w:rPr>
                <w:rFonts w:hint="eastAsia"/>
                <w:highlight w:val="none"/>
              </w:rPr>
              <w:t>合</w:t>
            </w:r>
            <w:r>
              <w:rPr>
                <w:rFonts w:hint="eastAsia"/>
                <w:highlight w:val="none"/>
                <w:lang w:val="en-US" w:eastAsia="zh-CN"/>
              </w:rPr>
              <w:t xml:space="preserve"> </w:t>
            </w:r>
            <w:r>
              <w:rPr>
                <w:rFonts w:hint="eastAsia"/>
                <w:highlight w:val="none"/>
              </w:rPr>
              <w:t>计</w:t>
            </w:r>
          </w:p>
        </w:tc>
        <w:tc>
          <w:tcPr>
            <w:tcW w:w="2500" w:type="pct"/>
            <w:noWrap w:val="0"/>
            <w:vAlign w:val="center"/>
          </w:tcPr>
          <w:p w14:paraId="4AD24971">
            <w:pPr>
              <w:pStyle w:val="32"/>
              <w:bidi w:val="0"/>
              <w:rPr>
                <w:rFonts w:hint="eastAsia"/>
                <w:highlight w:val="none"/>
                <w:lang w:eastAsia="zh-CN"/>
              </w:rPr>
            </w:pPr>
            <w:r>
              <w:rPr>
                <w:rFonts w:hint="eastAsia"/>
                <w:highlight w:val="none"/>
                <w:lang w:val="en-US" w:eastAsia="zh-CN"/>
              </w:rPr>
              <w:t>5</w:t>
            </w:r>
          </w:p>
        </w:tc>
      </w:tr>
    </w:tbl>
    <w:p w14:paraId="1D2F654F">
      <w:pPr>
        <w:pStyle w:val="30"/>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highlight w:val="none"/>
          <w:lang w:val="en-US" w:eastAsia="zh-CN"/>
        </w:rPr>
      </w:pPr>
      <w:r>
        <w:rPr>
          <w:rFonts w:hint="eastAsia"/>
          <w:highlight w:val="none"/>
          <w:lang w:val="en-US" w:eastAsia="zh-CN"/>
        </w:rPr>
        <w:t>安全管理及其他</w:t>
      </w:r>
    </w:p>
    <w:p w14:paraId="7EF7B9BE">
      <w:pPr>
        <w:pStyle w:val="22"/>
        <w:rPr>
          <w:rFonts w:hint="default"/>
          <w:highlight w:val="none"/>
          <w:lang w:val="en-US" w:eastAsia="zh-CN"/>
        </w:rPr>
      </w:pPr>
      <w:r>
        <w:rPr>
          <w:rFonts w:hint="eastAsia"/>
          <w:highlight w:val="none"/>
          <w:lang w:val="en-US" w:eastAsia="zh-CN"/>
        </w:rPr>
        <w:t>本溪市辉宏矿业有限公司徐堡村矿区铁矿地下开采建设项目</w:t>
      </w:r>
      <w:r>
        <w:rPr>
          <w:rFonts w:hint="default"/>
          <w:highlight w:val="none"/>
          <w:lang w:val="en-US" w:eastAsia="zh-CN"/>
        </w:rPr>
        <w:t>属于改建项目。</w:t>
      </w:r>
    </w:p>
    <w:p w14:paraId="2705E6FC">
      <w:pPr>
        <w:pStyle w:val="22"/>
        <w:numPr>
          <w:ilvl w:val="0"/>
          <w:numId w:val="25"/>
        </w:numPr>
        <w:bidi w:val="0"/>
        <w:rPr>
          <w:rFonts w:hint="default"/>
          <w:highlight w:val="none"/>
          <w:lang w:val="en-US" w:eastAsia="zh-CN"/>
        </w:rPr>
      </w:pPr>
      <w:r>
        <w:rPr>
          <w:rFonts w:hint="default"/>
          <w:highlight w:val="none"/>
          <w:lang w:val="en-US" w:eastAsia="zh-CN"/>
        </w:rPr>
        <w:t>安全管理组织机构</w:t>
      </w:r>
    </w:p>
    <w:p w14:paraId="7A7F05BB">
      <w:pPr>
        <w:pStyle w:val="22"/>
        <w:bidi w:val="0"/>
        <w:rPr>
          <w:rFonts w:hint="eastAsia"/>
          <w:highlight w:val="none"/>
          <w:lang w:val="en-US" w:eastAsia="zh-CN"/>
        </w:rPr>
      </w:pPr>
      <w:r>
        <w:rPr>
          <w:rFonts w:hint="eastAsia"/>
          <w:highlight w:val="none"/>
          <w:lang w:val="en-US" w:eastAsia="zh-CN"/>
        </w:rPr>
        <w:t>根据本溪市辉宏矿业有限公司文件，公司成立了安全科，任命了主要负责人。人员均具备相应的资格证书并在有效期内。</w:t>
      </w:r>
    </w:p>
    <w:p w14:paraId="543A111C">
      <w:pPr>
        <w:pStyle w:val="22"/>
        <w:numPr>
          <w:ilvl w:val="0"/>
          <w:numId w:val="25"/>
        </w:numPr>
        <w:bidi w:val="0"/>
        <w:rPr>
          <w:rFonts w:hint="default"/>
          <w:highlight w:val="none"/>
          <w:lang w:val="en-US" w:eastAsia="zh-CN"/>
        </w:rPr>
      </w:pPr>
      <w:r>
        <w:rPr>
          <w:rFonts w:hint="eastAsia"/>
          <w:highlight w:val="none"/>
          <w:lang w:val="en-US" w:eastAsia="zh-CN"/>
        </w:rPr>
        <w:t>特种设备及特种作业人员</w:t>
      </w:r>
    </w:p>
    <w:p w14:paraId="125939E5">
      <w:pPr>
        <w:adjustRightInd w:val="0"/>
        <w:snapToGrid w:val="0"/>
        <w:spacing w:line="360" w:lineRule="auto"/>
        <w:ind w:firstLine="560" w:firstLineChars="200"/>
        <w:rPr>
          <w:rFonts w:ascii="Times New Roman" w:hAnsi="Times New Roman" w:eastAsia="宋体" w:cs="Times New Roman"/>
          <w:caps w:val="0"/>
          <w:smallCaps w:val="0"/>
          <w:sz w:val="28"/>
          <w:szCs w:val="28"/>
          <w:highlight w:val="none"/>
        </w:rPr>
      </w:pPr>
      <w:r>
        <w:rPr>
          <w:rFonts w:ascii="Times New Roman" w:hAnsi="Times New Roman" w:eastAsia="宋体" w:cs="Times New Roman"/>
          <w:caps w:val="0"/>
          <w:smallCaps w:val="0"/>
          <w:sz w:val="28"/>
          <w:szCs w:val="28"/>
          <w:highlight w:val="none"/>
        </w:rPr>
        <w:t>矿山特种设备已经委托专门的特种设备检测机构进行了检测，检测结论为合格。</w:t>
      </w:r>
    </w:p>
    <w:p w14:paraId="20DD5F07">
      <w:pPr>
        <w:pStyle w:val="22"/>
        <w:bidi w:val="0"/>
        <w:rPr>
          <w:rFonts w:hint="default"/>
          <w:highlight w:val="none"/>
          <w:lang w:val="en-US" w:eastAsia="zh-CN"/>
        </w:rPr>
      </w:pPr>
      <w:r>
        <w:rPr>
          <w:rFonts w:hint="default"/>
          <w:highlight w:val="none"/>
          <w:lang w:val="en-US" w:eastAsia="zh-CN"/>
        </w:rPr>
        <w:t>矿山爆破作业由民爆公司“一体化”服务，爆破员及爆破安全员全部持证上岗</w:t>
      </w:r>
      <w:r>
        <w:rPr>
          <w:rFonts w:hint="eastAsia"/>
          <w:highlight w:val="none"/>
          <w:lang w:val="en-US" w:eastAsia="zh-CN"/>
        </w:rPr>
        <w:t>。</w:t>
      </w:r>
      <w:r>
        <w:rPr>
          <w:rFonts w:hint="default"/>
          <w:highlight w:val="none"/>
          <w:lang w:val="en-US" w:eastAsia="zh-CN"/>
        </w:rPr>
        <w:t>除此之外矿山电工、电气焊作业人员、提升机操作人员等特种作业人员全部持证上岗。</w:t>
      </w:r>
    </w:p>
    <w:p w14:paraId="6F7E1BAF">
      <w:pPr>
        <w:pStyle w:val="22"/>
        <w:numPr>
          <w:ilvl w:val="0"/>
          <w:numId w:val="25"/>
        </w:numPr>
        <w:bidi w:val="0"/>
        <w:rPr>
          <w:rFonts w:hint="default"/>
          <w:highlight w:val="none"/>
          <w:lang w:val="en-US" w:eastAsia="zh-CN"/>
        </w:rPr>
      </w:pPr>
      <w:r>
        <w:rPr>
          <w:rFonts w:hint="default"/>
          <w:highlight w:val="none"/>
          <w:lang w:val="en-US" w:eastAsia="zh-CN"/>
        </w:rPr>
        <w:t>组织与制度</w:t>
      </w:r>
    </w:p>
    <w:p w14:paraId="658E31DE">
      <w:pPr>
        <w:pStyle w:val="22"/>
        <w:bidi w:val="0"/>
        <w:rPr>
          <w:rFonts w:hint="default"/>
          <w:highlight w:val="none"/>
          <w:lang w:val="en-US" w:eastAsia="zh-CN"/>
        </w:rPr>
      </w:pPr>
      <w:r>
        <w:rPr>
          <w:rFonts w:hint="default"/>
          <w:highlight w:val="none"/>
          <w:lang w:val="en-US" w:eastAsia="zh-CN"/>
        </w:rPr>
        <w:t>矿山制定了全员安全生产责任制、安全生产规章制度和操作规程。</w:t>
      </w:r>
    </w:p>
    <w:p w14:paraId="7A1FFDE7">
      <w:pPr>
        <w:pStyle w:val="22"/>
        <w:bidi w:val="0"/>
        <w:rPr>
          <w:rFonts w:hint="default"/>
          <w:highlight w:val="none"/>
          <w:lang w:val="en-US" w:eastAsia="zh-CN"/>
        </w:rPr>
      </w:pPr>
      <w:r>
        <w:rPr>
          <w:rFonts w:hint="default"/>
          <w:highlight w:val="none"/>
          <w:lang w:val="en-US" w:eastAsia="zh-CN"/>
        </w:rPr>
        <w:t>矿山认真执行了安全检查制度。企业安全生产管理人员对安全生产状况进行了经常性检查。对检查中发现的事故隐患，立即进行了处理。</w:t>
      </w:r>
    </w:p>
    <w:p w14:paraId="2EE272A4">
      <w:pPr>
        <w:pStyle w:val="22"/>
        <w:bidi w:val="0"/>
        <w:rPr>
          <w:rFonts w:hint="default"/>
          <w:highlight w:val="none"/>
          <w:lang w:val="en-US" w:eastAsia="zh-CN"/>
        </w:rPr>
      </w:pPr>
      <w:r>
        <w:rPr>
          <w:rFonts w:hint="default"/>
          <w:highlight w:val="none"/>
          <w:lang w:val="en-US" w:eastAsia="zh-CN"/>
        </w:rPr>
        <w:t>矿山对职工进行了安全生产教育和培训，使其具备必要的安全生产知识，熟悉有关的安全生产规章制度和安全操作规程，掌握本岗位的安全操作技能。未经安全生产教育和培训合格的，未进行上岗作业。</w:t>
      </w:r>
    </w:p>
    <w:p w14:paraId="7D7C4D22">
      <w:pPr>
        <w:pStyle w:val="22"/>
        <w:bidi w:val="0"/>
        <w:rPr>
          <w:rFonts w:hint="default"/>
          <w:highlight w:val="none"/>
          <w:lang w:val="en-US" w:eastAsia="zh-CN"/>
        </w:rPr>
      </w:pPr>
      <w:r>
        <w:rPr>
          <w:rFonts w:hint="default"/>
          <w:highlight w:val="none"/>
          <w:lang w:val="en-US" w:eastAsia="zh-CN"/>
        </w:rPr>
        <w:t>矿山足额提取了安全生产费用。矿山为从业人员缴纳了安全生产责任险。</w:t>
      </w:r>
    </w:p>
    <w:p w14:paraId="65F532B2">
      <w:pPr>
        <w:pStyle w:val="22"/>
        <w:bidi w:val="0"/>
        <w:rPr>
          <w:rFonts w:hint="default"/>
          <w:highlight w:val="none"/>
          <w:lang w:val="en-US" w:eastAsia="zh-CN"/>
        </w:rPr>
      </w:pPr>
      <w:r>
        <w:rPr>
          <w:rFonts w:hint="default"/>
          <w:highlight w:val="none"/>
          <w:lang w:val="en-US" w:eastAsia="zh-CN"/>
        </w:rPr>
        <w:t>矿山编制了生产安全事故应急预案，并取得了应急预案备案表，备案表在有效期内。</w:t>
      </w:r>
    </w:p>
    <w:p w14:paraId="4048ACAD">
      <w:pPr>
        <w:pStyle w:val="22"/>
        <w:bidi w:val="0"/>
        <w:rPr>
          <w:rFonts w:hint="default"/>
          <w:highlight w:val="none"/>
          <w:lang w:val="en-US" w:eastAsia="zh-CN"/>
        </w:rPr>
      </w:pPr>
      <w:r>
        <w:rPr>
          <w:rFonts w:hint="default"/>
          <w:highlight w:val="none"/>
          <w:lang w:val="en-US" w:eastAsia="zh-CN"/>
        </w:rPr>
        <w:t>矿山设置了应急救援组织文件。矿山成立了兼职救援队伍并与相邻矿山企业签订了互救协议，满足矿山的生产安全需要。</w:t>
      </w:r>
    </w:p>
    <w:p w14:paraId="6699F65C">
      <w:pPr>
        <w:pStyle w:val="22"/>
        <w:bidi w:val="0"/>
        <w:rPr>
          <w:rFonts w:hint="default"/>
          <w:highlight w:val="none"/>
          <w:lang w:val="en-US" w:eastAsia="zh-CN"/>
        </w:rPr>
      </w:pPr>
      <w:r>
        <w:rPr>
          <w:rFonts w:hint="default"/>
          <w:highlight w:val="none"/>
          <w:lang w:val="en-US" w:eastAsia="zh-CN"/>
        </w:rPr>
        <w:t>因此，组织与制度符合国家安全生产法律法规、标准、规章、规范的要求。</w:t>
      </w:r>
    </w:p>
    <w:p w14:paraId="58EDB14F">
      <w:pPr>
        <w:pStyle w:val="22"/>
        <w:numPr>
          <w:ilvl w:val="0"/>
          <w:numId w:val="25"/>
        </w:numPr>
        <w:bidi w:val="0"/>
        <w:rPr>
          <w:highlight w:val="none"/>
        </w:rPr>
      </w:pPr>
      <w:r>
        <w:rPr>
          <w:highlight w:val="none"/>
        </w:rPr>
        <w:t>安全教育培训</w:t>
      </w:r>
    </w:p>
    <w:p w14:paraId="4879782F">
      <w:pPr>
        <w:pStyle w:val="22"/>
        <w:bidi w:val="0"/>
        <w:rPr>
          <w:highlight w:val="none"/>
        </w:rPr>
      </w:pPr>
      <w:r>
        <w:rPr>
          <w:rFonts w:hint="eastAsia"/>
          <w:highlight w:val="none"/>
        </w:rPr>
        <w:t>企业</w:t>
      </w:r>
      <w:r>
        <w:rPr>
          <w:highlight w:val="none"/>
        </w:rPr>
        <w:t>主要负责人以及安全管理人员</w:t>
      </w:r>
      <w:r>
        <w:rPr>
          <w:rFonts w:hint="eastAsia"/>
          <w:highlight w:val="none"/>
        </w:rPr>
        <w:t>均</w:t>
      </w:r>
      <w:r>
        <w:rPr>
          <w:highlight w:val="none"/>
        </w:rPr>
        <w:t>有资格证书。各岗位作业人员上岗前均经安全科组织培训，持证上岗。</w:t>
      </w:r>
    </w:p>
    <w:p w14:paraId="7C1597E2">
      <w:pPr>
        <w:pStyle w:val="22"/>
        <w:numPr>
          <w:ilvl w:val="0"/>
          <w:numId w:val="25"/>
        </w:numPr>
        <w:bidi w:val="0"/>
        <w:rPr>
          <w:rFonts w:hint="default"/>
          <w:highlight w:val="none"/>
          <w:lang w:val="en-US" w:eastAsia="zh-CN"/>
        </w:rPr>
      </w:pPr>
      <w:r>
        <w:rPr>
          <w:rFonts w:hint="default"/>
          <w:highlight w:val="none"/>
          <w:lang w:val="en-US" w:eastAsia="zh-CN"/>
        </w:rPr>
        <w:t>三级培训</w:t>
      </w:r>
    </w:p>
    <w:p w14:paraId="67BBC1B2">
      <w:pPr>
        <w:pStyle w:val="22"/>
        <w:bidi w:val="0"/>
        <w:rPr>
          <w:rFonts w:hint="default"/>
          <w:highlight w:val="none"/>
          <w:lang w:val="en-US" w:eastAsia="zh-CN"/>
        </w:rPr>
      </w:pPr>
      <w:r>
        <w:rPr>
          <w:rFonts w:hint="default"/>
          <w:highlight w:val="none"/>
          <w:lang w:val="en-US" w:eastAsia="zh-CN"/>
        </w:rPr>
        <w:t>企业制定了三级培训计划，规定了所有矿山从业人员（非煤矿山主要负责人、安全生产管理人员除参加本矿山培训计划以外，另需参加应急管理部门制定的培训计划）必须参加安全生产培训，培训内容主要包括矿山安全生产法律法规、矿山安全管理、地下开采安全、爆破作业安全、机械安全、职业病防治、事故应急处置、自救与现场急救、现场参观教学等；</w:t>
      </w:r>
    </w:p>
    <w:p w14:paraId="416C1246">
      <w:pPr>
        <w:pStyle w:val="22"/>
        <w:numPr>
          <w:ilvl w:val="0"/>
          <w:numId w:val="25"/>
        </w:numPr>
        <w:bidi w:val="0"/>
        <w:rPr>
          <w:rFonts w:hint="default"/>
          <w:highlight w:val="none"/>
          <w:lang w:val="en-US" w:eastAsia="zh-CN"/>
        </w:rPr>
      </w:pPr>
      <w:r>
        <w:rPr>
          <w:rFonts w:hint="eastAsia"/>
          <w:highlight w:val="none"/>
          <w:lang w:val="en-US" w:eastAsia="zh-CN"/>
        </w:rPr>
        <w:t>其他</w:t>
      </w:r>
    </w:p>
    <w:p w14:paraId="48B46892">
      <w:pPr>
        <w:pStyle w:val="22"/>
        <w:bidi w:val="0"/>
        <w:rPr>
          <w:rFonts w:hint="eastAsia"/>
          <w:highlight w:val="none"/>
          <w:lang w:val="en-US" w:eastAsia="zh-CN"/>
        </w:rPr>
      </w:pPr>
      <w:r>
        <w:rPr>
          <w:rFonts w:hint="eastAsia"/>
          <w:highlight w:val="none"/>
          <w:lang w:val="en-US" w:eastAsia="zh-CN"/>
        </w:rPr>
        <w:t>1、组织机构及劳动定员</w:t>
      </w:r>
    </w:p>
    <w:p w14:paraId="702AE19F">
      <w:pPr>
        <w:pStyle w:val="22"/>
        <w:bidi w:val="0"/>
        <w:rPr>
          <w:rFonts w:hint="eastAsia"/>
          <w:highlight w:val="none"/>
          <w:lang w:val="en-US" w:eastAsia="zh-CN"/>
        </w:rPr>
      </w:pPr>
      <w:r>
        <w:rPr>
          <w:rFonts w:hint="eastAsia"/>
          <w:highlight w:val="none"/>
          <w:lang w:val="en-US" w:eastAsia="zh-CN"/>
        </w:rPr>
        <w:t>矿山采用间断工作制，年工作300天，每天2班，每班8小时；采矿车间劳动定员按生产工艺编制岗位定员。企业管理及服务人员按拟定的组织机构并参照类似矿山的实际情况配备。</w:t>
      </w:r>
    </w:p>
    <w:p w14:paraId="26BEA928">
      <w:pPr>
        <w:pStyle w:val="31"/>
        <w:bidi w:val="0"/>
        <w:rPr>
          <w:rFonts w:hint="default"/>
          <w:highlight w:val="none"/>
          <w:lang w:val="en-US" w:eastAsia="zh-CN"/>
        </w:rPr>
      </w:pPr>
      <w:r>
        <w:rPr>
          <w:rFonts w:hint="eastAsia"/>
          <w:highlight w:val="none"/>
          <w:lang w:val="en-US" w:eastAsia="zh-CN"/>
        </w:rPr>
        <w:t xml:space="preserve">表2.4-10  </w:t>
      </w:r>
      <w:r>
        <w:rPr>
          <w:rFonts w:hint="default"/>
          <w:highlight w:val="none"/>
          <w:lang w:val="en-US" w:eastAsia="zh-CN"/>
        </w:rPr>
        <w:t>劳动定员表</w:t>
      </w:r>
    </w:p>
    <w:tbl>
      <w:tblPr>
        <w:tblStyle w:val="24"/>
        <w:tblW w:w="4999" w:type="pct"/>
        <w:tblInd w:w="0" w:type="dxa"/>
        <w:tblLayout w:type="autofit"/>
        <w:tblCellMar>
          <w:top w:w="0" w:type="dxa"/>
          <w:left w:w="108" w:type="dxa"/>
          <w:bottom w:w="0" w:type="dxa"/>
          <w:right w:w="108" w:type="dxa"/>
        </w:tblCellMar>
      </w:tblPr>
      <w:tblGrid>
        <w:gridCol w:w="905"/>
        <w:gridCol w:w="3534"/>
        <w:gridCol w:w="1551"/>
        <w:gridCol w:w="1525"/>
        <w:gridCol w:w="1884"/>
      </w:tblGrid>
      <w:tr w14:paraId="227BAFF6">
        <w:tblPrEx>
          <w:tblCellMar>
            <w:top w:w="0" w:type="dxa"/>
            <w:left w:w="108" w:type="dxa"/>
            <w:bottom w:w="0" w:type="dxa"/>
            <w:right w:w="108" w:type="dxa"/>
          </w:tblCellMar>
        </w:tblPrEx>
        <w:trPr>
          <w:trHeight w:val="285" w:hRule="atLeast"/>
        </w:trPr>
        <w:tc>
          <w:tcPr>
            <w:tcW w:w="482" w:type="pct"/>
            <w:vMerge w:val="restart"/>
            <w:tcBorders>
              <w:top w:val="single" w:color="000000" w:sz="4" w:space="0"/>
              <w:left w:val="single" w:color="000000" w:sz="4" w:space="0"/>
              <w:bottom w:val="single" w:color="000000" w:sz="4" w:space="0"/>
              <w:right w:val="single" w:color="000000" w:sz="4" w:space="0"/>
            </w:tcBorders>
            <w:vAlign w:val="center"/>
          </w:tcPr>
          <w:p w14:paraId="09EA9CFA">
            <w:pPr>
              <w:pStyle w:val="32"/>
              <w:bidi w:val="0"/>
              <w:rPr>
                <w:rFonts w:hint="default"/>
                <w:highlight w:val="none"/>
              </w:rPr>
            </w:pPr>
            <w:r>
              <w:rPr>
                <w:rFonts w:hint="default"/>
                <w:highlight w:val="none"/>
              </w:rPr>
              <w:t>序号</w:t>
            </w:r>
          </w:p>
        </w:tc>
        <w:tc>
          <w:tcPr>
            <w:tcW w:w="1880" w:type="pct"/>
            <w:vMerge w:val="restart"/>
            <w:tcBorders>
              <w:top w:val="single" w:color="000000" w:sz="4" w:space="0"/>
              <w:left w:val="single" w:color="000000" w:sz="4" w:space="0"/>
              <w:bottom w:val="single" w:color="000000" w:sz="4" w:space="0"/>
              <w:right w:val="single" w:color="000000" w:sz="4" w:space="0"/>
            </w:tcBorders>
            <w:vAlign w:val="center"/>
          </w:tcPr>
          <w:p w14:paraId="1D30E35B">
            <w:pPr>
              <w:pStyle w:val="32"/>
              <w:bidi w:val="0"/>
              <w:rPr>
                <w:rFonts w:hint="default"/>
                <w:highlight w:val="none"/>
              </w:rPr>
            </w:pPr>
            <w:r>
              <w:rPr>
                <w:rFonts w:hint="default"/>
                <w:highlight w:val="none"/>
              </w:rPr>
              <w:t>工作单位及工种</w:t>
            </w:r>
          </w:p>
        </w:tc>
        <w:tc>
          <w:tcPr>
            <w:tcW w:w="2636" w:type="pct"/>
            <w:gridSpan w:val="3"/>
            <w:tcBorders>
              <w:top w:val="single" w:color="000000" w:sz="4" w:space="0"/>
              <w:left w:val="single" w:color="000000" w:sz="4" w:space="0"/>
              <w:bottom w:val="single" w:color="000000" w:sz="4" w:space="0"/>
              <w:right w:val="single" w:color="000000" w:sz="4" w:space="0"/>
            </w:tcBorders>
            <w:vAlign w:val="center"/>
          </w:tcPr>
          <w:p w14:paraId="5E5BBB93">
            <w:pPr>
              <w:pStyle w:val="32"/>
              <w:bidi w:val="0"/>
              <w:rPr>
                <w:rFonts w:hint="default"/>
                <w:highlight w:val="none"/>
              </w:rPr>
            </w:pPr>
            <w:r>
              <w:rPr>
                <w:rFonts w:hint="default"/>
                <w:highlight w:val="none"/>
              </w:rPr>
              <w:t>实际工作人数</w:t>
            </w:r>
          </w:p>
        </w:tc>
      </w:tr>
      <w:tr w14:paraId="42758A29">
        <w:tblPrEx>
          <w:tblCellMar>
            <w:top w:w="0" w:type="dxa"/>
            <w:left w:w="108" w:type="dxa"/>
            <w:bottom w:w="0" w:type="dxa"/>
            <w:right w:w="108" w:type="dxa"/>
          </w:tblCellMar>
        </w:tblPrEx>
        <w:trPr>
          <w:trHeight w:val="285" w:hRule="atLeast"/>
        </w:trPr>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30704D38">
            <w:pPr>
              <w:pStyle w:val="32"/>
              <w:bidi w:val="0"/>
              <w:rPr>
                <w:rFonts w:hint="default"/>
                <w:highlight w:val="none"/>
              </w:rPr>
            </w:pPr>
          </w:p>
        </w:tc>
        <w:tc>
          <w:tcPr>
            <w:tcW w:w="1880" w:type="pct"/>
            <w:vMerge w:val="continue"/>
            <w:tcBorders>
              <w:top w:val="single" w:color="000000" w:sz="4" w:space="0"/>
              <w:left w:val="single" w:color="000000" w:sz="4" w:space="0"/>
              <w:bottom w:val="single" w:color="000000" w:sz="4" w:space="0"/>
              <w:right w:val="single" w:color="000000" w:sz="4" w:space="0"/>
            </w:tcBorders>
            <w:vAlign w:val="center"/>
          </w:tcPr>
          <w:p w14:paraId="529BEA1A">
            <w:pPr>
              <w:pStyle w:val="32"/>
              <w:bidi w:val="0"/>
              <w:rPr>
                <w:rFonts w:hint="default"/>
                <w:highlight w:val="none"/>
              </w:rPr>
            </w:pPr>
          </w:p>
        </w:tc>
        <w:tc>
          <w:tcPr>
            <w:tcW w:w="1636" w:type="pct"/>
            <w:gridSpan w:val="2"/>
            <w:tcBorders>
              <w:top w:val="single" w:color="000000" w:sz="4" w:space="0"/>
              <w:left w:val="single" w:color="000000" w:sz="4" w:space="0"/>
              <w:bottom w:val="single" w:color="000000" w:sz="4" w:space="0"/>
              <w:right w:val="single" w:color="auto" w:sz="4" w:space="0"/>
            </w:tcBorders>
            <w:vAlign w:val="center"/>
          </w:tcPr>
          <w:p w14:paraId="617CD4AF">
            <w:pPr>
              <w:pStyle w:val="32"/>
              <w:bidi w:val="0"/>
              <w:rPr>
                <w:rFonts w:hint="default"/>
                <w:highlight w:val="none"/>
              </w:rPr>
            </w:pPr>
            <w:r>
              <w:rPr>
                <w:rFonts w:hint="default"/>
                <w:highlight w:val="none"/>
              </w:rPr>
              <w:t>班次</w:t>
            </w:r>
          </w:p>
        </w:tc>
        <w:tc>
          <w:tcPr>
            <w:tcW w:w="1000" w:type="pct"/>
            <w:vMerge w:val="restart"/>
            <w:tcBorders>
              <w:top w:val="single" w:color="000000" w:sz="4" w:space="0"/>
              <w:left w:val="single" w:color="000000" w:sz="4" w:space="0"/>
              <w:right w:val="single" w:color="000000" w:sz="4" w:space="0"/>
            </w:tcBorders>
            <w:vAlign w:val="center"/>
          </w:tcPr>
          <w:p w14:paraId="08DA88E9">
            <w:pPr>
              <w:pStyle w:val="32"/>
              <w:bidi w:val="0"/>
              <w:rPr>
                <w:rFonts w:hint="default"/>
                <w:highlight w:val="none"/>
              </w:rPr>
            </w:pPr>
            <w:r>
              <w:rPr>
                <w:rFonts w:hint="default"/>
                <w:highlight w:val="none"/>
              </w:rPr>
              <w:t>总计</w:t>
            </w:r>
          </w:p>
        </w:tc>
      </w:tr>
      <w:tr w14:paraId="30049C1B">
        <w:tblPrEx>
          <w:tblCellMar>
            <w:top w:w="0" w:type="dxa"/>
            <w:left w:w="108" w:type="dxa"/>
            <w:bottom w:w="0" w:type="dxa"/>
            <w:right w:w="108" w:type="dxa"/>
          </w:tblCellMar>
        </w:tblPrEx>
        <w:trPr>
          <w:trHeight w:val="285" w:hRule="atLeast"/>
        </w:trPr>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253D1754">
            <w:pPr>
              <w:pStyle w:val="32"/>
              <w:bidi w:val="0"/>
              <w:rPr>
                <w:rFonts w:hint="default"/>
                <w:highlight w:val="none"/>
              </w:rPr>
            </w:pPr>
          </w:p>
        </w:tc>
        <w:tc>
          <w:tcPr>
            <w:tcW w:w="1880" w:type="pct"/>
            <w:vMerge w:val="continue"/>
            <w:tcBorders>
              <w:top w:val="single" w:color="000000" w:sz="4" w:space="0"/>
              <w:left w:val="single" w:color="000000" w:sz="4" w:space="0"/>
              <w:bottom w:val="single" w:color="000000" w:sz="4" w:space="0"/>
              <w:right w:val="single" w:color="000000" w:sz="4" w:space="0"/>
            </w:tcBorders>
            <w:vAlign w:val="center"/>
          </w:tcPr>
          <w:p w14:paraId="44C97649">
            <w:pPr>
              <w:pStyle w:val="32"/>
              <w:bidi w:val="0"/>
              <w:rPr>
                <w:rFonts w:hint="default"/>
                <w:highlight w:val="none"/>
              </w:rPr>
            </w:pPr>
          </w:p>
        </w:tc>
        <w:tc>
          <w:tcPr>
            <w:tcW w:w="825" w:type="pct"/>
            <w:tcBorders>
              <w:top w:val="single" w:color="000000" w:sz="4" w:space="0"/>
              <w:left w:val="single" w:color="000000" w:sz="4" w:space="0"/>
              <w:bottom w:val="single" w:color="000000" w:sz="4" w:space="0"/>
              <w:right w:val="single" w:color="000000" w:sz="4" w:space="0"/>
            </w:tcBorders>
            <w:vAlign w:val="center"/>
          </w:tcPr>
          <w:p w14:paraId="2351FEFE">
            <w:pPr>
              <w:pStyle w:val="32"/>
              <w:bidi w:val="0"/>
              <w:rPr>
                <w:rFonts w:hint="default"/>
                <w:highlight w:val="none"/>
              </w:rPr>
            </w:pPr>
            <w:r>
              <w:rPr>
                <w:rFonts w:hint="default"/>
                <w:highlight w:val="none"/>
              </w:rPr>
              <w:t>一</w:t>
            </w:r>
          </w:p>
        </w:tc>
        <w:tc>
          <w:tcPr>
            <w:tcW w:w="811" w:type="pct"/>
            <w:tcBorders>
              <w:top w:val="single" w:color="000000" w:sz="4" w:space="0"/>
              <w:left w:val="single" w:color="000000" w:sz="4" w:space="0"/>
              <w:bottom w:val="single" w:color="000000" w:sz="4" w:space="0"/>
              <w:right w:val="single" w:color="auto" w:sz="4" w:space="0"/>
            </w:tcBorders>
            <w:vAlign w:val="center"/>
          </w:tcPr>
          <w:p w14:paraId="5897E8FE">
            <w:pPr>
              <w:pStyle w:val="32"/>
              <w:bidi w:val="0"/>
              <w:rPr>
                <w:rFonts w:hint="default"/>
                <w:highlight w:val="none"/>
              </w:rPr>
            </w:pPr>
            <w:r>
              <w:rPr>
                <w:rFonts w:hint="default"/>
                <w:highlight w:val="none"/>
              </w:rPr>
              <w:t>二</w:t>
            </w:r>
          </w:p>
        </w:tc>
        <w:tc>
          <w:tcPr>
            <w:tcW w:w="1000" w:type="pct"/>
            <w:vMerge w:val="continue"/>
            <w:tcBorders>
              <w:left w:val="single" w:color="000000" w:sz="4" w:space="0"/>
              <w:right w:val="single" w:color="000000" w:sz="4" w:space="0"/>
            </w:tcBorders>
            <w:vAlign w:val="center"/>
          </w:tcPr>
          <w:p w14:paraId="6A2F8232">
            <w:pPr>
              <w:pStyle w:val="32"/>
              <w:bidi w:val="0"/>
              <w:rPr>
                <w:rFonts w:hint="default"/>
                <w:highlight w:val="none"/>
              </w:rPr>
            </w:pPr>
          </w:p>
        </w:tc>
      </w:tr>
      <w:tr w14:paraId="6F496824">
        <w:tblPrEx>
          <w:tblCellMar>
            <w:top w:w="0" w:type="dxa"/>
            <w:left w:w="108" w:type="dxa"/>
            <w:bottom w:w="0" w:type="dxa"/>
            <w:right w:w="108" w:type="dxa"/>
          </w:tblCellMar>
        </w:tblPrEx>
        <w:trPr>
          <w:trHeight w:val="285" w:hRule="atLeast"/>
        </w:trPr>
        <w:tc>
          <w:tcPr>
            <w:tcW w:w="5000" w:type="pct"/>
            <w:gridSpan w:val="5"/>
            <w:tcBorders>
              <w:top w:val="single" w:color="000000" w:sz="4" w:space="0"/>
              <w:left w:val="single" w:color="000000" w:sz="4" w:space="0"/>
              <w:bottom w:val="single" w:color="000000" w:sz="4" w:space="0"/>
              <w:right w:val="single" w:color="auto" w:sz="4" w:space="0"/>
            </w:tcBorders>
            <w:vAlign w:val="center"/>
          </w:tcPr>
          <w:p w14:paraId="274D25C5">
            <w:pPr>
              <w:pStyle w:val="32"/>
              <w:bidi w:val="0"/>
              <w:rPr>
                <w:rFonts w:hint="default"/>
                <w:highlight w:val="none"/>
              </w:rPr>
            </w:pPr>
            <w:r>
              <w:rPr>
                <w:rFonts w:hint="default"/>
                <w:highlight w:val="none"/>
                <w:lang w:val="en-US" w:eastAsia="zh-CN"/>
              </w:rPr>
              <w:t>地表作业人员</w:t>
            </w:r>
          </w:p>
        </w:tc>
      </w:tr>
      <w:tr w14:paraId="6D978E29">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5C2954C2">
            <w:pPr>
              <w:pStyle w:val="32"/>
              <w:bidi w:val="0"/>
              <w:rPr>
                <w:rFonts w:hint="default"/>
                <w:highlight w:val="none"/>
                <w:lang w:val="en-US" w:eastAsia="zh-CN"/>
              </w:rPr>
            </w:pPr>
            <w:r>
              <w:rPr>
                <w:rFonts w:hint="default"/>
                <w:highlight w:val="none"/>
                <w:lang w:val="en-US" w:eastAsia="zh-CN"/>
              </w:rPr>
              <w:t>1</w:t>
            </w:r>
          </w:p>
        </w:tc>
        <w:tc>
          <w:tcPr>
            <w:tcW w:w="1880" w:type="pct"/>
            <w:tcBorders>
              <w:top w:val="single" w:color="000000" w:sz="4" w:space="0"/>
              <w:left w:val="single" w:color="000000" w:sz="4" w:space="0"/>
              <w:bottom w:val="single" w:color="000000" w:sz="4" w:space="0"/>
              <w:right w:val="single" w:color="000000" w:sz="4" w:space="0"/>
            </w:tcBorders>
            <w:vAlign w:val="center"/>
          </w:tcPr>
          <w:p w14:paraId="0138E562">
            <w:pPr>
              <w:pStyle w:val="32"/>
              <w:bidi w:val="0"/>
              <w:rPr>
                <w:rFonts w:hint="default"/>
                <w:highlight w:val="none"/>
              </w:rPr>
            </w:pPr>
            <w:r>
              <w:rPr>
                <w:rFonts w:hint="default"/>
                <w:highlight w:val="none"/>
              </w:rPr>
              <w:t>安全生产调度指挥中心</w:t>
            </w:r>
          </w:p>
        </w:tc>
        <w:tc>
          <w:tcPr>
            <w:tcW w:w="825" w:type="pct"/>
            <w:tcBorders>
              <w:top w:val="single" w:color="000000" w:sz="4" w:space="0"/>
              <w:left w:val="single" w:color="000000" w:sz="4" w:space="0"/>
              <w:bottom w:val="single" w:color="000000" w:sz="4" w:space="0"/>
              <w:right w:val="single" w:color="000000" w:sz="4" w:space="0"/>
            </w:tcBorders>
            <w:vAlign w:val="center"/>
          </w:tcPr>
          <w:p w14:paraId="216AA0B2">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05F42FF8">
            <w:pPr>
              <w:pStyle w:val="32"/>
              <w:bidi w:val="0"/>
              <w:rPr>
                <w:rFonts w:hint="default"/>
                <w:highlight w:val="none"/>
                <w:lang w:val="en-US"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auto" w:sz="4" w:space="0"/>
            </w:tcBorders>
            <w:vAlign w:val="center"/>
          </w:tcPr>
          <w:p w14:paraId="7C6EE408">
            <w:pPr>
              <w:pStyle w:val="32"/>
              <w:bidi w:val="0"/>
              <w:rPr>
                <w:rFonts w:hint="default"/>
                <w:highlight w:val="none"/>
                <w:lang w:val="en-US" w:eastAsia="zh-CN"/>
              </w:rPr>
            </w:pPr>
            <w:r>
              <w:rPr>
                <w:rFonts w:hint="default"/>
                <w:highlight w:val="none"/>
                <w:lang w:val="en-US" w:eastAsia="zh-CN"/>
              </w:rPr>
              <w:t>2</w:t>
            </w:r>
          </w:p>
        </w:tc>
      </w:tr>
      <w:tr w14:paraId="2DAA5606">
        <w:tblPrEx>
          <w:tblCellMar>
            <w:top w:w="0" w:type="dxa"/>
            <w:left w:w="108" w:type="dxa"/>
            <w:bottom w:w="0" w:type="dxa"/>
            <w:right w:w="108" w:type="dxa"/>
          </w:tblCellMar>
        </w:tblPrEx>
        <w:trPr>
          <w:trHeight w:val="285" w:hRule="atLeast"/>
        </w:trPr>
        <w:tc>
          <w:tcPr>
            <w:tcW w:w="5000" w:type="pct"/>
            <w:gridSpan w:val="5"/>
            <w:tcBorders>
              <w:top w:val="single" w:color="000000" w:sz="4" w:space="0"/>
              <w:left w:val="single" w:color="000000" w:sz="4" w:space="0"/>
              <w:bottom w:val="single" w:color="000000" w:sz="4" w:space="0"/>
              <w:right w:val="single" w:color="000000" w:sz="4" w:space="0"/>
            </w:tcBorders>
            <w:vAlign w:val="center"/>
          </w:tcPr>
          <w:p w14:paraId="58D572B2">
            <w:pPr>
              <w:pStyle w:val="32"/>
              <w:bidi w:val="0"/>
              <w:rPr>
                <w:rFonts w:hint="default"/>
                <w:highlight w:val="none"/>
                <w:lang w:val="en-US" w:eastAsia="zh-CN"/>
              </w:rPr>
            </w:pPr>
            <w:r>
              <w:rPr>
                <w:rFonts w:hint="default"/>
                <w:highlight w:val="none"/>
                <w:lang w:val="en-US" w:eastAsia="zh-CN"/>
              </w:rPr>
              <w:t>井下作业人员</w:t>
            </w:r>
          </w:p>
        </w:tc>
      </w:tr>
      <w:tr w14:paraId="05845265">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65C8CED">
            <w:pPr>
              <w:pStyle w:val="32"/>
              <w:bidi w:val="0"/>
              <w:rPr>
                <w:rFonts w:hint="default"/>
                <w:highlight w:val="none"/>
              </w:rPr>
            </w:pPr>
            <w:r>
              <w:rPr>
                <w:rFonts w:hint="default"/>
                <w:highlight w:val="none"/>
                <w:lang w:val="en-US" w:eastAsia="zh-CN"/>
              </w:rPr>
              <w:t>1</w:t>
            </w:r>
          </w:p>
        </w:tc>
        <w:tc>
          <w:tcPr>
            <w:tcW w:w="1880" w:type="pct"/>
            <w:tcBorders>
              <w:top w:val="single" w:color="000000" w:sz="4" w:space="0"/>
              <w:left w:val="single" w:color="000000" w:sz="4" w:space="0"/>
              <w:bottom w:val="single" w:color="000000" w:sz="4" w:space="0"/>
              <w:right w:val="single" w:color="000000" w:sz="4" w:space="0"/>
            </w:tcBorders>
            <w:vAlign w:val="center"/>
          </w:tcPr>
          <w:p w14:paraId="327B1722">
            <w:pPr>
              <w:pStyle w:val="32"/>
              <w:bidi w:val="0"/>
              <w:rPr>
                <w:rFonts w:hint="default"/>
                <w:highlight w:val="none"/>
              </w:rPr>
            </w:pPr>
            <w:r>
              <w:rPr>
                <w:rFonts w:hint="eastAsia"/>
                <w:highlight w:val="none"/>
                <w:lang w:val="en-US" w:eastAsia="zh-CN"/>
              </w:rPr>
              <w:t>五职</w:t>
            </w:r>
          </w:p>
        </w:tc>
        <w:tc>
          <w:tcPr>
            <w:tcW w:w="825" w:type="pct"/>
            <w:tcBorders>
              <w:top w:val="single" w:color="000000" w:sz="4" w:space="0"/>
              <w:left w:val="single" w:color="000000" w:sz="4" w:space="0"/>
              <w:bottom w:val="single" w:color="000000" w:sz="4" w:space="0"/>
              <w:right w:val="single" w:color="000000" w:sz="4" w:space="0"/>
            </w:tcBorders>
            <w:vAlign w:val="center"/>
          </w:tcPr>
          <w:p w14:paraId="5EF383EF">
            <w:pPr>
              <w:pStyle w:val="32"/>
              <w:bidi w:val="0"/>
              <w:rPr>
                <w:rFonts w:hint="default"/>
                <w:highlight w:val="none"/>
                <w:lang w:eastAsia="zh-CN"/>
              </w:rPr>
            </w:pPr>
            <w:r>
              <w:rPr>
                <w:rFonts w:hint="default"/>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40AAB8B0">
            <w:pPr>
              <w:pStyle w:val="32"/>
              <w:bidi w:val="0"/>
              <w:rPr>
                <w:rFonts w:hint="default"/>
                <w:highlight w:val="none"/>
                <w:lang w:eastAsia="zh-CN"/>
              </w:rPr>
            </w:pPr>
            <w:r>
              <w:rPr>
                <w:rFonts w:hint="default"/>
                <w:highlight w:val="none"/>
                <w:lang w:val="en-US" w:eastAsia="zh-CN"/>
              </w:rPr>
              <w:t>3</w:t>
            </w:r>
          </w:p>
        </w:tc>
        <w:tc>
          <w:tcPr>
            <w:tcW w:w="1000" w:type="pct"/>
            <w:tcBorders>
              <w:top w:val="single" w:color="000000" w:sz="4" w:space="0"/>
              <w:left w:val="single" w:color="000000" w:sz="4" w:space="0"/>
              <w:bottom w:val="single" w:color="000000" w:sz="4" w:space="0"/>
              <w:right w:val="single" w:color="000000" w:sz="4" w:space="0"/>
            </w:tcBorders>
            <w:vAlign w:val="center"/>
          </w:tcPr>
          <w:p w14:paraId="06E95FB2">
            <w:pPr>
              <w:pStyle w:val="32"/>
              <w:bidi w:val="0"/>
              <w:rPr>
                <w:rFonts w:hint="default"/>
                <w:highlight w:val="none"/>
                <w:lang w:val="en-US" w:eastAsia="zh-CN"/>
              </w:rPr>
            </w:pPr>
            <w:r>
              <w:rPr>
                <w:rFonts w:hint="default"/>
                <w:highlight w:val="none"/>
                <w:lang w:val="en-US" w:eastAsia="zh-CN"/>
              </w:rPr>
              <w:t>5</w:t>
            </w:r>
          </w:p>
        </w:tc>
      </w:tr>
      <w:tr w14:paraId="25EBDB91">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BB7104B">
            <w:pPr>
              <w:pStyle w:val="32"/>
              <w:bidi w:val="0"/>
              <w:rPr>
                <w:rFonts w:hint="default"/>
                <w:highlight w:val="none"/>
              </w:rPr>
            </w:pPr>
            <w:r>
              <w:rPr>
                <w:rFonts w:hint="default"/>
                <w:highlight w:val="none"/>
                <w:lang w:val="en-US" w:eastAsia="zh-CN"/>
              </w:rPr>
              <w:t>1.1</w:t>
            </w:r>
          </w:p>
        </w:tc>
        <w:tc>
          <w:tcPr>
            <w:tcW w:w="1880" w:type="pct"/>
            <w:tcBorders>
              <w:top w:val="single" w:color="000000" w:sz="4" w:space="0"/>
              <w:left w:val="single" w:color="000000" w:sz="4" w:space="0"/>
              <w:bottom w:val="single" w:color="000000" w:sz="4" w:space="0"/>
              <w:right w:val="single" w:color="000000" w:sz="4" w:space="0"/>
            </w:tcBorders>
            <w:vAlign w:val="center"/>
          </w:tcPr>
          <w:p w14:paraId="526799D1">
            <w:pPr>
              <w:pStyle w:val="32"/>
              <w:bidi w:val="0"/>
              <w:rPr>
                <w:rFonts w:hint="default"/>
                <w:highlight w:val="none"/>
              </w:rPr>
            </w:pPr>
            <w:r>
              <w:rPr>
                <w:rFonts w:hint="eastAsia"/>
                <w:highlight w:val="none"/>
                <w:lang w:val="en-US" w:eastAsia="zh-CN"/>
              </w:rPr>
              <w:t>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0A23271C">
            <w:pPr>
              <w:pStyle w:val="32"/>
              <w:bidi w:val="0"/>
              <w:rPr>
                <w:rFonts w:hint="default"/>
                <w:highlight w:val="none"/>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44F38141">
            <w:pPr>
              <w:pStyle w:val="32"/>
              <w:bidi w:val="0"/>
              <w:rPr>
                <w:rFonts w:hint="default"/>
                <w:highlight w:val="none"/>
              </w:rPr>
            </w:pPr>
          </w:p>
        </w:tc>
        <w:tc>
          <w:tcPr>
            <w:tcW w:w="1000" w:type="pct"/>
            <w:tcBorders>
              <w:top w:val="single" w:color="000000" w:sz="4" w:space="0"/>
              <w:left w:val="single" w:color="000000" w:sz="4" w:space="0"/>
              <w:bottom w:val="single" w:color="000000" w:sz="4" w:space="0"/>
              <w:right w:val="single" w:color="000000" w:sz="4" w:space="0"/>
            </w:tcBorders>
            <w:vAlign w:val="center"/>
          </w:tcPr>
          <w:p w14:paraId="5555CCE2">
            <w:pPr>
              <w:pStyle w:val="32"/>
              <w:bidi w:val="0"/>
              <w:rPr>
                <w:rFonts w:hint="default"/>
                <w:highlight w:val="none"/>
                <w:lang w:val="en-US" w:eastAsia="zh-CN"/>
              </w:rPr>
            </w:pPr>
            <w:r>
              <w:rPr>
                <w:rFonts w:hint="default"/>
                <w:highlight w:val="none"/>
                <w:lang w:val="en-US" w:eastAsia="zh-CN"/>
              </w:rPr>
              <w:t>1</w:t>
            </w:r>
          </w:p>
        </w:tc>
      </w:tr>
      <w:tr w14:paraId="67B55EFD">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60EB7119">
            <w:pPr>
              <w:pStyle w:val="32"/>
              <w:bidi w:val="0"/>
              <w:rPr>
                <w:rFonts w:hint="default"/>
                <w:highlight w:val="none"/>
              </w:rPr>
            </w:pPr>
            <w:r>
              <w:rPr>
                <w:rFonts w:hint="default"/>
                <w:highlight w:val="none"/>
                <w:lang w:val="en-US" w:eastAsia="zh-CN"/>
              </w:rPr>
              <w:t>1.2</w:t>
            </w:r>
          </w:p>
        </w:tc>
        <w:tc>
          <w:tcPr>
            <w:tcW w:w="1880" w:type="pct"/>
            <w:tcBorders>
              <w:top w:val="single" w:color="000000" w:sz="4" w:space="0"/>
              <w:left w:val="single" w:color="000000" w:sz="4" w:space="0"/>
              <w:bottom w:val="single" w:color="000000" w:sz="4" w:space="0"/>
              <w:right w:val="single" w:color="000000" w:sz="4" w:space="0"/>
            </w:tcBorders>
            <w:vAlign w:val="center"/>
          </w:tcPr>
          <w:p w14:paraId="7CA1E8E4">
            <w:pPr>
              <w:pStyle w:val="32"/>
              <w:bidi w:val="0"/>
              <w:rPr>
                <w:rFonts w:hint="default"/>
                <w:highlight w:val="none"/>
              </w:rPr>
            </w:pPr>
            <w:r>
              <w:rPr>
                <w:rFonts w:hint="eastAsia"/>
                <w:highlight w:val="none"/>
                <w:lang w:val="en-US" w:eastAsia="zh-CN"/>
              </w:rPr>
              <w:t>生产副矿长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49B36E67">
            <w:pPr>
              <w:pStyle w:val="32"/>
              <w:bidi w:val="0"/>
              <w:rPr>
                <w:rFonts w:hint="default"/>
                <w:highlight w:val="none"/>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08ADA407">
            <w:pPr>
              <w:pStyle w:val="32"/>
              <w:bidi w:val="0"/>
              <w:rPr>
                <w:rFonts w:hint="default"/>
                <w:highlight w:val="none"/>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3D6590F0">
            <w:pPr>
              <w:pStyle w:val="32"/>
              <w:bidi w:val="0"/>
              <w:rPr>
                <w:rFonts w:hint="default"/>
                <w:highlight w:val="none"/>
                <w:lang w:val="en-US" w:eastAsia="zh-CN"/>
              </w:rPr>
            </w:pPr>
            <w:r>
              <w:rPr>
                <w:rFonts w:hint="default"/>
                <w:highlight w:val="none"/>
                <w:lang w:val="en-US" w:eastAsia="zh-CN"/>
              </w:rPr>
              <w:t>1</w:t>
            </w:r>
          </w:p>
        </w:tc>
      </w:tr>
      <w:tr w14:paraId="2F056912">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184AC45">
            <w:pPr>
              <w:pStyle w:val="32"/>
              <w:bidi w:val="0"/>
              <w:rPr>
                <w:rFonts w:hint="default"/>
                <w:highlight w:val="none"/>
              </w:rPr>
            </w:pPr>
            <w:r>
              <w:rPr>
                <w:rFonts w:hint="default"/>
                <w:highlight w:val="none"/>
                <w:lang w:val="en-US" w:eastAsia="zh-CN"/>
              </w:rPr>
              <w:t>1.3</w:t>
            </w:r>
          </w:p>
        </w:tc>
        <w:tc>
          <w:tcPr>
            <w:tcW w:w="1880" w:type="pct"/>
            <w:tcBorders>
              <w:top w:val="single" w:color="000000" w:sz="4" w:space="0"/>
              <w:left w:val="single" w:color="000000" w:sz="4" w:space="0"/>
              <w:bottom w:val="single" w:color="000000" w:sz="4" w:space="0"/>
              <w:right w:val="single" w:color="000000" w:sz="4" w:space="0"/>
            </w:tcBorders>
            <w:vAlign w:val="center"/>
          </w:tcPr>
          <w:p w14:paraId="7A311157">
            <w:pPr>
              <w:pStyle w:val="32"/>
              <w:bidi w:val="0"/>
              <w:rPr>
                <w:rFonts w:hint="default"/>
                <w:highlight w:val="none"/>
              </w:rPr>
            </w:pPr>
            <w:r>
              <w:rPr>
                <w:rFonts w:hint="eastAsia"/>
                <w:highlight w:val="none"/>
                <w:lang w:val="en-US" w:eastAsia="zh-CN"/>
              </w:rPr>
              <w:t>机电副矿长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3B1443DE">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2E26AC6F">
            <w:pPr>
              <w:pStyle w:val="32"/>
              <w:bidi w:val="0"/>
              <w:rPr>
                <w:rFonts w:hint="default"/>
                <w:highlight w:val="none"/>
                <w:lang w:val="en-US" w:eastAsia="zh-CN"/>
              </w:rPr>
            </w:pPr>
          </w:p>
        </w:tc>
        <w:tc>
          <w:tcPr>
            <w:tcW w:w="1000" w:type="pct"/>
            <w:tcBorders>
              <w:top w:val="single" w:color="000000" w:sz="4" w:space="0"/>
              <w:left w:val="single" w:color="000000" w:sz="4" w:space="0"/>
              <w:bottom w:val="single" w:color="000000" w:sz="4" w:space="0"/>
              <w:right w:val="single" w:color="000000" w:sz="4" w:space="0"/>
            </w:tcBorders>
            <w:vAlign w:val="center"/>
          </w:tcPr>
          <w:p w14:paraId="6E84F832">
            <w:pPr>
              <w:pStyle w:val="32"/>
              <w:bidi w:val="0"/>
              <w:rPr>
                <w:rFonts w:hint="default"/>
                <w:highlight w:val="none"/>
                <w:lang w:val="en-US" w:eastAsia="zh-CN"/>
              </w:rPr>
            </w:pPr>
            <w:r>
              <w:rPr>
                <w:rFonts w:hint="default"/>
                <w:highlight w:val="none"/>
                <w:lang w:val="en-US" w:eastAsia="zh-CN"/>
              </w:rPr>
              <w:t>1</w:t>
            </w:r>
          </w:p>
        </w:tc>
      </w:tr>
      <w:tr w14:paraId="55736B06">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69FCA352">
            <w:pPr>
              <w:pStyle w:val="32"/>
              <w:bidi w:val="0"/>
              <w:rPr>
                <w:rFonts w:hint="default"/>
                <w:highlight w:val="none"/>
              </w:rPr>
            </w:pPr>
            <w:r>
              <w:rPr>
                <w:rFonts w:hint="default"/>
                <w:highlight w:val="none"/>
                <w:lang w:val="en-US" w:eastAsia="zh-CN"/>
              </w:rPr>
              <w:t>1.4</w:t>
            </w:r>
          </w:p>
        </w:tc>
        <w:tc>
          <w:tcPr>
            <w:tcW w:w="1880" w:type="pct"/>
            <w:tcBorders>
              <w:top w:val="single" w:color="000000" w:sz="4" w:space="0"/>
              <w:left w:val="single" w:color="000000" w:sz="4" w:space="0"/>
              <w:bottom w:val="single" w:color="000000" w:sz="4" w:space="0"/>
              <w:right w:val="single" w:color="000000" w:sz="4" w:space="0"/>
            </w:tcBorders>
            <w:vAlign w:val="center"/>
          </w:tcPr>
          <w:p w14:paraId="38600E53">
            <w:pPr>
              <w:pStyle w:val="32"/>
              <w:bidi w:val="0"/>
              <w:rPr>
                <w:rFonts w:hint="default"/>
                <w:highlight w:val="none"/>
              </w:rPr>
            </w:pPr>
            <w:r>
              <w:rPr>
                <w:rFonts w:hint="eastAsia"/>
                <w:highlight w:val="none"/>
                <w:lang w:val="en-US" w:eastAsia="zh-CN"/>
              </w:rPr>
              <w:t>总工程师</w:t>
            </w:r>
          </w:p>
        </w:tc>
        <w:tc>
          <w:tcPr>
            <w:tcW w:w="825" w:type="pct"/>
            <w:tcBorders>
              <w:top w:val="single" w:color="000000" w:sz="4" w:space="0"/>
              <w:left w:val="single" w:color="000000" w:sz="4" w:space="0"/>
              <w:bottom w:val="single" w:color="000000" w:sz="4" w:space="0"/>
              <w:right w:val="single" w:color="000000" w:sz="4" w:space="0"/>
            </w:tcBorders>
            <w:vAlign w:val="center"/>
          </w:tcPr>
          <w:p w14:paraId="4C388273">
            <w:pPr>
              <w:pStyle w:val="32"/>
              <w:bidi w:val="0"/>
              <w:rPr>
                <w:rFonts w:hint="default"/>
                <w:highlight w:val="none"/>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3C73EED0">
            <w:pPr>
              <w:pStyle w:val="32"/>
              <w:bidi w:val="0"/>
              <w:rPr>
                <w:rFonts w:hint="default"/>
                <w:highlight w:val="none"/>
                <w:lang w:val="en-US"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3E48FAF8">
            <w:pPr>
              <w:pStyle w:val="32"/>
              <w:bidi w:val="0"/>
              <w:rPr>
                <w:rFonts w:hint="default"/>
                <w:highlight w:val="none"/>
                <w:lang w:val="en-US" w:eastAsia="zh-CN"/>
              </w:rPr>
            </w:pPr>
            <w:r>
              <w:rPr>
                <w:rFonts w:hint="default"/>
                <w:highlight w:val="none"/>
                <w:lang w:val="en-US" w:eastAsia="zh-CN"/>
              </w:rPr>
              <w:t>1</w:t>
            </w:r>
          </w:p>
        </w:tc>
      </w:tr>
      <w:tr w14:paraId="1DEA3137">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6BF80C45">
            <w:pPr>
              <w:pStyle w:val="32"/>
              <w:bidi w:val="0"/>
              <w:rPr>
                <w:rFonts w:hint="default"/>
                <w:highlight w:val="none"/>
              </w:rPr>
            </w:pPr>
            <w:r>
              <w:rPr>
                <w:rFonts w:hint="default"/>
                <w:highlight w:val="none"/>
                <w:lang w:val="en-US" w:eastAsia="zh-CN"/>
              </w:rPr>
              <w:t>1.5</w:t>
            </w:r>
          </w:p>
        </w:tc>
        <w:tc>
          <w:tcPr>
            <w:tcW w:w="1880" w:type="pct"/>
            <w:tcBorders>
              <w:top w:val="single" w:color="000000" w:sz="4" w:space="0"/>
              <w:left w:val="single" w:color="000000" w:sz="4" w:space="0"/>
              <w:bottom w:val="single" w:color="000000" w:sz="4" w:space="0"/>
              <w:right w:val="single" w:color="000000" w:sz="4" w:space="0"/>
            </w:tcBorders>
            <w:vAlign w:val="center"/>
          </w:tcPr>
          <w:p w14:paraId="1CEB1123">
            <w:pPr>
              <w:pStyle w:val="32"/>
              <w:bidi w:val="0"/>
              <w:rPr>
                <w:rFonts w:hint="default"/>
                <w:highlight w:val="none"/>
              </w:rPr>
            </w:pPr>
            <w:r>
              <w:rPr>
                <w:rFonts w:hint="eastAsia"/>
                <w:highlight w:val="none"/>
                <w:lang w:val="en-US" w:eastAsia="zh-CN"/>
              </w:rPr>
              <w:t>安全副矿长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3A400405">
            <w:pPr>
              <w:pStyle w:val="32"/>
              <w:bidi w:val="0"/>
              <w:rPr>
                <w:rFonts w:hint="default"/>
                <w:highlight w:val="none"/>
                <w:lang w:val="en-US" w:eastAsia="zh-CN"/>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75E21584">
            <w:pPr>
              <w:pStyle w:val="32"/>
              <w:bidi w:val="0"/>
              <w:rPr>
                <w:rFonts w:hint="default"/>
                <w:highlight w:val="none"/>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5203CC64">
            <w:pPr>
              <w:pStyle w:val="32"/>
              <w:bidi w:val="0"/>
              <w:rPr>
                <w:rFonts w:hint="default"/>
                <w:highlight w:val="none"/>
                <w:lang w:val="en-US" w:eastAsia="zh-CN"/>
              </w:rPr>
            </w:pPr>
            <w:r>
              <w:rPr>
                <w:rFonts w:hint="default"/>
                <w:highlight w:val="none"/>
                <w:lang w:val="en-US" w:eastAsia="zh-CN"/>
              </w:rPr>
              <w:t>1</w:t>
            </w:r>
          </w:p>
        </w:tc>
      </w:tr>
      <w:tr w14:paraId="2AD1DDE1">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5A92556F">
            <w:pPr>
              <w:pStyle w:val="32"/>
              <w:bidi w:val="0"/>
              <w:rPr>
                <w:rFonts w:hint="default"/>
                <w:highlight w:val="none"/>
              </w:rPr>
            </w:pPr>
            <w:r>
              <w:rPr>
                <w:rFonts w:hint="default"/>
                <w:highlight w:val="none"/>
                <w:lang w:val="en-US" w:eastAsia="zh-CN"/>
              </w:rPr>
              <w:t>2</w:t>
            </w:r>
          </w:p>
        </w:tc>
        <w:tc>
          <w:tcPr>
            <w:tcW w:w="1880" w:type="pct"/>
            <w:tcBorders>
              <w:top w:val="single" w:color="000000" w:sz="4" w:space="0"/>
              <w:left w:val="single" w:color="000000" w:sz="4" w:space="0"/>
              <w:bottom w:val="single" w:color="000000" w:sz="4" w:space="0"/>
              <w:right w:val="single" w:color="000000" w:sz="4" w:space="0"/>
            </w:tcBorders>
            <w:vAlign w:val="center"/>
          </w:tcPr>
          <w:p w14:paraId="61895113">
            <w:pPr>
              <w:pStyle w:val="32"/>
              <w:bidi w:val="0"/>
              <w:rPr>
                <w:rFonts w:hint="default"/>
                <w:highlight w:val="none"/>
                <w:lang w:eastAsia="zh-CN"/>
              </w:rPr>
            </w:pPr>
            <w:r>
              <w:rPr>
                <w:rFonts w:hint="eastAsia"/>
                <w:highlight w:val="none"/>
                <w:lang w:val="en-US" w:eastAsia="zh-CN"/>
              </w:rPr>
              <w:t>五科</w:t>
            </w:r>
          </w:p>
        </w:tc>
        <w:tc>
          <w:tcPr>
            <w:tcW w:w="825" w:type="pct"/>
            <w:tcBorders>
              <w:top w:val="single" w:color="000000" w:sz="4" w:space="0"/>
              <w:left w:val="single" w:color="000000" w:sz="4" w:space="0"/>
              <w:bottom w:val="single" w:color="000000" w:sz="4" w:space="0"/>
              <w:right w:val="single" w:color="000000" w:sz="4" w:space="0"/>
            </w:tcBorders>
            <w:vAlign w:val="center"/>
          </w:tcPr>
          <w:p w14:paraId="0E84B7B3">
            <w:pPr>
              <w:pStyle w:val="32"/>
              <w:bidi w:val="0"/>
              <w:rPr>
                <w:rFonts w:hint="default"/>
                <w:highlight w:val="none"/>
                <w:lang w:val="en-US" w:eastAsia="zh-CN"/>
              </w:rPr>
            </w:pPr>
            <w:r>
              <w:rPr>
                <w:rFonts w:hint="default"/>
                <w:highlight w:val="none"/>
                <w:lang w:val="en-US" w:eastAsia="zh-CN"/>
              </w:rPr>
              <w:t>5</w:t>
            </w:r>
          </w:p>
        </w:tc>
        <w:tc>
          <w:tcPr>
            <w:tcW w:w="811" w:type="pct"/>
            <w:tcBorders>
              <w:top w:val="single" w:color="000000" w:sz="4" w:space="0"/>
              <w:left w:val="single" w:color="000000" w:sz="4" w:space="0"/>
              <w:bottom w:val="single" w:color="000000" w:sz="4" w:space="0"/>
              <w:right w:val="single" w:color="000000" w:sz="4" w:space="0"/>
            </w:tcBorders>
            <w:vAlign w:val="center"/>
          </w:tcPr>
          <w:p w14:paraId="56DA0BAD">
            <w:pPr>
              <w:pStyle w:val="32"/>
              <w:bidi w:val="0"/>
              <w:rPr>
                <w:rFonts w:hint="default"/>
                <w:highlight w:val="none"/>
                <w:lang w:eastAsia="zh-CN"/>
              </w:rPr>
            </w:pPr>
            <w:r>
              <w:rPr>
                <w:rFonts w:hint="default"/>
                <w:highlight w:val="none"/>
                <w:lang w:val="en-US" w:eastAsia="zh-CN"/>
              </w:rPr>
              <w:t>4</w:t>
            </w:r>
          </w:p>
        </w:tc>
        <w:tc>
          <w:tcPr>
            <w:tcW w:w="1000" w:type="pct"/>
            <w:tcBorders>
              <w:top w:val="single" w:color="000000" w:sz="4" w:space="0"/>
              <w:left w:val="single" w:color="000000" w:sz="4" w:space="0"/>
              <w:bottom w:val="single" w:color="000000" w:sz="4" w:space="0"/>
              <w:right w:val="single" w:color="000000" w:sz="4" w:space="0"/>
            </w:tcBorders>
            <w:vAlign w:val="center"/>
          </w:tcPr>
          <w:p w14:paraId="4A754B3A">
            <w:pPr>
              <w:pStyle w:val="32"/>
              <w:bidi w:val="0"/>
              <w:rPr>
                <w:rFonts w:hint="default"/>
                <w:highlight w:val="none"/>
                <w:lang w:val="en-US" w:eastAsia="zh-CN"/>
              </w:rPr>
            </w:pPr>
            <w:r>
              <w:rPr>
                <w:rFonts w:hint="default"/>
                <w:highlight w:val="none"/>
                <w:lang w:val="en-US" w:eastAsia="zh-CN"/>
              </w:rPr>
              <w:t>9</w:t>
            </w:r>
          </w:p>
        </w:tc>
      </w:tr>
      <w:tr w14:paraId="68EDBCE3">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7E0BDB6">
            <w:pPr>
              <w:pStyle w:val="32"/>
              <w:bidi w:val="0"/>
              <w:rPr>
                <w:rFonts w:hint="default"/>
                <w:highlight w:val="none"/>
              </w:rPr>
            </w:pPr>
            <w:r>
              <w:rPr>
                <w:rFonts w:hint="default"/>
                <w:highlight w:val="none"/>
                <w:lang w:val="en-US" w:eastAsia="zh-CN"/>
              </w:rPr>
              <w:t>2.1</w:t>
            </w:r>
          </w:p>
        </w:tc>
        <w:tc>
          <w:tcPr>
            <w:tcW w:w="1880" w:type="pct"/>
            <w:tcBorders>
              <w:top w:val="single" w:color="000000" w:sz="4" w:space="0"/>
              <w:left w:val="single" w:color="000000" w:sz="4" w:space="0"/>
              <w:bottom w:val="single" w:color="000000" w:sz="4" w:space="0"/>
              <w:right w:val="single" w:color="000000" w:sz="4" w:space="0"/>
            </w:tcBorders>
            <w:vAlign w:val="center"/>
          </w:tcPr>
          <w:p w14:paraId="1970F2DE">
            <w:pPr>
              <w:pStyle w:val="32"/>
              <w:bidi w:val="0"/>
              <w:rPr>
                <w:rFonts w:hint="default"/>
                <w:highlight w:val="none"/>
                <w:lang w:val="en-US" w:eastAsia="zh-CN"/>
              </w:rPr>
            </w:pPr>
            <w:r>
              <w:rPr>
                <w:rFonts w:hint="eastAsia"/>
                <w:highlight w:val="none"/>
                <w:lang w:val="en-US" w:eastAsia="zh-CN"/>
              </w:rPr>
              <w:t>生产技术人员</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068CBF91">
            <w:pPr>
              <w:pStyle w:val="32"/>
              <w:bidi w:val="0"/>
              <w:rPr>
                <w:rFonts w:hint="default"/>
                <w:highlight w:val="none"/>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39A841CA">
            <w:pPr>
              <w:pStyle w:val="32"/>
              <w:bidi w:val="0"/>
              <w:rPr>
                <w:rFonts w:hint="default"/>
                <w:highlight w:val="none"/>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7C1F91B2">
            <w:pPr>
              <w:pStyle w:val="32"/>
              <w:bidi w:val="0"/>
              <w:rPr>
                <w:rFonts w:hint="default"/>
                <w:highlight w:val="none"/>
                <w:lang w:val="en-US" w:eastAsia="zh-CN"/>
              </w:rPr>
            </w:pPr>
            <w:r>
              <w:rPr>
                <w:rFonts w:hint="default"/>
                <w:highlight w:val="none"/>
                <w:lang w:val="en-US" w:eastAsia="zh-CN"/>
              </w:rPr>
              <w:t>1</w:t>
            </w:r>
          </w:p>
        </w:tc>
      </w:tr>
      <w:tr w14:paraId="142FD318">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1996CE11">
            <w:pPr>
              <w:pStyle w:val="32"/>
              <w:bidi w:val="0"/>
              <w:rPr>
                <w:rFonts w:hint="default"/>
                <w:highlight w:val="none"/>
              </w:rPr>
            </w:pPr>
            <w:r>
              <w:rPr>
                <w:rFonts w:hint="default"/>
                <w:highlight w:val="none"/>
                <w:lang w:val="en-US" w:eastAsia="zh-CN"/>
              </w:rPr>
              <w:t>2.2</w:t>
            </w:r>
          </w:p>
        </w:tc>
        <w:tc>
          <w:tcPr>
            <w:tcW w:w="1880" w:type="pct"/>
            <w:tcBorders>
              <w:top w:val="single" w:color="000000" w:sz="4" w:space="0"/>
              <w:left w:val="single" w:color="000000" w:sz="4" w:space="0"/>
              <w:bottom w:val="single" w:color="000000" w:sz="4" w:space="0"/>
              <w:right w:val="single" w:color="000000" w:sz="4" w:space="0"/>
            </w:tcBorders>
            <w:vAlign w:val="center"/>
          </w:tcPr>
          <w:p w14:paraId="20C6C4D2">
            <w:pPr>
              <w:pStyle w:val="32"/>
              <w:bidi w:val="0"/>
              <w:rPr>
                <w:rFonts w:hint="default"/>
                <w:highlight w:val="none"/>
              </w:rPr>
            </w:pPr>
            <w:r>
              <w:rPr>
                <w:rFonts w:hint="eastAsia"/>
                <w:highlight w:val="none"/>
                <w:lang w:val="en-US" w:eastAsia="zh-CN"/>
              </w:rPr>
              <w:t>地质</w:t>
            </w:r>
          </w:p>
        </w:tc>
        <w:tc>
          <w:tcPr>
            <w:tcW w:w="8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4DF54">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585CE5AE">
            <w:pPr>
              <w:pStyle w:val="32"/>
              <w:bidi w:val="0"/>
              <w:rPr>
                <w:rFonts w:hint="default"/>
                <w:highlight w:val="none"/>
                <w:lang w:val="en-US" w:eastAsia="zh-CN"/>
              </w:rPr>
            </w:pPr>
          </w:p>
        </w:tc>
        <w:tc>
          <w:tcPr>
            <w:tcW w:w="1000" w:type="pct"/>
            <w:tcBorders>
              <w:top w:val="single" w:color="000000" w:sz="4" w:space="0"/>
              <w:left w:val="single" w:color="000000" w:sz="4" w:space="0"/>
              <w:bottom w:val="single" w:color="000000" w:sz="4" w:space="0"/>
              <w:right w:val="single" w:color="000000" w:sz="4" w:space="0"/>
            </w:tcBorders>
            <w:vAlign w:val="center"/>
          </w:tcPr>
          <w:p w14:paraId="061B729E">
            <w:pPr>
              <w:pStyle w:val="32"/>
              <w:bidi w:val="0"/>
              <w:rPr>
                <w:rFonts w:hint="default"/>
                <w:highlight w:val="none"/>
                <w:lang w:val="en-US" w:eastAsia="zh-CN"/>
              </w:rPr>
            </w:pPr>
            <w:r>
              <w:rPr>
                <w:rFonts w:hint="default"/>
                <w:highlight w:val="none"/>
                <w:lang w:val="en-US" w:eastAsia="zh-CN"/>
              </w:rPr>
              <w:t>1</w:t>
            </w:r>
          </w:p>
        </w:tc>
      </w:tr>
      <w:tr w14:paraId="19B46260">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602B3CDA">
            <w:pPr>
              <w:pStyle w:val="32"/>
              <w:bidi w:val="0"/>
              <w:rPr>
                <w:rFonts w:hint="default"/>
                <w:highlight w:val="none"/>
              </w:rPr>
            </w:pPr>
            <w:r>
              <w:rPr>
                <w:rFonts w:hint="default"/>
                <w:highlight w:val="none"/>
                <w:lang w:val="en-US" w:eastAsia="zh-CN"/>
              </w:rPr>
              <w:t>2.3</w:t>
            </w:r>
          </w:p>
        </w:tc>
        <w:tc>
          <w:tcPr>
            <w:tcW w:w="1880" w:type="pct"/>
            <w:tcBorders>
              <w:top w:val="single" w:color="000000" w:sz="4" w:space="0"/>
              <w:left w:val="single" w:color="000000" w:sz="4" w:space="0"/>
              <w:bottom w:val="single" w:color="000000" w:sz="4" w:space="0"/>
              <w:right w:val="single" w:color="000000" w:sz="4" w:space="0"/>
            </w:tcBorders>
            <w:vAlign w:val="center"/>
          </w:tcPr>
          <w:p w14:paraId="769A326F">
            <w:pPr>
              <w:pStyle w:val="32"/>
              <w:bidi w:val="0"/>
              <w:rPr>
                <w:rFonts w:hint="default"/>
                <w:highlight w:val="none"/>
              </w:rPr>
            </w:pPr>
            <w:r>
              <w:rPr>
                <w:rFonts w:hint="eastAsia"/>
                <w:highlight w:val="none"/>
                <w:lang w:val="en-US" w:eastAsia="zh-CN"/>
              </w:rPr>
              <w:t>测量</w:t>
            </w:r>
          </w:p>
        </w:tc>
        <w:tc>
          <w:tcPr>
            <w:tcW w:w="8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20E9A">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34030A1A">
            <w:pPr>
              <w:pStyle w:val="32"/>
              <w:bidi w:val="0"/>
              <w:rPr>
                <w:rFonts w:hint="default"/>
                <w:highlight w:val="none"/>
              </w:rPr>
            </w:pPr>
          </w:p>
        </w:tc>
        <w:tc>
          <w:tcPr>
            <w:tcW w:w="1000" w:type="pct"/>
            <w:tcBorders>
              <w:top w:val="single" w:color="000000" w:sz="4" w:space="0"/>
              <w:left w:val="single" w:color="000000" w:sz="4" w:space="0"/>
              <w:bottom w:val="single" w:color="000000" w:sz="4" w:space="0"/>
              <w:right w:val="single" w:color="000000" w:sz="4" w:space="0"/>
            </w:tcBorders>
            <w:vAlign w:val="center"/>
          </w:tcPr>
          <w:p w14:paraId="2E1BB59E">
            <w:pPr>
              <w:pStyle w:val="32"/>
              <w:bidi w:val="0"/>
              <w:rPr>
                <w:rFonts w:hint="default"/>
                <w:highlight w:val="none"/>
                <w:lang w:val="en-US" w:eastAsia="zh-CN"/>
              </w:rPr>
            </w:pPr>
            <w:r>
              <w:rPr>
                <w:rFonts w:hint="default"/>
                <w:highlight w:val="none"/>
                <w:lang w:val="en-US" w:eastAsia="zh-CN"/>
              </w:rPr>
              <w:t>1</w:t>
            </w:r>
          </w:p>
        </w:tc>
      </w:tr>
      <w:tr w14:paraId="0AB1F6C0">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EF928AC">
            <w:pPr>
              <w:pStyle w:val="32"/>
              <w:bidi w:val="0"/>
              <w:rPr>
                <w:rFonts w:hint="default"/>
                <w:highlight w:val="none"/>
              </w:rPr>
            </w:pPr>
            <w:r>
              <w:rPr>
                <w:rFonts w:hint="default"/>
                <w:highlight w:val="none"/>
                <w:lang w:val="en-US" w:eastAsia="zh-CN"/>
              </w:rPr>
              <w:t>2.4</w:t>
            </w:r>
          </w:p>
        </w:tc>
        <w:tc>
          <w:tcPr>
            <w:tcW w:w="1880" w:type="pct"/>
            <w:tcBorders>
              <w:top w:val="single" w:color="000000" w:sz="4" w:space="0"/>
              <w:left w:val="single" w:color="000000" w:sz="4" w:space="0"/>
              <w:bottom w:val="single" w:color="000000" w:sz="4" w:space="0"/>
              <w:right w:val="single" w:color="000000" w:sz="4" w:space="0"/>
            </w:tcBorders>
            <w:vAlign w:val="center"/>
          </w:tcPr>
          <w:p w14:paraId="7F994F59">
            <w:pPr>
              <w:pStyle w:val="32"/>
              <w:bidi w:val="0"/>
              <w:rPr>
                <w:rFonts w:hint="default"/>
                <w:highlight w:val="none"/>
              </w:rPr>
            </w:pPr>
            <w:r>
              <w:rPr>
                <w:rFonts w:hint="eastAsia"/>
                <w:highlight w:val="none"/>
                <w:lang w:val="en-US" w:eastAsia="zh-CN"/>
              </w:rPr>
              <w:t>机电运输</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3457483A">
            <w:pPr>
              <w:pStyle w:val="32"/>
              <w:bidi w:val="0"/>
              <w:rPr>
                <w:rFonts w:hint="default"/>
                <w:highlight w:val="none"/>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44C91F04">
            <w:pPr>
              <w:pStyle w:val="32"/>
              <w:bidi w:val="0"/>
              <w:rPr>
                <w:rFonts w:hint="default"/>
                <w:highlight w:val="none"/>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7A8B92A5">
            <w:pPr>
              <w:pStyle w:val="32"/>
              <w:bidi w:val="0"/>
              <w:rPr>
                <w:rFonts w:hint="default"/>
                <w:highlight w:val="none"/>
                <w:lang w:val="en-US" w:eastAsia="zh-CN"/>
              </w:rPr>
            </w:pPr>
            <w:r>
              <w:rPr>
                <w:rFonts w:hint="default"/>
                <w:highlight w:val="none"/>
                <w:lang w:val="en-US" w:eastAsia="zh-CN"/>
              </w:rPr>
              <w:t>1</w:t>
            </w:r>
          </w:p>
        </w:tc>
      </w:tr>
      <w:tr w14:paraId="0EF33E4E">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00B933D1">
            <w:pPr>
              <w:pStyle w:val="32"/>
              <w:bidi w:val="0"/>
              <w:rPr>
                <w:rFonts w:hint="default"/>
                <w:highlight w:val="none"/>
                <w:lang w:val="en-US" w:eastAsia="zh-CN"/>
              </w:rPr>
            </w:pPr>
            <w:r>
              <w:rPr>
                <w:rFonts w:hint="default"/>
                <w:highlight w:val="none"/>
                <w:lang w:val="en-US" w:eastAsia="zh-CN"/>
              </w:rPr>
              <w:t>2.5</w:t>
            </w:r>
          </w:p>
        </w:tc>
        <w:tc>
          <w:tcPr>
            <w:tcW w:w="1880" w:type="pct"/>
            <w:tcBorders>
              <w:top w:val="single" w:color="000000" w:sz="4" w:space="0"/>
              <w:left w:val="single" w:color="000000" w:sz="4" w:space="0"/>
              <w:bottom w:val="single" w:color="000000" w:sz="4" w:space="0"/>
              <w:right w:val="single" w:color="000000" w:sz="4" w:space="0"/>
            </w:tcBorders>
            <w:vAlign w:val="center"/>
          </w:tcPr>
          <w:p w14:paraId="40988EF6">
            <w:pPr>
              <w:pStyle w:val="32"/>
              <w:bidi w:val="0"/>
              <w:rPr>
                <w:rFonts w:hint="default"/>
                <w:highlight w:val="none"/>
                <w:lang w:val="en-US" w:eastAsia="zh-CN"/>
              </w:rPr>
            </w:pPr>
            <w:r>
              <w:rPr>
                <w:rFonts w:hint="eastAsia"/>
                <w:highlight w:val="none"/>
                <w:lang w:val="en-US" w:eastAsia="zh-CN"/>
              </w:rPr>
              <w:t>通风</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78A89F12">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5F6FF12C">
            <w:pPr>
              <w:pStyle w:val="32"/>
              <w:bidi w:val="0"/>
              <w:rPr>
                <w:rFonts w:hint="default"/>
                <w:highlight w:val="none"/>
                <w:lang w:val="en-US"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08CEB797">
            <w:pPr>
              <w:pStyle w:val="32"/>
              <w:bidi w:val="0"/>
              <w:rPr>
                <w:rFonts w:hint="default"/>
                <w:highlight w:val="none"/>
                <w:lang w:val="en-US" w:eastAsia="zh-CN"/>
              </w:rPr>
            </w:pPr>
            <w:r>
              <w:rPr>
                <w:rFonts w:hint="default"/>
                <w:highlight w:val="none"/>
                <w:lang w:val="en-US" w:eastAsia="zh-CN"/>
              </w:rPr>
              <w:t>2</w:t>
            </w:r>
          </w:p>
        </w:tc>
      </w:tr>
      <w:tr w14:paraId="41072AB3">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6A9A715B">
            <w:pPr>
              <w:pStyle w:val="32"/>
              <w:bidi w:val="0"/>
              <w:rPr>
                <w:rFonts w:hint="default"/>
                <w:highlight w:val="none"/>
                <w:lang w:val="en-US" w:eastAsia="zh-CN"/>
              </w:rPr>
            </w:pPr>
            <w:r>
              <w:rPr>
                <w:rFonts w:hint="default"/>
                <w:highlight w:val="none"/>
                <w:lang w:val="en-US" w:eastAsia="zh-CN"/>
              </w:rPr>
              <w:t>2.6</w:t>
            </w:r>
          </w:p>
        </w:tc>
        <w:tc>
          <w:tcPr>
            <w:tcW w:w="1880" w:type="pct"/>
            <w:tcBorders>
              <w:top w:val="single" w:color="000000" w:sz="4" w:space="0"/>
              <w:left w:val="single" w:color="000000" w:sz="4" w:space="0"/>
              <w:bottom w:val="single" w:color="000000" w:sz="4" w:space="0"/>
              <w:right w:val="single" w:color="000000" w:sz="4" w:space="0"/>
            </w:tcBorders>
            <w:vAlign w:val="center"/>
          </w:tcPr>
          <w:p w14:paraId="3CD36622">
            <w:pPr>
              <w:pStyle w:val="32"/>
              <w:bidi w:val="0"/>
              <w:rPr>
                <w:rFonts w:hint="default"/>
                <w:highlight w:val="none"/>
                <w:lang w:val="en-US" w:eastAsia="zh-CN"/>
              </w:rPr>
            </w:pPr>
            <w:r>
              <w:rPr>
                <w:rFonts w:hint="eastAsia"/>
                <w:highlight w:val="none"/>
                <w:lang w:val="en-US" w:eastAsia="zh-CN"/>
              </w:rPr>
              <w:t>安全管理</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02A37320">
            <w:pPr>
              <w:pStyle w:val="32"/>
              <w:bidi w:val="0"/>
              <w:rPr>
                <w:rFonts w:hint="default"/>
                <w:highlight w:val="none"/>
                <w:lang w:val="en-US" w:eastAsia="zh-CN"/>
              </w:rPr>
            </w:pPr>
            <w:r>
              <w:rPr>
                <w:rFonts w:hint="default"/>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279693B4">
            <w:pPr>
              <w:pStyle w:val="32"/>
              <w:bidi w:val="0"/>
              <w:rPr>
                <w:rFonts w:hint="default"/>
                <w:highlight w:val="none"/>
                <w:lang w:val="en-US"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4483FD9B">
            <w:pPr>
              <w:pStyle w:val="32"/>
              <w:bidi w:val="0"/>
              <w:rPr>
                <w:rFonts w:hint="default"/>
                <w:highlight w:val="none"/>
                <w:lang w:val="en-US" w:eastAsia="zh-CN"/>
              </w:rPr>
            </w:pPr>
            <w:r>
              <w:rPr>
                <w:rFonts w:hint="default"/>
                <w:highlight w:val="none"/>
                <w:lang w:val="en-US" w:eastAsia="zh-CN"/>
              </w:rPr>
              <w:t>3</w:t>
            </w:r>
          </w:p>
        </w:tc>
      </w:tr>
      <w:tr w14:paraId="153D66C9">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1545D6C">
            <w:pPr>
              <w:pStyle w:val="32"/>
              <w:bidi w:val="0"/>
              <w:rPr>
                <w:rFonts w:hint="default"/>
                <w:highlight w:val="none"/>
              </w:rPr>
            </w:pPr>
            <w:r>
              <w:rPr>
                <w:rFonts w:hint="default"/>
                <w:highlight w:val="none"/>
                <w:lang w:val="en-US" w:eastAsia="zh-CN"/>
              </w:rPr>
              <w:t>3</w:t>
            </w:r>
          </w:p>
        </w:tc>
        <w:tc>
          <w:tcPr>
            <w:tcW w:w="1880" w:type="pct"/>
            <w:tcBorders>
              <w:top w:val="single" w:color="000000" w:sz="4" w:space="0"/>
              <w:left w:val="single" w:color="000000" w:sz="4" w:space="0"/>
              <w:bottom w:val="single" w:color="000000" w:sz="4" w:space="0"/>
              <w:right w:val="single" w:color="000000" w:sz="4" w:space="0"/>
            </w:tcBorders>
            <w:vAlign w:val="center"/>
          </w:tcPr>
          <w:p w14:paraId="497F75FC">
            <w:pPr>
              <w:pStyle w:val="32"/>
              <w:bidi w:val="0"/>
              <w:rPr>
                <w:rFonts w:hint="default"/>
                <w:highlight w:val="none"/>
              </w:rPr>
            </w:pPr>
            <w:r>
              <w:rPr>
                <w:rFonts w:hint="eastAsia"/>
                <w:highlight w:val="none"/>
                <w:lang w:val="en-US" w:eastAsia="zh-CN"/>
              </w:rPr>
              <w:t>采区</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1FF5F13B">
            <w:pPr>
              <w:pStyle w:val="32"/>
              <w:bidi w:val="0"/>
              <w:rPr>
                <w:rFonts w:hint="default"/>
                <w:highlight w:val="none"/>
                <w:lang w:val="en-US" w:eastAsia="zh-CN"/>
              </w:rPr>
            </w:pPr>
            <w:r>
              <w:rPr>
                <w:rFonts w:hint="eastAsia"/>
                <w:highlight w:val="none"/>
                <w:lang w:val="en-US" w:eastAsia="zh-CN"/>
              </w:rPr>
              <w:t>18</w:t>
            </w:r>
          </w:p>
        </w:tc>
        <w:tc>
          <w:tcPr>
            <w:tcW w:w="811" w:type="pct"/>
            <w:tcBorders>
              <w:top w:val="single" w:color="000000" w:sz="4" w:space="0"/>
              <w:left w:val="single" w:color="000000" w:sz="4" w:space="0"/>
              <w:bottom w:val="single" w:color="000000" w:sz="4" w:space="0"/>
              <w:right w:val="single" w:color="000000" w:sz="4" w:space="0"/>
            </w:tcBorders>
            <w:noWrap/>
            <w:vAlign w:val="center"/>
          </w:tcPr>
          <w:p w14:paraId="7F11569B">
            <w:pPr>
              <w:pStyle w:val="32"/>
              <w:bidi w:val="0"/>
              <w:rPr>
                <w:rFonts w:hint="default"/>
                <w:highlight w:val="none"/>
                <w:lang w:val="en-US" w:eastAsia="zh-CN"/>
              </w:rPr>
            </w:pPr>
            <w:r>
              <w:rPr>
                <w:rFonts w:hint="eastAsia"/>
                <w:highlight w:val="none"/>
                <w:lang w:val="en-US" w:eastAsia="zh-CN"/>
              </w:rPr>
              <w:t>20</w:t>
            </w:r>
          </w:p>
        </w:tc>
        <w:tc>
          <w:tcPr>
            <w:tcW w:w="1000" w:type="pct"/>
            <w:tcBorders>
              <w:top w:val="single" w:color="000000" w:sz="4" w:space="0"/>
              <w:left w:val="single" w:color="000000" w:sz="4" w:space="0"/>
              <w:bottom w:val="single" w:color="000000" w:sz="4" w:space="0"/>
              <w:right w:val="single" w:color="000000" w:sz="4" w:space="0"/>
            </w:tcBorders>
            <w:vAlign w:val="center"/>
          </w:tcPr>
          <w:p w14:paraId="7EEA7DF2">
            <w:pPr>
              <w:pStyle w:val="32"/>
              <w:bidi w:val="0"/>
              <w:rPr>
                <w:rFonts w:hint="default"/>
                <w:highlight w:val="none"/>
                <w:lang w:val="en-US" w:eastAsia="zh-CN"/>
              </w:rPr>
            </w:pPr>
            <w:r>
              <w:rPr>
                <w:rFonts w:hint="default"/>
                <w:highlight w:val="none"/>
                <w:lang w:val="en-US" w:eastAsia="zh-CN"/>
              </w:rPr>
              <w:t>34</w:t>
            </w:r>
          </w:p>
        </w:tc>
      </w:tr>
      <w:tr w14:paraId="111A3213">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7A90D590">
            <w:pPr>
              <w:pStyle w:val="32"/>
              <w:bidi w:val="0"/>
              <w:rPr>
                <w:rFonts w:hint="default"/>
                <w:highlight w:val="none"/>
              </w:rPr>
            </w:pPr>
            <w:r>
              <w:rPr>
                <w:rFonts w:hint="default"/>
                <w:highlight w:val="none"/>
                <w:lang w:val="en-US" w:eastAsia="zh-CN"/>
              </w:rPr>
              <w:t>3.1</w:t>
            </w:r>
          </w:p>
        </w:tc>
        <w:tc>
          <w:tcPr>
            <w:tcW w:w="1880" w:type="pct"/>
            <w:tcBorders>
              <w:top w:val="single" w:color="000000" w:sz="4" w:space="0"/>
              <w:left w:val="single" w:color="000000" w:sz="4" w:space="0"/>
              <w:bottom w:val="single" w:color="000000" w:sz="4" w:space="0"/>
              <w:right w:val="single" w:color="000000" w:sz="4" w:space="0"/>
            </w:tcBorders>
            <w:vAlign w:val="center"/>
          </w:tcPr>
          <w:p w14:paraId="0FA901DD">
            <w:pPr>
              <w:pStyle w:val="32"/>
              <w:bidi w:val="0"/>
              <w:rPr>
                <w:rFonts w:hint="default"/>
                <w:highlight w:val="none"/>
              </w:rPr>
            </w:pPr>
            <w:r>
              <w:rPr>
                <w:rFonts w:hint="eastAsia"/>
                <w:highlight w:val="none"/>
                <w:lang w:val="en-US" w:eastAsia="zh-CN"/>
              </w:rPr>
              <w:t>井下电气作业人员（电、焊）</w:t>
            </w:r>
          </w:p>
        </w:tc>
        <w:tc>
          <w:tcPr>
            <w:tcW w:w="825" w:type="pct"/>
            <w:tcBorders>
              <w:top w:val="single" w:color="000000" w:sz="4" w:space="0"/>
              <w:left w:val="single" w:color="000000" w:sz="4" w:space="0"/>
              <w:bottom w:val="single" w:color="000000" w:sz="4" w:space="0"/>
              <w:right w:val="single" w:color="000000" w:sz="4" w:space="0"/>
            </w:tcBorders>
            <w:vAlign w:val="center"/>
          </w:tcPr>
          <w:p w14:paraId="357E94CD">
            <w:pPr>
              <w:pStyle w:val="32"/>
              <w:bidi w:val="0"/>
              <w:rPr>
                <w:rFonts w:hint="default"/>
                <w:highlight w:val="none"/>
                <w:lang w:eastAsia="zh-CN"/>
              </w:rPr>
            </w:pPr>
            <w:r>
              <w:rPr>
                <w:rFonts w:hint="eastAsia"/>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2C31C8B8">
            <w:pPr>
              <w:pStyle w:val="32"/>
              <w:bidi w:val="0"/>
              <w:rPr>
                <w:rFonts w:hint="default"/>
                <w:highlight w:val="none"/>
                <w:lang w:eastAsia="zh-CN"/>
              </w:rPr>
            </w:pPr>
            <w:r>
              <w:rPr>
                <w:rFonts w:hint="eastAsia"/>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111867B4">
            <w:pPr>
              <w:pStyle w:val="32"/>
              <w:bidi w:val="0"/>
              <w:rPr>
                <w:rFonts w:hint="default"/>
                <w:highlight w:val="none"/>
                <w:lang w:val="en-US" w:eastAsia="zh-CN"/>
              </w:rPr>
            </w:pPr>
            <w:r>
              <w:rPr>
                <w:rFonts w:hint="eastAsia"/>
                <w:highlight w:val="none"/>
                <w:lang w:val="en-US" w:eastAsia="zh-CN"/>
              </w:rPr>
              <w:t>4</w:t>
            </w:r>
          </w:p>
        </w:tc>
      </w:tr>
      <w:tr w14:paraId="241DC8ED">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ECCD741">
            <w:pPr>
              <w:pStyle w:val="32"/>
              <w:bidi w:val="0"/>
              <w:rPr>
                <w:rFonts w:hint="default"/>
                <w:highlight w:val="none"/>
              </w:rPr>
            </w:pPr>
            <w:r>
              <w:rPr>
                <w:rFonts w:hint="default"/>
                <w:highlight w:val="none"/>
                <w:lang w:val="en-US" w:eastAsia="zh-CN"/>
              </w:rPr>
              <w:t>3.2</w:t>
            </w:r>
          </w:p>
        </w:tc>
        <w:tc>
          <w:tcPr>
            <w:tcW w:w="1880" w:type="pct"/>
            <w:tcBorders>
              <w:top w:val="single" w:color="000000" w:sz="4" w:space="0"/>
              <w:left w:val="single" w:color="000000" w:sz="4" w:space="0"/>
              <w:bottom w:val="single" w:color="000000" w:sz="4" w:space="0"/>
              <w:right w:val="single" w:color="000000" w:sz="4" w:space="0"/>
            </w:tcBorders>
            <w:vAlign w:val="center"/>
          </w:tcPr>
          <w:p w14:paraId="13785138">
            <w:pPr>
              <w:pStyle w:val="32"/>
              <w:bidi w:val="0"/>
              <w:rPr>
                <w:rFonts w:hint="default"/>
                <w:highlight w:val="none"/>
              </w:rPr>
            </w:pPr>
            <w:r>
              <w:rPr>
                <w:rFonts w:hint="eastAsia"/>
                <w:highlight w:val="none"/>
                <w:lang w:val="en-US" w:eastAsia="zh-CN"/>
              </w:rPr>
              <w:t>凿岩工</w:t>
            </w:r>
          </w:p>
        </w:tc>
        <w:tc>
          <w:tcPr>
            <w:tcW w:w="825" w:type="pct"/>
            <w:tcBorders>
              <w:top w:val="single" w:color="000000" w:sz="4" w:space="0"/>
              <w:left w:val="single" w:color="000000" w:sz="4" w:space="0"/>
              <w:bottom w:val="single" w:color="000000" w:sz="4" w:space="0"/>
              <w:right w:val="single" w:color="000000" w:sz="4" w:space="0"/>
            </w:tcBorders>
            <w:vAlign w:val="center"/>
          </w:tcPr>
          <w:p w14:paraId="4FE95259">
            <w:pPr>
              <w:pStyle w:val="32"/>
              <w:bidi w:val="0"/>
              <w:rPr>
                <w:rFonts w:hint="default"/>
                <w:highlight w:val="none"/>
                <w:lang w:eastAsia="zh-CN"/>
              </w:rPr>
            </w:pPr>
            <w:r>
              <w:rPr>
                <w:rFonts w:hint="default"/>
                <w:highlight w:val="none"/>
                <w:lang w:val="en-US" w:eastAsia="zh-CN"/>
              </w:rPr>
              <w:t>3</w:t>
            </w:r>
          </w:p>
        </w:tc>
        <w:tc>
          <w:tcPr>
            <w:tcW w:w="811" w:type="pct"/>
            <w:tcBorders>
              <w:top w:val="single" w:color="000000" w:sz="4" w:space="0"/>
              <w:left w:val="single" w:color="000000" w:sz="4" w:space="0"/>
              <w:bottom w:val="single" w:color="000000" w:sz="4" w:space="0"/>
              <w:right w:val="single" w:color="000000" w:sz="4" w:space="0"/>
            </w:tcBorders>
            <w:vAlign w:val="center"/>
          </w:tcPr>
          <w:p w14:paraId="04E34EE4">
            <w:pPr>
              <w:pStyle w:val="32"/>
              <w:bidi w:val="0"/>
              <w:rPr>
                <w:rFonts w:hint="default"/>
                <w:highlight w:val="none"/>
                <w:lang w:eastAsia="zh-CN"/>
              </w:rPr>
            </w:pPr>
            <w:r>
              <w:rPr>
                <w:rFonts w:hint="default"/>
                <w:highlight w:val="none"/>
                <w:lang w:val="en-US" w:eastAsia="zh-CN"/>
              </w:rPr>
              <w:t>3</w:t>
            </w:r>
          </w:p>
        </w:tc>
        <w:tc>
          <w:tcPr>
            <w:tcW w:w="1000" w:type="pct"/>
            <w:tcBorders>
              <w:top w:val="single" w:color="000000" w:sz="4" w:space="0"/>
              <w:left w:val="single" w:color="000000" w:sz="4" w:space="0"/>
              <w:bottom w:val="single" w:color="000000" w:sz="4" w:space="0"/>
              <w:right w:val="single" w:color="000000" w:sz="4" w:space="0"/>
            </w:tcBorders>
            <w:vAlign w:val="center"/>
          </w:tcPr>
          <w:p w14:paraId="534B3043">
            <w:pPr>
              <w:pStyle w:val="32"/>
              <w:bidi w:val="0"/>
              <w:rPr>
                <w:rFonts w:hint="default"/>
                <w:highlight w:val="none"/>
                <w:lang w:val="en-US" w:eastAsia="zh-CN"/>
              </w:rPr>
            </w:pPr>
            <w:r>
              <w:rPr>
                <w:rFonts w:hint="default"/>
                <w:highlight w:val="none"/>
                <w:lang w:val="en-US" w:eastAsia="zh-CN"/>
              </w:rPr>
              <w:t>6</w:t>
            </w:r>
          </w:p>
        </w:tc>
      </w:tr>
      <w:tr w14:paraId="51065FA4">
        <w:tblPrEx>
          <w:tblCellMar>
            <w:top w:w="0" w:type="dxa"/>
            <w:left w:w="108" w:type="dxa"/>
            <w:bottom w:w="0" w:type="dxa"/>
            <w:right w:w="108" w:type="dxa"/>
          </w:tblCellMar>
        </w:tblPrEx>
        <w:trPr>
          <w:trHeight w:val="90"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7E01D50">
            <w:pPr>
              <w:pStyle w:val="32"/>
              <w:bidi w:val="0"/>
              <w:rPr>
                <w:rFonts w:hint="default"/>
                <w:highlight w:val="none"/>
              </w:rPr>
            </w:pPr>
            <w:r>
              <w:rPr>
                <w:rFonts w:hint="default"/>
                <w:highlight w:val="none"/>
                <w:lang w:val="en-US" w:eastAsia="zh-CN"/>
              </w:rPr>
              <w:t>3.3</w:t>
            </w:r>
          </w:p>
        </w:tc>
        <w:tc>
          <w:tcPr>
            <w:tcW w:w="1880" w:type="pct"/>
            <w:tcBorders>
              <w:top w:val="single" w:color="000000" w:sz="4" w:space="0"/>
              <w:left w:val="single" w:color="000000" w:sz="4" w:space="0"/>
              <w:bottom w:val="single" w:color="000000" w:sz="4" w:space="0"/>
              <w:right w:val="single" w:color="000000" w:sz="4" w:space="0"/>
            </w:tcBorders>
            <w:vAlign w:val="center"/>
          </w:tcPr>
          <w:p w14:paraId="4DA22AC2">
            <w:pPr>
              <w:pStyle w:val="32"/>
              <w:bidi w:val="0"/>
              <w:rPr>
                <w:rFonts w:hint="default"/>
                <w:highlight w:val="none"/>
              </w:rPr>
            </w:pPr>
            <w:r>
              <w:rPr>
                <w:rFonts w:hint="eastAsia"/>
                <w:highlight w:val="none"/>
                <w:lang w:val="en-US" w:eastAsia="zh-CN"/>
              </w:rPr>
              <w:t>出矿工</w:t>
            </w:r>
          </w:p>
        </w:tc>
        <w:tc>
          <w:tcPr>
            <w:tcW w:w="825" w:type="pct"/>
            <w:tcBorders>
              <w:top w:val="single" w:color="000000" w:sz="4" w:space="0"/>
              <w:left w:val="single" w:color="000000" w:sz="4" w:space="0"/>
              <w:bottom w:val="single" w:color="000000" w:sz="4" w:space="0"/>
              <w:right w:val="single" w:color="000000" w:sz="4" w:space="0"/>
            </w:tcBorders>
            <w:vAlign w:val="center"/>
          </w:tcPr>
          <w:p w14:paraId="558465EE">
            <w:pPr>
              <w:pStyle w:val="32"/>
              <w:bidi w:val="0"/>
              <w:rPr>
                <w:rFonts w:hint="default"/>
                <w:highlight w:val="none"/>
                <w:lang w:eastAsia="zh-CN"/>
              </w:rPr>
            </w:pPr>
            <w:r>
              <w:rPr>
                <w:rFonts w:hint="default"/>
                <w:highlight w:val="none"/>
                <w:lang w:val="en-US" w:eastAsia="zh-CN"/>
              </w:rPr>
              <w:t>3</w:t>
            </w:r>
          </w:p>
        </w:tc>
        <w:tc>
          <w:tcPr>
            <w:tcW w:w="811" w:type="pct"/>
            <w:tcBorders>
              <w:top w:val="single" w:color="000000" w:sz="4" w:space="0"/>
              <w:left w:val="single" w:color="000000" w:sz="4" w:space="0"/>
              <w:bottom w:val="single" w:color="000000" w:sz="4" w:space="0"/>
              <w:right w:val="single" w:color="000000" w:sz="4" w:space="0"/>
            </w:tcBorders>
            <w:vAlign w:val="center"/>
          </w:tcPr>
          <w:p w14:paraId="3C93EABA">
            <w:pPr>
              <w:pStyle w:val="32"/>
              <w:bidi w:val="0"/>
              <w:rPr>
                <w:rFonts w:hint="default"/>
                <w:highlight w:val="none"/>
                <w:lang w:eastAsia="zh-CN"/>
              </w:rPr>
            </w:pPr>
            <w:r>
              <w:rPr>
                <w:rFonts w:hint="default"/>
                <w:highlight w:val="none"/>
                <w:lang w:val="en-US" w:eastAsia="zh-CN"/>
              </w:rPr>
              <w:t>3</w:t>
            </w:r>
          </w:p>
        </w:tc>
        <w:tc>
          <w:tcPr>
            <w:tcW w:w="1000" w:type="pct"/>
            <w:tcBorders>
              <w:top w:val="single" w:color="000000" w:sz="4" w:space="0"/>
              <w:left w:val="single" w:color="000000" w:sz="4" w:space="0"/>
              <w:bottom w:val="single" w:color="000000" w:sz="4" w:space="0"/>
              <w:right w:val="single" w:color="000000" w:sz="4" w:space="0"/>
            </w:tcBorders>
            <w:vAlign w:val="center"/>
          </w:tcPr>
          <w:p w14:paraId="4A8E9CA3">
            <w:pPr>
              <w:pStyle w:val="32"/>
              <w:bidi w:val="0"/>
              <w:rPr>
                <w:rFonts w:hint="default"/>
                <w:highlight w:val="none"/>
                <w:lang w:val="en-US" w:eastAsia="zh-CN"/>
              </w:rPr>
            </w:pPr>
            <w:r>
              <w:rPr>
                <w:rFonts w:hint="default"/>
                <w:highlight w:val="none"/>
                <w:lang w:val="en-US" w:eastAsia="zh-CN"/>
              </w:rPr>
              <w:t>6</w:t>
            </w:r>
          </w:p>
        </w:tc>
      </w:tr>
      <w:tr w14:paraId="2F5E94A5">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A5BC533">
            <w:pPr>
              <w:pStyle w:val="32"/>
              <w:bidi w:val="0"/>
              <w:rPr>
                <w:rFonts w:hint="default"/>
                <w:highlight w:val="none"/>
              </w:rPr>
            </w:pPr>
            <w:r>
              <w:rPr>
                <w:rFonts w:hint="default"/>
                <w:highlight w:val="none"/>
                <w:lang w:val="en-US" w:eastAsia="zh-CN"/>
              </w:rPr>
              <w:t>3.4</w:t>
            </w:r>
          </w:p>
        </w:tc>
        <w:tc>
          <w:tcPr>
            <w:tcW w:w="1880" w:type="pct"/>
            <w:tcBorders>
              <w:top w:val="single" w:color="000000" w:sz="4" w:space="0"/>
              <w:left w:val="single" w:color="000000" w:sz="4" w:space="0"/>
              <w:bottom w:val="single" w:color="000000" w:sz="4" w:space="0"/>
              <w:right w:val="single" w:color="000000" w:sz="4" w:space="0"/>
            </w:tcBorders>
            <w:vAlign w:val="center"/>
          </w:tcPr>
          <w:p w14:paraId="5DD59FD0">
            <w:pPr>
              <w:pStyle w:val="32"/>
              <w:bidi w:val="0"/>
              <w:rPr>
                <w:rFonts w:hint="default"/>
                <w:highlight w:val="none"/>
              </w:rPr>
            </w:pPr>
            <w:r>
              <w:rPr>
                <w:rFonts w:hint="eastAsia"/>
                <w:highlight w:val="none"/>
                <w:lang w:val="en-US" w:eastAsia="zh-CN"/>
              </w:rPr>
              <w:t>爆破工</w:t>
            </w:r>
          </w:p>
        </w:tc>
        <w:tc>
          <w:tcPr>
            <w:tcW w:w="825" w:type="pct"/>
            <w:tcBorders>
              <w:top w:val="single" w:color="000000" w:sz="4" w:space="0"/>
              <w:left w:val="single" w:color="000000" w:sz="4" w:space="0"/>
              <w:bottom w:val="single" w:color="000000" w:sz="4" w:space="0"/>
              <w:right w:val="single" w:color="000000" w:sz="4" w:space="0"/>
            </w:tcBorders>
            <w:vAlign w:val="center"/>
          </w:tcPr>
          <w:p w14:paraId="5D2DDFE5">
            <w:pPr>
              <w:pStyle w:val="32"/>
              <w:bidi w:val="0"/>
              <w:rPr>
                <w:rFonts w:hint="default"/>
                <w:highlight w:val="none"/>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50D575A0">
            <w:pPr>
              <w:pStyle w:val="32"/>
              <w:bidi w:val="0"/>
              <w:rPr>
                <w:rFonts w:hint="default"/>
                <w:highlight w:val="none"/>
                <w:lang w:eastAsia="zh-CN"/>
              </w:rPr>
            </w:pPr>
            <w:r>
              <w:rPr>
                <w:rFonts w:hint="default"/>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4019A8E4">
            <w:pPr>
              <w:pStyle w:val="32"/>
              <w:bidi w:val="0"/>
              <w:rPr>
                <w:rFonts w:hint="default"/>
                <w:highlight w:val="none"/>
                <w:lang w:val="en-US" w:eastAsia="zh-CN"/>
              </w:rPr>
            </w:pPr>
            <w:r>
              <w:rPr>
                <w:rFonts w:hint="default"/>
                <w:highlight w:val="none"/>
                <w:lang w:val="en-US" w:eastAsia="zh-CN"/>
              </w:rPr>
              <w:t>2</w:t>
            </w:r>
          </w:p>
        </w:tc>
      </w:tr>
      <w:tr w14:paraId="58AC782C">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896CC90">
            <w:pPr>
              <w:pStyle w:val="32"/>
              <w:bidi w:val="0"/>
              <w:rPr>
                <w:rFonts w:hint="default"/>
                <w:highlight w:val="none"/>
              </w:rPr>
            </w:pPr>
            <w:r>
              <w:rPr>
                <w:rFonts w:hint="default"/>
                <w:highlight w:val="none"/>
                <w:lang w:val="en-US" w:eastAsia="zh-CN"/>
              </w:rPr>
              <w:t>3.5</w:t>
            </w:r>
          </w:p>
        </w:tc>
        <w:tc>
          <w:tcPr>
            <w:tcW w:w="1880" w:type="pct"/>
            <w:tcBorders>
              <w:top w:val="single" w:color="000000" w:sz="4" w:space="0"/>
              <w:left w:val="single" w:color="000000" w:sz="4" w:space="0"/>
              <w:bottom w:val="single" w:color="000000" w:sz="4" w:space="0"/>
              <w:right w:val="single" w:color="000000" w:sz="4" w:space="0"/>
            </w:tcBorders>
            <w:vAlign w:val="center"/>
          </w:tcPr>
          <w:p w14:paraId="603BE8DD">
            <w:pPr>
              <w:pStyle w:val="32"/>
              <w:bidi w:val="0"/>
              <w:rPr>
                <w:rFonts w:hint="default"/>
                <w:highlight w:val="none"/>
              </w:rPr>
            </w:pPr>
            <w:r>
              <w:rPr>
                <w:rFonts w:hint="eastAsia"/>
                <w:highlight w:val="none"/>
                <w:lang w:val="en-US" w:eastAsia="zh-CN"/>
              </w:rPr>
              <w:t>支柱工</w:t>
            </w:r>
          </w:p>
        </w:tc>
        <w:tc>
          <w:tcPr>
            <w:tcW w:w="825" w:type="pct"/>
            <w:tcBorders>
              <w:top w:val="single" w:color="000000" w:sz="4" w:space="0"/>
              <w:left w:val="single" w:color="000000" w:sz="4" w:space="0"/>
              <w:bottom w:val="single" w:color="000000" w:sz="4" w:space="0"/>
              <w:right w:val="single" w:color="000000" w:sz="4" w:space="0"/>
            </w:tcBorders>
            <w:vAlign w:val="center"/>
          </w:tcPr>
          <w:p w14:paraId="08DE5C35">
            <w:pPr>
              <w:pStyle w:val="32"/>
              <w:bidi w:val="0"/>
              <w:rPr>
                <w:rFonts w:hint="default"/>
                <w:highlight w:val="none"/>
                <w:lang w:eastAsia="zh-CN"/>
              </w:rPr>
            </w:pPr>
            <w:r>
              <w:rPr>
                <w:rFonts w:hint="default"/>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443A6D6A">
            <w:pPr>
              <w:pStyle w:val="32"/>
              <w:bidi w:val="0"/>
              <w:rPr>
                <w:rFonts w:hint="default"/>
                <w:highlight w:val="none"/>
                <w:lang w:val="en-US" w:eastAsia="zh-CN"/>
              </w:rPr>
            </w:pPr>
            <w:r>
              <w:rPr>
                <w:rFonts w:hint="default"/>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27DB12A7">
            <w:pPr>
              <w:pStyle w:val="32"/>
              <w:bidi w:val="0"/>
              <w:rPr>
                <w:rFonts w:hint="default"/>
                <w:highlight w:val="none"/>
                <w:lang w:val="en-US" w:eastAsia="zh-CN"/>
              </w:rPr>
            </w:pPr>
            <w:r>
              <w:rPr>
                <w:rFonts w:hint="default"/>
                <w:highlight w:val="none"/>
                <w:lang w:val="en-US" w:eastAsia="zh-CN"/>
              </w:rPr>
              <w:t>4</w:t>
            </w:r>
          </w:p>
        </w:tc>
      </w:tr>
      <w:tr w14:paraId="327818B2">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E1FD880">
            <w:pPr>
              <w:pStyle w:val="32"/>
              <w:bidi w:val="0"/>
              <w:rPr>
                <w:rFonts w:hint="default"/>
                <w:highlight w:val="none"/>
                <w:lang w:eastAsia="zh-CN"/>
              </w:rPr>
            </w:pPr>
            <w:r>
              <w:rPr>
                <w:rFonts w:hint="default"/>
                <w:highlight w:val="none"/>
                <w:lang w:val="en-US" w:eastAsia="zh-CN"/>
              </w:rPr>
              <w:t>3.6</w:t>
            </w:r>
          </w:p>
        </w:tc>
        <w:tc>
          <w:tcPr>
            <w:tcW w:w="1880" w:type="pct"/>
            <w:tcBorders>
              <w:top w:val="single" w:color="000000" w:sz="4" w:space="0"/>
              <w:left w:val="single" w:color="000000" w:sz="4" w:space="0"/>
              <w:bottom w:val="single" w:color="000000" w:sz="4" w:space="0"/>
              <w:right w:val="single" w:color="000000" w:sz="4" w:space="0"/>
            </w:tcBorders>
            <w:vAlign w:val="center"/>
          </w:tcPr>
          <w:p w14:paraId="47A69338">
            <w:pPr>
              <w:pStyle w:val="32"/>
              <w:bidi w:val="0"/>
              <w:rPr>
                <w:rFonts w:hint="default"/>
                <w:highlight w:val="none"/>
              </w:rPr>
            </w:pPr>
            <w:r>
              <w:rPr>
                <w:rFonts w:hint="eastAsia"/>
                <w:highlight w:val="none"/>
                <w:lang w:val="en-US" w:eastAsia="zh-CN"/>
              </w:rPr>
              <w:t>通风工</w:t>
            </w:r>
          </w:p>
        </w:tc>
        <w:tc>
          <w:tcPr>
            <w:tcW w:w="825" w:type="pct"/>
            <w:tcBorders>
              <w:top w:val="single" w:color="000000" w:sz="4" w:space="0"/>
              <w:left w:val="single" w:color="000000" w:sz="4" w:space="0"/>
              <w:bottom w:val="single" w:color="000000" w:sz="4" w:space="0"/>
              <w:right w:val="single" w:color="000000" w:sz="4" w:space="0"/>
            </w:tcBorders>
            <w:vAlign w:val="center"/>
          </w:tcPr>
          <w:p w14:paraId="052C8A4D">
            <w:pPr>
              <w:pStyle w:val="32"/>
              <w:bidi w:val="0"/>
              <w:rPr>
                <w:rFonts w:hint="default"/>
                <w:highlight w:val="none"/>
                <w:lang w:eastAsia="zh-CN"/>
              </w:rPr>
            </w:pPr>
            <w:r>
              <w:rPr>
                <w:rFonts w:hint="default"/>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72EEA814">
            <w:pPr>
              <w:pStyle w:val="32"/>
              <w:bidi w:val="0"/>
              <w:rPr>
                <w:rFonts w:hint="default"/>
                <w:highlight w:val="none"/>
                <w:lang w:eastAsia="zh-CN"/>
              </w:rPr>
            </w:pPr>
            <w:r>
              <w:rPr>
                <w:rFonts w:hint="default"/>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3FCBE323">
            <w:pPr>
              <w:pStyle w:val="32"/>
              <w:bidi w:val="0"/>
              <w:rPr>
                <w:rFonts w:hint="default"/>
                <w:highlight w:val="none"/>
                <w:lang w:val="en-US" w:eastAsia="zh-CN"/>
              </w:rPr>
            </w:pPr>
            <w:r>
              <w:rPr>
                <w:rFonts w:hint="default"/>
                <w:highlight w:val="none"/>
                <w:lang w:val="en-US" w:eastAsia="zh-CN"/>
              </w:rPr>
              <w:t>4</w:t>
            </w:r>
          </w:p>
        </w:tc>
      </w:tr>
      <w:tr w14:paraId="21782868">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4656B804">
            <w:pPr>
              <w:pStyle w:val="32"/>
              <w:bidi w:val="0"/>
              <w:rPr>
                <w:rFonts w:hint="default"/>
                <w:highlight w:val="none"/>
                <w:lang w:val="en-US" w:eastAsia="zh-CN"/>
              </w:rPr>
            </w:pPr>
            <w:r>
              <w:rPr>
                <w:rFonts w:hint="default"/>
                <w:highlight w:val="none"/>
                <w:lang w:val="en-US" w:eastAsia="zh-CN"/>
              </w:rPr>
              <w:t>3.7</w:t>
            </w:r>
          </w:p>
        </w:tc>
        <w:tc>
          <w:tcPr>
            <w:tcW w:w="1880" w:type="pct"/>
            <w:tcBorders>
              <w:top w:val="single" w:color="000000" w:sz="4" w:space="0"/>
              <w:left w:val="single" w:color="000000" w:sz="4" w:space="0"/>
              <w:bottom w:val="single" w:color="000000" w:sz="4" w:space="0"/>
              <w:right w:val="single" w:color="000000" w:sz="4" w:space="0"/>
            </w:tcBorders>
            <w:vAlign w:val="center"/>
          </w:tcPr>
          <w:p w14:paraId="6D29CB5F">
            <w:pPr>
              <w:pStyle w:val="32"/>
              <w:bidi w:val="0"/>
              <w:rPr>
                <w:rFonts w:hint="default"/>
                <w:highlight w:val="none"/>
                <w:lang w:val="en-US" w:eastAsia="zh-CN"/>
              </w:rPr>
            </w:pPr>
            <w:r>
              <w:rPr>
                <w:rFonts w:hint="eastAsia"/>
                <w:highlight w:val="none"/>
                <w:lang w:val="en-US" w:eastAsia="zh-CN"/>
              </w:rPr>
              <w:t>充填工</w:t>
            </w:r>
          </w:p>
        </w:tc>
        <w:tc>
          <w:tcPr>
            <w:tcW w:w="825" w:type="pct"/>
            <w:tcBorders>
              <w:top w:val="single" w:color="000000" w:sz="4" w:space="0"/>
              <w:left w:val="single" w:color="000000" w:sz="4" w:space="0"/>
              <w:bottom w:val="single" w:color="000000" w:sz="4" w:space="0"/>
              <w:right w:val="single" w:color="000000" w:sz="4" w:space="0"/>
            </w:tcBorders>
            <w:vAlign w:val="center"/>
          </w:tcPr>
          <w:p w14:paraId="28E5FCB7">
            <w:pPr>
              <w:pStyle w:val="32"/>
              <w:bidi w:val="0"/>
              <w:rPr>
                <w:rFonts w:hint="default"/>
                <w:highlight w:val="none"/>
                <w:lang w:val="en-US"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46F39474">
            <w:pPr>
              <w:pStyle w:val="32"/>
              <w:bidi w:val="0"/>
              <w:rPr>
                <w:rFonts w:hint="default"/>
                <w:highlight w:val="none"/>
                <w:lang w:val="en-US"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4B6E9028">
            <w:pPr>
              <w:pStyle w:val="32"/>
              <w:bidi w:val="0"/>
              <w:rPr>
                <w:rFonts w:hint="default"/>
                <w:highlight w:val="none"/>
                <w:lang w:val="en-US" w:eastAsia="zh-CN"/>
              </w:rPr>
            </w:pPr>
            <w:r>
              <w:rPr>
                <w:rFonts w:hint="default"/>
                <w:highlight w:val="none"/>
                <w:lang w:val="en-US" w:eastAsia="zh-CN"/>
              </w:rPr>
              <w:t>2</w:t>
            </w:r>
          </w:p>
        </w:tc>
      </w:tr>
      <w:tr w14:paraId="499B114A">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1F703">
            <w:pPr>
              <w:pStyle w:val="32"/>
              <w:bidi w:val="0"/>
              <w:rPr>
                <w:rFonts w:hint="default"/>
                <w:highlight w:val="none"/>
                <w:lang w:val="en-US" w:eastAsia="zh-CN"/>
              </w:rPr>
            </w:pPr>
            <w:r>
              <w:rPr>
                <w:rFonts w:hint="default"/>
                <w:highlight w:val="none"/>
                <w:lang w:val="en-US" w:eastAsia="zh-CN"/>
              </w:rPr>
              <w:t>3.8</w:t>
            </w:r>
          </w:p>
        </w:tc>
        <w:tc>
          <w:tcPr>
            <w:tcW w:w="1880" w:type="pct"/>
            <w:tcBorders>
              <w:top w:val="single" w:color="000000" w:sz="4" w:space="0"/>
              <w:left w:val="single" w:color="000000" w:sz="4" w:space="0"/>
              <w:bottom w:val="single" w:color="000000" w:sz="4" w:space="0"/>
              <w:right w:val="single" w:color="000000" w:sz="4" w:space="0"/>
            </w:tcBorders>
            <w:vAlign w:val="center"/>
          </w:tcPr>
          <w:p w14:paraId="4E1FDF91">
            <w:pPr>
              <w:pStyle w:val="32"/>
              <w:bidi w:val="0"/>
              <w:rPr>
                <w:rFonts w:hint="default"/>
                <w:highlight w:val="none"/>
                <w:lang w:val="en-US" w:eastAsia="zh-CN"/>
              </w:rPr>
            </w:pPr>
            <w:r>
              <w:rPr>
                <w:rFonts w:hint="eastAsia"/>
                <w:highlight w:val="none"/>
                <w:lang w:val="en-US" w:eastAsia="zh-CN"/>
              </w:rPr>
              <w:t>装载机司机</w:t>
            </w:r>
          </w:p>
        </w:tc>
        <w:tc>
          <w:tcPr>
            <w:tcW w:w="825" w:type="pct"/>
            <w:tcBorders>
              <w:top w:val="single" w:color="000000" w:sz="4" w:space="0"/>
              <w:left w:val="single" w:color="000000" w:sz="4" w:space="0"/>
              <w:bottom w:val="single" w:color="000000" w:sz="4" w:space="0"/>
              <w:right w:val="single" w:color="000000" w:sz="4" w:space="0"/>
            </w:tcBorders>
            <w:vAlign w:val="center"/>
          </w:tcPr>
          <w:p w14:paraId="516A72EB">
            <w:pPr>
              <w:pStyle w:val="32"/>
              <w:bidi w:val="0"/>
              <w:rPr>
                <w:rFonts w:hint="default"/>
                <w:highlight w:val="none"/>
                <w:lang w:val="en-US" w:eastAsia="zh-CN"/>
              </w:rPr>
            </w:pPr>
            <w:r>
              <w:rPr>
                <w:rFonts w:hint="default"/>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7C11FAD3">
            <w:pPr>
              <w:pStyle w:val="32"/>
              <w:bidi w:val="0"/>
              <w:rPr>
                <w:rFonts w:hint="default"/>
                <w:highlight w:val="none"/>
                <w:lang w:val="en-US" w:eastAsia="zh-CN"/>
              </w:rPr>
            </w:pPr>
            <w:r>
              <w:rPr>
                <w:rFonts w:hint="default"/>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58F318AB">
            <w:pPr>
              <w:pStyle w:val="32"/>
              <w:bidi w:val="0"/>
              <w:rPr>
                <w:rFonts w:hint="default"/>
                <w:highlight w:val="none"/>
                <w:lang w:val="en-US" w:eastAsia="zh-CN"/>
              </w:rPr>
            </w:pPr>
            <w:r>
              <w:rPr>
                <w:rFonts w:hint="default"/>
                <w:highlight w:val="none"/>
                <w:lang w:val="en-US" w:eastAsia="zh-CN"/>
              </w:rPr>
              <w:t>4</w:t>
            </w:r>
          </w:p>
        </w:tc>
      </w:tr>
      <w:tr w14:paraId="3D67ACE8">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F0114">
            <w:pPr>
              <w:pStyle w:val="32"/>
              <w:bidi w:val="0"/>
              <w:rPr>
                <w:rFonts w:hint="default"/>
                <w:highlight w:val="none"/>
                <w:lang w:val="en-US" w:eastAsia="zh-CN"/>
              </w:rPr>
            </w:pPr>
            <w:r>
              <w:rPr>
                <w:rFonts w:hint="default"/>
                <w:highlight w:val="none"/>
                <w:lang w:val="en-US" w:eastAsia="zh-CN"/>
              </w:rPr>
              <w:t>3.9</w:t>
            </w:r>
          </w:p>
        </w:tc>
        <w:tc>
          <w:tcPr>
            <w:tcW w:w="1880" w:type="pct"/>
            <w:tcBorders>
              <w:top w:val="single" w:color="000000" w:sz="4" w:space="0"/>
              <w:left w:val="single" w:color="000000" w:sz="4" w:space="0"/>
              <w:bottom w:val="single" w:color="000000" w:sz="4" w:space="0"/>
              <w:right w:val="single" w:color="000000" w:sz="4" w:space="0"/>
            </w:tcBorders>
            <w:vAlign w:val="center"/>
          </w:tcPr>
          <w:p w14:paraId="4CCD77CF">
            <w:pPr>
              <w:pStyle w:val="32"/>
              <w:bidi w:val="0"/>
              <w:rPr>
                <w:rFonts w:hint="default"/>
                <w:highlight w:val="none"/>
              </w:rPr>
            </w:pPr>
            <w:r>
              <w:rPr>
                <w:rFonts w:hint="eastAsia"/>
                <w:highlight w:val="none"/>
                <w:lang w:val="en-US" w:eastAsia="zh-CN"/>
              </w:rPr>
              <w:t>运输车司机</w:t>
            </w:r>
          </w:p>
        </w:tc>
        <w:tc>
          <w:tcPr>
            <w:tcW w:w="825" w:type="pct"/>
            <w:tcBorders>
              <w:top w:val="single" w:color="000000" w:sz="4" w:space="0"/>
              <w:left w:val="single" w:color="000000" w:sz="4" w:space="0"/>
              <w:bottom w:val="single" w:color="000000" w:sz="4" w:space="0"/>
              <w:right w:val="single" w:color="000000" w:sz="4" w:space="0"/>
            </w:tcBorders>
            <w:vAlign w:val="center"/>
          </w:tcPr>
          <w:p w14:paraId="2CB021BA">
            <w:pPr>
              <w:pStyle w:val="32"/>
              <w:bidi w:val="0"/>
              <w:rPr>
                <w:rFonts w:hint="default"/>
                <w:highlight w:val="none"/>
                <w:lang w:eastAsia="zh-CN"/>
              </w:rPr>
            </w:pPr>
            <w:r>
              <w:rPr>
                <w:rFonts w:hint="eastAsia"/>
                <w:highlight w:val="none"/>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3FC47858">
            <w:pPr>
              <w:pStyle w:val="32"/>
              <w:bidi w:val="0"/>
              <w:rPr>
                <w:rFonts w:hint="default"/>
                <w:highlight w:val="none"/>
                <w:lang w:val="en-US" w:eastAsia="zh-CN"/>
              </w:rPr>
            </w:pPr>
            <w:r>
              <w:rPr>
                <w:rFonts w:hint="eastAsia"/>
                <w:highlight w:val="none"/>
                <w:lang w:val="en-US" w:eastAsia="zh-CN"/>
              </w:rPr>
              <w:t>2</w:t>
            </w:r>
          </w:p>
        </w:tc>
        <w:tc>
          <w:tcPr>
            <w:tcW w:w="1000" w:type="pct"/>
            <w:tcBorders>
              <w:top w:val="single" w:color="000000" w:sz="4" w:space="0"/>
              <w:left w:val="single" w:color="000000" w:sz="4" w:space="0"/>
              <w:bottom w:val="single" w:color="000000" w:sz="4" w:space="0"/>
              <w:right w:val="single" w:color="000000" w:sz="4" w:space="0"/>
            </w:tcBorders>
            <w:vAlign w:val="center"/>
          </w:tcPr>
          <w:p w14:paraId="0D15EF0F">
            <w:pPr>
              <w:pStyle w:val="32"/>
              <w:bidi w:val="0"/>
              <w:rPr>
                <w:rFonts w:hint="default"/>
                <w:highlight w:val="none"/>
                <w:lang w:val="en-US" w:eastAsia="zh-CN"/>
              </w:rPr>
            </w:pPr>
            <w:r>
              <w:rPr>
                <w:rFonts w:hint="eastAsia"/>
                <w:highlight w:val="none"/>
                <w:lang w:val="en-US" w:eastAsia="zh-CN"/>
              </w:rPr>
              <w:t>4</w:t>
            </w:r>
          </w:p>
        </w:tc>
      </w:tr>
      <w:tr w14:paraId="57EBA8BE">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E70CA">
            <w:pPr>
              <w:pStyle w:val="32"/>
              <w:bidi w:val="0"/>
              <w:rPr>
                <w:rFonts w:hint="default"/>
                <w:highlight w:val="none"/>
                <w:lang w:val="en-US" w:eastAsia="zh-CN"/>
              </w:rPr>
            </w:pPr>
            <w:r>
              <w:rPr>
                <w:rFonts w:hint="default"/>
                <w:highlight w:val="none"/>
                <w:lang w:val="en-US" w:eastAsia="zh-CN"/>
              </w:rPr>
              <w:t>3.1</w:t>
            </w:r>
          </w:p>
        </w:tc>
        <w:tc>
          <w:tcPr>
            <w:tcW w:w="1880" w:type="pct"/>
            <w:tcBorders>
              <w:top w:val="single" w:color="000000" w:sz="4" w:space="0"/>
              <w:left w:val="single" w:color="000000" w:sz="4" w:space="0"/>
              <w:bottom w:val="single" w:color="000000" w:sz="4" w:space="0"/>
              <w:right w:val="single" w:color="000000" w:sz="4" w:space="0"/>
            </w:tcBorders>
            <w:vAlign w:val="center"/>
          </w:tcPr>
          <w:p w14:paraId="39FD2CB4">
            <w:pPr>
              <w:pStyle w:val="32"/>
              <w:bidi w:val="0"/>
              <w:rPr>
                <w:rFonts w:hint="default"/>
                <w:highlight w:val="none"/>
              </w:rPr>
            </w:pPr>
            <w:r>
              <w:rPr>
                <w:rFonts w:hint="eastAsia"/>
                <w:highlight w:val="none"/>
                <w:lang w:val="en-US" w:eastAsia="zh-CN"/>
              </w:rPr>
              <w:t>安全检查人员</w:t>
            </w:r>
          </w:p>
        </w:tc>
        <w:tc>
          <w:tcPr>
            <w:tcW w:w="825" w:type="pct"/>
            <w:tcBorders>
              <w:top w:val="single" w:color="000000" w:sz="4" w:space="0"/>
              <w:left w:val="single" w:color="000000" w:sz="4" w:space="0"/>
              <w:bottom w:val="single" w:color="000000" w:sz="4" w:space="0"/>
              <w:right w:val="single" w:color="000000" w:sz="4" w:space="0"/>
            </w:tcBorders>
            <w:vAlign w:val="center"/>
          </w:tcPr>
          <w:p w14:paraId="0FE4F532">
            <w:pPr>
              <w:pStyle w:val="32"/>
              <w:bidi w:val="0"/>
              <w:rPr>
                <w:rFonts w:hint="default"/>
                <w:highlight w:val="none"/>
                <w:lang w:eastAsia="zh-CN"/>
              </w:rPr>
            </w:pPr>
            <w:r>
              <w:rPr>
                <w:rFonts w:hint="default"/>
                <w:highlight w:val="none"/>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38101A94">
            <w:pPr>
              <w:pStyle w:val="32"/>
              <w:bidi w:val="0"/>
              <w:rPr>
                <w:rFonts w:hint="default"/>
                <w:highlight w:val="none"/>
                <w:lang w:eastAsia="zh-CN"/>
              </w:rPr>
            </w:pPr>
            <w:r>
              <w:rPr>
                <w:rFonts w:hint="default"/>
                <w:highlight w:val="none"/>
                <w:lang w:val="en-US" w:eastAsia="zh-CN"/>
              </w:rPr>
              <w:t>1</w:t>
            </w:r>
          </w:p>
        </w:tc>
        <w:tc>
          <w:tcPr>
            <w:tcW w:w="1000" w:type="pct"/>
            <w:tcBorders>
              <w:top w:val="single" w:color="000000" w:sz="4" w:space="0"/>
              <w:left w:val="single" w:color="000000" w:sz="4" w:space="0"/>
              <w:bottom w:val="single" w:color="000000" w:sz="4" w:space="0"/>
              <w:right w:val="single" w:color="000000" w:sz="4" w:space="0"/>
            </w:tcBorders>
            <w:vAlign w:val="center"/>
          </w:tcPr>
          <w:p w14:paraId="7AAC27A8">
            <w:pPr>
              <w:pStyle w:val="32"/>
              <w:bidi w:val="0"/>
              <w:rPr>
                <w:rFonts w:hint="default"/>
                <w:highlight w:val="none"/>
                <w:lang w:val="en-US" w:eastAsia="zh-CN"/>
              </w:rPr>
            </w:pPr>
            <w:r>
              <w:rPr>
                <w:rFonts w:hint="default"/>
                <w:highlight w:val="none"/>
                <w:lang w:val="en-US" w:eastAsia="zh-CN"/>
              </w:rPr>
              <w:t>2</w:t>
            </w:r>
          </w:p>
        </w:tc>
      </w:tr>
      <w:tr w14:paraId="76FDE220">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57543FAD">
            <w:pPr>
              <w:pStyle w:val="32"/>
              <w:bidi w:val="0"/>
              <w:rPr>
                <w:rFonts w:hint="default"/>
                <w:highlight w:val="none"/>
                <w:lang w:val="en-US" w:eastAsia="zh-CN"/>
              </w:rPr>
            </w:pPr>
            <w:r>
              <w:rPr>
                <w:rFonts w:hint="default"/>
                <w:highlight w:val="none"/>
                <w:lang w:val="en-US" w:eastAsia="zh-CN"/>
              </w:rPr>
              <w:t>4</w:t>
            </w:r>
          </w:p>
        </w:tc>
        <w:tc>
          <w:tcPr>
            <w:tcW w:w="1880" w:type="pct"/>
            <w:tcBorders>
              <w:top w:val="single" w:color="000000" w:sz="4" w:space="0"/>
              <w:left w:val="single" w:color="000000" w:sz="4" w:space="0"/>
              <w:bottom w:val="single" w:color="000000" w:sz="4" w:space="0"/>
              <w:right w:val="single" w:color="000000" w:sz="4" w:space="0"/>
            </w:tcBorders>
            <w:vAlign w:val="center"/>
          </w:tcPr>
          <w:p w14:paraId="6112AA6D">
            <w:pPr>
              <w:pStyle w:val="32"/>
              <w:bidi w:val="0"/>
              <w:rPr>
                <w:rFonts w:hint="default"/>
                <w:highlight w:val="none"/>
                <w:lang w:eastAsia="zh-CN"/>
              </w:rPr>
            </w:pPr>
            <w:r>
              <w:rPr>
                <w:rFonts w:hint="eastAsia"/>
                <w:highlight w:val="none"/>
                <w:lang w:val="en-US" w:eastAsia="zh-CN"/>
              </w:rPr>
              <w:t>入井作业人数</w:t>
            </w:r>
          </w:p>
        </w:tc>
        <w:tc>
          <w:tcPr>
            <w:tcW w:w="825" w:type="pct"/>
            <w:tcBorders>
              <w:top w:val="single" w:color="000000" w:sz="4" w:space="0"/>
              <w:left w:val="single" w:color="000000" w:sz="4" w:space="0"/>
              <w:bottom w:val="single" w:color="000000" w:sz="4" w:space="0"/>
              <w:right w:val="single" w:color="000000" w:sz="4" w:space="0"/>
            </w:tcBorders>
            <w:vAlign w:val="center"/>
          </w:tcPr>
          <w:p w14:paraId="01A64064">
            <w:pPr>
              <w:pStyle w:val="32"/>
              <w:bidi w:val="0"/>
              <w:rPr>
                <w:rFonts w:hint="default"/>
                <w:highlight w:val="none"/>
                <w:lang w:val="en-US" w:eastAsia="zh-CN"/>
              </w:rPr>
            </w:pPr>
            <w:r>
              <w:rPr>
                <w:rFonts w:hint="eastAsia"/>
                <w:highlight w:val="none"/>
                <w:lang w:val="en-US" w:eastAsia="zh-CN"/>
              </w:rPr>
              <w:t>25</w:t>
            </w:r>
          </w:p>
        </w:tc>
        <w:tc>
          <w:tcPr>
            <w:tcW w:w="811" w:type="pct"/>
            <w:tcBorders>
              <w:top w:val="single" w:color="000000" w:sz="4" w:space="0"/>
              <w:left w:val="single" w:color="000000" w:sz="4" w:space="0"/>
              <w:bottom w:val="single" w:color="000000" w:sz="4" w:space="0"/>
              <w:right w:val="single" w:color="000000" w:sz="4" w:space="0"/>
            </w:tcBorders>
            <w:vAlign w:val="center"/>
          </w:tcPr>
          <w:p w14:paraId="2A30641A">
            <w:pPr>
              <w:pStyle w:val="32"/>
              <w:bidi w:val="0"/>
              <w:rPr>
                <w:rFonts w:hint="default"/>
                <w:highlight w:val="none"/>
                <w:lang w:val="en-US" w:eastAsia="zh-CN"/>
              </w:rPr>
            </w:pPr>
            <w:r>
              <w:rPr>
                <w:rFonts w:hint="eastAsia"/>
                <w:highlight w:val="none"/>
                <w:lang w:val="en-US" w:eastAsia="zh-CN"/>
              </w:rPr>
              <w:t>27</w:t>
            </w:r>
          </w:p>
        </w:tc>
        <w:tc>
          <w:tcPr>
            <w:tcW w:w="1000" w:type="pct"/>
            <w:tcBorders>
              <w:top w:val="single" w:color="000000" w:sz="4" w:space="0"/>
              <w:left w:val="single" w:color="000000" w:sz="4" w:space="0"/>
              <w:bottom w:val="single" w:color="000000" w:sz="4" w:space="0"/>
              <w:right w:val="single" w:color="000000" w:sz="4" w:space="0"/>
            </w:tcBorders>
            <w:vAlign w:val="center"/>
          </w:tcPr>
          <w:p w14:paraId="0C653F4C">
            <w:pPr>
              <w:pStyle w:val="32"/>
              <w:bidi w:val="0"/>
              <w:rPr>
                <w:rFonts w:hint="default"/>
                <w:highlight w:val="none"/>
                <w:lang w:val="en-US" w:eastAsia="zh-CN"/>
              </w:rPr>
            </w:pPr>
            <w:r>
              <w:rPr>
                <w:rFonts w:hint="eastAsia"/>
                <w:highlight w:val="none"/>
                <w:lang w:val="en-US" w:eastAsia="zh-CN"/>
              </w:rPr>
              <w:t>52</w:t>
            </w:r>
          </w:p>
        </w:tc>
      </w:tr>
      <w:tr w14:paraId="271EFF25">
        <w:tblPrEx>
          <w:tblCellMar>
            <w:top w:w="0" w:type="dxa"/>
            <w:left w:w="108" w:type="dxa"/>
            <w:bottom w:w="0" w:type="dxa"/>
            <w:right w:w="108" w:type="dxa"/>
          </w:tblCellMar>
        </w:tblPrEx>
        <w:trPr>
          <w:trHeight w:val="285" w:hRule="atLeast"/>
        </w:trPr>
        <w:tc>
          <w:tcPr>
            <w:tcW w:w="482" w:type="pct"/>
            <w:tcBorders>
              <w:top w:val="single" w:color="000000" w:sz="4" w:space="0"/>
              <w:left w:val="single" w:color="000000" w:sz="4" w:space="0"/>
              <w:bottom w:val="single" w:color="000000" w:sz="4" w:space="0"/>
              <w:right w:val="single" w:color="000000" w:sz="4" w:space="0"/>
            </w:tcBorders>
            <w:vAlign w:val="center"/>
          </w:tcPr>
          <w:p w14:paraId="2E053C0E">
            <w:pPr>
              <w:pStyle w:val="32"/>
              <w:bidi w:val="0"/>
              <w:rPr>
                <w:rFonts w:hint="default"/>
                <w:highlight w:val="none"/>
                <w:lang w:val="en-US" w:eastAsia="zh-CN"/>
              </w:rPr>
            </w:pPr>
            <w:r>
              <w:rPr>
                <w:rFonts w:hint="default"/>
                <w:highlight w:val="none"/>
                <w:lang w:val="en-US" w:eastAsia="zh-CN"/>
              </w:rPr>
              <w:t>5</w:t>
            </w:r>
          </w:p>
        </w:tc>
        <w:tc>
          <w:tcPr>
            <w:tcW w:w="1880" w:type="pct"/>
            <w:tcBorders>
              <w:top w:val="single" w:color="000000" w:sz="4" w:space="0"/>
              <w:left w:val="single" w:color="000000" w:sz="4" w:space="0"/>
              <w:bottom w:val="single" w:color="000000" w:sz="4" w:space="0"/>
              <w:right w:val="single" w:color="000000" w:sz="4" w:space="0"/>
            </w:tcBorders>
            <w:vAlign w:val="center"/>
          </w:tcPr>
          <w:p w14:paraId="5805ABA3">
            <w:pPr>
              <w:pStyle w:val="32"/>
              <w:bidi w:val="0"/>
              <w:rPr>
                <w:rFonts w:hint="default"/>
                <w:highlight w:val="none"/>
                <w:lang w:eastAsia="zh-CN"/>
              </w:rPr>
            </w:pPr>
            <w:r>
              <w:rPr>
                <w:rFonts w:hint="eastAsia"/>
                <w:highlight w:val="none"/>
                <w:lang w:val="en-US" w:eastAsia="zh-CN"/>
              </w:rPr>
              <w:t>总人数</w:t>
            </w:r>
          </w:p>
        </w:tc>
        <w:tc>
          <w:tcPr>
            <w:tcW w:w="825" w:type="pct"/>
            <w:tcBorders>
              <w:top w:val="single" w:color="000000" w:sz="4" w:space="0"/>
              <w:left w:val="single" w:color="000000" w:sz="4" w:space="0"/>
              <w:bottom w:val="single" w:color="000000" w:sz="4" w:space="0"/>
              <w:right w:val="single" w:color="000000" w:sz="4" w:space="0"/>
            </w:tcBorders>
            <w:vAlign w:val="center"/>
          </w:tcPr>
          <w:p w14:paraId="4846D6D1">
            <w:pPr>
              <w:pStyle w:val="32"/>
              <w:bidi w:val="0"/>
              <w:rPr>
                <w:rFonts w:hint="default"/>
                <w:highlight w:val="none"/>
                <w:lang w:val="en-US" w:eastAsia="zh-CN"/>
              </w:rPr>
            </w:pPr>
            <w:r>
              <w:rPr>
                <w:rFonts w:hint="eastAsia"/>
                <w:highlight w:val="none"/>
                <w:lang w:val="en-US" w:eastAsia="zh-CN"/>
              </w:rPr>
              <w:t>26</w:t>
            </w:r>
          </w:p>
        </w:tc>
        <w:tc>
          <w:tcPr>
            <w:tcW w:w="811" w:type="pct"/>
            <w:tcBorders>
              <w:top w:val="single" w:color="000000" w:sz="4" w:space="0"/>
              <w:left w:val="single" w:color="000000" w:sz="4" w:space="0"/>
              <w:bottom w:val="single" w:color="000000" w:sz="4" w:space="0"/>
              <w:right w:val="single" w:color="000000" w:sz="4" w:space="0"/>
            </w:tcBorders>
            <w:vAlign w:val="center"/>
          </w:tcPr>
          <w:p w14:paraId="25DE7F2A">
            <w:pPr>
              <w:pStyle w:val="32"/>
              <w:bidi w:val="0"/>
              <w:rPr>
                <w:rFonts w:hint="default"/>
                <w:highlight w:val="none"/>
                <w:lang w:val="en-US" w:eastAsia="zh-CN"/>
              </w:rPr>
            </w:pPr>
            <w:r>
              <w:rPr>
                <w:rFonts w:hint="eastAsia"/>
                <w:highlight w:val="none"/>
                <w:lang w:val="en-US" w:eastAsia="zh-CN"/>
              </w:rPr>
              <w:t>28</w:t>
            </w:r>
          </w:p>
        </w:tc>
        <w:tc>
          <w:tcPr>
            <w:tcW w:w="1000" w:type="pct"/>
            <w:tcBorders>
              <w:top w:val="single" w:color="000000" w:sz="4" w:space="0"/>
              <w:left w:val="single" w:color="000000" w:sz="4" w:space="0"/>
              <w:bottom w:val="single" w:color="000000" w:sz="4" w:space="0"/>
              <w:right w:val="single" w:color="000000" w:sz="4" w:space="0"/>
            </w:tcBorders>
            <w:vAlign w:val="center"/>
          </w:tcPr>
          <w:p w14:paraId="0ADCAB12">
            <w:pPr>
              <w:pStyle w:val="32"/>
              <w:bidi w:val="0"/>
              <w:rPr>
                <w:rFonts w:hint="default"/>
                <w:highlight w:val="none"/>
                <w:lang w:val="en-US" w:eastAsia="zh-CN"/>
              </w:rPr>
            </w:pPr>
            <w:r>
              <w:rPr>
                <w:rFonts w:hint="eastAsia"/>
                <w:highlight w:val="none"/>
                <w:lang w:val="en-US" w:eastAsia="zh-CN"/>
              </w:rPr>
              <w:t>54</w:t>
            </w:r>
          </w:p>
        </w:tc>
      </w:tr>
    </w:tbl>
    <w:p w14:paraId="03E3E25D">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highlight w:val="none"/>
          <w:lang w:val="en-US" w:eastAsia="zh-CN"/>
        </w:rPr>
      </w:pPr>
      <w:r>
        <w:rPr>
          <w:rFonts w:hint="eastAsia"/>
          <w:highlight w:val="none"/>
          <w:lang w:val="en-US" w:eastAsia="zh-CN"/>
        </w:rPr>
        <w:t>2、技术经济指标</w:t>
      </w:r>
    </w:p>
    <w:p w14:paraId="4F2E5E58">
      <w:pPr>
        <w:pStyle w:val="31"/>
        <w:bidi w:val="0"/>
        <w:rPr>
          <w:rFonts w:hint="default"/>
          <w:highlight w:val="none"/>
          <w:lang w:val="en-US" w:eastAsia="zh-CN"/>
        </w:rPr>
      </w:pPr>
      <w:r>
        <w:rPr>
          <w:rFonts w:hint="eastAsia"/>
          <w:highlight w:val="none"/>
          <w:lang w:val="en-US" w:eastAsia="zh-CN"/>
        </w:rPr>
        <w:t xml:space="preserve">表2.4-11  </w:t>
      </w:r>
      <w:r>
        <w:rPr>
          <w:rFonts w:hint="default"/>
          <w:highlight w:val="none"/>
          <w:lang w:val="en-US" w:eastAsia="zh-CN"/>
        </w:rPr>
        <w:t>主要技术经济指标详见</w:t>
      </w:r>
    </w:p>
    <w:tbl>
      <w:tblPr>
        <w:tblStyle w:val="24"/>
        <w:tblW w:w="4998" w:type="pct"/>
        <w:tblInd w:w="0" w:type="dxa"/>
        <w:shd w:val="clear" w:color="auto" w:fill="FFFFFF"/>
        <w:tblLayout w:type="autofit"/>
        <w:tblCellMar>
          <w:top w:w="0" w:type="dxa"/>
          <w:left w:w="108" w:type="dxa"/>
          <w:bottom w:w="0" w:type="dxa"/>
          <w:right w:w="108" w:type="dxa"/>
        </w:tblCellMar>
      </w:tblPr>
      <w:tblGrid>
        <w:gridCol w:w="937"/>
        <w:gridCol w:w="3344"/>
        <w:gridCol w:w="1125"/>
        <w:gridCol w:w="2204"/>
        <w:gridCol w:w="1787"/>
      </w:tblGrid>
      <w:tr w14:paraId="13D67224">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FD993A">
            <w:pPr>
              <w:pStyle w:val="32"/>
              <w:bidi w:val="0"/>
              <w:ind w:left="0" w:leftChars="0" w:right="0" w:rightChars="0" w:firstLine="0" w:firstLineChars="0"/>
              <w:jc w:val="center"/>
              <w:rPr>
                <w:rFonts w:hint="eastAsia"/>
                <w:highlight w:val="none"/>
              </w:rPr>
            </w:pPr>
            <w:r>
              <w:rPr>
                <w:rFonts w:hint="eastAsia"/>
                <w:highlight w:val="none"/>
              </w:rPr>
              <w:t>序号</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9BAEA6">
            <w:pPr>
              <w:pStyle w:val="32"/>
              <w:bidi w:val="0"/>
              <w:ind w:left="0" w:leftChars="0" w:right="0" w:rightChars="0" w:firstLine="0" w:firstLineChars="0"/>
              <w:jc w:val="center"/>
              <w:rPr>
                <w:rFonts w:hint="eastAsia"/>
                <w:highlight w:val="none"/>
              </w:rPr>
            </w:pPr>
            <w:r>
              <w:rPr>
                <w:rFonts w:hint="eastAsia"/>
                <w:highlight w:val="none"/>
              </w:rPr>
              <w:t>指标名称</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1A795E">
            <w:pPr>
              <w:pStyle w:val="32"/>
              <w:bidi w:val="0"/>
              <w:ind w:left="0" w:leftChars="0" w:right="0" w:rightChars="0" w:firstLine="0" w:firstLineChars="0"/>
              <w:jc w:val="center"/>
              <w:rPr>
                <w:rFonts w:hint="eastAsia"/>
                <w:highlight w:val="none"/>
              </w:rPr>
            </w:pPr>
            <w:r>
              <w:rPr>
                <w:rFonts w:hint="eastAsia"/>
                <w:highlight w:val="none"/>
              </w:rPr>
              <w:t>单位</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B31F60">
            <w:pPr>
              <w:pStyle w:val="32"/>
              <w:bidi w:val="0"/>
              <w:ind w:left="0" w:leftChars="0" w:right="0" w:rightChars="0" w:firstLine="0" w:firstLineChars="0"/>
              <w:jc w:val="center"/>
              <w:rPr>
                <w:rFonts w:hint="eastAsia"/>
                <w:highlight w:val="none"/>
              </w:rPr>
            </w:pPr>
            <w:r>
              <w:rPr>
                <w:rFonts w:hint="eastAsia"/>
                <w:highlight w:val="none"/>
              </w:rPr>
              <w:t>指标</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1355C1">
            <w:pPr>
              <w:pStyle w:val="32"/>
              <w:bidi w:val="0"/>
              <w:ind w:left="0" w:leftChars="0" w:right="0" w:rightChars="0" w:firstLine="0" w:firstLineChars="0"/>
              <w:jc w:val="center"/>
              <w:rPr>
                <w:rFonts w:hint="eastAsia"/>
                <w:highlight w:val="none"/>
              </w:rPr>
            </w:pPr>
            <w:r>
              <w:rPr>
                <w:rFonts w:hint="eastAsia"/>
                <w:highlight w:val="none"/>
              </w:rPr>
              <w:t>备注</w:t>
            </w:r>
          </w:p>
        </w:tc>
      </w:tr>
      <w:tr w14:paraId="7C1A8DA9">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E78C44">
            <w:pPr>
              <w:pStyle w:val="32"/>
              <w:bidi w:val="0"/>
              <w:ind w:left="0" w:leftChars="0" w:right="0" w:rightChars="0" w:firstLine="0" w:firstLineChars="0"/>
              <w:jc w:val="center"/>
              <w:rPr>
                <w:rFonts w:hint="eastAsia"/>
                <w:highlight w:val="none"/>
              </w:rPr>
            </w:pPr>
            <w:r>
              <w:rPr>
                <w:rFonts w:hint="eastAsia"/>
                <w:highlight w:val="none"/>
              </w:rPr>
              <w:t>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B5107A">
            <w:pPr>
              <w:pStyle w:val="32"/>
              <w:bidi w:val="0"/>
              <w:ind w:left="0" w:leftChars="0" w:right="0" w:rightChars="0" w:firstLine="0" w:firstLineChars="0"/>
              <w:jc w:val="center"/>
              <w:rPr>
                <w:rFonts w:hint="eastAsia"/>
                <w:highlight w:val="none"/>
              </w:rPr>
            </w:pPr>
            <w:r>
              <w:rPr>
                <w:rFonts w:hint="eastAsia"/>
                <w:highlight w:val="none"/>
              </w:rPr>
              <w:t>地质资源和储量</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CCE0B7">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99C648">
            <w:pPr>
              <w:pStyle w:val="32"/>
              <w:bidi w:val="0"/>
              <w:ind w:left="0" w:leftChars="0" w:right="0" w:rightChars="0" w:firstLine="0" w:firstLineChars="0"/>
              <w:jc w:val="center"/>
              <w:rPr>
                <w:rFonts w:hint="eastAsia"/>
                <w:highlight w:val="none"/>
              </w:rPr>
            </w:pP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C66BAE">
            <w:pPr>
              <w:pStyle w:val="32"/>
              <w:bidi w:val="0"/>
              <w:ind w:left="0" w:leftChars="0" w:right="0" w:rightChars="0" w:firstLine="0" w:firstLineChars="0"/>
              <w:jc w:val="center"/>
              <w:rPr>
                <w:rFonts w:hint="eastAsia"/>
                <w:highlight w:val="none"/>
              </w:rPr>
            </w:pPr>
          </w:p>
        </w:tc>
      </w:tr>
      <w:tr w14:paraId="259ECDD3">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2B777B">
            <w:pPr>
              <w:pStyle w:val="32"/>
              <w:bidi w:val="0"/>
              <w:ind w:left="0" w:leftChars="0" w:right="0" w:rightChars="0" w:firstLine="0" w:firstLineChars="0"/>
              <w:jc w:val="center"/>
              <w:rPr>
                <w:rFonts w:hint="eastAsia"/>
                <w:highlight w:val="none"/>
              </w:rPr>
            </w:pPr>
            <w:r>
              <w:rPr>
                <w:rFonts w:hint="eastAsia"/>
                <w:highlight w:val="none"/>
              </w:rPr>
              <w:t>1.1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CAD30F">
            <w:pPr>
              <w:pStyle w:val="32"/>
              <w:bidi w:val="0"/>
              <w:ind w:left="0" w:leftChars="0" w:right="0" w:rightChars="0" w:firstLine="0" w:firstLineChars="0"/>
              <w:jc w:val="center"/>
              <w:rPr>
                <w:rFonts w:hint="eastAsia"/>
                <w:highlight w:val="none"/>
              </w:rPr>
            </w:pPr>
            <w:r>
              <w:rPr>
                <w:rFonts w:hint="eastAsia"/>
                <w:highlight w:val="none"/>
              </w:rPr>
              <w:t>地质储量</w:t>
            </w:r>
          </w:p>
        </w:tc>
        <w:tc>
          <w:tcPr>
            <w:tcW w:w="598" w:type="pct"/>
            <w:tcBorders>
              <w:top w:val="single" w:color="000000" w:sz="4" w:space="0"/>
              <w:left w:val="single" w:color="000000" w:sz="4" w:space="0"/>
              <w:bottom w:val="single" w:color="000000" w:sz="4" w:space="0"/>
              <w:right w:val="nil"/>
            </w:tcBorders>
            <w:shd w:val="clear" w:color="auto" w:fill="FFFFFF"/>
            <w:noWrap w:val="0"/>
            <w:vAlign w:val="center"/>
          </w:tcPr>
          <w:p w14:paraId="0101C183">
            <w:pPr>
              <w:pStyle w:val="32"/>
              <w:bidi w:val="0"/>
              <w:ind w:left="0" w:leftChars="0" w:right="0" w:rightChars="0" w:firstLine="0" w:firstLineChars="0"/>
              <w:jc w:val="center"/>
              <w:rPr>
                <w:rFonts w:hint="eastAsia"/>
                <w:highlight w:val="none"/>
              </w:rPr>
            </w:pPr>
            <w:r>
              <w:rPr>
                <w:rFonts w:hint="eastAsia"/>
                <w:highlight w:val="none"/>
              </w:rPr>
              <w:t>万t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6A2565">
            <w:pPr>
              <w:pStyle w:val="32"/>
              <w:bidi w:val="0"/>
              <w:ind w:left="0" w:leftChars="0" w:right="0" w:rightChars="0" w:firstLine="0" w:firstLineChars="0"/>
              <w:jc w:val="center"/>
              <w:rPr>
                <w:rFonts w:hint="default"/>
                <w:highlight w:val="none"/>
                <w:lang w:val="en-US" w:eastAsia="zh-CN"/>
              </w:rPr>
            </w:pPr>
            <w:r>
              <w:rPr>
                <w:rFonts w:hint="default"/>
                <w:highlight w:val="none"/>
                <w:lang w:val="en-US" w:eastAsia="zh-CN"/>
              </w:rPr>
              <w:t>91.932</w:t>
            </w:r>
          </w:p>
        </w:tc>
        <w:tc>
          <w:tcPr>
            <w:tcW w:w="950" w:type="pct"/>
            <w:tcBorders>
              <w:top w:val="single" w:color="000000" w:sz="4" w:space="0"/>
              <w:left w:val="nil"/>
              <w:bottom w:val="single" w:color="000000" w:sz="4" w:space="0"/>
              <w:right w:val="single" w:color="000000" w:sz="4" w:space="0"/>
            </w:tcBorders>
            <w:shd w:val="clear" w:color="auto" w:fill="FFFFFF"/>
            <w:noWrap w:val="0"/>
            <w:vAlign w:val="center"/>
          </w:tcPr>
          <w:p w14:paraId="708A4B8B">
            <w:pPr>
              <w:pStyle w:val="32"/>
              <w:bidi w:val="0"/>
              <w:ind w:left="0" w:leftChars="0" w:right="0" w:rightChars="0" w:firstLine="0" w:firstLineChars="0"/>
              <w:jc w:val="center"/>
              <w:rPr>
                <w:rFonts w:hint="eastAsia"/>
                <w:highlight w:val="none"/>
              </w:rPr>
            </w:pPr>
          </w:p>
        </w:tc>
      </w:tr>
      <w:tr w14:paraId="5E373865">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2C2293">
            <w:pPr>
              <w:pStyle w:val="32"/>
              <w:bidi w:val="0"/>
              <w:ind w:left="0" w:leftChars="0" w:right="0" w:rightChars="0" w:firstLine="0" w:firstLineChars="0"/>
              <w:jc w:val="center"/>
              <w:rPr>
                <w:rFonts w:hint="eastAsia"/>
                <w:highlight w:val="none"/>
              </w:rPr>
            </w:pPr>
            <w:r>
              <w:rPr>
                <w:rFonts w:hint="eastAsia"/>
                <w:highlight w:val="none"/>
              </w:rPr>
              <w:t>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DA4C9A">
            <w:pPr>
              <w:pStyle w:val="32"/>
              <w:bidi w:val="0"/>
              <w:ind w:left="0" w:leftChars="0" w:right="0" w:rightChars="0" w:firstLine="0" w:firstLineChars="0"/>
              <w:jc w:val="center"/>
              <w:rPr>
                <w:rFonts w:hint="eastAsia"/>
                <w:highlight w:val="none"/>
              </w:rPr>
            </w:pPr>
            <w:r>
              <w:rPr>
                <w:rFonts w:hint="eastAsia"/>
                <w:highlight w:val="none"/>
              </w:rPr>
              <w:t>采矿</w:t>
            </w:r>
          </w:p>
        </w:tc>
        <w:tc>
          <w:tcPr>
            <w:tcW w:w="598" w:type="pct"/>
            <w:tcBorders>
              <w:top w:val="single" w:color="000000" w:sz="4" w:space="0"/>
              <w:left w:val="single" w:color="000000" w:sz="4" w:space="0"/>
              <w:bottom w:val="single" w:color="000000" w:sz="4" w:space="0"/>
              <w:right w:val="nil"/>
            </w:tcBorders>
            <w:shd w:val="clear" w:color="auto" w:fill="FFFFFF"/>
            <w:noWrap w:val="0"/>
            <w:vAlign w:val="center"/>
          </w:tcPr>
          <w:p w14:paraId="3ACC3C8F">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DB17F8">
            <w:pPr>
              <w:pStyle w:val="32"/>
              <w:bidi w:val="0"/>
              <w:ind w:left="0" w:leftChars="0" w:right="0" w:rightChars="0" w:firstLine="0" w:firstLineChars="0"/>
              <w:jc w:val="center"/>
              <w:rPr>
                <w:rFonts w:hint="eastAsia"/>
                <w:highlight w:val="none"/>
              </w:rPr>
            </w:pPr>
          </w:p>
        </w:tc>
        <w:tc>
          <w:tcPr>
            <w:tcW w:w="950" w:type="pct"/>
            <w:tcBorders>
              <w:top w:val="single" w:color="000000" w:sz="4" w:space="0"/>
              <w:left w:val="nil"/>
              <w:bottom w:val="single" w:color="000000" w:sz="4" w:space="0"/>
              <w:right w:val="single" w:color="000000" w:sz="4" w:space="0"/>
            </w:tcBorders>
            <w:shd w:val="clear" w:color="auto" w:fill="FFFFFF"/>
            <w:noWrap w:val="0"/>
            <w:vAlign w:val="center"/>
          </w:tcPr>
          <w:p w14:paraId="1E72CEA2">
            <w:pPr>
              <w:pStyle w:val="32"/>
              <w:bidi w:val="0"/>
              <w:ind w:left="0" w:leftChars="0" w:right="0" w:rightChars="0" w:firstLine="0" w:firstLineChars="0"/>
              <w:jc w:val="center"/>
              <w:rPr>
                <w:rFonts w:hint="eastAsia"/>
                <w:highlight w:val="none"/>
              </w:rPr>
            </w:pPr>
          </w:p>
        </w:tc>
      </w:tr>
      <w:tr w14:paraId="48039C36">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68F336">
            <w:pPr>
              <w:pStyle w:val="32"/>
              <w:bidi w:val="0"/>
              <w:ind w:left="0" w:leftChars="0" w:right="0" w:rightChars="0" w:firstLine="0" w:firstLineChars="0"/>
              <w:jc w:val="center"/>
              <w:rPr>
                <w:rFonts w:hint="eastAsia"/>
                <w:highlight w:val="none"/>
              </w:rPr>
            </w:pPr>
            <w:r>
              <w:rPr>
                <w:rFonts w:hint="eastAsia"/>
                <w:highlight w:val="none"/>
              </w:rPr>
              <w:t>2.1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C5BCAE">
            <w:pPr>
              <w:pStyle w:val="32"/>
              <w:bidi w:val="0"/>
              <w:ind w:left="0" w:leftChars="0" w:right="0" w:rightChars="0" w:firstLine="0" w:firstLineChars="0"/>
              <w:jc w:val="center"/>
              <w:rPr>
                <w:rFonts w:hint="eastAsia"/>
                <w:highlight w:val="none"/>
              </w:rPr>
            </w:pPr>
            <w:r>
              <w:rPr>
                <w:rFonts w:hint="eastAsia"/>
                <w:highlight w:val="none"/>
              </w:rPr>
              <w:t>设计利用储量</w:t>
            </w:r>
          </w:p>
        </w:tc>
        <w:tc>
          <w:tcPr>
            <w:tcW w:w="598" w:type="pct"/>
            <w:tcBorders>
              <w:top w:val="single" w:color="000000" w:sz="4" w:space="0"/>
              <w:left w:val="single" w:color="000000" w:sz="4" w:space="0"/>
              <w:bottom w:val="single" w:color="000000" w:sz="4" w:space="0"/>
              <w:right w:val="nil"/>
            </w:tcBorders>
            <w:shd w:val="clear" w:color="auto" w:fill="FFFFFF"/>
            <w:noWrap/>
            <w:vAlign w:val="center"/>
          </w:tcPr>
          <w:p w14:paraId="08E35887">
            <w:pPr>
              <w:pStyle w:val="32"/>
              <w:bidi w:val="0"/>
              <w:ind w:left="0" w:leftChars="0" w:right="0" w:rightChars="0" w:firstLine="0" w:firstLineChars="0"/>
              <w:jc w:val="center"/>
              <w:rPr>
                <w:rFonts w:hint="eastAsia"/>
                <w:highlight w:val="none"/>
              </w:rPr>
            </w:pPr>
            <w:r>
              <w:rPr>
                <w:rFonts w:hint="eastAsia"/>
                <w:highlight w:val="none"/>
              </w:rPr>
              <w:t>万t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701E8">
            <w:pPr>
              <w:pStyle w:val="32"/>
              <w:bidi w:val="0"/>
              <w:ind w:left="0" w:leftChars="0" w:right="0" w:rightChars="0" w:firstLine="0" w:firstLineChars="0"/>
              <w:jc w:val="center"/>
              <w:rPr>
                <w:rFonts w:hint="default"/>
                <w:highlight w:val="none"/>
                <w:lang w:val="en-US" w:eastAsia="zh-CN"/>
              </w:rPr>
            </w:pPr>
            <w:r>
              <w:rPr>
                <w:rFonts w:hint="default"/>
                <w:highlight w:val="none"/>
                <w:lang w:val="en-US" w:eastAsia="zh-CN"/>
              </w:rPr>
              <w:t>80.807</w:t>
            </w:r>
          </w:p>
        </w:tc>
        <w:tc>
          <w:tcPr>
            <w:tcW w:w="950" w:type="pct"/>
            <w:tcBorders>
              <w:top w:val="single" w:color="000000" w:sz="4" w:space="0"/>
              <w:left w:val="nil"/>
              <w:bottom w:val="single" w:color="000000" w:sz="4" w:space="0"/>
              <w:right w:val="single" w:color="000000" w:sz="4" w:space="0"/>
            </w:tcBorders>
            <w:shd w:val="clear" w:color="auto" w:fill="FFFFFF"/>
            <w:noWrap w:val="0"/>
            <w:vAlign w:val="center"/>
          </w:tcPr>
          <w:p w14:paraId="253F365D">
            <w:pPr>
              <w:pStyle w:val="32"/>
              <w:bidi w:val="0"/>
              <w:ind w:left="0" w:leftChars="0" w:right="0" w:rightChars="0" w:firstLine="0" w:firstLineChars="0"/>
              <w:jc w:val="center"/>
              <w:rPr>
                <w:rFonts w:hint="eastAsia"/>
                <w:highlight w:val="none"/>
              </w:rPr>
            </w:pPr>
          </w:p>
        </w:tc>
      </w:tr>
      <w:tr w14:paraId="20F243CC">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C23CC5">
            <w:pPr>
              <w:pStyle w:val="32"/>
              <w:bidi w:val="0"/>
              <w:ind w:left="0" w:leftChars="0" w:right="0" w:rightChars="0" w:firstLine="0" w:firstLineChars="0"/>
              <w:jc w:val="center"/>
              <w:rPr>
                <w:rFonts w:hint="eastAsia"/>
                <w:highlight w:val="none"/>
              </w:rPr>
            </w:pPr>
            <w:r>
              <w:rPr>
                <w:rFonts w:hint="eastAsia"/>
                <w:highlight w:val="none"/>
              </w:rPr>
              <w:t>2.2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ECA10D">
            <w:pPr>
              <w:pStyle w:val="32"/>
              <w:bidi w:val="0"/>
              <w:ind w:left="0" w:leftChars="0" w:right="0" w:rightChars="0" w:firstLine="0" w:firstLineChars="0"/>
              <w:jc w:val="center"/>
              <w:rPr>
                <w:rFonts w:hint="eastAsia"/>
                <w:highlight w:val="none"/>
              </w:rPr>
            </w:pPr>
            <w:r>
              <w:rPr>
                <w:rFonts w:hint="eastAsia"/>
                <w:highlight w:val="none"/>
              </w:rPr>
              <w:t>矿石生产能力</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FDA37B">
            <w:pPr>
              <w:pStyle w:val="32"/>
              <w:bidi w:val="0"/>
              <w:ind w:left="0" w:leftChars="0" w:right="0" w:rightChars="0" w:firstLine="0" w:firstLineChars="0"/>
              <w:jc w:val="center"/>
              <w:rPr>
                <w:rFonts w:hint="eastAsia"/>
                <w:highlight w:val="none"/>
              </w:rPr>
            </w:pPr>
            <w:r>
              <w:rPr>
                <w:rFonts w:hint="eastAsia"/>
                <w:highlight w:val="none"/>
              </w:rPr>
              <w:t>万t/a</w:t>
            </w:r>
          </w:p>
        </w:tc>
        <w:tc>
          <w:tcPr>
            <w:tcW w:w="1172" w:type="pct"/>
            <w:tcBorders>
              <w:top w:val="nil"/>
              <w:left w:val="single" w:color="000000" w:sz="4" w:space="0"/>
              <w:bottom w:val="single" w:color="000000" w:sz="4" w:space="0"/>
              <w:right w:val="single" w:color="000000" w:sz="4" w:space="0"/>
            </w:tcBorders>
            <w:shd w:val="clear" w:color="auto" w:fill="FFFFFF"/>
            <w:noWrap w:val="0"/>
            <w:vAlign w:val="center"/>
          </w:tcPr>
          <w:p w14:paraId="0AA2B5DC">
            <w:pPr>
              <w:pStyle w:val="32"/>
              <w:bidi w:val="0"/>
              <w:ind w:left="0" w:leftChars="0" w:right="0" w:rightChars="0" w:firstLine="0" w:firstLineChars="0"/>
              <w:jc w:val="center"/>
              <w:rPr>
                <w:rFonts w:hint="eastAsia"/>
                <w:highlight w:val="none"/>
              </w:rPr>
            </w:pPr>
            <w:r>
              <w:rPr>
                <w:rFonts w:hint="default"/>
                <w:highlight w:val="none"/>
                <w:lang w:val="en-US" w:eastAsia="zh-CN"/>
              </w:rPr>
              <w:t>15.0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4DD91D">
            <w:pPr>
              <w:pStyle w:val="32"/>
              <w:bidi w:val="0"/>
              <w:ind w:left="0" w:leftChars="0" w:right="0" w:rightChars="0" w:firstLine="0" w:firstLineChars="0"/>
              <w:jc w:val="center"/>
              <w:rPr>
                <w:rFonts w:hint="eastAsia"/>
                <w:highlight w:val="none"/>
              </w:rPr>
            </w:pPr>
          </w:p>
        </w:tc>
      </w:tr>
      <w:tr w14:paraId="2402125F">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3978C1">
            <w:pPr>
              <w:pStyle w:val="32"/>
              <w:bidi w:val="0"/>
              <w:ind w:left="0" w:leftChars="0" w:right="0" w:rightChars="0" w:firstLine="0" w:firstLineChars="0"/>
              <w:jc w:val="center"/>
              <w:rPr>
                <w:rFonts w:hint="eastAsia"/>
                <w:highlight w:val="none"/>
              </w:rPr>
            </w:pPr>
            <w:r>
              <w:rPr>
                <w:rFonts w:hint="eastAsia"/>
                <w:highlight w:val="none"/>
              </w:rPr>
              <w:t>2.3</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FE8826">
            <w:pPr>
              <w:pStyle w:val="32"/>
              <w:bidi w:val="0"/>
              <w:ind w:left="0" w:leftChars="0" w:right="0" w:rightChars="0" w:firstLine="0" w:firstLineChars="0"/>
              <w:jc w:val="center"/>
              <w:rPr>
                <w:rFonts w:hint="eastAsia"/>
                <w:highlight w:val="none"/>
              </w:rPr>
            </w:pPr>
            <w:r>
              <w:rPr>
                <w:rFonts w:hint="eastAsia"/>
                <w:highlight w:val="none"/>
              </w:rPr>
              <w:t>基建时间</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ABD222">
            <w:pPr>
              <w:pStyle w:val="32"/>
              <w:bidi w:val="0"/>
              <w:ind w:left="0" w:leftChars="0" w:right="0" w:rightChars="0" w:firstLine="0" w:firstLineChars="0"/>
              <w:jc w:val="center"/>
              <w:rPr>
                <w:rFonts w:hint="eastAsia"/>
                <w:highlight w:val="none"/>
              </w:rPr>
            </w:pPr>
            <w:r>
              <w:rPr>
                <w:rFonts w:hint="eastAsia"/>
                <w:highlight w:val="none"/>
              </w:rPr>
              <w:t>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BED8D6">
            <w:pPr>
              <w:pStyle w:val="32"/>
              <w:bidi w:val="0"/>
              <w:ind w:left="0" w:leftChars="0" w:right="0" w:rightChars="0" w:firstLine="0" w:firstLineChars="0"/>
              <w:jc w:val="center"/>
              <w:rPr>
                <w:rFonts w:hint="eastAsia"/>
                <w:highlight w:val="none"/>
              </w:rPr>
            </w:pPr>
            <w:r>
              <w:rPr>
                <w:rFonts w:hint="default"/>
                <w:highlight w:val="none"/>
                <w:lang w:val="en-US" w:eastAsia="zh-CN"/>
              </w:rPr>
              <w:t>3.0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20B4D6">
            <w:pPr>
              <w:pStyle w:val="32"/>
              <w:bidi w:val="0"/>
              <w:ind w:left="0" w:leftChars="0" w:right="0" w:rightChars="0" w:firstLine="0" w:firstLineChars="0"/>
              <w:jc w:val="center"/>
              <w:rPr>
                <w:rFonts w:hint="eastAsia"/>
                <w:highlight w:val="none"/>
              </w:rPr>
            </w:pPr>
          </w:p>
        </w:tc>
      </w:tr>
      <w:tr w14:paraId="2EA9CA7C">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773145">
            <w:pPr>
              <w:pStyle w:val="32"/>
              <w:bidi w:val="0"/>
              <w:ind w:left="0" w:leftChars="0" w:right="0" w:rightChars="0" w:firstLine="0" w:firstLineChars="0"/>
              <w:jc w:val="center"/>
              <w:rPr>
                <w:rFonts w:hint="eastAsia"/>
                <w:highlight w:val="none"/>
              </w:rPr>
            </w:pPr>
            <w:r>
              <w:rPr>
                <w:rFonts w:hint="eastAsia"/>
                <w:highlight w:val="none"/>
              </w:rPr>
              <w:t>2.4</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27E61C">
            <w:pPr>
              <w:pStyle w:val="32"/>
              <w:bidi w:val="0"/>
              <w:ind w:left="0" w:leftChars="0" w:right="0" w:rightChars="0" w:firstLine="0" w:firstLineChars="0"/>
              <w:jc w:val="center"/>
              <w:rPr>
                <w:rFonts w:hint="eastAsia"/>
                <w:highlight w:val="none"/>
              </w:rPr>
            </w:pPr>
            <w:r>
              <w:rPr>
                <w:rFonts w:hint="eastAsia"/>
                <w:highlight w:val="none"/>
              </w:rPr>
              <w:t>运营期(</w:t>
            </w:r>
            <w:r>
              <w:rPr>
                <w:rFonts w:hint="eastAsia"/>
                <w:highlight w:val="none"/>
                <w:lang w:val="en-US" w:eastAsia="zh-CN"/>
              </w:rPr>
              <w:t>不</w:t>
            </w:r>
            <w:r>
              <w:rPr>
                <w:rFonts w:hint="eastAsia"/>
                <w:highlight w:val="none"/>
              </w:rPr>
              <w:t>含基建)</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BFFA08">
            <w:pPr>
              <w:pStyle w:val="32"/>
              <w:bidi w:val="0"/>
              <w:ind w:left="0" w:leftChars="0" w:right="0" w:rightChars="0" w:firstLine="0" w:firstLineChars="0"/>
              <w:jc w:val="center"/>
              <w:rPr>
                <w:rFonts w:hint="eastAsia"/>
                <w:highlight w:val="none"/>
              </w:rPr>
            </w:pPr>
            <w:r>
              <w:rPr>
                <w:rFonts w:hint="eastAsia"/>
                <w:highlight w:val="none"/>
              </w:rPr>
              <w:t>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DA3B3E">
            <w:pPr>
              <w:pStyle w:val="32"/>
              <w:bidi w:val="0"/>
              <w:ind w:left="0" w:leftChars="0" w:right="0" w:rightChars="0" w:firstLine="0" w:firstLineChars="0"/>
              <w:jc w:val="center"/>
              <w:rPr>
                <w:rFonts w:hint="eastAsia"/>
                <w:highlight w:val="none"/>
              </w:rPr>
            </w:pPr>
            <w:r>
              <w:rPr>
                <w:rFonts w:hint="eastAsia"/>
                <w:highlight w:val="none"/>
                <w:lang w:val="en-US" w:eastAsia="zh-CN"/>
              </w:rPr>
              <w:t>5年零5个月</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7F1CB3">
            <w:pPr>
              <w:pStyle w:val="32"/>
              <w:bidi w:val="0"/>
              <w:ind w:left="0" w:leftChars="0" w:right="0" w:rightChars="0" w:firstLine="0" w:firstLineChars="0"/>
              <w:jc w:val="center"/>
              <w:rPr>
                <w:rFonts w:hint="eastAsia"/>
                <w:highlight w:val="none"/>
              </w:rPr>
            </w:pPr>
          </w:p>
        </w:tc>
      </w:tr>
      <w:tr w14:paraId="5C3AA283">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DB52F2">
            <w:pPr>
              <w:pStyle w:val="32"/>
              <w:bidi w:val="0"/>
              <w:ind w:left="0" w:leftChars="0" w:right="0" w:rightChars="0" w:firstLine="0" w:firstLineChars="0"/>
              <w:jc w:val="center"/>
              <w:rPr>
                <w:rFonts w:hint="eastAsia"/>
                <w:highlight w:val="none"/>
              </w:rPr>
            </w:pPr>
            <w:r>
              <w:rPr>
                <w:rFonts w:hint="eastAsia"/>
                <w:highlight w:val="none"/>
              </w:rPr>
              <w:t>2.5</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33EBFB">
            <w:pPr>
              <w:pStyle w:val="32"/>
              <w:bidi w:val="0"/>
              <w:ind w:left="0" w:leftChars="0" w:right="0" w:rightChars="0" w:firstLine="0" w:firstLineChars="0"/>
              <w:jc w:val="center"/>
              <w:rPr>
                <w:rFonts w:hint="eastAsia"/>
                <w:highlight w:val="none"/>
              </w:rPr>
            </w:pPr>
            <w:r>
              <w:rPr>
                <w:rFonts w:hint="eastAsia"/>
                <w:highlight w:val="none"/>
              </w:rPr>
              <w:t>采矿方法</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79266">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1D2261">
            <w:pPr>
              <w:pStyle w:val="32"/>
              <w:bidi w:val="0"/>
              <w:ind w:left="0" w:leftChars="0" w:right="0" w:rightChars="0" w:firstLine="0" w:firstLineChars="0"/>
              <w:jc w:val="center"/>
              <w:rPr>
                <w:rFonts w:hint="eastAsia"/>
                <w:highlight w:val="none"/>
                <w:lang w:val="en-US" w:eastAsia="zh-CN"/>
              </w:rPr>
            </w:pPr>
            <w:r>
              <w:rPr>
                <w:rFonts w:hint="eastAsia"/>
                <w:highlight w:val="none"/>
                <w:lang w:val="en-US" w:eastAsia="zh-CN"/>
              </w:rPr>
              <w:t>浅孔留矿嗣后充填采矿法、沿走向分段空场嗣后充填采矿法、垂直走向分段空场嗣后充填采矿法</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65BF05">
            <w:pPr>
              <w:pStyle w:val="32"/>
              <w:bidi w:val="0"/>
              <w:ind w:left="0" w:leftChars="0" w:right="0" w:rightChars="0" w:firstLine="0" w:firstLineChars="0"/>
              <w:jc w:val="center"/>
              <w:rPr>
                <w:rFonts w:hint="eastAsia"/>
                <w:highlight w:val="none"/>
              </w:rPr>
            </w:pPr>
          </w:p>
        </w:tc>
      </w:tr>
      <w:tr w14:paraId="0FA07009">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5AA215">
            <w:pPr>
              <w:pStyle w:val="32"/>
              <w:bidi w:val="0"/>
              <w:ind w:left="0" w:leftChars="0" w:right="0" w:rightChars="0" w:firstLine="0" w:firstLineChars="0"/>
              <w:jc w:val="center"/>
              <w:rPr>
                <w:rFonts w:hint="eastAsia"/>
                <w:highlight w:val="none"/>
              </w:rPr>
            </w:pPr>
            <w:r>
              <w:rPr>
                <w:rFonts w:hint="eastAsia"/>
                <w:highlight w:val="none"/>
              </w:rPr>
              <w:t>2.6</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A737C4">
            <w:pPr>
              <w:pStyle w:val="32"/>
              <w:bidi w:val="0"/>
              <w:ind w:left="0" w:leftChars="0" w:right="0" w:rightChars="0" w:firstLine="0" w:firstLineChars="0"/>
              <w:jc w:val="center"/>
              <w:rPr>
                <w:rFonts w:hint="eastAsia"/>
                <w:highlight w:val="none"/>
              </w:rPr>
            </w:pPr>
            <w:r>
              <w:rPr>
                <w:rFonts w:hint="eastAsia"/>
                <w:highlight w:val="none"/>
              </w:rPr>
              <w:t>采矿贫化率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BF10F">
            <w:pPr>
              <w:pStyle w:val="32"/>
              <w:bidi w:val="0"/>
              <w:ind w:left="0" w:leftChars="0" w:right="0" w:rightChars="0" w:firstLine="0" w:firstLineChars="0"/>
              <w:jc w:val="center"/>
              <w:rPr>
                <w:rFonts w:hint="eastAsia"/>
                <w:highlight w:val="none"/>
              </w:rPr>
            </w:pPr>
            <w:r>
              <w:rPr>
                <w:rFonts w:hint="eastAsia"/>
                <w:highlight w:val="none"/>
              </w:rPr>
              <w:t>％</w:t>
            </w:r>
          </w:p>
        </w:tc>
        <w:tc>
          <w:tcPr>
            <w:tcW w:w="199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23F986">
            <w:pPr>
              <w:pStyle w:val="32"/>
              <w:bidi w:val="0"/>
              <w:ind w:left="0" w:leftChars="0" w:right="0" w:rightChars="0" w:firstLine="0" w:firstLineChars="0"/>
              <w:jc w:val="center"/>
              <w:rPr>
                <w:rFonts w:hint="eastAsia"/>
                <w:highlight w:val="none"/>
              </w:rPr>
            </w:pPr>
            <w:r>
              <w:rPr>
                <w:rFonts w:hint="default"/>
                <w:highlight w:val="none"/>
                <w:lang w:val="en-US" w:eastAsia="zh-CN"/>
              </w:rPr>
              <w:t>10.00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DD472E">
            <w:pPr>
              <w:pStyle w:val="32"/>
              <w:bidi w:val="0"/>
              <w:ind w:left="0" w:leftChars="0" w:right="0" w:rightChars="0" w:firstLine="0" w:firstLineChars="0"/>
              <w:jc w:val="center"/>
              <w:rPr>
                <w:rFonts w:hint="eastAsia"/>
                <w:highlight w:val="none"/>
              </w:rPr>
            </w:pPr>
          </w:p>
        </w:tc>
      </w:tr>
      <w:tr w14:paraId="46DADDBB">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B811BF">
            <w:pPr>
              <w:pStyle w:val="32"/>
              <w:bidi w:val="0"/>
              <w:ind w:left="0" w:leftChars="0" w:right="0" w:rightChars="0" w:firstLine="0" w:firstLineChars="0"/>
              <w:jc w:val="center"/>
              <w:rPr>
                <w:rFonts w:hint="eastAsia"/>
                <w:highlight w:val="none"/>
              </w:rPr>
            </w:pPr>
            <w:r>
              <w:rPr>
                <w:rFonts w:hint="eastAsia"/>
                <w:highlight w:val="none"/>
              </w:rPr>
              <w:t>2.7</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57595C">
            <w:pPr>
              <w:pStyle w:val="32"/>
              <w:bidi w:val="0"/>
              <w:ind w:left="0" w:leftChars="0" w:right="0" w:rightChars="0" w:firstLine="0" w:firstLineChars="0"/>
              <w:jc w:val="center"/>
              <w:rPr>
                <w:rFonts w:hint="eastAsia"/>
                <w:highlight w:val="none"/>
              </w:rPr>
            </w:pPr>
            <w:r>
              <w:rPr>
                <w:rFonts w:hint="eastAsia"/>
                <w:highlight w:val="none"/>
              </w:rPr>
              <w:t>采矿回采率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A3E130">
            <w:pPr>
              <w:pStyle w:val="32"/>
              <w:bidi w:val="0"/>
              <w:ind w:left="0" w:leftChars="0" w:right="0" w:rightChars="0" w:firstLine="0" w:firstLineChars="0"/>
              <w:jc w:val="center"/>
              <w:rPr>
                <w:rFonts w:hint="eastAsia"/>
                <w:highlight w:val="none"/>
              </w:rPr>
            </w:pPr>
            <w:r>
              <w:rPr>
                <w:rFonts w:hint="eastAsia"/>
                <w:highlight w:val="none"/>
              </w:rPr>
              <w:t>％</w:t>
            </w:r>
          </w:p>
        </w:tc>
        <w:tc>
          <w:tcPr>
            <w:tcW w:w="199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077040">
            <w:pPr>
              <w:pStyle w:val="32"/>
              <w:bidi w:val="0"/>
              <w:ind w:left="0" w:leftChars="0" w:right="0" w:rightChars="0" w:firstLine="0" w:firstLineChars="0"/>
              <w:jc w:val="center"/>
              <w:rPr>
                <w:rFonts w:hint="default"/>
                <w:highlight w:val="none"/>
                <w:lang w:val="en-US"/>
              </w:rPr>
            </w:pPr>
            <w:r>
              <w:rPr>
                <w:rFonts w:hint="default"/>
                <w:highlight w:val="none"/>
                <w:lang w:val="en-US" w:eastAsia="zh-CN"/>
              </w:rPr>
              <w:t>90.00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01920">
            <w:pPr>
              <w:pStyle w:val="32"/>
              <w:bidi w:val="0"/>
              <w:ind w:left="0" w:leftChars="0" w:right="0" w:rightChars="0" w:firstLine="0" w:firstLineChars="0"/>
              <w:jc w:val="center"/>
              <w:rPr>
                <w:rFonts w:hint="eastAsia"/>
                <w:highlight w:val="none"/>
              </w:rPr>
            </w:pPr>
          </w:p>
        </w:tc>
      </w:tr>
      <w:tr w14:paraId="16973761">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C18702">
            <w:pPr>
              <w:pStyle w:val="32"/>
              <w:bidi w:val="0"/>
              <w:ind w:left="0" w:leftChars="0" w:right="0" w:rightChars="0" w:firstLine="0" w:firstLineChars="0"/>
              <w:jc w:val="center"/>
              <w:rPr>
                <w:rFonts w:hint="eastAsia"/>
                <w:highlight w:val="none"/>
              </w:rPr>
            </w:pPr>
            <w:r>
              <w:rPr>
                <w:rFonts w:hint="eastAsia"/>
                <w:highlight w:val="none"/>
              </w:rPr>
              <w:t>2.8</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EF581D">
            <w:pPr>
              <w:pStyle w:val="32"/>
              <w:bidi w:val="0"/>
              <w:ind w:left="0" w:leftChars="0" w:right="0" w:rightChars="0" w:firstLine="0" w:firstLineChars="0"/>
              <w:jc w:val="center"/>
              <w:rPr>
                <w:rFonts w:hint="eastAsia"/>
                <w:highlight w:val="none"/>
              </w:rPr>
            </w:pPr>
            <w:r>
              <w:rPr>
                <w:rFonts w:hint="eastAsia"/>
                <w:highlight w:val="none"/>
              </w:rPr>
              <w:t>矿山工作制度</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8DE2EC">
            <w:pPr>
              <w:pStyle w:val="32"/>
              <w:bidi w:val="0"/>
              <w:ind w:left="0" w:leftChars="0" w:right="0" w:rightChars="0" w:firstLine="0" w:firstLineChars="0"/>
              <w:jc w:val="center"/>
              <w:rPr>
                <w:rFonts w:hint="eastAsia"/>
                <w:highlight w:val="none"/>
              </w:rPr>
            </w:pPr>
            <w:r>
              <w:rPr>
                <w:rFonts w:hint="eastAsia"/>
                <w:highlight w:val="none"/>
              </w:rPr>
              <w:t>班/d</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2B983A">
            <w:pPr>
              <w:pStyle w:val="32"/>
              <w:bidi w:val="0"/>
              <w:ind w:left="0" w:leftChars="0" w:right="0" w:rightChars="0" w:firstLine="0" w:firstLineChars="0"/>
              <w:jc w:val="center"/>
              <w:rPr>
                <w:rFonts w:hint="eastAsia"/>
                <w:highlight w:val="none"/>
              </w:rPr>
            </w:pPr>
            <w:r>
              <w:rPr>
                <w:rFonts w:hint="default"/>
                <w:highlight w:val="none"/>
                <w:lang w:val="en-US" w:eastAsia="zh-CN"/>
              </w:rPr>
              <w:t>3</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59B31B">
            <w:pPr>
              <w:pStyle w:val="32"/>
              <w:bidi w:val="0"/>
              <w:ind w:left="0" w:leftChars="0" w:right="0" w:rightChars="0" w:firstLine="0" w:firstLineChars="0"/>
              <w:jc w:val="center"/>
              <w:rPr>
                <w:rFonts w:hint="eastAsia"/>
                <w:highlight w:val="none"/>
              </w:rPr>
            </w:pPr>
          </w:p>
        </w:tc>
      </w:tr>
      <w:tr w14:paraId="6ECF8B11">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A01CDF">
            <w:pPr>
              <w:pStyle w:val="32"/>
              <w:bidi w:val="0"/>
              <w:ind w:left="0" w:leftChars="0" w:right="0" w:rightChars="0" w:firstLine="0" w:firstLineChars="0"/>
              <w:jc w:val="center"/>
              <w:rPr>
                <w:rFonts w:hint="eastAsia"/>
                <w:highlight w:val="none"/>
              </w:rPr>
            </w:pP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0987D1">
            <w:pPr>
              <w:pStyle w:val="32"/>
              <w:bidi w:val="0"/>
              <w:ind w:left="0" w:leftChars="0" w:right="0" w:rightChars="0" w:firstLine="0" w:firstLineChars="0"/>
              <w:jc w:val="center"/>
              <w:rPr>
                <w:rFonts w:hint="eastAsia"/>
                <w:highlight w:val="none"/>
              </w:rPr>
            </w:pPr>
            <w:r>
              <w:rPr>
                <w:rFonts w:hint="eastAsia"/>
                <w:highlight w:val="none"/>
              </w:rPr>
              <w:t>年工作天数</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1DC8FB">
            <w:pPr>
              <w:pStyle w:val="32"/>
              <w:bidi w:val="0"/>
              <w:ind w:left="0" w:leftChars="0" w:right="0" w:rightChars="0" w:firstLine="0" w:firstLineChars="0"/>
              <w:jc w:val="center"/>
              <w:rPr>
                <w:rFonts w:hint="eastAsia"/>
                <w:highlight w:val="none"/>
              </w:rPr>
            </w:pPr>
            <w:r>
              <w:rPr>
                <w:rFonts w:hint="eastAsia"/>
                <w:highlight w:val="none"/>
              </w:rPr>
              <w:t>d</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E227F1">
            <w:pPr>
              <w:pStyle w:val="32"/>
              <w:bidi w:val="0"/>
              <w:ind w:left="0" w:leftChars="0" w:right="0" w:rightChars="0" w:firstLine="0" w:firstLineChars="0"/>
              <w:jc w:val="center"/>
              <w:rPr>
                <w:rFonts w:hint="eastAsia"/>
                <w:highlight w:val="none"/>
              </w:rPr>
            </w:pPr>
            <w:r>
              <w:rPr>
                <w:rFonts w:hint="default"/>
                <w:highlight w:val="none"/>
                <w:lang w:val="en-US" w:eastAsia="zh-CN"/>
              </w:rPr>
              <w:t>300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E533EC">
            <w:pPr>
              <w:pStyle w:val="32"/>
              <w:bidi w:val="0"/>
              <w:ind w:left="0" w:leftChars="0" w:right="0" w:rightChars="0" w:firstLine="0" w:firstLineChars="0"/>
              <w:jc w:val="center"/>
              <w:rPr>
                <w:rFonts w:hint="eastAsia"/>
                <w:highlight w:val="none"/>
              </w:rPr>
            </w:pPr>
          </w:p>
        </w:tc>
      </w:tr>
      <w:tr w14:paraId="15D70612">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5A968E">
            <w:pPr>
              <w:pStyle w:val="32"/>
              <w:bidi w:val="0"/>
              <w:ind w:left="0" w:leftChars="0" w:right="0" w:rightChars="0" w:firstLine="0" w:firstLineChars="0"/>
              <w:jc w:val="center"/>
              <w:rPr>
                <w:rFonts w:hint="eastAsia"/>
                <w:highlight w:val="none"/>
              </w:rPr>
            </w:pPr>
            <w:r>
              <w:rPr>
                <w:rFonts w:hint="eastAsia"/>
                <w:highlight w:val="none"/>
              </w:rPr>
              <w:t>3</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8A4C59">
            <w:pPr>
              <w:pStyle w:val="32"/>
              <w:bidi w:val="0"/>
              <w:ind w:left="0" w:leftChars="0" w:right="0" w:rightChars="0" w:firstLine="0" w:firstLineChars="0"/>
              <w:jc w:val="center"/>
              <w:rPr>
                <w:rFonts w:hint="eastAsia"/>
                <w:highlight w:val="none"/>
              </w:rPr>
            </w:pPr>
            <w:r>
              <w:rPr>
                <w:rFonts w:hint="eastAsia"/>
                <w:highlight w:val="none"/>
              </w:rPr>
              <w:t>劳动及工资</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1855D3">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962A69">
            <w:pPr>
              <w:pStyle w:val="32"/>
              <w:bidi w:val="0"/>
              <w:ind w:left="0" w:leftChars="0" w:right="0" w:rightChars="0" w:firstLine="0" w:firstLineChars="0"/>
              <w:jc w:val="center"/>
              <w:rPr>
                <w:rFonts w:hint="eastAsia"/>
                <w:highlight w:val="none"/>
              </w:rPr>
            </w:pP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558A54">
            <w:pPr>
              <w:pStyle w:val="32"/>
              <w:bidi w:val="0"/>
              <w:ind w:left="0" w:leftChars="0" w:right="0" w:rightChars="0" w:firstLine="0" w:firstLineChars="0"/>
              <w:jc w:val="center"/>
              <w:rPr>
                <w:rFonts w:hint="eastAsia"/>
                <w:highlight w:val="none"/>
              </w:rPr>
            </w:pPr>
          </w:p>
        </w:tc>
      </w:tr>
      <w:tr w14:paraId="35CF81B9">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A60B00">
            <w:pPr>
              <w:pStyle w:val="32"/>
              <w:bidi w:val="0"/>
              <w:ind w:left="0" w:leftChars="0" w:right="0" w:rightChars="0" w:firstLine="0" w:firstLineChars="0"/>
              <w:jc w:val="center"/>
              <w:rPr>
                <w:rFonts w:hint="eastAsia"/>
                <w:highlight w:val="none"/>
              </w:rPr>
            </w:pPr>
            <w:r>
              <w:rPr>
                <w:rFonts w:hint="eastAsia"/>
                <w:highlight w:val="none"/>
              </w:rPr>
              <w:t>3.1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039B3B">
            <w:pPr>
              <w:pStyle w:val="32"/>
              <w:bidi w:val="0"/>
              <w:ind w:left="0" w:leftChars="0" w:right="0" w:rightChars="0" w:firstLine="0" w:firstLineChars="0"/>
              <w:jc w:val="center"/>
              <w:rPr>
                <w:rFonts w:hint="eastAsia"/>
                <w:highlight w:val="none"/>
              </w:rPr>
            </w:pPr>
            <w:r>
              <w:rPr>
                <w:rFonts w:hint="eastAsia"/>
                <w:highlight w:val="none"/>
              </w:rPr>
              <w:t>在册职工人数</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5F6AA3">
            <w:pPr>
              <w:pStyle w:val="32"/>
              <w:bidi w:val="0"/>
              <w:ind w:left="0" w:leftChars="0" w:right="0" w:rightChars="0" w:firstLine="0" w:firstLineChars="0"/>
              <w:jc w:val="center"/>
              <w:rPr>
                <w:rFonts w:hint="eastAsia"/>
                <w:highlight w:val="none"/>
              </w:rPr>
            </w:pPr>
            <w:r>
              <w:rPr>
                <w:rFonts w:hint="eastAsia"/>
                <w:highlight w:val="none"/>
              </w:rPr>
              <w:t>人</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40CAAC">
            <w:pPr>
              <w:pStyle w:val="32"/>
              <w:bidi w:val="0"/>
              <w:ind w:left="0" w:leftChars="0" w:right="0" w:rightChars="0" w:firstLine="0" w:firstLineChars="0"/>
              <w:jc w:val="center"/>
              <w:rPr>
                <w:rFonts w:hint="eastAsia"/>
                <w:highlight w:val="none"/>
              </w:rPr>
            </w:pPr>
            <w:r>
              <w:rPr>
                <w:rFonts w:hint="default"/>
                <w:highlight w:val="none"/>
                <w:lang w:val="en-US" w:eastAsia="zh-CN"/>
              </w:rPr>
              <w:t>50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9A99D1">
            <w:pPr>
              <w:pStyle w:val="32"/>
              <w:bidi w:val="0"/>
              <w:ind w:left="0" w:leftChars="0" w:right="0" w:rightChars="0" w:firstLine="0" w:firstLineChars="0"/>
              <w:jc w:val="center"/>
              <w:rPr>
                <w:rFonts w:hint="eastAsia"/>
                <w:highlight w:val="none"/>
              </w:rPr>
            </w:pPr>
          </w:p>
        </w:tc>
      </w:tr>
      <w:tr w14:paraId="78E5818C">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C94E85">
            <w:pPr>
              <w:pStyle w:val="32"/>
              <w:bidi w:val="0"/>
              <w:ind w:left="0" w:leftChars="0" w:right="0" w:rightChars="0" w:firstLine="0" w:firstLineChars="0"/>
              <w:jc w:val="center"/>
              <w:rPr>
                <w:rFonts w:hint="eastAsia"/>
                <w:highlight w:val="none"/>
              </w:rPr>
            </w:pP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3C312B">
            <w:pPr>
              <w:pStyle w:val="32"/>
              <w:bidi w:val="0"/>
              <w:ind w:left="0" w:leftChars="0" w:right="0" w:rightChars="0" w:firstLine="0" w:firstLineChars="0"/>
              <w:jc w:val="center"/>
              <w:rPr>
                <w:rFonts w:hint="eastAsia"/>
                <w:highlight w:val="none"/>
              </w:rPr>
            </w:pPr>
            <w:r>
              <w:rPr>
                <w:rFonts w:hint="eastAsia"/>
                <w:highlight w:val="none"/>
              </w:rPr>
              <w:t>其中：采矿</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8A0539">
            <w:pPr>
              <w:pStyle w:val="32"/>
              <w:bidi w:val="0"/>
              <w:ind w:left="0" w:leftChars="0" w:right="0" w:rightChars="0" w:firstLine="0" w:firstLineChars="0"/>
              <w:jc w:val="center"/>
              <w:rPr>
                <w:rFonts w:hint="eastAsia"/>
                <w:highlight w:val="none"/>
              </w:rPr>
            </w:pPr>
            <w:r>
              <w:rPr>
                <w:rFonts w:hint="eastAsia"/>
                <w:highlight w:val="none"/>
              </w:rPr>
              <w:t>人</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8B7D5A">
            <w:pPr>
              <w:pStyle w:val="32"/>
              <w:bidi w:val="0"/>
              <w:ind w:left="0" w:leftChars="0" w:right="0" w:rightChars="0" w:firstLine="0" w:firstLineChars="0"/>
              <w:jc w:val="center"/>
              <w:rPr>
                <w:rFonts w:hint="eastAsia"/>
                <w:highlight w:val="none"/>
              </w:rPr>
            </w:pPr>
            <w:r>
              <w:rPr>
                <w:rFonts w:hint="default"/>
                <w:highlight w:val="none"/>
                <w:lang w:val="en-US" w:eastAsia="zh-CN"/>
              </w:rPr>
              <w:t>34</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53923F">
            <w:pPr>
              <w:pStyle w:val="32"/>
              <w:bidi w:val="0"/>
              <w:ind w:left="0" w:leftChars="0" w:right="0" w:rightChars="0" w:firstLine="0" w:firstLineChars="0"/>
              <w:jc w:val="center"/>
              <w:rPr>
                <w:rFonts w:hint="eastAsia"/>
                <w:highlight w:val="none"/>
              </w:rPr>
            </w:pPr>
          </w:p>
        </w:tc>
      </w:tr>
      <w:tr w14:paraId="3FD1A10B">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17DD27">
            <w:pPr>
              <w:pStyle w:val="32"/>
              <w:bidi w:val="0"/>
              <w:ind w:left="0" w:leftChars="0" w:right="0" w:rightChars="0" w:firstLine="0" w:firstLineChars="0"/>
              <w:jc w:val="center"/>
              <w:rPr>
                <w:rFonts w:hint="eastAsia"/>
                <w:highlight w:val="none"/>
              </w:rPr>
            </w:pPr>
            <w:r>
              <w:rPr>
                <w:rFonts w:hint="eastAsia"/>
                <w:highlight w:val="none"/>
              </w:rPr>
              <w:t>3.2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3E4B0F">
            <w:pPr>
              <w:pStyle w:val="32"/>
              <w:bidi w:val="0"/>
              <w:ind w:left="0" w:leftChars="0" w:right="0" w:rightChars="0" w:firstLine="0" w:firstLineChars="0"/>
              <w:jc w:val="center"/>
              <w:rPr>
                <w:rFonts w:hint="eastAsia"/>
                <w:highlight w:val="none"/>
              </w:rPr>
            </w:pPr>
            <w:r>
              <w:rPr>
                <w:rFonts w:hint="eastAsia"/>
                <w:highlight w:val="none"/>
              </w:rPr>
              <w:t>工资总额</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D46205">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40EA10">
            <w:pPr>
              <w:pStyle w:val="32"/>
              <w:bidi w:val="0"/>
              <w:ind w:left="0" w:leftChars="0" w:right="0" w:rightChars="0" w:firstLine="0" w:firstLineChars="0"/>
              <w:jc w:val="center"/>
              <w:rPr>
                <w:rFonts w:hint="eastAsia"/>
                <w:highlight w:val="none"/>
              </w:rPr>
            </w:pPr>
            <w:r>
              <w:rPr>
                <w:rFonts w:hint="default"/>
                <w:highlight w:val="none"/>
                <w:lang w:val="en-US" w:eastAsia="zh-CN"/>
              </w:rPr>
              <w:t>398.40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2FA040">
            <w:pPr>
              <w:pStyle w:val="32"/>
              <w:bidi w:val="0"/>
              <w:ind w:left="0" w:leftChars="0" w:right="0" w:rightChars="0" w:firstLine="0" w:firstLineChars="0"/>
              <w:jc w:val="center"/>
              <w:rPr>
                <w:rFonts w:hint="eastAsia"/>
                <w:highlight w:val="none"/>
              </w:rPr>
            </w:pPr>
          </w:p>
        </w:tc>
      </w:tr>
      <w:tr w14:paraId="00EC77E3">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F85D44">
            <w:pPr>
              <w:pStyle w:val="32"/>
              <w:bidi w:val="0"/>
              <w:ind w:left="0" w:leftChars="0" w:right="0" w:rightChars="0" w:firstLine="0" w:firstLineChars="0"/>
              <w:jc w:val="center"/>
              <w:rPr>
                <w:rFonts w:hint="eastAsia"/>
                <w:highlight w:val="none"/>
              </w:rPr>
            </w:pPr>
            <w:r>
              <w:rPr>
                <w:rFonts w:hint="eastAsia"/>
                <w:highlight w:val="none"/>
              </w:rPr>
              <w:t>3.3</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E2530E">
            <w:pPr>
              <w:pStyle w:val="32"/>
              <w:bidi w:val="0"/>
              <w:ind w:left="0" w:leftChars="0" w:right="0" w:rightChars="0" w:firstLine="0" w:firstLineChars="0"/>
              <w:jc w:val="center"/>
              <w:rPr>
                <w:rFonts w:hint="eastAsia"/>
                <w:highlight w:val="none"/>
              </w:rPr>
            </w:pPr>
            <w:r>
              <w:rPr>
                <w:rFonts w:hint="eastAsia"/>
                <w:highlight w:val="none"/>
              </w:rPr>
              <w:t>劳动生产率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53C6F3">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74D53B">
            <w:pPr>
              <w:pStyle w:val="32"/>
              <w:bidi w:val="0"/>
              <w:ind w:left="0" w:leftChars="0" w:right="0" w:rightChars="0" w:firstLine="0" w:firstLineChars="0"/>
              <w:jc w:val="center"/>
              <w:rPr>
                <w:rFonts w:hint="eastAsia"/>
                <w:highlight w:val="none"/>
              </w:rPr>
            </w:pP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7072FE">
            <w:pPr>
              <w:pStyle w:val="32"/>
              <w:bidi w:val="0"/>
              <w:ind w:left="0" w:leftChars="0" w:right="0" w:rightChars="0" w:firstLine="0" w:firstLineChars="0"/>
              <w:jc w:val="center"/>
              <w:rPr>
                <w:rFonts w:hint="eastAsia"/>
                <w:highlight w:val="none"/>
              </w:rPr>
            </w:pPr>
          </w:p>
        </w:tc>
      </w:tr>
      <w:tr w14:paraId="2D651439">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448CD">
            <w:pPr>
              <w:pStyle w:val="32"/>
              <w:bidi w:val="0"/>
              <w:ind w:left="0" w:leftChars="0" w:right="0" w:rightChars="0" w:firstLine="0" w:firstLineChars="0"/>
              <w:jc w:val="center"/>
              <w:rPr>
                <w:rFonts w:hint="eastAsia"/>
                <w:highlight w:val="none"/>
              </w:rPr>
            </w:pPr>
            <w:r>
              <w:rPr>
                <w:rFonts w:hint="eastAsia"/>
                <w:highlight w:val="none"/>
              </w:rPr>
              <w:t>3.3.1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E9C2A9">
            <w:pPr>
              <w:pStyle w:val="32"/>
              <w:bidi w:val="0"/>
              <w:ind w:left="0" w:leftChars="0" w:right="0" w:rightChars="0" w:firstLine="0" w:firstLineChars="0"/>
              <w:jc w:val="center"/>
              <w:rPr>
                <w:rFonts w:hint="eastAsia"/>
                <w:highlight w:val="none"/>
              </w:rPr>
            </w:pPr>
            <w:r>
              <w:rPr>
                <w:rFonts w:hint="eastAsia"/>
                <w:highlight w:val="none"/>
              </w:rPr>
              <w:t>全矿劳动生产率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560B60">
            <w:pPr>
              <w:pStyle w:val="32"/>
              <w:bidi w:val="0"/>
              <w:ind w:left="0" w:leftChars="0" w:right="0" w:rightChars="0" w:firstLine="0" w:firstLineChars="0"/>
              <w:jc w:val="center"/>
              <w:rPr>
                <w:rFonts w:hint="eastAsia"/>
                <w:highlight w:val="none"/>
              </w:rPr>
            </w:pPr>
            <w:r>
              <w:rPr>
                <w:rFonts w:hint="eastAsia"/>
                <w:highlight w:val="none"/>
              </w:rPr>
              <w:t>t/人a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D00C79">
            <w:pPr>
              <w:pStyle w:val="32"/>
              <w:bidi w:val="0"/>
              <w:ind w:left="0" w:leftChars="0" w:right="0" w:rightChars="0" w:firstLine="0" w:firstLineChars="0"/>
              <w:jc w:val="center"/>
              <w:rPr>
                <w:rFonts w:hint="eastAsia"/>
                <w:highlight w:val="none"/>
              </w:rPr>
            </w:pPr>
            <w:r>
              <w:rPr>
                <w:rFonts w:hint="default"/>
                <w:highlight w:val="none"/>
                <w:lang w:val="en-US" w:eastAsia="zh-CN"/>
              </w:rPr>
              <w:t>3000.00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751055">
            <w:pPr>
              <w:pStyle w:val="32"/>
              <w:bidi w:val="0"/>
              <w:ind w:left="0" w:leftChars="0" w:right="0" w:rightChars="0" w:firstLine="0" w:firstLineChars="0"/>
              <w:jc w:val="center"/>
              <w:rPr>
                <w:rFonts w:hint="eastAsia"/>
                <w:highlight w:val="none"/>
              </w:rPr>
            </w:pPr>
          </w:p>
        </w:tc>
      </w:tr>
      <w:tr w14:paraId="0C773A45">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1D0EB">
            <w:pPr>
              <w:pStyle w:val="32"/>
              <w:bidi w:val="0"/>
              <w:ind w:left="0" w:leftChars="0" w:right="0" w:rightChars="0" w:firstLine="0" w:firstLineChars="0"/>
              <w:jc w:val="center"/>
              <w:rPr>
                <w:rFonts w:hint="eastAsia"/>
                <w:highlight w:val="none"/>
              </w:rPr>
            </w:pPr>
            <w:r>
              <w:rPr>
                <w:rFonts w:hint="eastAsia"/>
                <w:highlight w:val="none"/>
              </w:rPr>
              <w:t>3.3.2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B45694">
            <w:pPr>
              <w:pStyle w:val="32"/>
              <w:bidi w:val="0"/>
              <w:ind w:left="0" w:leftChars="0" w:right="0" w:rightChars="0" w:firstLine="0" w:firstLineChars="0"/>
              <w:jc w:val="center"/>
              <w:rPr>
                <w:rFonts w:hint="eastAsia"/>
                <w:highlight w:val="none"/>
              </w:rPr>
            </w:pPr>
            <w:r>
              <w:rPr>
                <w:rFonts w:hint="eastAsia"/>
                <w:highlight w:val="none"/>
              </w:rPr>
              <w:t>采矿劳动生产率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A3D26F">
            <w:pPr>
              <w:pStyle w:val="32"/>
              <w:bidi w:val="0"/>
              <w:ind w:left="0" w:leftChars="0" w:right="0" w:rightChars="0" w:firstLine="0" w:firstLineChars="0"/>
              <w:jc w:val="center"/>
              <w:rPr>
                <w:rFonts w:hint="eastAsia"/>
                <w:highlight w:val="none"/>
              </w:rPr>
            </w:pPr>
            <w:r>
              <w:rPr>
                <w:rFonts w:hint="eastAsia"/>
                <w:highlight w:val="none"/>
              </w:rPr>
              <w:t>t/人a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4A390A">
            <w:pPr>
              <w:pStyle w:val="32"/>
              <w:bidi w:val="0"/>
              <w:ind w:left="0" w:leftChars="0" w:right="0" w:rightChars="0" w:firstLine="0" w:firstLineChars="0"/>
              <w:jc w:val="center"/>
              <w:rPr>
                <w:rFonts w:hint="eastAsia"/>
                <w:highlight w:val="none"/>
              </w:rPr>
            </w:pPr>
            <w:r>
              <w:rPr>
                <w:rFonts w:hint="default"/>
                <w:highlight w:val="none"/>
                <w:lang w:val="en-US" w:eastAsia="zh-CN"/>
              </w:rPr>
              <w:t>4411.76</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0AE107">
            <w:pPr>
              <w:pStyle w:val="32"/>
              <w:bidi w:val="0"/>
              <w:ind w:left="0" w:leftChars="0" w:right="0" w:rightChars="0" w:firstLine="0" w:firstLineChars="0"/>
              <w:jc w:val="center"/>
              <w:rPr>
                <w:rFonts w:hint="eastAsia"/>
                <w:highlight w:val="none"/>
              </w:rPr>
            </w:pPr>
          </w:p>
        </w:tc>
      </w:tr>
      <w:tr w14:paraId="1974CD98">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94B18F">
            <w:pPr>
              <w:pStyle w:val="32"/>
              <w:bidi w:val="0"/>
              <w:ind w:left="0" w:leftChars="0" w:right="0" w:rightChars="0" w:firstLine="0" w:firstLineChars="0"/>
              <w:jc w:val="center"/>
              <w:rPr>
                <w:rFonts w:hint="eastAsia"/>
                <w:highlight w:val="none"/>
              </w:rPr>
            </w:pPr>
            <w:r>
              <w:rPr>
                <w:rFonts w:hint="eastAsia"/>
                <w:highlight w:val="none"/>
              </w:rPr>
              <w:t>4</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F6C768">
            <w:pPr>
              <w:pStyle w:val="32"/>
              <w:bidi w:val="0"/>
              <w:ind w:left="0" w:leftChars="0" w:right="0" w:rightChars="0" w:firstLine="0" w:firstLineChars="0"/>
              <w:jc w:val="center"/>
              <w:rPr>
                <w:rFonts w:hint="eastAsia"/>
                <w:highlight w:val="none"/>
              </w:rPr>
            </w:pPr>
            <w:r>
              <w:rPr>
                <w:rFonts w:hint="eastAsia"/>
                <w:highlight w:val="none"/>
              </w:rPr>
              <w:t>投资</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8286B2">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32A6E4">
            <w:pPr>
              <w:pStyle w:val="32"/>
              <w:bidi w:val="0"/>
              <w:ind w:left="0" w:leftChars="0" w:right="0" w:rightChars="0" w:firstLine="0" w:firstLineChars="0"/>
              <w:jc w:val="center"/>
              <w:rPr>
                <w:rFonts w:hint="eastAsia"/>
                <w:highlight w:val="none"/>
              </w:rPr>
            </w:pP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83E37C">
            <w:pPr>
              <w:pStyle w:val="32"/>
              <w:bidi w:val="0"/>
              <w:ind w:left="0" w:leftChars="0" w:right="0" w:rightChars="0" w:firstLine="0" w:firstLineChars="0"/>
              <w:jc w:val="center"/>
              <w:rPr>
                <w:rFonts w:hint="eastAsia"/>
                <w:highlight w:val="none"/>
              </w:rPr>
            </w:pPr>
          </w:p>
        </w:tc>
      </w:tr>
      <w:tr w14:paraId="2F54E6E5">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76C1C4">
            <w:pPr>
              <w:pStyle w:val="32"/>
              <w:bidi w:val="0"/>
              <w:ind w:left="0" w:leftChars="0" w:right="0" w:rightChars="0" w:firstLine="0" w:firstLineChars="0"/>
              <w:jc w:val="center"/>
              <w:rPr>
                <w:rFonts w:hint="eastAsia"/>
                <w:highlight w:val="none"/>
              </w:rPr>
            </w:pPr>
            <w:r>
              <w:rPr>
                <w:rFonts w:hint="eastAsia"/>
                <w:highlight w:val="none"/>
              </w:rPr>
              <w:t>4.1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2DF5BC">
            <w:pPr>
              <w:pStyle w:val="32"/>
              <w:bidi w:val="0"/>
              <w:ind w:left="0" w:leftChars="0" w:right="0" w:rightChars="0" w:firstLine="0" w:firstLineChars="0"/>
              <w:jc w:val="center"/>
              <w:rPr>
                <w:rFonts w:hint="eastAsia"/>
                <w:highlight w:val="none"/>
              </w:rPr>
            </w:pPr>
            <w:r>
              <w:rPr>
                <w:rFonts w:hint="eastAsia"/>
                <w:highlight w:val="none"/>
              </w:rPr>
              <w:t>总投资</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F7EF21">
            <w:pPr>
              <w:pStyle w:val="32"/>
              <w:bidi w:val="0"/>
              <w:ind w:left="0" w:leftChars="0" w:right="0" w:rightChars="0" w:firstLine="0" w:firstLineChars="0"/>
              <w:jc w:val="center"/>
              <w:rPr>
                <w:rFonts w:hint="eastAsia"/>
                <w:highlight w:val="none"/>
              </w:rPr>
            </w:pPr>
            <w:r>
              <w:rPr>
                <w:rFonts w:hint="eastAsia"/>
                <w:highlight w:val="none"/>
              </w:rPr>
              <w:t>万元</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2454F1">
            <w:pPr>
              <w:pStyle w:val="32"/>
              <w:bidi w:val="0"/>
              <w:ind w:left="0" w:leftChars="0" w:right="0" w:rightChars="0" w:firstLine="0" w:firstLineChars="0"/>
              <w:jc w:val="center"/>
              <w:rPr>
                <w:rFonts w:hint="eastAsia"/>
                <w:highlight w:val="none"/>
              </w:rPr>
            </w:pPr>
            <w:r>
              <w:rPr>
                <w:rFonts w:hint="default"/>
                <w:highlight w:val="none"/>
                <w:lang w:val="en-US" w:eastAsia="zh-CN"/>
              </w:rPr>
              <w:t>3488.68</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F8901F">
            <w:pPr>
              <w:pStyle w:val="32"/>
              <w:bidi w:val="0"/>
              <w:ind w:left="0" w:leftChars="0" w:right="0" w:rightChars="0" w:firstLine="0" w:firstLineChars="0"/>
              <w:jc w:val="center"/>
              <w:rPr>
                <w:rFonts w:hint="eastAsia"/>
                <w:highlight w:val="none"/>
              </w:rPr>
            </w:pPr>
          </w:p>
        </w:tc>
      </w:tr>
      <w:tr w14:paraId="6F1FBB7E">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616EE0">
            <w:pPr>
              <w:pStyle w:val="32"/>
              <w:bidi w:val="0"/>
              <w:ind w:left="0" w:leftChars="0" w:right="0" w:rightChars="0" w:firstLine="0" w:firstLineChars="0"/>
              <w:jc w:val="center"/>
              <w:rPr>
                <w:rFonts w:hint="eastAsia"/>
                <w:highlight w:val="none"/>
              </w:rPr>
            </w:pP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96DBFB">
            <w:pPr>
              <w:pStyle w:val="32"/>
              <w:bidi w:val="0"/>
              <w:ind w:left="0" w:leftChars="0" w:right="0" w:rightChars="0" w:firstLine="0" w:firstLineChars="0"/>
              <w:jc w:val="center"/>
              <w:rPr>
                <w:rFonts w:hint="eastAsia"/>
                <w:highlight w:val="none"/>
              </w:rPr>
            </w:pPr>
            <w:r>
              <w:rPr>
                <w:rFonts w:hint="eastAsia"/>
                <w:highlight w:val="none"/>
              </w:rPr>
              <w:t>其中：建设投资</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6BA48D">
            <w:pPr>
              <w:pStyle w:val="32"/>
              <w:bidi w:val="0"/>
              <w:ind w:left="0" w:leftChars="0" w:right="0" w:rightChars="0" w:firstLine="0" w:firstLineChars="0"/>
              <w:jc w:val="center"/>
              <w:rPr>
                <w:rFonts w:hint="eastAsia"/>
                <w:highlight w:val="none"/>
              </w:rPr>
            </w:pPr>
            <w:r>
              <w:rPr>
                <w:rFonts w:hint="eastAsia"/>
                <w:highlight w:val="none"/>
              </w:rPr>
              <w:t>万元</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8A0E2">
            <w:pPr>
              <w:pStyle w:val="32"/>
              <w:bidi w:val="0"/>
              <w:ind w:left="0" w:leftChars="0" w:right="0" w:rightChars="0" w:firstLine="0" w:firstLineChars="0"/>
              <w:jc w:val="center"/>
              <w:rPr>
                <w:rFonts w:hint="eastAsia"/>
                <w:highlight w:val="none"/>
              </w:rPr>
            </w:pPr>
            <w:r>
              <w:rPr>
                <w:rFonts w:hint="default"/>
                <w:highlight w:val="none"/>
                <w:lang w:val="en-US" w:eastAsia="zh-CN"/>
              </w:rPr>
              <w:t>3158.77</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AE0729">
            <w:pPr>
              <w:pStyle w:val="32"/>
              <w:bidi w:val="0"/>
              <w:ind w:left="0" w:leftChars="0" w:right="0" w:rightChars="0" w:firstLine="0" w:firstLineChars="0"/>
              <w:jc w:val="center"/>
              <w:rPr>
                <w:rFonts w:hint="eastAsia"/>
                <w:highlight w:val="none"/>
              </w:rPr>
            </w:pPr>
          </w:p>
        </w:tc>
      </w:tr>
      <w:tr w14:paraId="2D53A9BC">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92FE16">
            <w:pPr>
              <w:pStyle w:val="32"/>
              <w:bidi w:val="0"/>
              <w:ind w:left="0" w:leftChars="0" w:right="0" w:rightChars="0" w:firstLine="0" w:firstLineChars="0"/>
              <w:jc w:val="center"/>
              <w:rPr>
                <w:rFonts w:hint="eastAsia"/>
                <w:highlight w:val="none"/>
              </w:rPr>
            </w:pP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09A41D">
            <w:pPr>
              <w:pStyle w:val="32"/>
              <w:bidi w:val="0"/>
              <w:ind w:left="0" w:leftChars="0" w:right="0" w:rightChars="0" w:firstLine="0" w:firstLineChars="0"/>
              <w:jc w:val="center"/>
              <w:rPr>
                <w:rFonts w:hint="eastAsia"/>
                <w:highlight w:val="none"/>
              </w:rPr>
            </w:pPr>
            <w:r>
              <w:rPr>
                <w:rFonts w:hint="eastAsia"/>
                <w:highlight w:val="none"/>
              </w:rPr>
              <w:t>流动资金</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77AB41">
            <w:pPr>
              <w:pStyle w:val="32"/>
              <w:bidi w:val="0"/>
              <w:ind w:left="0" w:leftChars="0" w:right="0" w:rightChars="0" w:firstLine="0" w:firstLineChars="0"/>
              <w:jc w:val="center"/>
              <w:rPr>
                <w:rFonts w:hint="eastAsia"/>
                <w:highlight w:val="none"/>
              </w:rPr>
            </w:pPr>
            <w:r>
              <w:rPr>
                <w:rFonts w:hint="eastAsia"/>
                <w:highlight w:val="none"/>
              </w:rPr>
              <w:t>万元</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1E50F4">
            <w:pPr>
              <w:pStyle w:val="32"/>
              <w:bidi w:val="0"/>
              <w:ind w:left="0" w:leftChars="0" w:right="0" w:rightChars="0" w:firstLine="0" w:firstLineChars="0"/>
              <w:jc w:val="center"/>
              <w:rPr>
                <w:rFonts w:hint="eastAsia"/>
                <w:highlight w:val="none"/>
              </w:rPr>
            </w:pPr>
            <w:r>
              <w:rPr>
                <w:rFonts w:hint="default"/>
                <w:highlight w:val="none"/>
                <w:lang w:val="en-US" w:eastAsia="zh-CN"/>
              </w:rPr>
              <w:t>329.91</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840F6B">
            <w:pPr>
              <w:pStyle w:val="32"/>
              <w:bidi w:val="0"/>
              <w:ind w:left="0" w:leftChars="0" w:right="0" w:rightChars="0" w:firstLine="0" w:firstLineChars="0"/>
              <w:jc w:val="center"/>
              <w:rPr>
                <w:rFonts w:hint="eastAsia"/>
                <w:highlight w:val="none"/>
              </w:rPr>
            </w:pPr>
          </w:p>
        </w:tc>
      </w:tr>
      <w:tr w14:paraId="181FC976">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4AACF2">
            <w:pPr>
              <w:pStyle w:val="32"/>
              <w:bidi w:val="0"/>
              <w:ind w:left="0" w:leftChars="0" w:right="0" w:rightChars="0" w:firstLine="0" w:firstLineChars="0"/>
              <w:jc w:val="center"/>
              <w:rPr>
                <w:rFonts w:hint="eastAsia"/>
                <w:highlight w:val="none"/>
              </w:rPr>
            </w:pPr>
            <w:r>
              <w:rPr>
                <w:rFonts w:hint="eastAsia"/>
                <w:highlight w:val="none"/>
              </w:rPr>
              <w:t>4.2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BE2483">
            <w:pPr>
              <w:pStyle w:val="32"/>
              <w:bidi w:val="0"/>
              <w:ind w:left="0" w:leftChars="0" w:right="0" w:rightChars="0" w:firstLine="0" w:firstLineChars="0"/>
              <w:jc w:val="center"/>
              <w:rPr>
                <w:rFonts w:hint="eastAsia"/>
                <w:highlight w:val="none"/>
              </w:rPr>
            </w:pPr>
            <w:r>
              <w:rPr>
                <w:rFonts w:hint="eastAsia"/>
                <w:highlight w:val="none"/>
              </w:rPr>
              <w:t>资金来源</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6822BC">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CD2A59">
            <w:pPr>
              <w:pStyle w:val="32"/>
              <w:bidi w:val="0"/>
              <w:ind w:left="0" w:leftChars="0" w:right="0" w:rightChars="0" w:firstLine="0" w:firstLineChars="0"/>
              <w:jc w:val="center"/>
              <w:rPr>
                <w:rFonts w:hint="eastAsia"/>
                <w:highlight w:val="none"/>
              </w:rPr>
            </w:pP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ACF495">
            <w:pPr>
              <w:pStyle w:val="32"/>
              <w:bidi w:val="0"/>
              <w:ind w:left="0" w:leftChars="0" w:right="0" w:rightChars="0" w:firstLine="0" w:firstLineChars="0"/>
              <w:jc w:val="center"/>
              <w:rPr>
                <w:rFonts w:hint="eastAsia"/>
                <w:highlight w:val="none"/>
              </w:rPr>
            </w:pPr>
          </w:p>
        </w:tc>
      </w:tr>
      <w:tr w14:paraId="27AD3729">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87FCF1">
            <w:pPr>
              <w:pStyle w:val="32"/>
              <w:bidi w:val="0"/>
              <w:ind w:left="0" w:leftChars="0" w:right="0" w:rightChars="0" w:firstLine="0" w:firstLineChars="0"/>
              <w:jc w:val="center"/>
              <w:rPr>
                <w:rFonts w:hint="eastAsia"/>
                <w:highlight w:val="none"/>
              </w:rPr>
            </w:pP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CB9EAD">
            <w:pPr>
              <w:pStyle w:val="32"/>
              <w:bidi w:val="0"/>
              <w:ind w:left="0" w:leftChars="0" w:right="0" w:rightChars="0" w:firstLine="0" w:firstLineChars="0"/>
              <w:jc w:val="center"/>
              <w:rPr>
                <w:rFonts w:hint="eastAsia"/>
                <w:highlight w:val="none"/>
              </w:rPr>
            </w:pPr>
            <w:r>
              <w:rPr>
                <w:rFonts w:hint="eastAsia"/>
                <w:highlight w:val="none"/>
              </w:rPr>
              <w:t>自有资金</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7F0B4C">
            <w:pPr>
              <w:pStyle w:val="32"/>
              <w:bidi w:val="0"/>
              <w:ind w:left="0" w:leftChars="0" w:right="0" w:rightChars="0" w:firstLine="0" w:firstLineChars="0"/>
              <w:jc w:val="center"/>
              <w:rPr>
                <w:rFonts w:hint="eastAsia"/>
                <w:highlight w:val="none"/>
              </w:rPr>
            </w:pPr>
            <w:r>
              <w:rPr>
                <w:rFonts w:hint="eastAsia"/>
                <w:highlight w:val="none"/>
              </w:rPr>
              <w:t>万元</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C09B38">
            <w:pPr>
              <w:pStyle w:val="32"/>
              <w:bidi w:val="0"/>
              <w:ind w:left="0" w:leftChars="0" w:right="0" w:rightChars="0" w:firstLine="0" w:firstLineChars="0"/>
              <w:jc w:val="center"/>
              <w:rPr>
                <w:rFonts w:hint="eastAsia"/>
                <w:highlight w:val="none"/>
              </w:rPr>
            </w:pPr>
            <w:r>
              <w:rPr>
                <w:rFonts w:hint="default"/>
                <w:highlight w:val="none"/>
                <w:lang w:val="en-US" w:eastAsia="zh-CN"/>
              </w:rPr>
              <w:t>3488.68</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865003">
            <w:pPr>
              <w:pStyle w:val="32"/>
              <w:bidi w:val="0"/>
              <w:ind w:left="0" w:leftChars="0" w:right="0" w:rightChars="0" w:firstLine="0" w:firstLineChars="0"/>
              <w:jc w:val="center"/>
              <w:rPr>
                <w:rFonts w:hint="eastAsia"/>
                <w:highlight w:val="none"/>
              </w:rPr>
            </w:pPr>
          </w:p>
        </w:tc>
      </w:tr>
      <w:tr w14:paraId="3F7D9853">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52456F">
            <w:pPr>
              <w:pStyle w:val="32"/>
              <w:bidi w:val="0"/>
              <w:ind w:left="0" w:leftChars="0" w:right="0" w:rightChars="0" w:firstLine="0" w:firstLineChars="0"/>
              <w:jc w:val="center"/>
              <w:rPr>
                <w:rFonts w:hint="eastAsia"/>
                <w:highlight w:val="none"/>
              </w:rPr>
            </w:pPr>
            <w:r>
              <w:rPr>
                <w:rFonts w:hint="eastAsia"/>
                <w:highlight w:val="none"/>
              </w:rPr>
              <w:t>5</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CB5735">
            <w:pPr>
              <w:pStyle w:val="32"/>
              <w:bidi w:val="0"/>
              <w:ind w:left="0" w:leftChars="0" w:right="0" w:rightChars="0" w:firstLine="0" w:firstLineChars="0"/>
              <w:jc w:val="center"/>
              <w:rPr>
                <w:rFonts w:hint="eastAsia"/>
                <w:highlight w:val="none"/>
              </w:rPr>
            </w:pPr>
            <w:r>
              <w:rPr>
                <w:rFonts w:hint="eastAsia"/>
                <w:highlight w:val="none"/>
              </w:rPr>
              <w:t>成本费用</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3680FD">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D13258">
            <w:pPr>
              <w:pStyle w:val="32"/>
              <w:bidi w:val="0"/>
              <w:ind w:left="0" w:leftChars="0" w:right="0" w:rightChars="0" w:firstLine="0" w:firstLineChars="0"/>
              <w:jc w:val="center"/>
              <w:rPr>
                <w:rFonts w:hint="eastAsia"/>
                <w:highlight w:val="none"/>
              </w:rPr>
            </w:pPr>
            <w:r>
              <w:rPr>
                <w:rFonts w:hint="eastAsia"/>
                <w:highlight w:val="none"/>
                <w:lang w:val="en-US" w:eastAsia="zh-CN"/>
              </w:rPr>
              <w:t>年均</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6639AE">
            <w:pPr>
              <w:pStyle w:val="32"/>
              <w:bidi w:val="0"/>
              <w:ind w:left="0" w:leftChars="0" w:right="0" w:rightChars="0" w:firstLine="0" w:firstLineChars="0"/>
              <w:jc w:val="center"/>
              <w:rPr>
                <w:rFonts w:hint="eastAsia"/>
                <w:highlight w:val="none"/>
              </w:rPr>
            </w:pPr>
          </w:p>
        </w:tc>
      </w:tr>
      <w:tr w14:paraId="26F68844">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396AD5">
            <w:pPr>
              <w:pStyle w:val="32"/>
              <w:bidi w:val="0"/>
              <w:ind w:left="0" w:leftChars="0" w:right="0" w:rightChars="0" w:firstLine="0" w:firstLineChars="0"/>
              <w:jc w:val="center"/>
              <w:rPr>
                <w:rFonts w:hint="eastAsia"/>
                <w:highlight w:val="none"/>
              </w:rPr>
            </w:pPr>
            <w:r>
              <w:rPr>
                <w:rFonts w:hint="eastAsia"/>
                <w:highlight w:val="none"/>
              </w:rPr>
              <w:t>5.1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D9B7B3">
            <w:pPr>
              <w:pStyle w:val="32"/>
              <w:bidi w:val="0"/>
              <w:ind w:left="0" w:leftChars="0" w:right="0" w:rightChars="0" w:firstLine="0" w:firstLineChars="0"/>
              <w:jc w:val="center"/>
              <w:rPr>
                <w:rFonts w:hint="eastAsia"/>
                <w:highlight w:val="none"/>
              </w:rPr>
            </w:pPr>
            <w:r>
              <w:rPr>
                <w:rFonts w:hint="eastAsia"/>
                <w:highlight w:val="none"/>
              </w:rPr>
              <w:t>总成本费用</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78A200">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CC2B92">
            <w:pPr>
              <w:pStyle w:val="32"/>
              <w:bidi w:val="0"/>
              <w:ind w:left="0" w:leftChars="0" w:right="0" w:rightChars="0" w:firstLine="0" w:firstLineChars="0"/>
              <w:jc w:val="center"/>
              <w:rPr>
                <w:rFonts w:hint="eastAsia"/>
                <w:highlight w:val="none"/>
              </w:rPr>
            </w:pPr>
            <w:r>
              <w:rPr>
                <w:rFonts w:hint="default"/>
                <w:highlight w:val="none"/>
                <w:lang w:val="en-US" w:eastAsia="zh-CN"/>
              </w:rPr>
              <w:t>1395.35</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DBE823">
            <w:pPr>
              <w:pStyle w:val="32"/>
              <w:bidi w:val="0"/>
              <w:ind w:left="0" w:leftChars="0" w:right="0" w:rightChars="0" w:firstLine="0" w:firstLineChars="0"/>
              <w:jc w:val="center"/>
              <w:rPr>
                <w:rFonts w:hint="eastAsia"/>
                <w:highlight w:val="none"/>
              </w:rPr>
            </w:pPr>
          </w:p>
        </w:tc>
      </w:tr>
      <w:tr w14:paraId="458F9900">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BD16DB">
            <w:pPr>
              <w:pStyle w:val="32"/>
              <w:bidi w:val="0"/>
              <w:ind w:left="0" w:leftChars="0" w:right="0" w:rightChars="0" w:firstLine="0" w:firstLineChars="0"/>
              <w:jc w:val="center"/>
              <w:rPr>
                <w:rFonts w:hint="eastAsia"/>
                <w:highlight w:val="none"/>
              </w:rPr>
            </w:pPr>
            <w:r>
              <w:rPr>
                <w:rFonts w:hint="eastAsia"/>
                <w:highlight w:val="none"/>
              </w:rPr>
              <w:t>5.2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FFA9F">
            <w:pPr>
              <w:pStyle w:val="32"/>
              <w:bidi w:val="0"/>
              <w:ind w:left="0" w:leftChars="0" w:right="0" w:rightChars="0" w:firstLine="0" w:firstLineChars="0"/>
              <w:jc w:val="center"/>
              <w:rPr>
                <w:rFonts w:hint="eastAsia"/>
                <w:highlight w:val="none"/>
              </w:rPr>
            </w:pPr>
            <w:r>
              <w:rPr>
                <w:rFonts w:hint="eastAsia"/>
                <w:highlight w:val="none"/>
              </w:rPr>
              <w:t>单位总成本</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467D7">
            <w:pPr>
              <w:pStyle w:val="32"/>
              <w:bidi w:val="0"/>
              <w:ind w:left="0" w:leftChars="0" w:right="0" w:rightChars="0" w:firstLine="0" w:firstLineChars="0"/>
              <w:jc w:val="center"/>
              <w:rPr>
                <w:rFonts w:hint="eastAsia"/>
                <w:highlight w:val="none"/>
              </w:rPr>
            </w:pPr>
            <w:r>
              <w:rPr>
                <w:rFonts w:hint="eastAsia"/>
                <w:highlight w:val="none"/>
              </w:rPr>
              <w:t>元/t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078C22">
            <w:pPr>
              <w:pStyle w:val="32"/>
              <w:bidi w:val="0"/>
              <w:ind w:left="0" w:leftChars="0" w:right="0" w:rightChars="0" w:firstLine="0" w:firstLineChars="0"/>
              <w:jc w:val="center"/>
              <w:rPr>
                <w:rFonts w:hint="eastAsia"/>
                <w:highlight w:val="none"/>
              </w:rPr>
            </w:pPr>
            <w:r>
              <w:rPr>
                <w:rFonts w:hint="default"/>
                <w:highlight w:val="none"/>
                <w:lang w:val="en-US" w:eastAsia="zh-CN"/>
              </w:rPr>
              <w:t>93.02</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68DE5B">
            <w:pPr>
              <w:pStyle w:val="32"/>
              <w:bidi w:val="0"/>
              <w:ind w:left="0" w:leftChars="0" w:right="0" w:rightChars="0" w:firstLine="0" w:firstLineChars="0"/>
              <w:jc w:val="center"/>
              <w:rPr>
                <w:rFonts w:hint="eastAsia"/>
                <w:highlight w:val="none"/>
              </w:rPr>
            </w:pPr>
          </w:p>
        </w:tc>
      </w:tr>
      <w:tr w14:paraId="71C6F94C">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8BCCFD">
            <w:pPr>
              <w:pStyle w:val="32"/>
              <w:bidi w:val="0"/>
              <w:ind w:left="0" w:leftChars="0" w:right="0" w:rightChars="0" w:firstLine="0" w:firstLineChars="0"/>
              <w:jc w:val="center"/>
              <w:rPr>
                <w:rFonts w:hint="eastAsia"/>
                <w:highlight w:val="none"/>
              </w:rPr>
            </w:pPr>
            <w:r>
              <w:rPr>
                <w:rFonts w:hint="eastAsia"/>
                <w:highlight w:val="none"/>
              </w:rPr>
              <w:t>6</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F37805">
            <w:pPr>
              <w:pStyle w:val="32"/>
              <w:bidi w:val="0"/>
              <w:ind w:left="0" w:leftChars="0" w:right="0" w:rightChars="0" w:firstLine="0" w:firstLineChars="0"/>
              <w:jc w:val="center"/>
              <w:rPr>
                <w:rFonts w:hint="eastAsia"/>
                <w:highlight w:val="none"/>
              </w:rPr>
            </w:pPr>
            <w:r>
              <w:rPr>
                <w:rFonts w:hint="eastAsia"/>
                <w:highlight w:val="none"/>
              </w:rPr>
              <w:t>销售收入、税金及利润</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EF5AC4">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FEAA5D">
            <w:pPr>
              <w:pStyle w:val="32"/>
              <w:bidi w:val="0"/>
              <w:ind w:left="0" w:leftChars="0" w:right="0" w:rightChars="0" w:firstLine="0" w:firstLineChars="0"/>
              <w:jc w:val="center"/>
              <w:rPr>
                <w:rFonts w:hint="eastAsia"/>
                <w:highlight w:val="none"/>
              </w:rPr>
            </w:pPr>
            <w:r>
              <w:rPr>
                <w:rFonts w:hint="eastAsia"/>
                <w:highlight w:val="none"/>
                <w:lang w:val="en-US" w:eastAsia="zh-CN"/>
              </w:rPr>
              <w:t>年均</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7E2F2F">
            <w:pPr>
              <w:pStyle w:val="32"/>
              <w:bidi w:val="0"/>
              <w:ind w:left="0" w:leftChars="0" w:right="0" w:rightChars="0" w:firstLine="0" w:firstLineChars="0"/>
              <w:jc w:val="center"/>
              <w:rPr>
                <w:rFonts w:hint="eastAsia"/>
                <w:highlight w:val="none"/>
              </w:rPr>
            </w:pPr>
            <w:r>
              <w:rPr>
                <w:rFonts w:hint="eastAsia"/>
                <w:highlight w:val="none"/>
                <w:lang w:val="en-US" w:eastAsia="zh-CN"/>
              </w:rPr>
              <w:t>达产年</w:t>
            </w:r>
          </w:p>
        </w:tc>
      </w:tr>
      <w:tr w14:paraId="7C3C2B13">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DAF9B9">
            <w:pPr>
              <w:pStyle w:val="32"/>
              <w:bidi w:val="0"/>
              <w:ind w:left="0" w:leftChars="0" w:right="0" w:rightChars="0" w:firstLine="0" w:firstLineChars="0"/>
              <w:jc w:val="center"/>
              <w:rPr>
                <w:rFonts w:hint="eastAsia"/>
                <w:highlight w:val="none"/>
              </w:rPr>
            </w:pPr>
            <w:r>
              <w:rPr>
                <w:rFonts w:hint="eastAsia"/>
                <w:highlight w:val="none"/>
              </w:rPr>
              <w:t>6.1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11AEF2">
            <w:pPr>
              <w:pStyle w:val="32"/>
              <w:bidi w:val="0"/>
              <w:ind w:left="0" w:leftChars="0" w:right="0" w:rightChars="0" w:firstLine="0" w:firstLineChars="0"/>
              <w:jc w:val="center"/>
              <w:rPr>
                <w:rFonts w:hint="eastAsia"/>
                <w:highlight w:val="none"/>
              </w:rPr>
            </w:pPr>
            <w:r>
              <w:rPr>
                <w:rFonts w:hint="eastAsia"/>
                <w:highlight w:val="none"/>
              </w:rPr>
              <w:t>销售收入</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55C77E">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F4FB90">
            <w:pPr>
              <w:pStyle w:val="32"/>
              <w:bidi w:val="0"/>
              <w:ind w:left="0" w:leftChars="0" w:right="0" w:rightChars="0" w:firstLine="0" w:firstLineChars="0"/>
              <w:jc w:val="center"/>
              <w:rPr>
                <w:rFonts w:hint="eastAsia"/>
                <w:highlight w:val="none"/>
              </w:rPr>
            </w:pPr>
            <w:r>
              <w:rPr>
                <w:rFonts w:hint="default"/>
                <w:highlight w:val="none"/>
                <w:lang w:val="en-US" w:eastAsia="zh-CN"/>
              </w:rPr>
              <w:t>2491.64</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A3FDCD">
            <w:pPr>
              <w:pStyle w:val="32"/>
              <w:bidi w:val="0"/>
              <w:ind w:left="0" w:leftChars="0" w:right="0" w:rightChars="0" w:firstLine="0" w:firstLineChars="0"/>
              <w:jc w:val="center"/>
              <w:rPr>
                <w:rFonts w:hint="eastAsia"/>
                <w:highlight w:val="none"/>
              </w:rPr>
            </w:pPr>
            <w:r>
              <w:rPr>
                <w:rFonts w:hint="eastAsia"/>
                <w:highlight w:val="none"/>
                <w:lang w:val="en-US" w:eastAsia="zh-CN"/>
              </w:rPr>
              <w:t>2775</w:t>
            </w:r>
          </w:p>
        </w:tc>
      </w:tr>
      <w:tr w14:paraId="24681BFA">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557211">
            <w:pPr>
              <w:pStyle w:val="32"/>
              <w:bidi w:val="0"/>
              <w:ind w:left="0" w:leftChars="0" w:right="0" w:rightChars="0" w:firstLine="0" w:firstLineChars="0"/>
              <w:jc w:val="center"/>
              <w:rPr>
                <w:rFonts w:hint="eastAsia"/>
                <w:highlight w:val="none"/>
              </w:rPr>
            </w:pPr>
            <w:r>
              <w:rPr>
                <w:rFonts w:hint="eastAsia"/>
                <w:highlight w:val="none"/>
              </w:rPr>
              <w:t>6.2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2AF13D">
            <w:pPr>
              <w:pStyle w:val="32"/>
              <w:bidi w:val="0"/>
              <w:ind w:left="0" w:leftChars="0" w:right="0" w:rightChars="0" w:firstLine="0" w:firstLineChars="0"/>
              <w:jc w:val="center"/>
              <w:rPr>
                <w:rFonts w:hint="eastAsia"/>
                <w:highlight w:val="none"/>
              </w:rPr>
            </w:pPr>
            <w:r>
              <w:rPr>
                <w:rFonts w:hint="eastAsia"/>
                <w:highlight w:val="none"/>
              </w:rPr>
              <w:t>增值税</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929900">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032EE8">
            <w:pPr>
              <w:pStyle w:val="32"/>
              <w:bidi w:val="0"/>
              <w:ind w:left="0" w:leftChars="0" w:right="0" w:rightChars="0" w:firstLine="0" w:firstLineChars="0"/>
              <w:jc w:val="center"/>
              <w:rPr>
                <w:rFonts w:hint="eastAsia"/>
                <w:highlight w:val="none"/>
              </w:rPr>
            </w:pPr>
            <w:r>
              <w:rPr>
                <w:rFonts w:hint="default"/>
                <w:highlight w:val="none"/>
                <w:lang w:val="en-US" w:eastAsia="zh-CN"/>
              </w:rPr>
              <w:t>262.73</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AAFAED">
            <w:pPr>
              <w:pStyle w:val="32"/>
              <w:bidi w:val="0"/>
              <w:ind w:left="0" w:leftChars="0" w:right="0" w:rightChars="0" w:firstLine="0" w:firstLineChars="0"/>
              <w:jc w:val="center"/>
              <w:rPr>
                <w:rFonts w:hint="eastAsia"/>
                <w:highlight w:val="none"/>
              </w:rPr>
            </w:pPr>
            <w:r>
              <w:rPr>
                <w:rFonts w:hint="eastAsia"/>
                <w:highlight w:val="none"/>
                <w:lang w:val="en-US" w:eastAsia="zh-CN"/>
              </w:rPr>
              <w:t>292.61</w:t>
            </w:r>
          </w:p>
        </w:tc>
      </w:tr>
      <w:tr w14:paraId="3808D467">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0FA116">
            <w:pPr>
              <w:pStyle w:val="32"/>
              <w:bidi w:val="0"/>
              <w:ind w:left="0" w:leftChars="0" w:right="0" w:rightChars="0" w:firstLine="0" w:firstLineChars="0"/>
              <w:jc w:val="center"/>
              <w:rPr>
                <w:rFonts w:hint="eastAsia"/>
                <w:highlight w:val="none"/>
              </w:rPr>
            </w:pPr>
            <w:r>
              <w:rPr>
                <w:rFonts w:hint="eastAsia"/>
                <w:highlight w:val="none"/>
              </w:rPr>
              <w:t>6.3</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047881">
            <w:pPr>
              <w:pStyle w:val="32"/>
              <w:bidi w:val="0"/>
              <w:ind w:left="0" w:leftChars="0" w:right="0" w:rightChars="0" w:firstLine="0" w:firstLineChars="0"/>
              <w:jc w:val="center"/>
              <w:rPr>
                <w:rFonts w:hint="eastAsia"/>
                <w:highlight w:val="none"/>
              </w:rPr>
            </w:pPr>
            <w:r>
              <w:rPr>
                <w:rFonts w:hint="eastAsia"/>
                <w:highlight w:val="none"/>
              </w:rPr>
              <w:t>销售税金及附加</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64C45C">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9BB980">
            <w:pPr>
              <w:pStyle w:val="32"/>
              <w:bidi w:val="0"/>
              <w:ind w:left="0" w:leftChars="0" w:right="0" w:rightChars="0" w:firstLine="0" w:firstLineChars="0"/>
              <w:jc w:val="center"/>
              <w:rPr>
                <w:rFonts w:hint="eastAsia"/>
                <w:highlight w:val="none"/>
              </w:rPr>
            </w:pPr>
            <w:r>
              <w:rPr>
                <w:rFonts w:hint="default"/>
                <w:highlight w:val="none"/>
                <w:lang w:val="en-US" w:eastAsia="zh-CN"/>
              </w:rPr>
              <w:t>225.60</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B43420">
            <w:pPr>
              <w:pStyle w:val="32"/>
              <w:bidi w:val="0"/>
              <w:ind w:left="0" w:leftChars="0" w:right="0" w:rightChars="0" w:firstLine="0" w:firstLineChars="0"/>
              <w:jc w:val="center"/>
              <w:rPr>
                <w:rFonts w:hint="eastAsia"/>
                <w:highlight w:val="none"/>
              </w:rPr>
            </w:pPr>
            <w:r>
              <w:rPr>
                <w:rFonts w:hint="eastAsia"/>
                <w:highlight w:val="none"/>
                <w:lang w:val="en-US" w:eastAsia="zh-CN"/>
              </w:rPr>
              <w:t>251.26</w:t>
            </w:r>
          </w:p>
        </w:tc>
      </w:tr>
      <w:tr w14:paraId="46E956A6">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1F4828">
            <w:pPr>
              <w:pStyle w:val="32"/>
              <w:bidi w:val="0"/>
              <w:ind w:left="0" w:leftChars="0" w:right="0" w:rightChars="0" w:firstLine="0" w:firstLineChars="0"/>
              <w:jc w:val="center"/>
              <w:rPr>
                <w:rFonts w:hint="eastAsia"/>
                <w:highlight w:val="none"/>
              </w:rPr>
            </w:pPr>
            <w:r>
              <w:rPr>
                <w:rFonts w:hint="eastAsia"/>
                <w:highlight w:val="none"/>
              </w:rPr>
              <w:t>6.4</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AC827F">
            <w:pPr>
              <w:pStyle w:val="32"/>
              <w:bidi w:val="0"/>
              <w:ind w:left="0" w:leftChars="0" w:right="0" w:rightChars="0" w:firstLine="0" w:firstLineChars="0"/>
              <w:jc w:val="center"/>
              <w:rPr>
                <w:rFonts w:hint="eastAsia"/>
                <w:highlight w:val="none"/>
              </w:rPr>
            </w:pPr>
            <w:r>
              <w:rPr>
                <w:rFonts w:hint="eastAsia"/>
                <w:highlight w:val="none"/>
              </w:rPr>
              <w:t>利润总额</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94FC0C">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034CE5">
            <w:pPr>
              <w:pStyle w:val="32"/>
              <w:bidi w:val="0"/>
              <w:ind w:left="0" w:leftChars="0" w:right="0" w:rightChars="0" w:firstLine="0" w:firstLineChars="0"/>
              <w:jc w:val="center"/>
              <w:rPr>
                <w:rFonts w:hint="eastAsia"/>
                <w:highlight w:val="none"/>
              </w:rPr>
            </w:pPr>
            <w:r>
              <w:rPr>
                <w:rFonts w:hint="default"/>
                <w:highlight w:val="none"/>
                <w:lang w:val="en-US" w:eastAsia="zh-CN"/>
              </w:rPr>
              <w:t>870.69</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3442AE">
            <w:pPr>
              <w:pStyle w:val="32"/>
              <w:bidi w:val="0"/>
              <w:ind w:left="0" w:leftChars="0" w:right="0" w:rightChars="0" w:firstLine="0" w:firstLineChars="0"/>
              <w:jc w:val="center"/>
              <w:rPr>
                <w:rFonts w:hint="eastAsia"/>
                <w:highlight w:val="none"/>
              </w:rPr>
            </w:pPr>
            <w:r>
              <w:rPr>
                <w:rFonts w:hint="eastAsia"/>
                <w:highlight w:val="none"/>
                <w:lang w:val="en-US" w:eastAsia="zh-CN"/>
              </w:rPr>
              <w:t>995.15</w:t>
            </w:r>
          </w:p>
        </w:tc>
      </w:tr>
      <w:tr w14:paraId="6F685574">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60F5DF">
            <w:pPr>
              <w:pStyle w:val="32"/>
              <w:bidi w:val="0"/>
              <w:ind w:left="0" w:leftChars="0" w:right="0" w:rightChars="0" w:firstLine="0" w:firstLineChars="0"/>
              <w:jc w:val="center"/>
              <w:rPr>
                <w:rFonts w:hint="eastAsia"/>
                <w:highlight w:val="none"/>
              </w:rPr>
            </w:pPr>
            <w:r>
              <w:rPr>
                <w:rFonts w:hint="eastAsia"/>
                <w:highlight w:val="none"/>
              </w:rPr>
              <w:t>6.5</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1A0A33">
            <w:pPr>
              <w:pStyle w:val="32"/>
              <w:bidi w:val="0"/>
              <w:ind w:left="0" w:leftChars="0" w:right="0" w:rightChars="0" w:firstLine="0" w:firstLineChars="0"/>
              <w:jc w:val="center"/>
              <w:rPr>
                <w:rFonts w:hint="eastAsia"/>
                <w:highlight w:val="none"/>
              </w:rPr>
            </w:pPr>
            <w:r>
              <w:rPr>
                <w:rFonts w:hint="eastAsia"/>
                <w:highlight w:val="none"/>
              </w:rPr>
              <w:t>所得税</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DBB578">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B2F071">
            <w:pPr>
              <w:pStyle w:val="32"/>
              <w:bidi w:val="0"/>
              <w:ind w:left="0" w:leftChars="0" w:right="0" w:rightChars="0" w:firstLine="0" w:firstLineChars="0"/>
              <w:jc w:val="center"/>
              <w:rPr>
                <w:rFonts w:hint="eastAsia"/>
                <w:highlight w:val="none"/>
              </w:rPr>
            </w:pPr>
            <w:r>
              <w:rPr>
                <w:rFonts w:hint="default"/>
                <w:highlight w:val="none"/>
                <w:lang w:val="en-US" w:eastAsia="zh-CN"/>
              </w:rPr>
              <w:t>217.67</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41AD4">
            <w:pPr>
              <w:pStyle w:val="32"/>
              <w:bidi w:val="0"/>
              <w:ind w:left="0" w:leftChars="0" w:right="0" w:rightChars="0" w:firstLine="0" w:firstLineChars="0"/>
              <w:jc w:val="center"/>
              <w:rPr>
                <w:rFonts w:hint="eastAsia"/>
                <w:highlight w:val="none"/>
              </w:rPr>
            </w:pPr>
            <w:r>
              <w:rPr>
                <w:rFonts w:hint="eastAsia"/>
                <w:highlight w:val="none"/>
                <w:lang w:val="en-US" w:eastAsia="zh-CN"/>
              </w:rPr>
              <w:t>248.79</w:t>
            </w:r>
          </w:p>
        </w:tc>
      </w:tr>
      <w:tr w14:paraId="258143F9">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DA4649">
            <w:pPr>
              <w:pStyle w:val="32"/>
              <w:bidi w:val="0"/>
              <w:ind w:left="0" w:leftChars="0" w:right="0" w:rightChars="0" w:firstLine="0" w:firstLineChars="0"/>
              <w:jc w:val="center"/>
              <w:rPr>
                <w:rFonts w:hint="eastAsia"/>
                <w:highlight w:val="none"/>
              </w:rPr>
            </w:pPr>
            <w:r>
              <w:rPr>
                <w:rFonts w:hint="eastAsia"/>
                <w:highlight w:val="none"/>
              </w:rPr>
              <w:t>6.6</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153AEB">
            <w:pPr>
              <w:pStyle w:val="32"/>
              <w:bidi w:val="0"/>
              <w:ind w:left="0" w:leftChars="0" w:right="0" w:rightChars="0" w:firstLine="0" w:firstLineChars="0"/>
              <w:jc w:val="center"/>
              <w:rPr>
                <w:rFonts w:hint="eastAsia"/>
                <w:highlight w:val="none"/>
              </w:rPr>
            </w:pPr>
            <w:r>
              <w:rPr>
                <w:rFonts w:hint="eastAsia"/>
                <w:highlight w:val="none"/>
              </w:rPr>
              <w:t>净利润</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51851D">
            <w:pPr>
              <w:pStyle w:val="32"/>
              <w:bidi w:val="0"/>
              <w:ind w:left="0" w:leftChars="0" w:right="0" w:rightChars="0" w:firstLine="0" w:firstLineChars="0"/>
              <w:jc w:val="center"/>
              <w:rPr>
                <w:rFonts w:hint="eastAsia"/>
                <w:highlight w:val="none"/>
              </w:rPr>
            </w:pPr>
            <w:r>
              <w:rPr>
                <w:rFonts w:hint="eastAsia"/>
                <w:highlight w:val="none"/>
              </w:rPr>
              <w:t>万元/a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C2A182">
            <w:pPr>
              <w:pStyle w:val="32"/>
              <w:bidi w:val="0"/>
              <w:ind w:left="0" w:leftChars="0" w:right="0" w:rightChars="0" w:firstLine="0" w:firstLineChars="0"/>
              <w:jc w:val="center"/>
              <w:rPr>
                <w:rFonts w:hint="eastAsia"/>
                <w:highlight w:val="none"/>
              </w:rPr>
            </w:pPr>
            <w:r>
              <w:rPr>
                <w:rFonts w:hint="default"/>
                <w:highlight w:val="none"/>
                <w:lang w:val="en-US" w:eastAsia="zh-CN"/>
              </w:rPr>
              <w:t>653.02</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983B59">
            <w:pPr>
              <w:pStyle w:val="32"/>
              <w:bidi w:val="0"/>
              <w:ind w:left="0" w:leftChars="0" w:right="0" w:rightChars="0" w:firstLine="0" w:firstLineChars="0"/>
              <w:jc w:val="center"/>
              <w:rPr>
                <w:rFonts w:hint="eastAsia"/>
                <w:highlight w:val="none"/>
              </w:rPr>
            </w:pPr>
            <w:r>
              <w:rPr>
                <w:rFonts w:hint="eastAsia"/>
                <w:highlight w:val="none"/>
                <w:lang w:val="en-US" w:eastAsia="zh-CN"/>
              </w:rPr>
              <w:t>746.36</w:t>
            </w:r>
          </w:p>
        </w:tc>
      </w:tr>
      <w:tr w14:paraId="4DBF915C">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33D736">
            <w:pPr>
              <w:pStyle w:val="32"/>
              <w:bidi w:val="0"/>
              <w:ind w:left="0" w:leftChars="0" w:right="0" w:rightChars="0" w:firstLine="0" w:firstLineChars="0"/>
              <w:jc w:val="center"/>
              <w:rPr>
                <w:rFonts w:hint="eastAsia"/>
                <w:highlight w:val="none"/>
              </w:rPr>
            </w:pPr>
            <w:r>
              <w:rPr>
                <w:rFonts w:hint="eastAsia"/>
                <w:highlight w:val="none"/>
              </w:rPr>
              <w:t>7</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AD7CD9">
            <w:pPr>
              <w:pStyle w:val="32"/>
              <w:bidi w:val="0"/>
              <w:ind w:left="0" w:leftChars="0" w:right="0" w:rightChars="0" w:firstLine="0" w:firstLineChars="0"/>
              <w:jc w:val="center"/>
              <w:rPr>
                <w:rFonts w:hint="eastAsia"/>
                <w:highlight w:val="none"/>
              </w:rPr>
            </w:pPr>
            <w:r>
              <w:rPr>
                <w:rFonts w:hint="eastAsia"/>
                <w:highlight w:val="none"/>
              </w:rPr>
              <w:t>经济效益指标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B5A3F1">
            <w:pPr>
              <w:pStyle w:val="32"/>
              <w:bidi w:val="0"/>
              <w:ind w:left="0" w:leftChars="0" w:right="0" w:rightChars="0" w:firstLine="0" w:firstLineChars="0"/>
              <w:jc w:val="center"/>
              <w:rPr>
                <w:rFonts w:hint="eastAsia"/>
                <w:highlight w:val="none"/>
              </w:rPr>
            </w:pP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947FCA">
            <w:pPr>
              <w:pStyle w:val="32"/>
              <w:bidi w:val="0"/>
              <w:ind w:left="0" w:leftChars="0" w:right="0" w:rightChars="0" w:firstLine="0" w:firstLineChars="0"/>
              <w:jc w:val="center"/>
              <w:rPr>
                <w:rFonts w:hint="eastAsia"/>
                <w:highlight w:val="none"/>
              </w:rPr>
            </w:pPr>
            <w:r>
              <w:rPr>
                <w:rFonts w:hint="eastAsia"/>
                <w:highlight w:val="none"/>
                <w:lang w:val="en-US" w:eastAsia="zh-CN"/>
              </w:rPr>
              <w:t>税前</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3578C7">
            <w:pPr>
              <w:pStyle w:val="32"/>
              <w:bidi w:val="0"/>
              <w:ind w:left="0" w:leftChars="0" w:right="0" w:rightChars="0" w:firstLine="0" w:firstLineChars="0"/>
              <w:jc w:val="center"/>
              <w:rPr>
                <w:rFonts w:hint="eastAsia"/>
                <w:highlight w:val="none"/>
              </w:rPr>
            </w:pPr>
            <w:r>
              <w:rPr>
                <w:rFonts w:hint="eastAsia"/>
                <w:highlight w:val="none"/>
                <w:lang w:val="en-US" w:eastAsia="zh-CN"/>
              </w:rPr>
              <w:t>税后</w:t>
            </w:r>
          </w:p>
        </w:tc>
      </w:tr>
      <w:tr w14:paraId="6E6874FD">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F49A45">
            <w:pPr>
              <w:pStyle w:val="32"/>
              <w:bidi w:val="0"/>
              <w:ind w:left="0" w:leftChars="0" w:right="0" w:rightChars="0" w:firstLine="0" w:firstLineChars="0"/>
              <w:jc w:val="center"/>
              <w:rPr>
                <w:rFonts w:hint="eastAsia"/>
                <w:highlight w:val="none"/>
              </w:rPr>
            </w:pPr>
            <w:r>
              <w:rPr>
                <w:rFonts w:hint="eastAsia"/>
                <w:highlight w:val="none"/>
              </w:rPr>
              <w:t>7.1</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F219E9">
            <w:pPr>
              <w:pStyle w:val="32"/>
              <w:bidi w:val="0"/>
              <w:ind w:left="0" w:leftChars="0" w:right="0" w:rightChars="0" w:firstLine="0" w:firstLineChars="0"/>
              <w:jc w:val="center"/>
              <w:rPr>
                <w:rFonts w:hint="eastAsia"/>
                <w:highlight w:val="none"/>
              </w:rPr>
            </w:pPr>
            <w:r>
              <w:rPr>
                <w:rFonts w:hint="eastAsia"/>
                <w:highlight w:val="none"/>
              </w:rPr>
              <w:t>项目投资内部收益率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ADE10B">
            <w:pPr>
              <w:pStyle w:val="32"/>
              <w:bidi w:val="0"/>
              <w:ind w:left="0" w:leftChars="0" w:right="0" w:rightChars="0" w:firstLine="0" w:firstLineChars="0"/>
              <w:jc w:val="center"/>
              <w:rPr>
                <w:rFonts w:hint="eastAsia"/>
                <w:highlight w:val="none"/>
              </w:rPr>
            </w:pPr>
            <w:r>
              <w:rPr>
                <w:rFonts w:hint="eastAsia"/>
                <w:highlight w:val="none"/>
              </w:rPr>
              <w: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6E5C0F">
            <w:pPr>
              <w:pStyle w:val="32"/>
              <w:bidi w:val="0"/>
              <w:ind w:left="0" w:leftChars="0" w:right="0" w:rightChars="0" w:firstLine="0" w:firstLineChars="0"/>
              <w:jc w:val="center"/>
              <w:rPr>
                <w:rFonts w:hint="eastAsia"/>
                <w:highlight w:val="none"/>
              </w:rPr>
            </w:pPr>
            <w:r>
              <w:rPr>
                <w:rFonts w:hint="eastAsia"/>
                <w:highlight w:val="none"/>
                <w:lang w:val="en-US" w:eastAsia="zh-CN"/>
              </w:rPr>
              <w:t>23.41</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DE2AF8">
            <w:pPr>
              <w:pStyle w:val="32"/>
              <w:bidi w:val="0"/>
              <w:ind w:left="0" w:leftChars="0" w:right="0" w:rightChars="0" w:firstLine="0" w:firstLineChars="0"/>
              <w:jc w:val="center"/>
              <w:rPr>
                <w:rFonts w:hint="eastAsia"/>
                <w:highlight w:val="none"/>
              </w:rPr>
            </w:pPr>
            <w:r>
              <w:rPr>
                <w:rFonts w:hint="eastAsia"/>
                <w:highlight w:val="none"/>
                <w:lang w:val="en-US" w:eastAsia="zh-CN"/>
              </w:rPr>
              <w:t>17.82</w:t>
            </w:r>
          </w:p>
        </w:tc>
      </w:tr>
      <w:tr w14:paraId="01743866">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A36179">
            <w:pPr>
              <w:pStyle w:val="32"/>
              <w:bidi w:val="0"/>
              <w:ind w:left="0" w:leftChars="0" w:right="0" w:rightChars="0" w:firstLine="0" w:firstLineChars="0"/>
              <w:jc w:val="center"/>
              <w:rPr>
                <w:rFonts w:hint="eastAsia"/>
                <w:highlight w:val="none"/>
              </w:rPr>
            </w:pPr>
            <w:r>
              <w:rPr>
                <w:rFonts w:hint="eastAsia"/>
                <w:highlight w:val="none"/>
              </w:rPr>
              <w:t>7.2</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378508">
            <w:pPr>
              <w:pStyle w:val="32"/>
              <w:bidi w:val="0"/>
              <w:ind w:left="0" w:leftChars="0" w:right="0" w:rightChars="0" w:firstLine="0" w:firstLineChars="0"/>
              <w:jc w:val="center"/>
              <w:rPr>
                <w:rFonts w:hint="eastAsia"/>
                <w:highlight w:val="none"/>
              </w:rPr>
            </w:pPr>
            <w:r>
              <w:rPr>
                <w:rFonts w:hint="eastAsia"/>
                <w:highlight w:val="none"/>
              </w:rPr>
              <w:t>项目投资净现值（i＝12％）</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D5916D">
            <w:pPr>
              <w:pStyle w:val="32"/>
              <w:bidi w:val="0"/>
              <w:ind w:left="0" w:leftChars="0" w:right="0" w:rightChars="0" w:firstLine="0" w:firstLineChars="0"/>
              <w:jc w:val="center"/>
              <w:rPr>
                <w:rFonts w:hint="eastAsia"/>
                <w:highlight w:val="none"/>
              </w:rPr>
            </w:pPr>
            <w:r>
              <w:rPr>
                <w:rFonts w:hint="eastAsia"/>
                <w:highlight w:val="none"/>
              </w:rPr>
              <w:t>万元</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9F6EBE">
            <w:pPr>
              <w:pStyle w:val="32"/>
              <w:bidi w:val="0"/>
              <w:ind w:left="0" w:leftChars="0" w:right="0" w:rightChars="0" w:firstLine="0" w:firstLineChars="0"/>
              <w:jc w:val="center"/>
              <w:rPr>
                <w:rFonts w:hint="eastAsia"/>
                <w:highlight w:val="none"/>
              </w:rPr>
            </w:pPr>
            <w:r>
              <w:rPr>
                <w:rFonts w:hint="eastAsia"/>
                <w:highlight w:val="none"/>
                <w:lang w:val="en-US" w:eastAsia="zh-CN"/>
              </w:rPr>
              <w:t>1308.44</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CC79FA">
            <w:pPr>
              <w:pStyle w:val="32"/>
              <w:bidi w:val="0"/>
              <w:ind w:left="0" w:leftChars="0" w:right="0" w:rightChars="0" w:firstLine="0" w:firstLineChars="0"/>
              <w:jc w:val="center"/>
              <w:rPr>
                <w:rFonts w:hint="eastAsia"/>
                <w:highlight w:val="none"/>
              </w:rPr>
            </w:pPr>
            <w:r>
              <w:rPr>
                <w:rFonts w:hint="eastAsia"/>
                <w:highlight w:val="none"/>
                <w:lang w:val="en-US" w:eastAsia="zh-CN"/>
              </w:rPr>
              <w:t>647.7</w:t>
            </w:r>
          </w:p>
        </w:tc>
      </w:tr>
      <w:tr w14:paraId="239447DC">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D0E92D">
            <w:pPr>
              <w:pStyle w:val="32"/>
              <w:bidi w:val="0"/>
              <w:ind w:left="0" w:leftChars="0" w:right="0" w:rightChars="0" w:firstLine="0" w:firstLineChars="0"/>
              <w:jc w:val="center"/>
              <w:rPr>
                <w:rFonts w:hint="eastAsia"/>
                <w:highlight w:val="none"/>
              </w:rPr>
            </w:pPr>
            <w:r>
              <w:rPr>
                <w:rFonts w:hint="eastAsia"/>
                <w:highlight w:val="none"/>
              </w:rPr>
              <w:t>7.3</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231B84">
            <w:pPr>
              <w:pStyle w:val="32"/>
              <w:bidi w:val="0"/>
              <w:ind w:left="0" w:leftChars="0" w:right="0" w:rightChars="0" w:firstLine="0" w:firstLineChars="0"/>
              <w:jc w:val="center"/>
              <w:rPr>
                <w:rFonts w:hint="eastAsia"/>
                <w:highlight w:val="none"/>
              </w:rPr>
            </w:pPr>
            <w:r>
              <w:rPr>
                <w:rFonts w:hint="eastAsia"/>
                <w:highlight w:val="none"/>
              </w:rPr>
              <w:t>投资回收期</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D0FBE">
            <w:pPr>
              <w:pStyle w:val="32"/>
              <w:bidi w:val="0"/>
              <w:ind w:left="0" w:leftChars="0" w:right="0" w:rightChars="0" w:firstLine="0" w:firstLineChars="0"/>
              <w:jc w:val="center"/>
              <w:rPr>
                <w:rFonts w:hint="eastAsia"/>
                <w:highlight w:val="none"/>
              </w:rPr>
            </w:pPr>
            <w:r>
              <w:rPr>
                <w:rFonts w:hint="eastAsia"/>
                <w:highlight w:val="none"/>
              </w:rPr>
              <w:t>a</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A574C3">
            <w:pPr>
              <w:pStyle w:val="32"/>
              <w:bidi w:val="0"/>
              <w:ind w:left="0" w:leftChars="0" w:right="0" w:rightChars="0" w:firstLine="0" w:firstLineChars="0"/>
              <w:jc w:val="center"/>
              <w:rPr>
                <w:rFonts w:hint="eastAsia"/>
                <w:highlight w:val="none"/>
              </w:rPr>
            </w:pPr>
            <w:r>
              <w:rPr>
                <w:rFonts w:hint="eastAsia"/>
                <w:highlight w:val="none"/>
                <w:lang w:val="en-US" w:eastAsia="zh-CN"/>
              </w:rPr>
              <w:t>5.9</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2CA15D">
            <w:pPr>
              <w:pStyle w:val="32"/>
              <w:bidi w:val="0"/>
              <w:ind w:left="0" w:leftChars="0" w:right="0" w:rightChars="0" w:firstLine="0" w:firstLineChars="0"/>
              <w:jc w:val="center"/>
              <w:rPr>
                <w:rFonts w:hint="eastAsia"/>
                <w:highlight w:val="none"/>
              </w:rPr>
            </w:pPr>
            <w:r>
              <w:rPr>
                <w:rFonts w:hint="eastAsia"/>
                <w:highlight w:val="none"/>
                <w:lang w:val="en-US" w:eastAsia="zh-CN"/>
              </w:rPr>
              <w:t>6.65</w:t>
            </w:r>
          </w:p>
        </w:tc>
      </w:tr>
      <w:tr w14:paraId="62BD5688">
        <w:tblPrEx>
          <w:shd w:val="clear" w:color="auto" w:fill="FFFFFF"/>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0F165C">
            <w:pPr>
              <w:pStyle w:val="32"/>
              <w:bidi w:val="0"/>
              <w:ind w:left="0" w:leftChars="0" w:right="0" w:rightChars="0" w:firstLine="0" w:firstLineChars="0"/>
              <w:jc w:val="center"/>
              <w:rPr>
                <w:rFonts w:hint="eastAsia"/>
                <w:highlight w:val="none"/>
              </w:rPr>
            </w:pPr>
            <w:r>
              <w:rPr>
                <w:rFonts w:hint="eastAsia"/>
                <w:highlight w:val="none"/>
              </w:rPr>
              <w:t>7.4</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41D65A">
            <w:pPr>
              <w:pStyle w:val="32"/>
              <w:bidi w:val="0"/>
              <w:ind w:left="0" w:leftChars="0" w:right="0" w:rightChars="0" w:firstLine="0" w:firstLineChars="0"/>
              <w:jc w:val="center"/>
              <w:rPr>
                <w:rFonts w:hint="eastAsia"/>
                <w:highlight w:val="none"/>
              </w:rPr>
            </w:pPr>
            <w:r>
              <w:rPr>
                <w:rFonts w:hint="eastAsia"/>
                <w:highlight w:val="none"/>
              </w:rPr>
              <w:t>总投资收益率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76A533">
            <w:pPr>
              <w:pStyle w:val="32"/>
              <w:bidi w:val="0"/>
              <w:ind w:left="0" w:leftChars="0" w:right="0" w:rightChars="0" w:firstLine="0" w:firstLineChars="0"/>
              <w:jc w:val="center"/>
              <w:rPr>
                <w:rFonts w:hint="eastAsia"/>
                <w:highlight w:val="none"/>
              </w:rPr>
            </w:pPr>
            <w:r>
              <w:rPr>
                <w:rFonts w:hint="eastAsia"/>
                <w:highlight w:val="none"/>
              </w:rPr>
              <w: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CB67E4">
            <w:pPr>
              <w:pStyle w:val="32"/>
              <w:bidi w:val="0"/>
              <w:ind w:left="0" w:leftChars="0" w:right="0" w:rightChars="0" w:firstLine="0" w:firstLineChars="0"/>
              <w:jc w:val="center"/>
              <w:rPr>
                <w:rFonts w:hint="eastAsia"/>
                <w:highlight w:val="none"/>
              </w:rPr>
            </w:pPr>
            <w:r>
              <w:rPr>
                <w:rFonts w:hint="eastAsia"/>
                <w:highlight w:val="none"/>
                <w:lang w:val="en-US" w:eastAsia="zh-CN"/>
              </w:rPr>
              <w:t>24.96</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A39B4">
            <w:pPr>
              <w:pStyle w:val="32"/>
              <w:bidi w:val="0"/>
              <w:ind w:left="0" w:leftChars="0" w:right="0" w:rightChars="0" w:firstLine="0" w:firstLineChars="0"/>
              <w:jc w:val="center"/>
              <w:rPr>
                <w:rFonts w:hint="eastAsia"/>
                <w:highlight w:val="none"/>
              </w:rPr>
            </w:pPr>
          </w:p>
        </w:tc>
      </w:tr>
      <w:tr w14:paraId="373DA873">
        <w:tblPrEx>
          <w:tblCellMar>
            <w:top w:w="0" w:type="dxa"/>
            <w:left w:w="108" w:type="dxa"/>
            <w:bottom w:w="0" w:type="dxa"/>
            <w:right w:w="108" w:type="dxa"/>
          </w:tblCellMar>
        </w:tblPrEx>
        <w:trPr>
          <w:trHeight w:val="317" w:hRule="atLeast"/>
        </w:trPr>
        <w:tc>
          <w:tcPr>
            <w:tcW w:w="4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E34CE">
            <w:pPr>
              <w:pStyle w:val="32"/>
              <w:bidi w:val="0"/>
              <w:ind w:left="0" w:leftChars="0" w:right="0" w:rightChars="0" w:firstLine="0" w:firstLineChars="0"/>
              <w:jc w:val="center"/>
              <w:rPr>
                <w:rFonts w:hint="eastAsia"/>
                <w:highlight w:val="none"/>
              </w:rPr>
            </w:pPr>
            <w:r>
              <w:rPr>
                <w:rFonts w:hint="eastAsia"/>
                <w:highlight w:val="none"/>
              </w:rPr>
              <w:t>7.5</w:t>
            </w:r>
          </w:p>
        </w:tc>
        <w:tc>
          <w:tcPr>
            <w:tcW w:w="177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26C402">
            <w:pPr>
              <w:pStyle w:val="32"/>
              <w:bidi w:val="0"/>
              <w:ind w:left="0" w:leftChars="0" w:right="0" w:rightChars="0" w:firstLine="0" w:firstLineChars="0"/>
              <w:jc w:val="center"/>
              <w:rPr>
                <w:rFonts w:hint="eastAsia"/>
                <w:highlight w:val="none"/>
              </w:rPr>
            </w:pPr>
            <w:r>
              <w:rPr>
                <w:rFonts w:hint="eastAsia"/>
                <w:highlight w:val="none"/>
              </w:rPr>
              <w:t>项目资本金净利润率</w:t>
            </w:r>
          </w:p>
        </w:tc>
        <w:tc>
          <w:tcPr>
            <w:tcW w:w="59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126EDA">
            <w:pPr>
              <w:pStyle w:val="32"/>
              <w:bidi w:val="0"/>
              <w:ind w:left="0" w:leftChars="0" w:right="0" w:rightChars="0" w:firstLine="0" w:firstLineChars="0"/>
              <w:jc w:val="center"/>
              <w:rPr>
                <w:rFonts w:hint="eastAsia"/>
                <w:highlight w:val="none"/>
              </w:rPr>
            </w:pPr>
            <w:r>
              <w:rPr>
                <w:rFonts w:hint="eastAsia"/>
                <w:highlight w:val="none"/>
              </w:rPr>
              <w:t>％</w:t>
            </w:r>
          </w:p>
        </w:tc>
        <w:tc>
          <w:tcPr>
            <w:tcW w:w="117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60CBAB">
            <w:pPr>
              <w:pStyle w:val="32"/>
              <w:bidi w:val="0"/>
              <w:ind w:left="0" w:leftChars="0" w:right="0" w:rightChars="0" w:firstLine="0" w:firstLineChars="0"/>
              <w:jc w:val="center"/>
              <w:rPr>
                <w:rFonts w:hint="eastAsia"/>
                <w:highlight w:val="none"/>
              </w:rPr>
            </w:pPr>
            <w:r>
              <w:rPr>
                <w:rFonts w:hint="eastAsia"/>
                <w:highlight w:val="none"/>
                <w:lang w:val="en-US" w:eastAsia="zh-CN"/>
              </w:rPr>
              <w:t>18.72</w:t>
            </w:r>
          </w:p>
        </w:tc>
        <w:tc>
          <w:tcPr>
            <w:tcW w:w="9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9C9A3E">
            <w:pPr>
              <w:pStyle w:val="32"/>
              <w:bidi w:val="0"/>
              <w:ind w:left="0" w:leftChars="0" w:right="0" w:rightChars="0" w:firstLine="0" w:firstLineChars="0"/>
              <w:jc w:val="center"/>
              <w:rPr>
                <w:rFonts w:hint="eastAsia"/>
                <w:highlight w:val="none"/>
              </w:rPr>
            </w:pPr>
          </w:p>
        </w:tc>
      </w:tr>
    </w:tbl>
    <w:p w14:paraId="362200FE">
      <w:pPr>
        <w:pStyle w:val="22"/>
        <w:rPr>
          <w:rFonts w:hint="default"/>
          <w:highlight w:val="none"/>
          <w:lang w:val="en-US" w:eastAsia="zh-CN"/>
        </w:rPr>
      </w:pPr>
    </w:p>
    <w:p w14:paraId="321B5750">
      <w:pPr>
        <w:pStyle w:val="22"/>
        <w:rPr>
          <w:rFonts w:hint="default"/>
          <w:highlight w:val="none"/>
          <w:lang w:val="en-US" w:eastAsia="zh-CN"/>
        </w:rPr>
      </w:pPr>
    </w:p>
    <w:p w14:paraId="23958A56">
      <w:pPr>
        <w:pStyle w:val="22"/>
        <w:bidi w:val="0"/>
        <w:rPr>
          <w:rFonts w:hint="default"/>
          <w:highlight w:val="none"/>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51C781C1">
      <w:pPr>
        <w:pStyle w:val="28"/>
        <w:bidi w:val="0"/>
        <w:rPr>
          <w:rFonts w:hint="default"/>
          <w:highlight w:val="none"/>
          <w:lang w:val="en-US" w:eastAsia="zh-CN"/>
        </w:rPr>
      </w:pPr>
      <w:bookmarkStart w:id="10" w:name="_Toc11087"/>
      <w:r>
        <w:rPr>
          <w:rFonts w:hint="default"/>
          <w:highlight w:val="none"/>
          <w:lang w:val="en-US" w:eastAsia="zh-CN"/>
        </w:rPr>
        <w:t>定性、定量评价</w:t>
      </w:r>
      <w:bookmarkEnd w:id="10"/>
    </w:p>
    <w:p w14:paraId="67BA65C6">
      <w:pPr>
        <w:pStyle w:val="22"/>
        <w:bidi w:val="0"/>
        <w:rPr>
          <w:highlight w:val="none"/>
          <w:lang w:val="zh-CN"/>
        </w:rPr>
      </w:pPr>
      <w:r>
        <w:rPr>
          <w:highlight w:val="none"/>
          <w:lang w:val="zh-CN"/>
        </w:rPr>
        <w:t>根据项目建设特点，结合该矿山主要危险、有害因素的性质和存在部位，划分为1</w:t>
      </w:r>
      <w:r>
        <w:rPr>
          <w:rFonts w:hint="eastAsia"/>
          <w:highlight w:val="none"/>
        </w:rPr>
        <w:t>1</w:t>
      </w:r>
      <w:r>
        <w:rPr>
          <w:rFonts w:hint="eastAsia"/>
          <w:highlight w:val="none"/>
          <w:lang w:val="zh-CN"/>
        </w:rPr>
        <w:t>个单元。</w:t>
      </w:r>
    </w:p>
    <w:p w14:paraId="7E0CD20A">
      <w:pPr>
        <w:pStyle w:val="31"/>
        <w:bidi w:val="0"/>
        <w:rPr>
          <w:rFonts w:hint="eastAsia"/>
          <w:highlight w:val="none"/>
        </w:rPr>
      </w:pPr>
      <w:r>
        <w:rPr>
          <w:rFonts w:hint="eastAsia"/>
          <w:highlight w:val="none"/>
        </w:rPr>
        <w:t>表3 评价单元划分表</w:t>
      </w:r>
    </w:p>
    <w:tbl>
      <w:tblPr>
        <w:tblStyle w:val="24"/>
        <w:tblW w:w="44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6"/>
        <w:gridCol w:w="6849"/>
      </w:tblGrid>
      <w:tr w14:paraId="0707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0FA1DF7F">
            <w:pPr>
              <w:pStyle w:val="32"/>
              <w:bidi w:val="0"/>
              <w:rPr>
                <w:rFonts w:hint="eastAsia"/>
                <w:highlight w:val="none"/>
              </w:rPr>
            </w:pPr>
            <w:r>
              <w:rPr>
                <w:rFonts w:hint="eastAsia"/>
                <w:highlight w:val="none"/>
              </w:rPr>
              <w:t>序号</w:t>
            </w:r>
          </w:p>
        </w:tc>
        <w:tc>
          <w:tcPr>
            <w:tcW w:w="4094" w:type="pct"/>
            <w:noWrap w:val="0"/>
            <w:vAlign w:val="center"/>
          </w:tcPr>
          <w:p w14:paraId="0CBD1862">
            <w:pPr>
              <w:pStyle w:val="32"/>
              <w:bidi w:val="0"/>
              <w:rPr>
                <w:rFonts w:hint="eastAsia"/>
                <w:highlight w:val="none"/>
              </w:rPr>
            </w:pPr>
            <w:r>
              <w:rPr>
                <w:rFonts w:hint="eastAsia"/>
                <w:highlight w:val="none"/>
              </w:rPr>
              <w:t>评价单元划分</w:t>
            </w:r>
          </w:p>
        </w:tc>
      </w:tr>
      <w:tr w14:paraId="000F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6D36FE52">
            <w:pPr>
              <w:pStyle w:val="32"/>
              <w:bidi w:val="0"/>
              <w:rPr>
                <w:rFonts w:hint="eastAsia"/>
                <w:highlight w:val="none"/>
              </w:rPr>
            </w:pPr>
            <w:r>
              <w:rPr>
                <w:rFonts w:hint="eastAsia"/>
                <w:highlight w:val="none"/>
              </w:rPr>
              <w:t>1</w:t>
            </w:r>
          </w:p>
        </w:tc>
        <w:tc>
          <w:tcPr>
            <w:tcW w:w="4094" w:type="pct"/>
            <w:noWrap w:val="0"/>
            <w:vAlign w:val="center"/>
          </w:tcPr>
          <w:p w14:paraId="06994B37">
            <w:pPr>
              <w:pStyle w:val="32"/>
              <w:bidi w:val="0"/>
              <w:rPr>
                <w:rFonts w:hint="eastAsia"/>
                <w:highlight w:val="none"/>
              </w:rPr>
            </w:pPr>
            <w:r>
              <w:rPr>
                <w:rFonts w:hint="eastAsia"/>
                <w:highlight w:val="none"/>
              </w:rPr>
              <w:t>总平面布置</w:t>
            </w:r>
          </w:p>
        </w:tc>
      </w:tr>
      <w:tr w14:paraId="0427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53DC2762">
            <w:pPr>
              <w:pStyle w:val="32"/>
              <w:bidi w:val="0"/>
              <w:rPr>
                <w:rFonts w:hint="eastAsia"/>
                <w:highlight w:val="none"/>
              </w:rPr>
            </w:pPr>
            <w:r>
              <w:rPr>
                <w:rFonts w:hint="eastAsia"/>
                <w:highlight w:val="none"/>
              </w:rPr>
              <w:t>2</w:t>
            </w:r>
          </w:p>
        </w:tc>
        <w:tc>
          <w:tcPr>
            <w:tcW w:w="4094" w:type="pct"/>
            <w:noWrap w:val="0"/>
            <w:vAlign w:val="center"/>
          </w:tcPr>
          <w:p w14:paraId="73808EAA">
            <w:pPr>
              <w:pStyle w:val="32"/>
              <w:bidi w:val="0"/>
              <w:rPr>
                <w:rFonts w:hint="eastAsia"/>
                <w:highlight w:val="none"/>
              </w:rPr>
            </w:pPr>
            <w:r>
              <w:rPr>
                <w:rFonts w:hint="eastAsia"/>
                <w:highlight w:val="none"/>
              </w:rPr>
              <w:t>开拓系统</w:t>
            </w:r>
          </w:p>
        </w:tc>
      </w:tr>
      <w:tr w14:paraId="4B065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929C7F2">
            <w:pPr>
              <w:pStyle w:val="32"/>
              <w:bidi w:val="0"/>
              <w:rPr>
                <w:rFonts w:hint="eastAsia"/>
                <w:highlight w:val="none"/>
              </w:rPr>
            </w:pPr>
            <w:r>
              <w:rPr>
                <w:rFonts w:hint="eastAsia"/>
                <w:highlight w:val="none"/>
              </w:rPr>
              <w:t>3</w:t>
            </w:r>
          </w:p>
        </w:tc>
        <w:tc>
          <w:tcPr>
            <w:tcW w:w="4094" w:type="pct"/>
            <w:noWrap w:val="0"/>
            <w:vAlign w:val="center"/>
          </w:tcPr>
          <w:p w14:paraId="56E1D814">
            <w:pPr>
              <w:pStyle w:val="32"/>
              <w:bidi w:val="0"/>
              <w:rPr>
                <w:rFonts w:hint="eastAsia"/>
                <w:highlight w:val="none"/>
              </w:rPr>
            </w:pPr>
            <w:r>
              <w:rPr>
                <w:rFonts w:hint="eastAsia"/>
                <w:highlight w:val="none"/>
              </w:rPr>
              <w:t>提升和运输</w:t>
            </w:r>
          </w:p>
        </w:tc>
      </w:tr>
      <w:tr w14:paraId="3101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24AFF1B7">
            <w:pPr>
              <w:pStyle w:val="32"/>
              <w:bidi w:val="0"/>
              <w:rPr>
                <w:rFonts w:hint="eastAsia"/>
                <w:highlight w:val="none"/>
              </w:rPr>
            </w:pPr>
            <w:r>
              <w:rPr>
                <w:rFonts w:hint="eastAsia"/>
                <w:highlight w:val="none"/>
              </w:rPr>
              <w:t>4</w:t>
            </w:r>
          </w:p>
        </w:tc>
        <w:tc>
          <w:tcPr>
            <w:tcW w:w="4094" w:type="pct"/>
            <w:noWrap w:val="0"/>
            <w:vAlign w:val="center"/>
          </w:tcPr>
          <w:p w14:paraId="2A8A5662">
            <w:pPr>
              <w:pStyle w:val="32"/>
              <w:bidi w:val="0"/>
              <w:rPr>
                <w:rFonts w:hint="eastAsia"/>
                <w:highlight w:val="none"/>
              </w:rPr>
            </w:pPr>
            <w:r>
              <w:rPr>
                <w:rFonts w:hint="eastAsia"/>
                <w:highlight w:val="none"/>
              </w:rPr>
              <w:t>采掘</w:t>
            </w:r>
          </w:p>
        </w:tc>
      </w:tr>
      <w:tr w14:paraId="2628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136B068">
            <w:pPr>
              <w:pStyle w:val="32"/>
              <w:bidi w:val="0"/>
              <w:rPr>
                <w:rFonts w:hint="eastAsia"/>
                <w:highlight w:val="none"/>
              </w:rPr>
            </w:pPr>
            <w:r>
              <w:rPr>
                <w:rFonts w:hint="eastAsia"/>
                <w:highlight w:val="none"/>
              </w:rPr>
              <w:t>5</w:t>
            </w:r>
          </w:p>
        </w:tc>
        <w:tc>
          <w:tcPr>
            <w:tcW w:w="4094" w:type="pct"/>
            <w:noWrap w:val="0"/>
            <w:vAlign w:val="center"/>
          </w:tcPr>
          <w:p w14:paraId="4E107158">
            <w:pPr>
              <w:pStyle w:val="32"/>
              <w:bidi w:val="0"/>
              <w:rPr>
                <w:rFonts w:hint="eastAsia"/>
                <w:highlight w:val="none"/>
              </w:rPr>
            </w:pPr>
            <w:r>
              <w:rPr>
                <w:rFonts w:hint="eastAsia"/>
                <w:highlight w:val="none"/>
              </w:rPr>
              <w:t>通风防尘</w:t>
            </w:r>
          </w:p>
        </w:tc>
      </w:tr>
      <w:tr w14:paraId="3FDF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1CDE0C4E">
            <w:pPr>
              <w:pStyle w:val="32"/>
              <w:bidi w:val="0"/>
              <w:rPr>
                <w:rFonts w:hint="eastAsia"/>
                <w:highlight w:val="none"/>
              </w:rPr>
            </w:pPr>
            <w:r>
              <w:rPr>
                <w:rFonts w:hint="eastAsia"/>
                <w:highlight w:val="none"/>
              </w:rPr>
              <w:t>6</w:t>
            </w:r>
          </w:p>
        </w:tc>
        <w:tc>
          <w:tcPr>
            <w:tcW w:w="4094" w:type="pct"/>
            <w:noWrap w:val="0"/>
            <w:vAlign w:val="center"/>
          </w:tcPr>
          <w:p w14:paraId="535C42E1">
            <w:pPr>
              <w:pStyle w:val="32"/>
              <w:bidi w:val="0"/>
              <w:rPr>
                <w:rFonts w:hint="eastAsia"/>
                <w:highlight w:val="none"/>
              </w:rPr>
            </w:pPr>
            <w:r>
              <w:rPr>
                <w:rFonts w:hint="eastAsia"/>
                <w:highlight w:val="none"/>
              </w:rPr>
              <w:t>矿山电气</w:t>
            </w:r>
          </w:p>
        </w:tc>
      </w:tr>
      <w:tr w14:paraId="11129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3A1C18CB">
            <w:pPr>
              <w:pStyle w:val="32"/>
              <w:bidi w:val="0"/>
              <w:rPr>
                <w:rFonts w:hint="eastAsia"/>
                <w:highlight w:val="none"/>
              </w:rPr>
            </w:pPr>
            <w:r>
              <w:rPr>
                <w:rFonts w:hint="eastAsia"/>
                <w:highlight w:val="none"/>
              </w:rPr>
              <w:t>7</w:t>
            </w:r>
          </w:p>
        </w:tc>
        <w:tc>
          <w:tcPr>
            <w:tcW w:w="4094" w:type="pct"/>
            <w:noWrap w:val="0"/>
            <w:vAlign w:val="center"/>
          </w:tcPr>
          <w:p w14:paraId="1F622AC6">
            <w:pPr>
              <w:pStyle w:val="32"/>
              <w:bidi w:val="0"/>
              <w:rPr>
                <w:rFonts w:hint="eastAsia"/>
                <w:highlight w:val="none"/>
              </w:rPr>
            </w:pPr>
            <w:r>
              <w:rPr>
                <w:rFonts w:hint="eastAsia"/>
                <w:highlight w:val="none"/>
              </w:rPr>
              <w:t>防排水与防灭火</w:t>
            </w:r>
          </w:p>
        </w:tc>
      </w:tr>
      <w:tr w14:paraId="4F2C1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7875778">
            <w:pPr>
              <w:pStyle w:val="32"/>
              <w:bidi w:val="0"/>
              <w:rPr>
                <w:rFonts w:hint="eastAsia"/>
                <w:highlight w:val="none"/>
              </w:rPr>
            </w:pPr>
            <w:r>
              <w:rPr>
                <w:rFonts w:hint="eastAsia"/>
                <w:highlight w:val="none"/>
              </w:rPr>
              <w:t>8</w:t>
            </w:r>
          </w:p>
        </w:tc>
        <w:tc>
          <w:tcPr>
            <w:tcW w:w="4094" w:type="pct"/>
            <w:noWrap w:val="0"/>
            <w:vAlign w:val="center"/>
          </w:tcPr>
          <w:p w14:paraId="5813117F">
            <w:pPr>
              <w:pStyle w:val="32"/>
              <w:bidi w:val="0"/>
              <w:rPr>
                <w:rFonts w:hint="eastAsia"/>
                <w:highlight w:val="none"/>
              </w:rPr>
            </w:pPr>
            <w:r>
              <w:rPr>
                <w:rFonts w:hint="eastAsia"/>
                <w:highlight w:val="none"/>
              </w:rPr>
              <w:t>废石场</w:t>
            </w:r>
          </w:p>
        </w:tc>
      </w:tr>
      <w:tr w14:paraId="0F923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A7B4C58">
            <w:pPr>
              <w:pStyle w:val="32"/>
              <w:bidi w:val="0"/>
              <w:rPr>
                <w:rFonts w:hint="eastAsia"/>
                <w:highlight w:val="none"/>
              </w:rPr>
            </w:pPr>
            <w:r>
              <w:rPr>
                <w:rFonts w:hint="eastAsia"/>
                <w:highlight w:val="none"/>
              </w:rPr>
              <w:t>9</w:t>
            </w:r>
          </w:p>
        </w:tc>
        <w:tc>
          <w:tcPr>
            <w:tcW w:w="4094" w:type="pct"/>
            <w:noWrap w:val="0"/>
            <w:vAlign w:val="center"/>
          </w:tcPr>
          <w:p w14:paraId="4C19651A">
            <w:pPr>
              <w:pStyle w:val="32"/>
              <w:bidi w:val="0"/>
              <w:rPr>
                <w:rFonts w:hint="eastAsia"/>
                <w:highlight w:val="none"/>
              </w:rPr>
            </w:pPr>
            <w:r>
              <w:rPr>
                <w:rFonts w:hint="eastAsia"/>
                <w:highlight w:val="none"/>
              </w:rPr>
              <w:t>安全避险“六大系统”</w:t>
            </w:r>
          </w:p>
        </w:tc>
      </w:tr>
      <w:tr w14:paraId="45FBE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958F30B">
            <w:pPr>
              <w:pStyle w:val="32"/>
              <w:bidi w:val="0"/>
              <w:rPr>
                <w:rFonts w:hint="eastAsia"/>
                <w:highlight w:val="none"/>
              </w:rPr>
            </w:pPr>
            <w:r>
              <w:rPr>
                <w:rFonts w:hint="eastAsia"/>
                <w:highlight w:val="none"/>
              </w:rPr>
              <w:t>10</w:t>
            </w:r>
          </w:p>
        </w:tc>
        <w:tc>
          <w:tcPr>
            <w:tcW w:w="4094" w:type="pct"/>
            <w:noWrap w:val="0"/>
            <w:vAlign w:val="center"/>
          </w:tcPr>
          <w:p w14:paraId="372CC147">
            <w:pPr>
              <w:pStyle w:val="32"/>
              <w:bidi w:val="0"/>
              <w:rPr>
                <w:rFonts w:hint="eastAsia"/>
                <w:highlight w:val="none"/>
              </w:rPr>
            </w:pPr>
            <w:r>
              <w:rPr>
                <w:rFonts w:hint="eastAsia"/>
                <w:highlight w:val="none"/>
              </w:rPr>
              <w:t>安全管理</w:t>
            </w:r>
          </w:p>
        </w:tc>
      </w:tr>
      <w:tr w14:paraId="79E57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6F49C069">
            <w:pPr>
              <w:pStyle w:val="32"/>
              <w:bidi w:val="0"/>
              <w:rPr>
                <w:rFonts w:hint="eastAsia"/>
                <w:highlight w:val="none"/>
              </w:rPr>
            </w:pPr>
            <w:r>
              <w:rPr>
                <w:rFonts w:hint="eastAsia"/>
                <w:highlight w:val="none"/>
              </w:rPr>
              <w:t>11</w:t>
            </w:r>
          </w:p>
        </w:tc>
        <w:tc>
          <w:tcPr>
            <w:tcW w:w="4094" w:type="pct"/>
            <w:noWrap w:val="0"/>
            <w:vAlign w:val="center"/>
          </w:tcPr>
          <w:p w14:paraId="3511653A">
            <w:pPr>
              <w:pStyle w:val="32"/>
              <w:bidi w:val="0"/>
              <w:rPr>
                <w:rFonts w:hint="eastAsia"/>
                <w:highlight w:val="none"/>
              </w:rPr>
            </w:pPr>
            <w:r>
              <w:rPr>
                <w:rFonts w:hint="eastAsia"/>
                <w:highlight w:val="none"/>
              </w:rPr>
              <w:t>重大危险源辨识</w:t>
            </w:r>
          </w:p>
        </w:tc>
      </w:tr>
    </w:tbl>
    <w:p w14:paraId="37BED405">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highlight w:val="none"/>
        </w:rPr>
      </w:pPr>
      <w:r>
        <w:rPr>
          <w:highlight w:val="none"/>
          <w:lang w:val="zh-CN"/>
        </w:rPr>
        <w:t>根据《金属非金属矿山地下矿山建设项目安全预评价报告编写提纲》，本章节采用如下评价方法进行评价：安全检查表法、预先危险性分析法等定性评价方法；</w:t>
      </w:r>
      <w:r>
        <w:rPr>
          <w:rFonts w:hint="eastAsia"/>
          <w:highlight w:val="none"/>
        </w:rPr>
        <w:t>专家评议法</w:t>
      </w:r>
      <w:r>
        <w:rPr>
          <w:highlight w:val="none"/>
          <w:lang w:val="zh-CN"/>
        </w:rPr>
        <w:t>、工程类比法等定量评价方法对</w:t>
      </w:r>
      <w:r>
        <w:rPr>
          <w:rFonts w:hint="eastAsia"/>
          <w:highlight w:val="none"/>
        </w:rPr>
        <w:t>提升运输系统</w:t>
      </w:r>
      <w:r>
        <w:rPr>
          <w:highlight w:val="none"/>
          <w:lang w:val="zh-CN"/>
        </w:rPr>
        <w:t>、</w:t>
      </w:r>
      <w:r>
        <w:rPr>
          <w:rFonts w:hint="eastAsia"/>
          <w:highlight w:val="none"/>
        </w:rPr>
        <w:t>排水系统</w:t>
      </w:r>
      <w:r>
        <w:rPr>
          <w:highlight w:val="none"/>
          <w:lang w:val="zh-CN"/>
        </w:rPr>
        <w:t>、</w:t>
      </w:r>
      <w:r>
        <w:rPr>
          <w:rFonts w:hint="eastAsia"/>
          <w:highlight w:val="none"/>
        </w:rPr>
        <w:t>矿山电气</w:t>
      </w:r>
      <w:r>
        <w:rPr>
          <w:highlight w:val="none"/>
          <w:lang w:val="zh-CN"/>
        </w:rPr>
        <w:t>等进行评价。</w:t>
      </w:r>
    </w:p>
    <w:p w14:paraId="20B79D30">
      <w:pPr>
        <w:pStyle w:val="29"/>
        <w:bidi w:val="0"/>
        <w:rPr>
          <w:rFonts w:hint="default"/>
          <w:highlight w:val="none"/>
          <w:lang w:val="en-US" w:eastAsia="zh-CN"/>
        </w:rPr>
      </w:pPr>
      <w:bookmarkStart w:id="11" w:name="_Toc9688"/>
      <w:r>
        <w:rPr>
          <w:rFonts w:hint="default"/>
          <w:highlight w:val="none"/>
          <w:lang w:val="en-US" w:eastAsia="zh-CN"/>
        </w:rPr>
        <w:t>总平面布置单元</w:t>
      </w:r>
      <w:bookmarkEnd w:id="11"/>
    </w:p>
    <w:p w14:paraId="1E254522">
      <w:pPr>
        <w:pStyle w:val="30"/>
        <w:bidi w:val="0"/>
        <w:rPr>
          <w:rFonts w:hint="default"/>
          <w:highlight w:val="none"/>
          <w:lang w:val="en-US" w:eastAsia="zh-CN"/>
        </w:rPr>
      </w:pPr>
      <w:r>
        <w:rPr>
          <w:rFonts w:hint="default"/>
          <w:highlight w:val="none"/>
          <w:lang w:val="en-US" w:eastAsia="zh-CN"/>
        </w:rPr>
        <w:t>危险、有害因素辨识</w:t>
      </w:r>
    </w:p>
    <w:p w14:paraId="7264CFE1">
      <w:pPr>
        <w:pStyle w:val="22"/>
        <w:rPr>
          <w:rFonts w:hint="default"/>
          <w:highlight w:val="none"/>
          <w:lang w:val="en-US" w:eastAsia="zh-CN"/>
        </w:rPr>
      </w:pPr>
      <w:r>
        <w:rPr>
          <w:rFonts w:hint="default"/>
          <w:highlight w:val="none"/>
          <w:lang w:val="en-US" w:eastAsia="zh-CN"/>
        </w:rPr>
        <w:t>总平面布置单元涉及到的危险、有害因素有山体滑坡、泥石流、暴雨、山洪等。</w:t>
      </w:r>
    </w:p>
    <w:p w14:paraId="18A15E5D">
      <w:pPr>
        <w:pStyle w:val="22"/>
        <w:rPr>
          <w:rFonts w:hint="default"/>
          <w:highlight w:val="none"/>
          <w:lang w:val="en-US" w:eastAsia="zh-CN"/>
        </w:rPr>
      </w:pPr>
      <w:r>
        <w:rPr>
          <w:rFonts w:hint="default"/>
          <w:highlight w:val="none"/>
          <w:lang w:val="en-US" w:eastAsia="zh-CN"/>
        </w:rPr>
        <w:t>造成山体滑坡、泥石流、暴雨、山洪等危险因素均来自于工业场地周边的山体，如果矿山的工业场地选址不合理，在山体滑坡、泥石流、暴雨及洪水影响范围内，可能造成工业场地被埋没、被洪水淹没的后果。</w:t>
      </w:r>
    </w:p>
    <w:p w14:paraId="128FF879">
      <w:pPr>
        <w:pStyle w:val="30"/>
        <w:bidi w:val="0"/>
        <w:rPr>
          <w:rFonts w:hint="default"/>
          <w:highlight w:val="none"/>
          <w:lang w:val="en-US" w:eastAsia="zh-CN"/>
        </w:rPr>
      </w:pPr>
      <w:r>
        <w:rPr>
          <w:rFonts w:hint="default"/>
          <w:highlight w:val="none"/>
          <w:lang w:val="en-US" w:eastAsia="zh-CN"/>
        </w:rPr>
        <w:t>安全分析及符合性评价</w:t>
      </w:r>
    </w:p>
    <w:p w14:paraId="778855EF">
      <w:pPr>
        <w:pStyle w:val="22"/>
        <w:rPr>
          <w:rFonts w:hint="default"/>
          <w:highlight w:val="none"/>
          <w:lang w:val="en-US" w:eastAsia="zh-CN"/>
        </w:rPr>
      </w:pPr>
      <w:r>
        <w:rPr>
          <w:rFonts w:hint="default"/>
          <w:highlight w:val="none"/>
          <w:lang w:val="en-US" w:eastAsia="zh-CN"/>
        </w:rPr>
        <w:t>（1）安全检查表法分析评价</w:t>
      </w:r>
    </w:p>
    <w:p w14:paraId="6D7733B3">
      <w:pPr>
        <w:pStyle w:val="22"/>
        <w:rPr>
          <w:rFonts w:hint="default"/>
          <w:highlight w:val="none"/>
          <w:lang w:val="en-US" w:eastAsia="zh-CN"/>
        </w:rPr>
      </w:pPr>
      <w:r>
        <w:rPr>
          <w:rFonts w:hint="default"/>
          <w:highlight w:val="none"/>
          <w:lang w:val="en-US" w:eastAsia="zh-CN"/>
        </w:rPr>
        <w:t>对该项目总平面布置单元的安全检查表，见表3.1-1。</w:t>
      </w:r>
    </w:p>
    <w:p w14:paraId="2DEF561B">
      <w:pPr>
        <w:pStyle w:val="31"/>
        <w:bidi w:val="0"/>
        <w:rPr>
          <w:rFonts w:hint="eastAsia"/>
          <w:highlight w:val="none"/>
        </w:rPr>
      </w:pPr>
      <w:r>
        <w:rPr>
          <w:rFonts w:hint="eastAsia"/>
          <w:highlight w:val="none"/>
        </w:rPr>
        <w:t>表3.1-1  总平面布置单元安全检查表</w:t>
      </w:r>
    </w:p>
    <w:tbl>
      <w:tblPr>
        <w:tblStyle w:val="24"/>
        <w:tblW w:w="852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50"/>
        <w:gridCol w:w="2806"/>
        <w:gridCol w:w="1999"/>
        <w:gridCol w:w="1970"/>
        <w:gridCol w:w="1002"/>
      </w:tblGrid>
      <w:tr w14:paraId="79789B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556" w:type="dxa"/>
            <w:gridSpan w:val="2"/>
            <w:noWrap w:val="0"/>
            <w:vAlign w:val="center"/>
          </w:tcPr>
          <w:p w14:paraId="3FECA8B0">
            <w:pPr>
              <w:pStyle w:val="32"/>
              <w:bidi w:val="0"/>
              <w:rPr>
                <w:rFonts w:hint="eastAsia"/>
                <w:sz w:val="21"/>
                <w:szCs w:val="21"/>
                <w:highlight w:val="none"/>
              </w:rPr>
            </w:pPr>
            <w:r>
              <w:rPr>
                <w:rFonts w:hint="eastAsia"/>
                <w:sz w:val="21"/>
                <w:szCs w:val="21"/>
                <w:highlight w:val="none"/>
              </w:rPr>
              <w:t>检查项目和内容</w:t>
            </w:r>
          </w:p>
        </w:tc>
        <w:tc>
          <w:tcPr>
            <w:tcW w:w="1999" w:type="dxa"/>
            <w:noWrap w:val="0"/>
            <w:vAlign w:val="center"/>
          </w:tcPr>
          <w:p w14:paraId="6B9AFA5A">
            <w:pPr>
              <w:pStyle w:val="32"/>
              <w:bidi w:val="0"/>
              <w:rPr>
                <w:rFonts w:hint="eastAsia"/>
                <w:sz w:val="21"/>
                <w:szCs w:val="21"/>
                <w:highlight w:val="none"/>
              </w:rPr>
            </w:pPr>
            <w:r>
              <w:rPr>
                <w:rFonts w:hint="eastAsia"/>
                <w:sz w:val="21"/>
                <w:szCs w:val="21"/>
                <w:highlight w:val="none"/>
              </w:rPr>
              <w:t>依据标准</w:t>
            </w:r>
          </w:p>
        </w:tc>
        <w:tc>
          <w:tcPr>
            <w:tcW w:w="1970" w:type="dxa"/>
            <w:noWrap w:val="0"/>
            <w:vAlign w:val="center"/>
          </w:tcPr>
          <w:p w14:paraId="0E3E2A6D">
            <w:pPr>
              <w:pStyle w:val="32"/>
              <w:bidi w:val="0"/>
              <w:rPr>
                <w:rFonts w:hint="eastAsia"/>
                <w:sz w:val="21"/>
                <w:szCs w:val="21"/>
                <w:highlight w:val="none"/>
              </w:rPr>
            </w:pPr>
            <w:r>
              <w:rPr>
                <w:rFonts w:hint="eastAsia"/>
                <w:sz w:val="21"/>
                <w:szCs w:val="21"/>
                <w:highlight w:val="none"/>
              </w:rPr>
              <w:t>事实记录</w:t>
            </w:r>
          </w:p>
        </w:tc>
        <w:tc>
          <w:tcPr>
            <w:tcW w:w="1002" w:type="dxa"/>
            <w:noWrap w:val="0"/>
            <w:vAlign w:val="center"/>
          </w:tcPr>
          <w:p w14:paraId="41E9DC4D">
            <w:pPr>
              <w:pStyle w:val="32"/>
              <w:bidi w:val="0"/>
              <w:rPr>
                <w:rFonts w:hint="eastAsia"/>
                <w:sz w:val="21"/>
                <w:szCs w:val="21"/>
                <w:highlight w:val="none"/>
              </w:rPr>
            </w:pPr>
            <w:r>
              <w:rPr>
                <w:rFonts w:hint="eastAsia"/>
                <w:sz w:val="21"/>
                <w:szCs w:val="21"/>
                <w:highlight w:val="none"/>
              </w:rPr>
              <w:t>结论</w:t>
            </w:r>
          </w:p>
        </w:tc>
      </w:tr>
      <w:tr w14:paraId="26D0DF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restart"/>
            <w:noWrap w:val="0"/>
            <w:vAlign w:val="center"/>
          </w:tcPr>
          <w:p w14:paraId="5E17D8FB">
            <w:pPr>
              <w:pStyle w:val="32"/>
              <w:bidi w:val="0"/>
              <w:rPr>
                <w:rFonts w:hint="eastAsia"/>
                <w:sz w:val="21"/>
                <w:szCs w:val="21"/>
                <w:highlight w:val="none"/>
              </w:rPr>
            </w:pPr>
            <w:r>
              <w:rPr>
                <w:rFonts w:hint="eastAsia"/>
                <w:sz w:val="21"/>
                <w:szCs w:val="21"/>
                <w:highlight w:val="none"/>
              </w:rPr>
              <w:t>厂址选择</w:t>
            </w:r>
          </w:p>
        </w:tc>
        <w:tc>
          <w:tcPr>
            <w:tcW w:w="2806" w:type="dxa"/>
            <w:noWrap w:val="0"/>
            <w:vAlign w:val="center"/>
          </w:tcPr>
          <w:p w14:paraId="4D73B8F3">
            <w:pPr>
              <w:pStyle w:val="32"/>
              <w:bidi w:val="0"/>
              <w:rPr>
                <w:rFonts w:hint="eastAsia"/>
                <w:sz w:val="21"/>
                <w:szCs w:val="21"/>
                <w:highlight w:val="none"/>
              </w:rPr>
            </w:pPr>
            <w:r>
              <w:rPr>
                <w:rFonts w:hint="eastAsia"/>
                <w:sz w:val="21"/>
                <w:szCs w:val="21"/>
                <w:highlight w:val="none"/>
              </w:rPr>
              <w:t>1.1厂址应具有满足生产、生活及发展规划所必需的水源和电源</w:t>
            </w:r>
          </w:p>
        </w:tc>
        <w:tc>
          <w:tcPr>
            <w:tcW w:w="1999" w:type="dxa"/>
            <w:noWrap w:val="0"/>
            <w:vAlign w:val="center"/>
          </w:tcPr>
          <w:p w14:paraId="4FCACD86">
            <w:pPr>
              <w:pStyle w:val="32"/>
              <w:bidi w:val="0"/>
              <w:rPr>
                <w:rFonts w:hint="eastAsia"/>
                <w:sz w:val="21"/>
                <w:szCs w:val="21"/>
                <w:highlight w:val="none"/>
              </w:rPr>
            </w:pPr>
            <w:r>
              <w:rPr>
                <w:rFonts w:hint="eastAsia"/>
                <w:sz w:val="21"/>
                <w:szCs w:val="21"/>
                <w:highlight w:val="none"/>
              </w:rPr>
              <w:t>《工业企业总</w:t>
            </w:r>
          </w:p>
          <w:p w14:paraId="18AC3504">
            <w:pPr>
              <w:pStyle w:val="32"/>
              <w:bidi w:val="0"/>
              <w:rPr>
                <w:rFonts w:hint="eastAsia"/>
                <w:sz w:val="21"/>
                <w:szCs w:val="21"/>
                <w:highlight w:val="none"/>
              </w:rPr>
            </w:pPr>
            <w:r>
              <w:rPr>
                <w:rFonts w:hint="eastAsia"/>
                <w:sz w:val="21"/>
                <w:szCs w:val="21"/>
                <w:highlight w:val="none"/>
              </w:rPr>
              <w:t>平面设计规范》GB50187-2012第3.0.6条</w:t>
            </w:r>
          </w:p>
        </w:tc>
        <w:tc>
          <w:tcPr>
            <w:tcW w:w="1970" w:type="dxa"/>
            <w:noWrap w:val="0"/>
            <w:vAlign w:val="center"/>
          </w:tcPr>
          <w:p w14:paraId="553B6F70">
            <w:pPr>
              <w:pStyle w:val="32"/>
              <w:bidi w:val="0"/>
              <w:rPr>
                <w:rFonts w:hint="eastAsia"/>
                <w:sz w:val="21"/>
                <w:szCs w:val="21"/>
                <w:highlight w:val="none"/>
              </w:rPr>
            </w:pPr>
            <w:r>
              <w:rPr>
                <w:rFonts w:hint="eastAsia"/>
                <w:sz w:val="21"/>
                <w:szCs w:val="21"/>
                <w:highlight w:val="none"/>
              </w:rPr>
              <w:t>《可研报告》分析了供水和供电的来源，满足生产需要</w:t>
            </w:r>
          </w:p>
        </w:tc>
        <w:tc>
          <w:tcPr>
            <w:tcW w:w="1002" w:type="dxa"/>
            <w:noWrap w:val="0"/>
            <w:vAlign w:val="center"/>
          </w:tcPr>
          <w:p w14:paraId="0D362550">
            <w:pPr>
              <w:pStyle w:val="32"/>
              <w:bidi w:val="0"/>
              <w:rPr>
                <w:rFonts w:hint="eastAsia"/>
                <w:sz w:val="21"/>
                <w:szCs w:val="21"/>
                <w:highlight w:val="none"/>
              </w:rPr>
            </w:pPr>
            <w:r>
              <w:rPr>
                <w:rFonts w:hint="eastAsia"/>
                <w:sz w:val="21"/>
                <w:szCs w:val="21"/>
                <w:highlight w:val="none"/>
              </w:rPr>
              <w:t>符合</w:t>
            </w:r>
          </w:p>
          <w:p w14:paraId="60601824">
            <w:pPr>
              <w:pStyle w:val="32"/>
              <w:bidi w:val="0"/>
              <w:rPr>
                <w:rFonts w:hint="eastAsia"/>
                <w:sz w:val="21"/>
                <w:szCs w:val="21"/>
                <w:highlight w:val="none"/>
              </w:rPr>
            </w:pPr>
            <w:r>
              <w:rPr>
                <w:rFonts w:hint="eastAsia"/>
                <w:sz w:val="21"/>
                <w:szCs w:val="21"/>
                <w:highlight w:val="none"/>
              </w:rPr>
              <w:t>要求</w:t>
            </w:r>
          </w:p>
        </w:tc>
      </w:tr>
      <w:tr w14:paraId="562BEC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continue"/>
            <w:noWrap w:val="0"/>
            <w:vAlign w:val="center"/>
          </w:tcPr>
          <w:p w14:paraId="22CA17A1">
            <w:pPr>
              <w:pStyle w:val="32"/>
              <w:bidi w:val="0"/>
              <w:rPr>
                <w:rFonts w:hint="eastAsia"/>
                <w:sz w:val="21"/>
                <w:szCs w:val="21"/>
                <w:highlight w:val="none"/>
              </w:rPr>
            </w:pPr>
          </w:p>
        </w:tc>
        <w:tc>
          <w:tcPr>
            <w:tcW w:w="2806" w:type="dxa"/>
            <w:noWrap w:val="0"/>
            <w:vAlign w:val="center"/>
          </w:tcPr>
          <w:p w14:paraId="316A3FE6">
            <w:pPr>
              <w:pStyle w:val="32"/>
              <w:bidi w:val="0"/>
              <w:rPr>
                <w:rFonts w:hint="eastAsia"/>
                <w:sz w:val="21"/>
                <w:szCs w:val="21"/>
                <w:highlight w:val="none"/>
              </w:rPr>
            </w:pPr>
            <w:r>
              <w:rPr>
                <w:rFonts w:hint="eastAsia"/>
                <w:sz w:val="21"/>
                <w:szCs w:val="21"/>
                <w:highlight w:val="none"/>
              </w:rPr>
              <w:t>1.2厂址应具有满足建设工程需要的工程地质条件和水文地质条件</w:t>
            </w:r>
          </w:p>
        </w:tc>
        <w:tc>
          <w:tcPr>
            <w:tcW w:w="1999" w:type="dxa"/>
            <w:noWrap w:val="0"/>
            <w:vAlign w:val="center"/>
          </w:tcPr>
          <w:p w14:paraId="159500C9">
            <w:pPr>
              <w:pStyle w:val="32"/>
              <w:bidi w:val="0"/>
              <w:rPr>
                <w:rFonts w:hint="eastAsia"/>
                <w:sz w:val="21"/>
                <w:szCs w:val="21"/>
                <w:highlight w:val="none"/>
              </w:rPr>
            </w:pPr>
            <w:r>
              <w:rPr>
                <w:rFonts w:hint="eastAsia"/>
                <w:sz w:val="21"/>
                <w:szCs w:val="21"/>
                <w:highlight w:val="none"/>
              </w:rPr>
              <w:t>《工业企业总</w:t>
            </w:r>
          </w:p>
          <w:p w14:paraId="300D864F">
            <w:pPr>
              <w:pStyle w:val="32"/>
              <w:bidi w:val="0"/>
              <w:rPr>
                <w:rFonts w:hint="eastAsia"/>
                <w:sz w:val="21"/>
                <w:szCs w:val="21"/>
                <w:highlight w:val="none"/>
              </w:rPr>
            </w:pPr>
            <w:r>
              <w:rPr>
                <w:rFonts w:hint="eastAsia"/>
                <w:sz w:val="21"/>
                <w:szCs w:val="21"/>
                <w:highlight w:val="none"/>
              </w:rPr>
              <w:t>平面设计规范》GB50187-2012第3.0.8条</w:t>
            </w:r>
          </w:p>
        </w:tc>
        <w:tc>
          <w:tcPr>
            <w:tcW w:w="1970" w:type="dxa"/>
            <w:noWrap w:val="0"/>
            <w:vAlign w:val="center"/>
          </w:tcPr>
          <w:p w14:paraId="011677C9">
            <w:pPr>
              <w:pStyle w:val="32"/>
              <w:bidi w:val="0"/>
              <w:rPr>
                <w:rFonts w:hint="eastAsia"/>
                <w:sz w:val="21"/>
                <w:szCs w:val="21"/>
                <w:highlight w:val="none"/>
              </w:rPr>
            </w:pPr>
            <w:r>
              <w:rPr>
                <w:rFonts w:hint="eastAsia"/>
                <w:sz w:val="21"/>
                <w:szCs w:val="21"/>
                <w:highlight w:val="none"/>
              </w:rPr>
              <w:t>《可研报告》明确</w:t>
            </w:r>
            <w:r>
              <w:rPr>
                <w:rFonts w:hint="eastAsia"/>
                <w:sz w:val="21"/>
                <w:szCs w:val="21"/>
                <w:highlight w:val="none"/>
                <w:lang w:eastAsia="zh-CN"/>
              </w:rPr>
              <w:t>水文地质条件简单</w:t>
            </w:r>
            <w:r>
              <w:rPr>
                <w:rFonts w:hint="eastAsia"/>
                <w:sz w:val="21"/>
                <w:szCs w:val="21"/>
                <w:highlight w:val="none"/>
              </w:rPr>
              <w:t>，工程地质条件</w:t>
            </w:r>
            <w:r>
              <w:rPr>
                <w:rFonts w:hint="eastAsia"/>
                <w:sz w:val="21"/>
                <w:szCs w:val="21"/>
                <w:highlight w:val="none"/>
                <w:lang w:val="en-US" w:eastAsia="zh-CN"/>
              </w:rPr>
              <w:t>简单</w:t>
            </w:r>
            <w:r>
              <w:rPr>
                <w:rFonts w:hint="eastAsia"/>
                <w:sz w:val="21"/>
                <w:szCs w:val="21"/>
                <w:highlight w:val="none"/>
              </w:rPr>
              <w:t>。</w:t>
            </w:r>
          </w:p>
        </w:tc>
        <w:tc>
          <w:tcPr>
            <w:tcW w:w="1002" w:type="dxa"/>
            <w:noWrap w:val="0"/>
            <w:vAlign w:val="center"/>
          </w:tcPr>
          <w:p w14:paraId="5FF75F23">
            <w:pPr>
              <w:pStyle w:val="32"/>
              <w:bidi w:val="0"/>
              <w:rPr>
                <w:rFonts w:hint="eastAsia"/>
                <w:sz w:val="21"/>
                <w:szCs w:val="21"/>
                <w:highlight w:val="none"/>
              </w:rPr>
            </w:pPr>
            <w:r>
              <w:rPr>
                <w:rFonts w:hint="eastAsia"/>
                <w:sz w:val="21"/>
                <w:szCs w:val="21"/>
                <w:highlight w:val="none"/>
              </w:rPr>
              <w:t>符合</w:t>
            </w:r>
          </w:p>
          <w:p w14:paraId="0E50B212">
            <w:pPr>
              <w:pStyle w:val="32"/>
              <w:bidi w:val="0"/>
              <w:rPr>
                <w:rFonts w:hint="eastAsia"/>
                <w:sz w:val="21"/>
                <w:szCs w:val="21"/>
                <w:highlight w:val="none"/>
              </w:rPr>
            </w:pPr>
            <w:r>
              <w:rPr>
                <w:rFonts w:hint="eastAsia"/>
                <w:sz w:val="21"/>
                <w:szCs w:val="21"/>
                <w:highlight w:val="none"/>
              </w:rPr>
              <w:t>要求</w:t>
            </w:r>
          </w:p>
        </w:tc>
      </w:tr>
      <w:tr w14:paraId="0833E7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02A3219">
            <w:pPr>
              <w:pStyle w:val="32"/>
              <w:bidi w:val="0"/>
              <w:rPr>
                <w:rFonts w:hint="eastAsia"/>
                <w:sz w:val="21"/>
                <w:szCs w:val="21"/>
                <w:highlight w:val="none"/>
              </w:rPr>
            </w:pPr>
          </w:p>
        </w:tc>
        <w:tc>
          <w:tcPr>
            <w:tcW w:w="2806" w:type="dxa"/>
            <w:noWrap w:val="0"/>
            <w:vAlign w:val="center"/>
          </w:tcPr>
          <w:p w14:paraId="1353DAC1">
            <w:pPr>
              <w:pStyle w:val="32"/>
              <w:bidi w:val="0"/>
              <w:rPr>
                <w:rFonts w:hint="eastAsia"/>
                <w:sz w:val="21"/>
                <w:szCs w:val="21"/>
                <w:highlight w:val="none"/>
              </w:rPr>
            </w:pPr>
            <w:r>
              <w:rPr>
                <w:rFonts w:hint="eastAsia"/>
                <w:sz w:val="21"/>
                <w:szCs w:val="21"/>
                <w:highlight w:val="none"/>
              </w:rPr>
              <w:t>1.3厂址应位于不受洪水、潮水或内涝威胁的地带</w:t>
            </w:r>
          </w:p>
        </w:tc>
        <w:tc>
          <w:tcPr>
            <w:tcW w:w="1999" w:type="dxa"/>
            <w:noWrap w:val="0"/>
            <w:vAlign w:val="center"/>
          </w:tcPr>
          <w:p w14:paraId="49D67796">
            <w:pPr>
              <w:pStyle w:val="32"/>
              <w:bidi w:val="0"/>
              <w:rPr>
                <w:rFonts w:hint="eastAsia"/>
                <w:sz w:val="21"/>
                <w:szCs w:val="21"/>
                <w:highlight w:val="none"/>
              </w:rPr>
            </w:pPr>
            <w:r>
              <w:rPr>
                <w:rFonts w:hint="eastAsia"/>
                <w:sz w:val="21"/>
                <w:szCs w:val="21"/>
                <w:highlight w:val="none"/>
              </w:rPr>
              <w:t>《工业企业总</w:t>
            </w:r>
          </w:p>
          <w:p w14:paraId="18010B43">
            <w:pPr>
              <w:pStyle w:val="32"/>
              <w:bidi w:val="0"/>
              <w:rPr>
                <w:rFonts w:hint="eastAsia"/>
                <w:sz w:val="21"/>
                <w:szCs w:val="21"/>
                <w:highlight w:val="none"/>
              </w:rPr>
            </w:pPr>
            <w:r>
              <w:rPr>
                <w:rFonts w:hint="eastAsia"/>
                <w:sz w:val="21"/>
                <w:szCs w:val="21"/>
                <w:highlight w:val="none"/>
              </w:rPr>
              <w:t>平面设计规范》GB50187-2012第3.0.12条</w:t>
            </w:r>
          </w:p>
        </w:tc>
        <w:tc>
          <w:tcPr>
            <w:tcW w:w="1970" w:type="dxa"/>
            <w:noWrap w:val="0"/>
            <w:vAlign w:val="center"/>
          </w:tcPr>
          <w:p w14:paraId="351DCAC5">
            <w:pPr>
              <w:pStyle w:val="32"/>
              <w:bidi w:val="0"/>
              <w:rPr>
                <w:rFonts w:hint="eastAsia"/>
                <w:sz w:val="21"/>
                <w:szCs w:val="21"/>
                <w:highlight w:val="none"/>
                <w:lang w:eastAsia="zh-CN"/>
              </w:rPr>
            </w:pPr>
            <w:r>
              <w:rPr>
                <w:rFonts w:hint="eastAsia"/>
                <w:sz w:val="21"/>
                <w:szCs w:val="21"/>
                <w:highlight w:val="none"/>
              </w:rPr>
              <w:t>矿区现有工业场地，最低标高为272.8m，最低井口为斜坡道硐口，井口标高272.8m，均高于历史最高洪水位（262.7m）1m以上。满足安全生产要求</w:t>
            </w:r>
            <w:r>
              <w:rPr>
                <w:rFonts w:hint="eastAsia"/>
                <w:sz w:val="21"/>
                <w:szCs w:val="21"/>
                <w:highlight w:val="none"/>
                <w:lang w:eastAsia="zh-CN"/>
              </w:rPr>
              <w:t>。</w:t>
            </w:r>
          </w:p>
        </w:tc>
        <w:tc>
          <w:tcPr>
            <w:tcW w:w="1002" w:type="dxa"/>
            <w:noWrap w:val="0"/>
            <w:vAlign w:val="center"/>
          </w:tcPr>
          <w:p w14:paraId="2C8FF78F">
            <w:pPr>
              <w:pStyle w:val="32"/>
              <w:bidi w:val="0"/>
              <w:rPr>
                <w:rFonts w:hint="eastAsia"/>
                <w:sz w:val="21"/>
                <w:szCs w:val="21"/>
                <w:highlight w:val="none"/>
              </w:rPr>
            </w:pPr>
            <w:r>
              <w:rPr>
                <w:rFonts w:hint="eastAsia"/>
                <w:sz w:val="21"/>
                <w:szCs w:val="21"/>
                <w:highlight w:val="none"/>
              </w:rPr>
              <w:t>符合</w:t>
            </w:r>
          </w:p>
          <w:p w14:paraId="2226DFED">
            <w:pPr>
              <w:pStyle w:val="32"/>
              <w:bidi w:val="0"/>
              <w:rPr>
                <w:rFonts w:hint="eastAsia"/>
                <w:sz w:val="21"/>
                <w:szCs w:val="21"/>
                <w:highlight w:val="none"/>
              </w:rPr>
            </w:pPr>
            <w:r>
              <w:rPr>
                <w:rFonts w:hint="eastAsia"/>
                <w:sz w:val="21"/>
                <w:szCs w:val="21"/>
                <w:highlight w:val="none"/>
              </w:rPr>
              <w:t>要求</w:t>
            </w:r>
          </w:p>
        </w:tc>
      </w:tr>
      <w:tr w14:paraId="16C7FA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2950BD6">
            <w:pPr>
              <w:pStyle w:val="32"/>
              <w:bidi w:val="0"/>
              <w:rPr>
                <w:rFonts w:hint="eastAsia"/>
                <w:sz w:val="21"/>
                <w:szCs w:val="21"/>
                <w:highlight w:val="none"/>
              </w:rPr>
            </w:pPr>
          </w:p>
        </w:tc>
        <w:tc>
          <w:tcPr>
            <w:tcW w:w="2806" w:type="dxa"/>
            <w:noWrap w:val="0"/>
            <w:vAlign w:val="center"/>
          </w:tcPr>
          <w:p w14:paraId="1F4595EB">
            <w:pPr>
              <w:pStyle w:val="32"/>
              <w:bidi w:val="0"/>
              <w:rPr>
                <w:rFonts w:hint="eastAsia"/>
                <w:sz w:val="21"/>
                <w:szCs w:val="21"/>
                <w:highlight w:val="none"/>
              </w:rPr>
            </w:pPr>
            <w:r>
              <w:rPr>
                <w:rFonts w:hint="eastAsia"/>
                <w:sz w:val="21"/>
                <w:szCs w:val="21"/>
                <w:highlight w:val="none"/>
              </w:rPr>
              <w:t>1.4总平面布置，应防止有害气体、烟、雾、粉尘、强烈振动和高噪声对周围环境的危害</w:t>
            </w:r>
          </w:p>
        </w:tc>
        <w:tc>
          <w:tcPr>
            <w:tcW w:w="1999" w:type="dxa"/>
            <w:noWrap w:val="0"/>
            <w:vAlign w:val="center"/>
          </w:tcPr>
          <w:p w14:paraId="306AB900">
            <w:pPr>
              <w:pStyle w:val="32"/>
              <w:bidi w:val="0"/>
              <w:rPr>
                <w:rFonts w:hint="eastAsia"/>
                <w:sz w:val="21"/>
                <w:szCs w:val="21"/>
                <w:highlight w:val="none"/>
              </w:rPr>
            </w:pPr>
            <w:r>
              <w:rPr>
                <w:rFonts w:hint="eastAsia"/>
                <w:sz w:val="21"/>
                <w:szCs w:val="21"/>
                <w:highlight w:val="none"/>
              </w:rPr>
              <w:t>《工业企业总</w:t>
            </w:r>
          </w:p>
          <w:p w14:paraId="43451E5C">
            <w:pPr>
              <w:pStyle w:val="32"/>
              <w:bidi w:val="0"/>
              <w:rPr>
                <w:rFonts w:hint="eastAsia"/>
                <w:sz w:val="21"/>
                <w:szCs w:val="21"/>
                <w:highlight w:val="none"/>
              </w:rPr>
            </w:pPr>
            <w:r>
              <w:rPr>
                <w:rFonts w:hint="eastAsia"/>
                <w:sz w:val="21"/>
                <w:szCs w:val="21"/>
                <w:highlight w:val="none"/>
              </w:rPr>
              <w:t>平面设计规范》GB50187-2012第5.1.7条</w:t>
            </w:r>
          </w:p>
        </w:tc>
        <w:tc>
          <w:tcPr>
            <w:tcW w:w="1970" w:type="dxa"/>
            <w:noWrap w:val="0"/>
            <w:vAlign w:val="center"/>
          </w:tcPr>
          <w:p w14:paraId="3A51E614">
            <w:pPr>
              <w:pStyle w:val="32"/>
              <w:bidi w:val="0"/>
              <w:rPr>
                <w:rFonts w:hint="default"/>
                <w:sz w:val="21"/>
                <w:szCs w:val="21"/>
                <w:highlight w:val="none"/>
                <w:lang w:val="en-US" w:eastAsia="zh-CN"/>
              </w:rPr>
            </w:pPr>
            <w:r>
              <w:rPr>
                <w:rFonts w:hint="eastAsia"/>
                <w:sz w:val="21"/>
                <w:szCs w:val="21"/>
                <w:highlight w:val="none"/>
              </w:rPr>
              <w:t>矿区范围内无居民居住，距离矿区最近的住宅区为矿区南部的贺家堡村，设计地表岩石移动范围距离该村民房最近距离23m，井下回采作业面距离民房最近距离为165m</w:t>
            </w:r>
            <w:r>
              <w:rPr>
                <w:rFonts w:hint="eastAsia"/>
                <w:sz w:val="21"/>
                <w:szCs w:val="21"/>
                <w:highlight w:val="none"/>
                <w:lang w:eastAsia="zh-CN"/>
              </w:rPr>
              <w:t>。</w:t>
            </w:r>
            <w:r>
              <w:rPr>
                <w:rFonts w:hint="eastAsia"/>
                <w:sz w:val="21"/>
                <w:szCs w:val="21"/>
                <w:highlight w:val="none"/>
                <w:lang w:val="en-US" w:eastAsia="zh-CN"/>
              </w:rPr>
              <w:t>矿区西侧村庄为阳沟门村，距离矿界最近距离约320m，设计地表岩石移动范围距离该村庄民房最近距离约500m。</w:t>
            </w:r>
          </w:p>
          <w:p w14:paraId="5CC9D154">
            <w:pPr>
              <w:pStyle w:val="32"/>
              <w:bidi w:val="0"/>
              <w:rPr>
                <w:rFonts w:hint="eastAsia"/>
                <w:sz w:val="21"/>
                <w:szCs w:val="21"/>
                <w:highlight w:val="none"/>
                <w:lang w:val="en-US" w:eastAsia="zh-CN"/>
              </w:rPr>
            </w:pPr>
            <w:r>
              <w:rPr>
                <w:rFonts w:hint="eastAsia"/>
                <w:sz w:val="21"/>
                <w:szCs w:val="21"/>
                <w:highlight w:val="none"/>
                <w:lang w:val="en-US" w:eastAsia="zh-CN"/>
              </w:rPr>
              <w:t>且通</w:t>
            </w:r>
            <w:r>
              <w:rPr>
                <w:rFonts w:hint="eastAsia"/>
                <w:sz w:val="21"/>
                <w:szCs w:val="21"/>
                <w:highlight w:val="none"/>
              </w:rPr>
              <w:t>过采用嗣后充填方式处理采空区</w:t>
            </w:r>
            <w:r>
              <w:rPr>
                <w:rFonts w:hint="eastAsia"/>
                <w:sz w:val="21"/>
                <w:szCs w:val="21"/>
                <w:highlight w:val="none"/>
                <w:lang w:val="en-US" w:eastAsia="zh-CN"/>
              </w:rPr>
              <w:t>后，不会对矿区外居民造成影响。</w:t>
            </w:r>
          </w:p>
        </w:tc>
        <w:tc>
          <w:tcPr>
            <w:tcW w:w="1002" w:type="dxa"/>
            <w:noWrap w:val="0"/>
            <w:vAlign w:val="center"/>
          </w:tcPr>
          <w:p w14:paraId="35A2D069">
            <w:pPr>
              <w:pStyle w:val="32"/>
              <w:bidi w:val="0"/>
              <w:rPr>
                <w:rFonts w:hint="eastAsia"/>
                <w:sz w:val="21"/>
                <w:szCs w:val="21"/>
                <w:highlight w:val="none"/>
              </w:rPr>
            </w:pPr>
            <w:r>
              <w:rPr>
                <w:rFonts w:hint="eastAsia"/>
                <w:sz w:val="21"/>
                <w:szCs w:val="21"/>
                <w:highlight w:val="none"/>
              </w:rPr>
              <w:t>符合</w:t>
            </w:r>
          </w:p>
          <w:p w14:paraId="532EDF2D">
            <w:pPr>
              <w:pStyle w:val="32"/>
              <w:bidi w:val="0"/>
              <w:rPr>
                <w:rFonts w:hint="eastAsia"/>
                <w:sz w:val="21"/>
                <w:szCs w:val="21"/>
                <w:highlight w:val="none"/>
              </w:rPr>
            </w:pPr>
            <w:r>
              <w:rPr>
                <w:rFonts w:hint="eastAsia"/>
                <w:sz w:val="21"/>
                <w:szCs w:val="21"/>
                <w:highlight w:val="none"/>
              </w:rPr>
              <w:t>要求</w:t>
            </w:r>
          </w:p>
        </w:tc>
      </w:tr>
      <w:tr w14:paraId="2389CC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633" w:hRule="atLeast"/>
          <w:jc w:val="center"/>
        </w:trPr>
        <w:tc>
          <w:tcPr>
            <w:tcW w:w="750" w:type="dxa"/>
            <w:vMerge w:val="continue"/>
            <w:noWrap w:val="0"/>
            <w:vAlign w:val="center"/>
          </w:tcPr>
          <w:p w14:paraId="6A7BA4AC">
            <w:pPr>
              <w:pStyle w:val="32"/>
              <w:bidi w:val="0"/>
              <w:rPr>
                <w:rFonts w:hint="eastAsia"/>
                <w:sz w:val="21"/>
                <w:szCs w:val="21"/>
                <w:highlight w:val="none"/>
              </w:rPr>
            </w:pPr>
          </w:p>
        </w:tc>
        <w:tc>
          <w:tcPr>
            <w:tcW w:w="2806" w:type="dxa"/>
            <w:noWrap w:val="0"/>
            <w:vAlign w:val="center"/>
          </w:tcPr>
          <w:p w14:paraId="3EBA5B1D">
            <w:pPr>
              <w:pStyle w:val="32"/>
              <w:bidi w:val="0"/>
              <w:rPr>
                <w:rFonts w:hint="eastAsia"/>
                <w:sz w:val="21"/>
                <w:szCs w:val="21"/>
                <w:highlight w:val="none"/>
              </w:rPr>
            </w:pPr>
            <w:r>
              <w:rPr>
                <w:rFonts w:hint="eastAsia"/>
                <w:sz w:val="21"/>
                <w:szCs w:val="21"/>
                <w:highlight w:val="none"/>
              </w:rPr>
              <w:t>1.5厂区的通道宽度，应根据下列因素确定：通道两侧建筑物、构筑物及露天设施对防火、安全与卫生间距的要求；道路等工业运输线路的布置要求；绿化布置的要求；施工、安装要求；竖向设计的要求；预留发展用地的要求</w:t>
            </w:r>
          </w:p>
        </w:tc>
        <w:tc>
          <w:tcPr>
            <w:tcW w:w="1999" w:type="dxa"/>
            <w:noWrap w:val="0"/>
            <w:vAlign w:val="center"/>
          </w:tcPr>
          <w:p w14:paraId="783D6603">
            <w:pPr>
              <w:pStyle w:val="32"/>
              <w:bidi w:val="0"/>
              <w:rPr>
                <w:rFonts w:hint="eastAsia"/>
                <w:sz w:val="21"/>
                <w:szCs w:val="21"/>
                <w:highlight w:val="none"/>
              </w:rPr>
            </w:pPr>
            <w:r>
              <w:rPr>
                <w:rFonts w:hint="eastAsia"/>
                <w:sz w:val="21"/>
                <w:szCs w:val="21"/>
                <w:highlight w:val="none"/>
              </w:rPr>
              <w:t>《工业企业总</w:t>
            </w:r>
          </w:p>
          <w:p w14:paraId="6BC6A479">
            <w:pPr>
              <w:pStyle w:val="32"/>
              <w:bidi w:val="0"/>
              <w:rPr>
                <w:rFonts w:hint="eastAsia"/>
                <w:sz w:val="21"/>
                <w:szCs w:val="21"/>
                <w:highlight w:val="none"/>
              </w:rPr>
            </w:pPr>
            <w:r>
              <w:rPr>
                <w:rFonts w:hint="eastAsia"/>
                <w:sz w:val="21"/>
                <w:szCs w:val="21"/>
                <w:highlight w:val="none"/>
              </w:rPr>
              <w:t>平面设计规范》GB50187-2012第5.1.4条</w:t>
            </w:r>
          </w:p>
        </w:tc>
        <w:tc>
          <w:tcPr>
            <w:tcW w:w="1970" w:type="dxa"/>
            <w:noWrap w:val="0"/>
            <w:vAlign w:val="center"/>
          </w:tcPr>
          <w:p w14:paraId="3C047E9F">
            <w:pPr>
              <w:pStyle w:val="32"/>
              <w:bidi w:val="0"/>
              <w:rPr>
                <w:rFonts w:hint="eastAsia"/>
                <w:sz w:val="21"/>
                <w:szCs w:val="21"/>
                <w:highlight w:val="none"/>
              </w:rPr>
            </w:pPr>
            <w:r>
              <w:rPr>
                <w:rFonts w:hint="eastAsia"/>
                <w:sz w:val="21"/>
                <w:szCs w:val="21"/>
                <w:highlight w:val="none"/>
              </w:rPr>
              <w:t>矿山建（构）筑物防火间距满足建筑防火规范的要求</w:t>
            </w:r>
          </w:p>
        </w:tc>
        <w:tc>
          <w:tcPr>
            <w:tcW w:w="1002" w:type="dxa"/>
            <w:noWrap w:val="0"/>
            <w:vAlign w:val="center"/>
          </w:tcPr>
          <w:p w14:paraId="3ABF33DE">
            <w:pPr>
              <w:pStyle w:val="32"/>
              <w:bidi w:val="0"/>
              <w:rPr>
                <w:rFonts w:hint="eastAsia"/>
                <w:sz w:val="21"/>
                <w:szCs w:val="21"/>
                <w:highlight w:val="none"/>
              </w:rPr>
            </w:pPr>
            <w:r>
              <w:rPr>
                <w:rFonts w:hint="eastAsia"/>
                <w:sz w:val="21"/>
                <w:szCs w:val="21"/>
                <w:highlight w:val="none"/>
              </w:rPr>
              <w:t>符合</w:t>
            </w:r>
          </w:p>
          <w:p w14:paraId="144C7CBE">
            <w:pPr>
              <w:pStyle w:val="32"/>
              <w:bidi w:val="0"/>
              <w:rPr>
                <w:rFonts w:hint="eastAsia"/>
                <w:sz w:val="21"/>
                <w:szCs w:val="21"/>
                <w:highlight w:val="none"/>
              </w:rPr>
            </w:pPr>
            <w:r>
              <w:rPr>
                <w:rFonts w:hint="eastAsia"/>
                <w:sz w:val="21"/>
                <w:szCs w:val="21"/>
                <w:highlight w:val="none"/>
              </w:rPr>
              <w:t>要求</w:t>
            </w:r>
          </w:p>
        </w:tc>
      </w:tr>
      <w:tr w14:paraId="492346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06A46FF">
            <w:pPr>
              <w:pStyle w:val="32"/>
              <w:bidi w:val="0"/>
              <w:rPr>
                <w:rFonts w:hint="eastAsia"/>
                <w:sz w:val="21"/>
                <w:szCs w:val="21"/>
                <w:highlight w:val="none"/>
              </w:rPr>
            </w:pPr>
            <w:r>
              <w:rPr>
                <w:rFonts w:hint="eastAsia"/>
                <w:sz w:val="21"/>
                <w:szCs w:val="21"/>
                <w:highlight w:val="none"/>
              </w:rPr>
              <w:t>地表塌陷区</w:t>
            </w:r>
          </w:p>
        </w:tc>
        <w:tc>
          <w:tcPr>
            <w:tcW w:w="2806" w:type="dxa"/>
            <w:noWrap w:val="0"/>
            <w:vAlign w:val="center"/>
          </w:tcPr>
          <w:p w14:paraId="15BFCEEC">
            <w:pPr>
              <w:pStyle w:val="32"/>
              <w:bidi w:val="0"/>
              <w:rPr>
                <w:rFonts w:hint="eastAsia"/>
                <w:sz w:val="21"/>
                <w:szCs w:val="21"/>
                <w:highlight w:val="none"/>
              </w:rPr>
            </w:pPr>
            <w:r>
              <w:rPr>
                <w:rFonts w:hint="eastAsia"/>
                <w:sz w:val="21"/>
                <w:szCs w:val="21"/>
                <w:highlight w:val="none"/>
              </w:rPr>
              <w:t>地下开采时，应圈定岩体移动范围或岩体移动监测范围；地表主要建构筑物、主要井筒应布置在地表岩体移动范围之外，或者留保安矿柱消除其影响。</w:t>
            </w:r>
          </w:p>
        </w:tc>
        <w:tc>
          <w:tcPr>
            <w:tcW w:w="1999" w:type="dxa"/>
            <w:noWrap w:val="0"/>
            <w:vAlign w:val="center"/>
          </w:tcPr>
          <w:p w14:paraId="17087FBE">
            <w:pPr>
              <w:pStyle w:val="32"/>
              <w:bidi w:val="0"/>
              <w:rPr>
                <w:rFonts w:hint="eastAsia"/>
                <w:sz w:val="21"/>
                <w:szCs w:val="21"/>
                <w:highlight w:val="none"/>
              </w:rPr>
            </w:pPr>
            <w:r>
              <w:rPr>
                <w:rFonts w:hint="eastAsia"/>
                <w:sz w:val="21"/>
                <w:szCs w:val="21"/>
                <w:highlight w:val="none"/>
              </w:rPr>
              <w:t>《金属非金属</w:t>
            </w:r>
          </w:p>
          <w:p w14:paraId="141BE5AE">
            <w:pPr>
              <w:pStyle w:val="32"/>
              <w:bidi w:val="0"/>
              <w:rPr>
                <w:rFonts w:hint="eastAsia"/>
                <w:sz w:val="21"/>
                <w:szCs w:val="21"/>
                <w:highlight w:val="none"/>
              </w:rPr>
            </w:pPr>
            <w:r>
              <w:rPr>
                <w:rFonts w:hint="eastAsia"/>
                <w:sz w:val="21"/>
                <w:szCs w:val="21"/>
                <w:highlight w:val="none"/>
              </w:rPr>
              <w:t>矿山安全规程》GB16423-2020第6.3.1.2条</w:t>
            </w:r>
          </w:p>
        </w:tc>
        <w:tc>
          <w:tcPr>
            <w:tcW w:w="1970" w:type="dxa"/>
            <w:noWrap w:val="0"/>
            <w:vAlign w:val="center"/>
          </w:tcPr>
          <w:p w14:paraId="76C35488">
            <w:pPr>
              <w:pStyle w:val="32"/>
              <w:bidi w:val="0"/>
              <w:rPr>
                <w:rFonts w:hint="eastAsia"/>
                <w:sz w:val="21"/>
                <w:szCs w:val="21"/>
                <w:highlight w:val="none"/>
              </w:rPr>
            </w:pPr>
            <w:r>
              <w:rPr>
                <w:rFonts w:hint="eastAsia"/>
                <w:sz w:val="21"/>
                <w:szCs w:val="21"/>
                <w:highlight w:val="none"/>
              </w:rPr>
              <w:t>矿山地表工业场地布置各建构筑及设施均在地表岩体移动范围之外。</w:t>
            </w:r>
          </w:p>
        </w:tc>
        <w:tc>
          <w:tcPr>
            <w:tcW w:w="1002" w:type="dxa"/>
            <w:noWrap w:val="0"/>
            <w:vAlign w:val="center"/>
          </w:tcPr>
          <w:p w14:paraId="61FA684A">
            <w:pPr>
              <w:pStyle w:val="32"/>
              <w:bidi w:val="0"/>
              <w:rPr>
                <w:rFonts w:hint="eastAsia"/>
                <w:sz w:val="21"/>
                <w:szCs w:val="21"/>
                <w:highlight w:val="none"/>
              </w:rPr>
            </w:pPr>
            <w:r>
              <w:rPr>
                <w:rFonts w:hint="eastAsia"/>
                <w:sz w:val="21"/>
                <w:szCs w:val="21"/>
                <w:highlight w:val="none"/>
              </w:rPr>
              <w:t>符合</w:t>
            </w:r>
          </w:p>
          <w:p w14:paraId="032B5DCA">
            <w:pPr>
              <w:pStyle w:val="32"/>
              <w:bidi w:val="0"/>
              <w:rPr>
                <w:rFonts w:hint="eastAsia"/>
                <w:sz w:val="21"/>
                <w:szCs w:val="21"/>
                <w:highlight w:val="none"/>
              </w:rPr>
            </w:pPr>
            <w:r>
              <w:rPr>
                <w:rFonts w:hint="eastAsia"/>
                <w:sz w:val="21"/>
                <w:szCs w:val="21"/>
                <w:highlight w:val="none"/>
              </w:rPr>
              <w:t>要求</w:t>
            </w:r>
          </w:p>
        </w:tc>
      </w:tr>
      <w:tr w14:paraId="51CBB54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A809AAE">
            <w:pPr>
              <w:pStyle w:val="32"/>
              <w:bidi w:val="0"/>
              <w:rPr>
                <w:rFonts w:hint="eastAsia"/>
                <w:sz w:val="21"/>
                <w:szCs w:val="21"/>
                <w:highlight w:val="none"/>
              </w:rPr>
            </w:pPr>
            <w:r>
              <w:rPr>
                <w:rFonts w:hint="eastAsia"/>
                <w:sz w:val="21"/>
                <w:szCs w:val="21"/>
                <w:highlight w:val="none"/>
              </w:rPr>
              <w:t>空气压缩站的布置</w:t>
            </w:r>
          </w:p>
        </w:tc>
        <w:tc>
          <w:tcPr>
            <w:tcW w:w="2806" w:type="dxa"/>
            <w:noWrap w:val="0"/>
            <w:vAlign w:val="center"/>
          </w:tcPr>
          <w:p w14:paraId="1E51671F">
            <w:pPr>
              <w:pStyle w:val="32"/>
              <w:bidi w:val="0"/>
              <w:rPr>
                <w:rFonts w:hint="eastAsia"/>
                <w:sz w:val="21"/>
                <w:szCs w:val="21"/>
                <w:highlight w:val="none"/>
              </w:rPr>
            </w:pPr>
            <w:r>
              <w:rPr>
                <w:rFonts w:hint="eastAsia"/>
                <w:sz w:val="21"/>
                <w:szCs w:val="21"/>
                <w:highlight w:val="none"/>
              </w:rPr>
              <w:t>压缩空气站的布置，应符合下列要求：位于空气洁净的地段，避免靠近散发爆炸性、腐蚀性和有害气体及粉尘等的场所，并应位于上述场所全年最小频率风向的下风侧；压缩空气站的朝向，应结合地形、气象条件，使站内有良好的通风和采光。贮气罐宜布置在站房的北侧</w:t>
            </w:r>
          </w:p>
        </w:tc>
        <w:tc>
          <w:tcPr>
            <w:tcW w:w="1999" w:type="dxa"/>
            <w:noWrap w:val="0"/>
            <w:vAlign w:val="center"/>
          </w:tcPr>
          <w:p w14:paraId="279BCDE1">
            <w:pPr>
              <w:pStyle w:val="32"/>
              <w:bidi w:val="0"/>
              <w:rPr>
                <w:rFonts w:hint="eastAsia"/>
                <w:sz w:val="21"/>
                <w:szCs w:val="21"/>
                <w:highlight w:val="none"/>
              </w:rPr>
            </w:pPr>
            <w:r>
              <w:rPr>
                <w:rFonts w:hint="eastAsia"/>
                <w:sz w:val="21"/>
                <w:szCs w:val="21"/>
                <w:highlight w:val="none"/>
              </w:rPr>
              <w:t>《工业企业总</w:t>
            </w:r>
          </w:p>
          <w:p w14:paraId="4126706B">
            <w:pPr>
              <w:pStyle w:val="32"/>
              <w:bidi w:val="0"/>
              <w:rPr>
                <w:rFonts w:hint="eastAsia"/>
                <w:sz w:val="21"/>
                <w:szCs w:val="21"/>
                <w:highlight w:val="none"/>
              </w:rPr>
            </w:pPr>
            <w:r>
              <w:rPr>
                <w:rFonts w:hint="eastAsia"/>
                <w:sz w:val="21"/>
                <w:szCs w:val="21"/>
                <w:highlight w:val="none"/>
              </w:rPr>
              <w:t>平面设计规范》GB50187-2012第5.3.4条</w:t>
            </w:r>
          </w:p>
        </w:tc>
        <w:tc>
          <w:tcPr>
            <w:tcW w:w="1970" w:type="dxa"/>
            <w:noWrap w:val="0"/>
            <w:vAlign w:val="center"/>
          </w:tcPr>
          <w:p w14:paraId="1555AAB1">
            <w:pPr>
              <w:pStyle w:val="32"/>
              <w:bidi w:val="0"/>
              <w:rPr>
                <w:rFonts w:hint="eastAsia"/>
                <w:sz w:val="21"/>
                <w:szCs w:val="21"/>
                <w:highlight w:val="none"/>
              </w:rPr>
            </w:pPr>
            <w:r>
              <w:rPr>
                <w:rFonts w:hint="eastAsia"/>
                <w:sz w:val="21"/>
                <w:szCs w:val="21"/>
                <w:highlight w:val="none"/>
              </w:rPr>
              <w:t>根据《可研报告》总平面布置图和现场勘察可知，空压机房布置在</w:t>
            </w:r>
            <w:r>
              <w:rPr>
                <w:rFonts w:hint="eastAsia"/>
                <w:sz w:val="21"/>
                <w:szCs w:val="21"/>
                <w:highlight w:val="none"/>
                <w:lang w:val="en-US" w:eastAsia="zh-CN"/>
              </w:rPr>
              <w:t>管缆井附近</w:t>
            </w:r>
            <w:r>
              <w:rPr>
                <w:rFonts w:hint="eastAsia"/>
                <w:sz w:val="21"/>
                <w:szCs w:val="21"/>
                <w:highlight w:val="none"/>
              </w:rPr>
              <w:t>，贮气罐布置在站房的北侧。</w:t>
            </w:r>
          </w:p>
        </w:tc>
        <w:tc>
          <w:tcPr>
            <w:tcW w:w="1002" w:type="dxa"/>
            <w:noWrap w:val="0"/>
            <w:vAlign w:val="center"/>
          </w:tcPr>
          <w:p w14:paraId="64A3760B">
            <w:pPr>
              <w:pStyle w:val="32"/>
              <w:bidi w:val="0"/>
              <w:rPr>
                <w:rFonts w:hint="eastAsia"/>
                <w:sz w:val="21"/>
                <w:szCs w:val="21"/>
                <w:highlight w:val="none"/>
              </w:rPr>
            </w:pPr>
            <w:r>
              <w:rPr>
                <w:rFonts w:hint="eastAsia"/>
                <w:sz w:val="21"/>
                <w:szCs w:val="21"/>
                <w:highlight w:val="none"/>
              </w:rPr>
              <w:t>符合</w:t>
            </w:r>
          </w:p>
          <w:p w14:paraId="1D7C8426">
            <w:pPr>
              <w:pStyle w:val="32"/>
              <w:bidi w:val="0"/>
              <w:rPr>
                <w:rFonts w:hint="eastAsia"/>
                <w:sz w:val="21"/>
                <w:szCs w:val="21"/>
                <w:highlight w:val="none"/>
              </w:rPr>
            </w:pPr>
            <w:r>
              <w:rPr>
                <w:rFonts w:hint="eastAsia"/>
                <w:sz w:val="21"/>
                <w:szCs w:val="21"/>
                <w:highlight w:val="none"/>
              </w:rPr>
              <w:t>要求</w:t>
            </w:r>
          </w:p>
        </w:tc>
      </w:tr>
      <w:tr w14:paraId="0F3E40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42F43800">
            <w:pPr>
              <w:pStyle w:val="32"/>
              <w:bidi w:val="0"/>
              <w:rPr>
                <w:rFonts w:hint="eastAsia"/>
                <w:sz w:val="21"/>
                <w:szCs w:val="21"/>
                <w:highlight w:val="none"/>
              </w:rPr>
            </w:pPr>
            <w:r>
              <w:rPr>
                <w:rFonts w:hint="eastAsia"/>
                <w:sz w:val="21"/>
                <w:szCs w:val="21"/>
                <w:highlight w:val="none"/>
              </w:rPr>
              <w:t>变电站布置</w:t>
            </w:r>
          </w:p>
        </w:tc>
        <w:tc>
          <w:tcPr>
            <w:tcW w:w="2806" w:type="dxa"/>
            <w:noWrap w:val="0"/>
            <w:vAlign w:val="center"/>
          </w:tcPr>
          <w:p w14:paraId="517B2734">
            <w:pPr>
              <w:pStyle w:val="32"/>
              <w:bidi w:val="0"/>
              <w:rPr>
                <w:rFonts w:hint="eastAsia"/>
                <w:sz w:val="21"/>
                <w:szCs w:val="21"/>
                <w:highlight w:val="none"/>
              </w:rPr>
            </w:pPr>
            <w:r>
              <w:rPr>
                <w:rFonts w:hint="eastAsia"/>
                <w:sz w:val="21"/>
                <w:szCs w:val="21"/>
                <w:highlight w:val="none"/>
              </w:rPr>
              <w:t>总变电站位置的选择，应符合下列要求：应便于输电线路进出，靠近负荷中心或主要用户；不得受粉尘、水雾、腐蚀性气体等污染源的影响，并应位于散发粉尘、腐蚀性气体污染源全年最小频率风向的下风侧和散发水雾场所冬季盛行风向的上风侧；避免布置在有强烈振动设施的场地附近；应有运输变压器的道路；地势较高，避免位于低洼积水地段</w:t>
            </w:r>
          </w:p>
        </w:tc>
        <w:tc>
          <w:tcPr>
            <w:tcW w:w="1999" w:type="dxa"/>
            <w:noWrap w:val="0"/>
            <w:vAlign w:val="center"/>
          </w:tcPr>
          <w:p w14:paraId="39E3E550">
            <w:pPr>
              <w:pStyle w:val="32"/>
              <w:bidi w:val="0"/>
              <w:rPr>
                <w:rFonts w:hint="eastAsia"/>
                <w:sz w:val="21"/>
                <w:szCs w:val="21"/>
                <w:highlight w:val="none"/>
              </w:rPr>
            </w:pPr>
            <w:r>
              <w:rPr>
                <w:rFonts w:hint="eastAsia"/>
                <w:sz w:val="21"/>
                <w:szCs w:val="21"/>
                <w:highlight w:val="none"/>
              </w:rPr>
              <w:t>《工业企业总</w:t>
            </w:r>
          </w:p>
          <w:p w14:paraId="52636808">
            <w:pPr>
              <w:pStyle w:val="32"/>
              <w:bidi w:val="0"/>
              <w:rPr>
                <w:rFonts w:hint="eastAsia"/>
                <w:sz w:val="21"/>
                <w:szCs w:val="21"/>
                <w:highlight w:val="none"/>
              </w:rPr>
            </w:pPr>
            <w:r>
              <w:rPr>
                <w:rFonts w:hint="eastAsia"/>
                <w:sz w:val="21"/>
                <w:szCs w:val="21"/>
                <w:highlight w:val="none"/>
              </w:rPr>
              <w:t>平面设计规范》GB50187-2012第5.3.2条</w:t>
            </w:r>
          </w:p>
        </w:tc>
        <w:tc>
          <w:tcPr>
            <w:tcW w:w="1970" w:type="dxa"/>
            <w:noWrap w:val="0"/>
            <w:vAlign w:val="center"/>
          </w:tcPr>
          <w:p w14:paraId="55513F1B">
            <w:pPr>
              <w:pStyle w:val="32"/>
              <w:bidi w:val="0"/>
              <w:rPr>
                <w:rFonts w:hint="eastAsia"/>
                <w:sz w:val="21"/>
                <w:szCs w:val="21"/>
                <w:highlight w:val="none"/>
              </w:rPr>
            </w:pPr>
            <w:r>
              <w:rPr>
                <w:rFonts w:hint="eastAsia"/>
                <w:sz w:val="21"/>
                <w:szCs w:val="21"/>
                <w:highlight w:val="none"/>
              </w:rPr>
              <w:t>根据《可研报告》总平面布置图和现场勘察可知，经现场勘</w:t>
            </w:r>
            <w:r>
              <w:rPr>
                <w:rFonts w:hint="eastAsia"/>
                <w:sz w:val="21"/>
                <w:szCs w:val="21"/>
                <w:highlight w:val="none"/>
                <w:lang w:val="en-US" w:eastAsia="zh-CN"/>
              </w:rPr>
              <w:t>变</w:t>
            </w:r>
            <w:r>
              <w:rPr>
                <w:rFonts w:hint="eastAsia"/>
                <w:sz w:val="21"/>
                <w:szCs w:val="21"/>
                <w:highlight w:val="none"/>
              </w:rPr>
              <w:t>发电站现布置在工业场地。</w:t>
            </w:r>
          </w:p>
        </w:tc>
        <w:tc>
          <w:tcPr>
            <w:tcW w:w="1002" w:type="dxa"/>
            <w:noWrap w:val="0"/>
            <w:vAlign w:val="center"/>
          </w:tcPr>
          <w:p w14:paraId="5A051946">
            <w:pPr>
              <w:pStyle w:val="32"/>
              <w:bidi w:val="0"/>
              <w:rPr>
                <w:rFonts w:hint="eastAsia"/>
                <w:sz w:val="21"/>
                <w:szCs w:val="21"/>
                <w:highlight w:val="none"/>
              </w:rPr>
            </w:pPr>
            <w:r>
              <w:rPr>
                <w:rFonts w:hint="eastAsia"/>
                <w:sz w:val="21"/>
                <w:szCs w:val="21"/>
                <w:highlight w:val="none"/>
              </w:rPr>
              <w:t>符合</w:t>
            </w:r>
          </w:p>
          <w:p w14:paraId="3F5E0600">
            <w:pPr>
              <w:pStyle w:val="32"/>
              <w:bidi w:val="0"/>
              <w:rPr>
                <w:rFonts w:hint="eastAsia"/>
                <w:sz w:val="21"/>
                <w:szCs w:val="21"/>
                <w:highlight w:val="none"/>
              </w:rPr>
            </w:pPr>
            <w:r>
              <w:rPr>
                <w:rFonts w:hint="eastAsia"/>
                <w:sz w:val="21"/>
                <w:szCs w:val="21"/>
                <w:highlight w:val="none"/>
              </w:rPr>
              <w:t>要求</w:t>
            </w:r>
          </w:p>
        </w:tc>
      </w:tr>
      <w:tr w14:paraId="753B02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3CFF74EC">
            <w:pPr>
              <w:pStyle w:val="32"/>
              <w:bidi w:val="0"/>
              <w:rPr>
                <w:rFonts w:hint="eastAsia"/>
                <w:sz w:val="21"/>
                <w:szCs w:val="21"/>
                <w:highlight w:val="none"/>
              </w:rPr>
            </w:pPr>
            <w:r>
              <w:rPr>
                <w:rFonts w:hint="eastAsia"/>
                <w:sz w:val="21"/>
                <w:szCs w:val="21"/>
                <w:highlight w:val="none"/>
              </w:rPr>
              <w:t>爆破器材库布置</w:t>
            </w:r>
          </w:p>
        </w:tc>
        <w:tc>
          <w:tcPr>
            <w:tcW w:w="2806" w:type="dxa"/>
            <w:noWrap w:val="0"/>
            <w:vAlign w:val="center"/>
          </w:tcPr>
          <w:p w14:paraId="089DAE11">
            <w:pPr>
              <w:pStyle w:val="32"/>
              <w:bidi w:val="0"/>
              <w:rPr>
                <w:rFonts w:hint="eastAsia"/>
                <w:sz w:val="21"/>
                <w:szCs w:val="21"/>
                <w:highlight w:val="none"/>
              </w:rPr>
            </w:pPr>
            <w:r>
              <w:rPr>
                <w:rFonts w:hint="eastAsia"/>
                <w:sz w:val="21"/>
                <w:szCs w:val="21"/>
                <w:highlight w:val="none"/>
              </w:rPr>
              <w:t>爆破器材库区的布置，应符合现行国家标准《民用爆破器材工厂设计安全规范》的规定</w:t>
            </w:r>
          </w:p>
        </w:tc>
        <w:tc>
          <w:tcPr>
            <w:tcW w:w="1999" w:type="dxa"/>
            <w:noWrap w:val="0"/>
            <w:vAlign w:val="center"/>
          </w:tcPr>
          <w:p w14:paraId="457054F7">
            <w:pPr>
              <w:pStyle w:val="32"/>
              <w:bidi w:val="0"/>
              <w:rPr>
                <w:rFonts w:hint="eastAsia"/>
                <w:sz w:val="21"/>
                <w:szCs w:val="21"/>
                <w:highlight w:val="none"/>
              </w:rPr>
            </w:pPr>
            <w:r>
              <w:rPr>
                <w:rFonts w:hint="eastAsia"/>
                <w:sz w:val="21"/>
                <w:szCs w:val="21"/>
                <w:highlight w:val="none"/>
              </w:rPr>
              <w:t>《工业企业总</w:t>
            </w:r>
          </w:p>
          <w:p w14:paraId="6445FBB8">
            <w:pPr>
              <w:pStyle w:val="32"/>
              <w:bidi w:val="0"/>
              <w:rPr>
                <w:rFonts w:hint="eastAsia"/>
                <w:sz w:val="21"/>
                <w:szCs w:val="21"/>
                <w:highlight w:val="none"/>
              </w:rPr>
            </w:pPr>
            <w:r>
              <w:rPr>
                <w:rFonts w:hint="eastAsia"/>
                <w:sz w:val="21"/>
                <w:szCs w:val="21"/>
                <w:highlight w:val="none"/>
              </w:rPr>
              <w:t>平面设计规范》GB50187-2012第5.6.8条</w:t>
            </w:r>
          </w:p>
        </w:tc>
        <w:tc>
          <w:tcPr>
            <w:tcW w:w="1970" w:type="dxa"/>
            <w:noWrap w:val="0"/>
            <w:vAlign w:val="center"/>
          </w:tcPr>
          <w:p w14:paraId="33E663C9">
            <w:pPr>
              <w:pStyle w:val="32"/>
              <w:bidi w:val="0"/>
              <w:rPr>
                <w:rFonts w:hint="eastAsia"/>
                <w:sz w:val="21"/>
                <w:szCs w:val="21"/>
                <w:highlight w:val="none"/>
              </w:rPr>
            </w:pPr>
            <w:r>
              <w:rPr>
                <w:rFonts w:hint="eastAsia"/>
                <w:sz w:val="21"/>
                <w:szCs w:val="21"/>
                <w:highlight w:val="none"/>
              </w:rPr>
              <w:t>该项目井下不设爆破器材库</w:t>
            </w:r>
          </w:p>
        </w:tc>
        <w:tc>
          <w:tcPr>
            <w:tcW w:w="1002" w:type="dxa"/>
            <w:noWrap w:val="0"/>
            <w:vAlign w:val="center"/>
          </w:tcPr>
          <w:p w14:paraId="18B2524A">
            <w:pPr>
              <w:pStyle w:val="32"/>
              <w:bidi w:val="0"/>
              <w:rPr>
                <w:rFonts w:hint="eastAsia"/>
                <w:sz w:val="21"/>
                <w:szCs w:val="21"/>
                <w:highlight w:val="none"/>
              </w:rPr>
            </w:pPr>
            <w:r>
              <w:rPr>
                <w:rFonts w:hint="eastAsia"/>
                <w:sz w:val="21"/>
                <w:szCs w:val="21"/>
                <w:highlight w:val="none"/>
              </w:rPr>
              <w:t>不涉及</w:t>
            </w:r>
          </w:p>
        </w:tc>
      </w:tr>
    </w:tbl>
    <w:p w14:paraId="750D0768">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highlight w:val="none"/>
          <w:lang w:val="en-US" w:eastAsia="zh-CN"/>
        </w:rPr>
      </w:pPr>
      <w:r>
        <w:rPr>
          <w:rFonts w:hint="default"/>
          <w:highlight w:val="none"/>
          <w:lang w:val="en-US" w:eastAsia="zh-CN"/>
        </w:rPr>
        <w:t>由以上检查表分析可知，《可研报告》充分考虑了总平面布置方面潜在的危险、有害因素，由安全检查表得出的结论为：该项目选址合理，总平面布置单元符合安全要求。</w:t>
      </w:r>
    </w:p>
    <w:p w14:paraId="00E133EC">
      <w:pPr>
        <w:pStyle w:val="30"/>
        <w:bidi w:val="0"/>
        <w:rPr>
          <w:rFonts w:hint="default"/>
          <w:highlight w:val="none"/>
          <w:lang w:val="en-US" w:eastAsia="zh-CN"/>
        </w:rPr>
      </w:pPr>
      <w:r>
        <w:rPr>
          <w:rFonts w:hint="default"/>
          <w:highlight w:val="none"/>
          <w:lang w:val="en-US" w:eastAsia="zh-CN"/>
        </w:rPr>
        <w:t>周边环境子单元</w:t>
      </w:r>
    </w:p>
    <w:p w14:paraId="69319385">
      <w:pPr>
        <w:pStyle w:val="22"/>
        <w:bidi w:val="0"/>
        <w:rPr>
          <w:rFonts w:hint="eastAsia"/>
          <w:highlight w:val="none"/>
          <w:lang w:val="en-US" w:eastAsia="zh-CN"/>
        </w:rPr>
      </w:pPr>
      <w:r>
        <w:rPr>
          <w:rFonts w:hint="eastAsia"/>
          <w:highlight w:val="none"/>
          <w:lang w:val="en-US" w:eastAsia="zh-CN"/>
        </w:rPr>
        <w:t>（1）相邻矿山</w:t>
      </w:r>
    </w:p>
    <w:p w14:paraId="0894EE31">
      <w:pPr>
        <w:pStyle w:val="22"/>
        <w:bidi w:val="0"/>
        <w:rPr>
          <w:rFonts w:hint="eastAsia"/>
          <w:highlight w:val="none"/>
          <w:lang w:val="en-US" w:eastAsia="zh-CN"/>
        </w:rPr>
      </w:pPr>
      <w:r>
        <w:rPr>
          <w:rFonts w:hint="eastAsia"/>
          <w:highlight w:val="none"/>
          <w:lang w:val="en-US" w:eastAsia="zh-CN"/>
        </w:rPr>
        <w:t>矿区周边共设置2处探矿权、1处采矿权，分别为本溪满族自治县沙城铁矿，生产矿种铁矿，矿山规模为小型，距矿区3.3km。辽宁省本溪县草河城镇西沟铁矿详查(草河城区域)，位于矿区西侧360m。辽宁省本溪县草河城镇白水村阳沟金矿详查，位于矿区东北部约4.4km。</w:t>
      </w:r>
    </w:p>
    <w:p w14:paraId="44057A10">
      <w:pPr>
        <w:pStyle w:val="22"/>
        <w:bidi w:val="0"/>
        <w:rPr>
          <w:rFonts w:hint="eastAsia"/>
          <w:highlight w:val="none"/>
          <w:lang w:val="en-US" w:eastAsia="zh-CN"/>
        </w:rPr>
      </w:pPr>
      <w:r>
        <w:rPr>
          <w:rFonts w:hint="eastAsia"/>
          <w:highlight w:val="none"/>
          <w:lang w:val="en-US" w:eastAsia="zh-CN"/>
        </w:rPr>
        <w:t>（2）季节性河流</w:t>
      </w:r>
    </w:p>
    <w:p w14:paraId="6332AC98">
      <w:pPr>
        <w:pStyle w:val="22"/>
        <w:bidi w:val="0"/>
        <w:rPr>
          <w:rFonts w:hint="eastAsia"/>
          <w:highlight w:val="none"/>
          <w:lang w:val="en-US" w:eastAsia="zh-CN"/>
        </w:rPr>
      </w:pPr>
      <w:r>
        <w:rPr>
          <w:rFonts w:hint="eastAsia"/>
          <w:highlight w:val="none"/>
          <w:lang w:val="en-US" w:eastAsia="zh-CN"/>
        </w:rPr>
        <w:t>矿区地貌类型属浅切割中低山区，地势北高南低。矿区西南侧有一沙河（草河支流）由西北向东南流过，水量较小，平均流量为0.14m³/s。其距离设计开采地表岩石移动范围最近距离为224m，根据矿山实际开采和地质水文资料显示，矿山开采范围与沙河之间无导水构造带，因此其对矿山开采不会造成影响。</w:t>
      </w:r>
    </w:p>
    <w:p w14:paraId="1ABC6304">
      <w:pPr>
        <w:pStyle w:val="22"/>
        <w:bidi w:val="0"/>
        <w:rPr>
          <w:rFonts w:hint="eastAsia"/>
          <w:highlight w:val="none"/>
          <w:lang w:val="en-US" w:eastAsia="zh-CN"/>
        </w:rPr>
      </w:pPr>
      <w:r>
        <w:rPr>
          <w:rFonts w:hint="eastAsia"/>
          <w:highlight w:val="none"/>
          <w:lang w:val="en-US" w:eastAsia="zh-CN"/>
        </w:rPr>
        <w:t>（3）地表居民</w:t>
      </w:r>
    </w:p>
    <w:p w14:paraId="2D0381E1">
      <w:pPr>
        <w:pStyle w:val="22"/>
        <w:bidi w:val="0"/>
        <w:rPr>
          <w:rFonts w:hint="eastAsia"/>
          <w:highlight w:val="none"/>
          <w:lang w:val="en-US" w:eastAsia="zh-CN"/>
        </w:rPr>
      </w:pPr>
      <w:r>
        <w:rPr>
          <w:rFonts w:hint="eastAsia"/>
          <w:highlight w:val="none"/>
          <w:lang w:val="en-US" w:eastAsia="zh-CN"/>
        </w:rPr>
        <w:t>根据矿山实测资料，矿区范围内无居民居住，距离矿区最近的住宅区为矿区南部的贺家堡村，设计地表岩石移动范围距离该村民房最近距离23m，井下回采作业面距离民房最近距离为165m。矿区西侧村庄为阳沟门村，距离矿界最近距离约320m，设计地表岩石移动范围距离该村庄民房最近距离约500m。</w:t>
      </w:r>
    </w:p>
    <w:p w14:paraId="753391BE">
      <w:pPr>
        <w:pStyle w:val="22"/>
        <w:bidi w:val="0"/>
        <w:rPr>
          <w:rFonts w:hint="eastAsia"/>
          <w:highlight w:val="none"/>
          <w:lang w:val="en-US" w:eastAsia="zh-CN"/>
        </w:rPr>
      </w:pPr>
      <w:r>
        <w:rPr>
          <w:rFonts w:hint="eastAsia"/>
          <w:highlight w:val="none"/>
          <w:lang w:val="en-US" w:eastAsia="zh-CN"/>
        </w:rPr>
        <w:t>根据隐蔽致灾报告，矿山严格按照设计的采矿方法和空区处理方式进行采矿生产，通过采用嗣后充填方式处理采空区，可避免地表塌陷，确保地表的稳定性，设计在岩石移动范围边界设置隔离护栏、围挡及警示标识，引导居民避开危险活动区域，在开采过程中，持续对岩移范围进行监测，发现岩移及时进行治理，不会对矿区外居民造成影响。且根据后续爆破振动计算可知，矿山后续开采对其无影响。</w:t>
      </w:r>
    </w:p>
    <w:p w14:paraId="185056B3">
      <w:pPr>
        <w:pStyle w:val="22"/>
        <w:bidi w:val="0"/>
        <w:rPr>
          <w:rFonts w:hint="eastAsia"/>
          <w:highlight w:val="none"/>
          <w:lang w:val="en-US" w:eastAsia="zh-CN"/>
        </w:rPr>
      </w:pPr>
      <w:r>
        <w:rPr>
          <w:rFonts w:hint="eastAsia"/>
          <w:highlight w:val="none"/>
          <w:lang w:val="en-US" w:eastAsia="zh-CN"/>
        </w:rPr>
        <w:t>（4）公路</w:t>
      </w:r>
    </w:p>
    <w:p w14:paraId="7C9A7EFA">
      <w:pPr>
        <w:pStyle w:val="22"/>
        <w:bidi w:val="0"/>
        <w:rPr>
          <w:rFonts w:hint="eastAsia"/>
          <w:highlight w:val="none"/>
          <w:lang w:val="en-US" w:eastAsia="zh-CN"/>
        </w:rPr>
      </w:pPr>
      <w:r>
        <w:rPr>
          <w:rFonts w:hint="eastAsia"/>
          <w:highlight w:val="none"/>
          <w:lang w:val="en-US" w:eastAsia="zh-CN"/>
        </w:rPr>
        <w:t>矿区南侧有一条554乡道（徐沙线），该公路距离设计地表岩石移动范围最近距离201m，井下回采作业面距离公路最近距离为296m。</w:t>
      </w:r>
    </w:p>
    <w:p w14:paraId="66BF11A3">
      <w:pPr>
        <w:pStyle w:val="22"/>
        <w:bidi w:val="0"/>
        <w:rPr>
          <w:rFonts w:hint="eastAsia"/>
          <w:highlight w:val="none"/>
          <w:lang w:val="en-US" w:eastAsia="zh-CN"/>
        </w:rPr>
      </w:pPr>
      <w:r>
        <w:rPr>
          <w:rFonts w:hint="eastAsia"/>
          <w:highlight w:val="none"/>
          <w:lang w:val="en-US" w:eastAsia="zh-CN"/>
        </w:rPr>
        <w:t>（5）尾矿库</w:t>
      </w:r>
    </w:p>
    <w:p w14:paraId="4BF9D80B">
      <w:pPr>
        <w:pStyle w:val="22"/>
        <w:bidi w:val="0"/>
        <w:rPr>
          <w:rFonts w:hint="eastAsia"/>
          <w:highlight w:val="none"/>
          <w:lang w:val="en-US" w:eastAsia="zh-CN"/>
        </w:rPr>
      </w:pPr>
      <w:r>
        <w:rPr>
          <w:rFonts w:hint="eastAsia"/>
          <w:highlight w:val="none"/>
          <w:lang w:val="en-US" w:eastAsia="zh-CN"/>
        </w:rPr>
        <w:t>矿山东侧有一本溪满族自治县沙城铁矿尾矿库，该尾矿库为山谷型尾矿库，三面环山，西南侧筑坝，采用坝前分散放矿，由西南侧向东北方向放矿，现尾矿库坝体总高度42.7m，总库容为357.5万m³，属四等尾矿库，根据隐蔽致灾报告，本矿山与其之间有山梁阻隔且无导水构造带，其距离本次设计开采地表岩石移动范围最近距离为195m，故二者之间不会产生影响，且根据后续爆破振动计算可知，矿山后续开采对其无影响。</w:t>
      </w:r>
    </w:p>
    <w:p w14:paraId="72ADCF61">
      <w:pPr>
        <w:pStyle w:val="22"/>
        <w:bidi w:val="0"/>
        <w:rPr>
          <w:rFonts w:hint="eastAsia"/>
          <w:lang w:val="en-US" w:eastAsia="zh-CN"/>
        </w:rPr>
      </w:pPr>
      <w:r>
        <w:rPr>
          <w:rFonts w:hint="eastAsia"/>
          <w:lang w:val="en-US" w:eastAsia="zh-CN"/>
        </w:rPr>
        <w:t>6、企业现有厂房</w:t>
      </w:r>
    </w:p>
    <w:p w14:paraId="56505FBA">
      <w:pPr>
        <w:pStyle w:val="22"/>
        <w:bidi w:val="0"/>
        <w:rPr>
          <w:rFonts w:hint="default"/>
          <w:lang w:val="en-US" w:eastAsia="zh-CN"/>
        </w:rPr>
      </w:pPr>
      <w:r>
        <w:rPr>
          <w:rFonts w:hint="eastAsia"/>
          <w:lang w:val="en-US" w:eastAsia="zh-CN"/>
        </w:rPr>
        <w:t>矿区中部内有企业自有厂房，其位于本次设计岩石移动范围20m内，在矿山基建期间作为矿山的临时休息室，设计要求在矿山基建结束前对其进行拆除，确保不会影响下一步井下开采。</w:t>
      </w:r>
    </w:p>
    <w:p w14:paraId="58D4D10F">
      <w:pPr>
        <w:pStyle w:val="22"/>
        <w:bidi w:val="0"/>
        <w:rPr>
          <w:rFonts w:hint="eastAsia"/>
          <w:highlight w:val="none"/>
          <w:lang w:val="en-US" w:eastAsia="zh-CN"/>
        </w:rPr>
      </w:pPr>
      <w:r>
        <w:rPr>
          <w:rFonts w:hint="eastAsia"/>
          <w:highlight w:val="none"/>
          <w:lang w:val="en-US" w:eastAsia="zh-CN"/>
        </w:rPr>
        <w:t>除上述周边环境外，本项目矿区范围周边300m范围内无学校、医院、文物古迹、旅游风景区、饮用水源保护区等需要保护的重要公共设施；500m范围内无名胜古迹；1000m及1000m外可视范围内无铁路、高速公路、国道。</w:t>
      </w:r>
    </w:p>
    <w:p w14:paraId="5D588081">
      <w:pPr>
        <w:pStyle w:val="22"/>
        <w:bidi w:val="0"/>
        <w:rPr>
          <w:rFonts w:hint="default"/>
          <w:highlight w:val="none"/>
          <w:lang w:val="en-US" w:eastAsia="zh-CN"/>
        </w:rPr>
      </w:pPr>
      <w:r>
        <w:rPr>
          <w:rFonts w:hint="default"/>
          <w:highlight w:val="none"/>
          <w:lang w:val="en-US" w:eastAsia="zh-CN"/>
        </w:rPr>
        <w:t>综上所述，建设单位在建设和生产中落实《可研报告》及本预评价报告提出的相关安全措施并严格执行后，本项目周边环境单元符合安全要求。</w:t>
      </w:r>
    </w:p>
    <w:p w14:paraId="51F3E5AB">
      <w:pPr>
        <w:pStyle w:val="30"/>
        <w:bidi w:val="0"/>
        <w:rPr>
          <w:rFonts w:hint="default"/>
          <w:highlight w:val="none"/>
          <w:lang w:val="en-US" w:eastAsia="zh-CN"/>
        </w:rPr>
      </w:pPr>
      <w:r>
        <w:rPr>
          <w:rFonts w:hint="default"/>
          <w:highlight w:val="none"/>
          <w:lang w:val="en-US" w:eastAsia="zh-CN"/>
        </w:rPr>
        <w:t>评价结果小结</w:t>
      </w:r>
    </w:p>
    <w:p w14:paraId="4FDE4AA8">
      <w:pPr>
        <w:pStyle w:val="22"/>
        <w:rPr>
          <w:rFonts w:hint="default"/>
          <w:highlight w:val="none"/>
          <w:lang w:val="en-US" w:eastAsia="zh-CN"/>
        </w:rPr>
      </w:pPr>
      <w:r>
        <w:rPr>
          <w:rFonts w:hint="default"/>
          <w:highlight w:val="none"/>
          <w:lang w:val="en-US" w:eastAsia="zh-CN"/>
        </w:rPr>
        <w:t>通过以上专家评议法评价得出的结论为：该项目移动带的圈定符合要求、各井口及建筑物与移动带的距离、工业场地各建筑物之间防火间距均符合安全要求。</w:t>
      </w:r>
    </w:p>
    <w:p w14:paraId="61F852FB">
      <w:pPr>
        <w:pStyle w:val="22"/>
        <w:rPr>
          <w:rFonts w:hint="default"/>
          <w:highlight w:val="none"/>
          <w:lang w:val="en-US" w:eastAsia="zh-CN"/>
        </w:rPr>
      </w:pPr>
      <w:r>
        <w:rPr>
          <w:rFonts w:hint="default"/>
          <w:highlight w:val="none"/>
          <w:lang w:val="en-US" w:eastAsia="zh-CN"/>
        </w:rPr>
        <w:t>采用安全检查表法及专家评议法通过不同的角度对总平面布置单元进行评价，得出结论为该项目选址合理，总平面布置单元符合安全要求。</w:t>
      </w:r>
    </w:p>
    <w:p w14:paraId="20FFAF13">
      <w:pPr>
        <w:pStyle w:val="29"/>
        <w:bidi w:val="0"/>
        <w:rPr>
          <w:rFonts w:hint="default"/>
          <w:highlight w:val="none"/>
          <w:lang w:val="en-US" w:eastAsia="zh-CN"/>
        </w:rPr>
      </w:pPr>
      <w:bookmarkStart w:id="12" w:name="_Toc19218"/>
      <w:r>
        <w:rPr>
          <w:rFonts w:hint="default"/>
          <w:highlight w:val="none"/>
          <w:lang w:val="en-US" w:eastAsia="zh-CN"/>
        </w:rPr>
        <w:t>开拓系统单元评价</w:t>
      </w:r>
      <w:bookmarkEnd w:id="12"/>
    </w:p>
    <w:p w14:paraId="1F3E34BC">
      <w:pPr>
        <w:pStyle w:val="30"/>
        <w:rPr>
          <w:rFonts w:hint="default"/>
          <w:highlight w:val="none"/>
          <w:lang w:val="en-US" w:eastAsia="zh-CN"/>
        </w:rPr>
      </w:pPr>
      <w:r>
        <w:rPr>
          <w:rFonts w:hint="default"/>
          <w:highlight w:val="none"/>
          <w:lang w:val="en-US" w:eastAsia="zh-CN"/>
        </w:rPr>
        <w:t>危险、有害因素辨识</w:t>
      </w:r>
    </w:p>
    <w:p w14:paraId="61768D5F">
      <w:pPr>
        <w:pStyle w:val="22"/>
        <w:rPr>
          <w:rFonts w:hint="default"/>
          <w:highlight w:val="none"/>
          <w:lang w:val="en-US" w:eastAsia="zh-CN"/>
        </w:rPr>
      </w:pPr>
      <w:r>
        <w:rPr>
          <w:rFonts w:hint="default"/>
          <w:highlight w:val="none"/>
          <w:lang w:val="en-US" w:eastAsia="zh-CN"/>
        </w:rPr>
        <w:t>该项目开拓方式为</w:t>
      </w:r>
      <w:r>
        <w:rPr>
          <w:rFonts w:hint="eastAsia"/>
          <w:highlight w:val="none"/>
          <w:lang w:val="en-US" w:eastAsia="zh-CN"/>
        </w:rPr>
        <w:t>斜坡道开拓</w:t>
      </w:r>
      <w:r>
        <w:rPr>
          <w:rFonts w:hint="default"/>
          <w:highlight w:val="none"/>
          <w:lang w:val="en-US" w:eastAsia="zh-CN"/>
        </w:rPr>
        <w:t>方案</w:t>
      </w:r>
      <w:r>
        <w:rPr>
          <w:rFonts w:hint="eastAsia"/>
          <w:highlight w:val="none"/>
          <w:lang w:val="en-US" w:eastAsia="zh-CN"/>
        </w:rPr>
        <w:t>，采用斜坡道入风，回风竖井出风的中央并列抽出式通风系统。</w:t>
      </w:r>
      <w:r>
        <w:rPr>
          <w:rFonts w:hint="default"/>
          <w:highlight w:val="none"/>
          <w:lang w:val="en-US" w:eastAsia="zh-CN"/>
        </w:rPr>
        <w:t>根据设计的安全出口、中段布置、井筒支护、巷道支护、保护矿柱等方面，可能涉及到的危险、有害因素为高处坠落、物体打击、冒顶片帮、</w:t>
      </w:r>
      <w:r>
        <w:rPr>
          <w:rFonts w:hint="eastAsia"/>
          <w:highlight w:val="none"/>
          <w:lang w:val="en-US" w:eastAsia="zh-CN"/>
        </w:rPr>
        <w:t>机械伤害</w:t>
      </w:r>
      <w:r>
        <w:rPr>
          <w:rFonts w:hint="default"/>
          <w:highlight w:val="none"/>
          <w:lang w:val="en-US" w:eastAsia="zh-CN"/>
        </w:rPr>
        <w:t>等。</w:t>
      </w:r>
    </w:p>
    <w:p w14:paraId="642CC557">
      <w:pPr>
        <w:pStyle w:val="22"/>
        <w:numPr>
          <w:ilvl w:val="0"/>
          <w:numId w:val="26"/>
        </w:numPr>
        <w:bidi w:val="0"/>
        <w:rPr>
          <w:rFonts w:hint="eastAsia" w:ascii="Times New Roman" w:hAnsi="Times New Roman"/>
          <w:caps w:val="0"/>
          <w:smallCaps w:val="0"/>
          <w:sz w:val="28"/>
          <w:szCs w:val="28"/>
          <w:highlight w:val="none"/>
        </w:rPr>
      </w:pPr>
      <w:r>
        <w:rPr>
          <w:rFonts w:hint="eastAsia" w:ascii="Times New Roman" w:hAnsi="Times New Roman"/>
          <w:caps w:val="0"/>
          <w:smallCaps w:val="0"/>
          <w:sz w:val="28"/>
          <w:szCs w:val="28"/>
          <w:highlight w:val="none"/>
        </w:rPr>
        <w:t>高出坠落</w:t>
      </w:r>
    </w:p>
    <w:p w14:paraId="44B2B93F">
      <w:pPr>
        <w:pStyle w:val="22"/>
        <w:bidi w:val="0"/>
        <w:rPr>
          <w:highlight w:val="none"/>
        </w:rPr>
      </w:pPr>
      <w:bookmarkStart w:id="13" w:name="_Toc178849928"/>
      <w:r>
        <w:rPr>
          <w:rFonts w:hint="eastAsia"/>
          <w:highlight w:val="none"/>
        </w:rPr>
        <w:t>在矿山生产中坠落事故是一种普遍存在的事故。</w:t>
      </w:r>
    </w:p>
    <w:p w14:paraId="532D366F">
      <w:pPr>
        <w:pStyle w:val="22"/>
        <w:bidi w:val="0"/>
        <w:rPr>
          <w:highlight w:val="none"/>
        </w:rPr>
      </w:pPr>
      <w:r>
        <w:rPr>
          <w:rFonts w:hint="eastAsia"/>
          <w:highlight w:val="none"/>
        </w:rPr>
        <w:t>造成高处坠落的主要原因有以下几方面：</w:t>
      </w:r>
    </w:p>
    <w:p w14:paraId="01E0E4FD">
      <w:pPr>
        <w:pStyle w:val="22"/>
        <w:bidi w:val="0"/>
        <w:rPr>
          <w:highlight w:val="none"/>
        </w:rPr>
      </w:pPr>
      <w:r>
        <w:rPr>
          <w:rFonts w:hint="eastAsia"/>
          <w:highlight w:val="none"/>
          <w:lang w:val="en-US" w:eastAsia="zh-CN"/>
        </w:rPr>
        <w:t>①</w:t>
      </w:r>
      <w:r>
        <w:rPr>
          <w:rFonts w:hint="eastAsia"/>
          <w:highlight w:val="none"/>
        </w:rPr>
        <w:t>高处作业时没有按要求佩带安全防护用品。</w:t>
      </w:r>
    </w:p>
    <w:p w14:paraId="7F8F8E08">
      <w:pPr>
        <w:pStyle w:val="22"/>
        <w:bidi w:val="0"/>
        <w:rPr>
          <w:highlight w:val="none"/>
        </w:rPr>
      </w:pPr>
      <w:r>
        <w:rPr>
          <w:rFonts w:hint="eastAsia"/>
          <w:highlight w:val="none"/>
          <w:lang w:val="en-US" w:eastAsia="zh-CN"/>
        </w:rPr>
        <w:t>②</w:t>
      </w:r>
      <w:r>
        <w:rPr>
          <w:rFonts w:hint="eastAsia"/>
          <w:highlight w:val="none"/>
        </w:rPr>
        <w:t>高处作业时，缺少照明、作业环境不良等。</w:t>
      </w:r>
    </w:p>
    <w:p w14:paraId="4E84A185">
      <w:pPr>
        <w:pStyle w:val="22"/>
        <w:bidi w:val="0"/>
        <w:rPr>
          <w:highlight w:val="none"/>
        </w:rPr>
      </w:pPr>
      <w:r>
        <w:rPr>
          <w:rFonts w:hint="eastAsia"/>
          <w:highlight w:val="none"/>
          <w:lang w:val="en-US" w:eastAsia="zh-CN"/>
        </w:rPr>
        <w:t>③</w:t>
      </w:r>
      <w:r>
        <w:rPr>
          <w:rFonts w:hint="eastAsia"/>
          <w:highlight w:val="none"/>
        </w:rPr>
        <w:t>可能发生人员坠落的危险地点，没有设置明显的警示标志、良好的照明以及可靠的护栏、格筛或盖板等。</w:t>
      </w:r>
    </w:p>
    <w:p w14:paraId="5C7575FF">
      <w:pPr>
        <w:pStyle w:val="22"/>
        <w:bidi w:val="0"/>
        <w:rPr>
          <w:highlight w:val="none"/>
        </w:rPr>
      </w:pPr>
      <w:r>
        <w:rPr>
          <w:rFonts w:hint="eastAsia"/>
          <w:highlight w:val="none"/>
        </w:rPr>
        <w:t>对于本项目，可能发生高处坠落的部位主要是：</w:t>
      </w:r>
      <w:r>
        <w:rPr>
          <w:rFonts w:hint="eastAsia"/>
          <w:highlight w:val="none"/>
          <w:lang w:val="en-US" w:eastAsia="zh-CN"/>
        </w:rPr>
        <w:t>三号斜井、三号盲斜井、一号斜井、四号斜井、四号盲斜井的人行阶梯高差较大或者阶梯破坏的位置</w:t>
      </w:r>
      <w:r>
        <w:rPr>
          <w:rFonts w:hint="eastAsia"/>
          <w:highlight w:val="none"/>
        </w:rPr>
        <w:t>。</w:t>
      </w:r>
    </w:p>
    <w:bookmarkEnd w:id="13"/>
    <w:p w14:paraId="775C0D39">
      <w:pPr>
        <w:pStyle w:val="22"/>
        <w:numPr>
          <w:ilvl w:val="0"/>
          <w:numId w:val="26"/>
        </w:numPr>
        <w:bidi w:val="0"/>
        <w:rPr>
          <w:rFonts w:hint="default"/>
          <w:highlight w:val="none"/>
          <w:lang w:val="en-US" w:eastAsia="zh-CN"/>
        </w:rPr>
      </w:pPr>
      <w:r>
        <w:rPr>
          <w:rFonts w:hint="default"/>
          <w:highlight w:val="none"/>
          <w:lang w:val="en-US" w:eastAsia="zh-CN"/>
        </w:rPr>
        <w:t>物体打击</w:t>
      </w:r>
    </w:p>
    <w:p w14:paraId="07E6C902">
      <w:pPr>
        <w:pStyle w:val="22"/>
        <w:rPr>
          <w:rFonts w:hint="default"/>
          <w:highlight w:val="none"/>
          <w:lang w:val="en-US" w:eastAsia="zh-CN"/>
        </w:rPr>
      </w:pPr>
      <w:r>
        <w:rPr>
          <w:rFonts w:hint="default"/>
          <w:highlight w:val="none"/>
          <w:lang w:val="en-US" w:eastAsia="zh-CN"/>
        </w:rPr>
        <w:t>物体打击是物体在重力或其它外力的作用下产生动力，打击人体造成人身伤亡事故。本项目中，物体打击的危险因素主要来自：</w:t>
      </w:r>
    </w:p>
    <w:p w14:paraId="0967C94B">
      <w:pPr>
        <w:pStyle w:val="22"/>
        <w:rPr>
          <w:rFonts w:hint="default"/>
          <w:highlight w:val="none"/>
          <w:lang w:val="en-US" w:eastAsia="zh-CN"/>
        </w:rPr>
      </w:pPr>
      <w:r>
        <w:rPr>
          <w:rFonts w:hint="default"/>
          <w:highlight w:val="none"/>
          <w:lang w:val="en-US" w:eastAsia="zh-CN"/>
        </w:rPr>
        <w:t>各</w:t>
      </w:r>
      <w:r>
        <w:rPr>
          <w:rFonts w:hint="eastAsia"/>
          <w:highlight w:val="none"/>
          <w:lang w:val="en-US" w:eastAsia="zh-CN"/>
        </w:rPr>
        <w:t>斜井井筒</w:t>
      </w:r>
      <w:r>
        <w:rPr>
          <w:rFonts w:hint="default"/>
          <w:highlight w:val="none"/>
          <w:lang w:val="en-US" w:eastAsia="zh-CN"/>
        </w:rPr>
        <w:t>的</w:t>
      </w:r>
      <w:r>
        <w:rPr>
          <w:rFonts w:hint="eastAsia"/>
          <w:highlight w:val="none"/>
          <w:lang w:val="en-US" w:eastAsia="zh-CN"/>
        </w:rPr>
        <w:t>危石</w:t>
      </w:r>
      <w:r>
        <w:rPr>
          <w:rFonts w:hint="default"/>
          <w:highlight w:val="none"/>
          <w:lang w:val="en-US" w:eastAsia="zh-CN"/>
        </w:rPr>
        <w:t>未及时处理或处理不干净，</w:t>
      </w:r>
      <w:r>
        <w:rPr>
          <w:rFonts w:hint="eastAsia"/>
          <w:highlight w:val="none"/>
          <w:lang w:val="en-US" w:eastAsia="zh-CN"/>
        </w:rPr>
        <w:t>危石</w:t>
      </w:r>
      <w:r>
        <w:rPr>
          <w:rFonts w:hint="default"/>
          <w:highlight w:val="none"/>
          <w:lang w:val="en-US" w:eastAsia="zh-CN"/>
        </w:rPr>
        <w:t>坠落伤人。设备、工具等坠落物砸伤经过的人员。</w:t>
      </w:r>
    </w:p>
    <w:p w14:paraId="01EE8349">
      <w:pPr>
        <w:pStyle w:val="22"/>
        <w:numPr>
          <w:ilvl w:val="0"/>
          <w:numId w:val="26"/>
        </w:numPr>
        <w:bidi w:val="0"/>
        <w:rPr>
          <w:rFonts w:hint="default"/>
          <w:highlight w:val="none"/>
          <w:lang w:val="en-US" w:eastAsia="zh-CN"/>
        </w:rPr>
      </w:pPr>
      <w:r>
        <w:rPr>
          <w:rFonts w:hint="default"/>
          <w:highlight w:val="none"/>
          <w:lang w:val="en-US" w:eastAsia="zh-CN"/>
        </w:rPr>
        <w:t>冒顶片帮</w:t>
      </w:r>
    </w:p>
    <w:p w14:paraId="4325B0E6">
      <w:pPr>
        <w:pStyle w:val="22"/>
        <w:rPr>
          <w:rFonts w:hint="default"/>
          <w:highlight w:val="none"/>
          <w:lang w:val="en-US" w:eastAsia="zh-CN"/>
        </w:rPr>
      </w:pPr>
      <w:r>
        <w:rPr>
          <w:rFonts w:hint="default"/>
          <w:highlight w:val="none"/>
          <w:lang w:val="en-US" w:eastAsia="zh-CN"/>
        </w:rPr>
        <w:t>巷道受岩石压力的影响，都可能引起冒顶片帮的发生。</w:t>
      </w:r>
    </w:p>
    <w:p w14:paraId="48D94286">
      <w:pPr>
        <w:pStyle w:val="22"/>
        <w:rPr>
          <w:rFonts w:hint="default"/>
          <w:b/>
          <w:bCs/>
          <w:highlight w:val="none"/>
          <w:lang w:val="en-US" w:eastAsia="zh-CN"/>
        </w:rPr>
      </w:pPr>
      <w:r>
        <w:rPr>
          <w:rFonts w:hint="default"/>
          <w:b/>
          <w:bCs/>
          <w:highlight w:val="none"/>
          <w:lang w:val="en-US" w:eastAsia="zh-CN"/>
        </w:rPr>
        <w:t>引起冒顶片帮的原因及部位：</w:t>
      </w:r>
    </w:p>
    <w:p w14:paraId="3C1EA2F1">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①</w:t>
      </w:r>
      <w:r>
        <w:rPr>
          <w:rFonts w:hint="default"/>
          <w:highlight w:val="none"/>
          <w:lang w:val="en-US" w:eastAsia="zh-CN"/>
        </w:rPr>
        <w:t>井巷工程布置在不稳定的岩层、断层、破碎带地段等，容易发生片帮、冒顶。</w:t>
      </w:r>
    </w:p>
    <w:p w14:paraId="79681BFA">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②</w:t>
      </w:r>
      <w:r>
        <w:rPr>
          <w:rFonts w:hint="default"/>
          <w:highlight w:val="none"/>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401DF63E">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③</w:t>
      </w:r>
      <w:r>
        <w:rPr>
          <w:rFonts w:hint="default"/>
          <w:highlight w:val="none"/>
          <w:lang w:val="en-US" w:eastAsia="zh-CN"/>
        </w:rPr>
        <w:t>工程布置密集地段，平巷交岔口等因暴露面积较大缺乏有效支护，导致巷道顶板、侧板垮塌诱发冒顶片帮。</w:t>
      </w:r>
    </w:p>
    <w:p w14:paraId="0CFEA91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④</w:t>
      </w:r>
      <w:r>
        <w:rPr>
          <w:rFonts w:hint="default"/>
          <w:highlight w:val="none"/>
          <w:lang w:val="en-US" w:eastAsia="zh-CN"/>
        </w:rPr>
        <w:t>爆破参数确定不合理、爆破工序不合理、爆破施工时违章作业等。</w:t>
      </w:r>
    </w:p>
    <w:p w14:paraId="5DAD564F">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⑤</w:t>
      </w:r>
      <w:r>
        <w:rPr>
          <w:rFonts w:hint="default"/>
          <w:highlight w:val="none"/>
          <w:lang w:val="en-US" w:eastAsia="zh-CN"/>
        </w:rPr>
        <w:t>遇到新的地质构造而没有及时采取措施或没有按岩性进行施工。</w:t>
      </w:r>
    </w:p>
    <w:p w14:paraId="4E4A9E74">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⑥</w:t>
      </w:r>
      <w:r>
        <w:rPr>
          <w:rFonts w:hint="default"/>
          <w:highlight w:val="none"/>
          <w:lang w:val="en-US" w:eastAsia="zh-CN"/>
        </w:rPr>
        <w:t>在应该进行支护的井巷没有支护或支护质量差。</w:t>
      </w:r>
    </w:p>
    <w:p w14:paraId="39C47646">
      <w:pPr>
        <w:pStyle w:val="22"/>
        <w:bidi w:val="0"/>
        <w:rPr>
          <w:rFonts w:hint="eastAsia"/>
          <w:b/>
          <w:bCs/>
          <w:highlight w:val="none"/>
        </w:rPr>
      </w:pPr>
      <w:r>
        <w:rPr>
          <w:rFonts w:hint="eastAsia"/>
          <w:b/>
          <w:bCs/>
          <w:highlight w:val="none"/>
        </w:rPr>
        <w:t>冒顶片帮的危害形式：</w:t>
      </w:r>
    </w:p>
    <w:p w14:paraId="11957EE8">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①</w:t>
      </w:r>
      <w:r>
        <w:rPr>
          <w:rFonts w:hint="default"/>
          <w:highlight w:val="none"/>
          <w:lang w:val="en-US" w:eastAsia="zh-CN"/>
        </w:rPr>
        <w:t>破坏</w:t>
      </w:r>
      <w:r>
        <w:rPr>
          <w:rFonts w:hint="eastAsia"/>
          <w:highlight w:val="none"/>
          <w:lang w:val="en-US" w:eastAsia="zh-CN"/>
        </w:rPr>
        <w:t>井巷</w:t>
      </w:r>
      <w:r>
        <w:rPr>
          <w:rFonts w:hint="default"/>
          <w:highlight w:val="none"/>
          <w:lang w:val="en-US" w:eastAsia="zh-CN"/>
        </w:rPr>
        <w:t>和周围的巷道。</w:t>
      </w:r>
    </w:p>
    <w:p w14:paraId="6DB3A36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②</w:t>
      </w:r>
      <w:r>
        <w:rPr>
          <w:rFonts w:hint="default"/>
          <w:highlight w:val="none"/>
          <w:lang w:val="en-US" w:eastAsia="zh-CN"/>
        </w:rPr>
        <w:t>造成</w:t>
      </w:r>
      <w:r>
        <w:rPr>
          <w:rFonts w:hint="eastAsia"/>
          <w:highlight w:val="none"/>
          <w:lang w:val="en-US" w:eastAsia="zh-CN"/>
        </w:rPr>
        <w:t>井巷</w:t>
      </w:r>
      <w:r>
        <w:rPr>
          <w:rFonts w:hint="default"/>
          <w:highlight w:val="none"/>
          <w:lang w:val="en-US" w:eastAsia="zh-CN"/>
        </w:rPr>
        <w:t>内人员的伤亡。</w:t>
      </w:r>
    </w:p>
    <w:p w14:paraId="7B762BD8">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③</w:t>
      </w:r>
      <w:r>
        <w:rPr>
          <w:rFonts w:hint="default"/>
          <w:highlight w:val="none"/>
          <w:lang w:val="en-US" w:eastAsia="zh-CN"/>
        </w:rPr>
        <w:t>破坏采场内的设备和设施。</w:t>
      </w:r>
    </w:p>
    <w:p w14:paraId="2C655405">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④</w:t>
      </w:r>
      <w:r>
        <w:rPr>
          <w:rFonts w:hint="default"/>
          <w:highlight w:val="none"/>
          <w:lang w:val="en-US" w:eastAsia="zh-CN"/>
        </w:rPr>
        <w:t>破坏矿井的正常通风系统。</w:t>
      </w:r>
    </w:p>
    <w:p w14:paraId="03324B5E">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⑤</w:t>
      </w:r>
      <w:r>
        <w:rPr>
          <w:rFonts w:hint="default"/>
          <w:highlight w:val="none"/>
          <w:lang w:val="en-US" w:eastAsia="zh-CN"/>
        </w:rPr>
        <w:t>造成生产秩序的紊乱。</w:t>
      </w:r>
    </w:p>
    <w:p w14:paraId="57C2C936">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eastAsia"/>
          <w:highlight w:val="none"/>
          <w:lang w:val="en-US" w:eastAsia="zh-CN"/>
        </w:rPr>
        <w:t>⑥</w:t>
      </w:r>
      <w:r>
        <w:rPr>
          <w:rFonts w:hint="default"/>
          <w:highlight w:val="none"/>
          <w:lang w:val="en-US" w:eastAsia="zh-CN"/>
        </w:rPr>
        <w:t>其他危害：如破坏矿井的供电系统等。</w:t>
      </w:r>
    </w:p>
    <w:p w14:paraId="525F64B4">
      <w:pPr>
        <w:pStyle w:val="22"/>
        <w:bidi w:val="0"/>
        <w:rPr>
          <w:rFonts w:hint="default"/>
          <w:b/>
          <w:bCs/>
          <w:highlight w:val="none"/>
          <w:lang w:val="en-US" w:eastAsia="zh-CN"/>
        </w:rPr>
      </w:pPr>
      <w:r>
        <w:rPr>
          <w:rFonts w:hint="eastAsia"/>
          <w:b/>
          <w:bCs/>
          <w:highlight w:val="none"/>
          <w:lang w:val="en-US" w:eastAsia="zh-CN"/>
        </w:rPr>
        <w:t>井筒或开拓</w:t>
      </w:r>
      <w:r>
        <w:rPr>
          <w:rFonts w:hint="default"/>
          <w:b/>
          <w:bCs/>
          <w:highlight w:val="none"/>
          <w:lang w:val="en-US" w:eastAsia="zh-CN"/>
        </w:rPr>
        <w:t>巷道片帮、冒顶：</w:t>
      </w:r>
    </w:p>
    <w:p w14:paraId="0167BB12">
      <w:pPr>
        <w:pStyle w:val="22"/>
        <w:bidi w:val="0"/>
        <w:rPr>
          <w:rFonts w:hint="default"/>
          <w:highlight w:val="none"/>
          <w:lang w:val="en-US" w:eastAsia="zh-CN"/>
        </w:rPr>
      </w:pPr>
      <w:r>
        <w:rPr>
          <w:rFonts w:hint="default"/>
          <w:highlight w:val="none"/>
          <w:lang w:val="en-US" w:eastAsia="zh-CN"/>
        </w:rPr>
        <w:t>岩体的矿压活动造成井筒或开拓巷道的片帮和冒顶，产生的直接危害是：</w:t>
      </w:r>
    </w:p>
    <w:p w14:paraId="73966206">
      <w:pPr>
        <w:pStyle w:val="22"/>
        <w:bidi w:val="0"/>
        <w:rPr>
          <w:rFonts w:hint="default"/>
          <w:highlight w:val="none"/>
          <w:lang w:val="en-US" w:eastAsia="zh-CN"/>
        </w:rPr>
      </w:pPr>
      <w:r>
        <w:rPr>
          <w:rFonts w:hint="default"/>
          <w:highlight w:val="none"/>
          <w:lang w:val="en-US" w:eastAsia="zh-CN"/>
        </w:rPr>
        <w:t>1）巷道内人员的伤亡。</w:t>
      </w:r>
    </w:p>
    <w:p w14:paraId="5EA14951">
      <w:pPr>
        <w:pStyle w:val="22"/>
        <w:bidi w:val="0"/>
        <w:rPr>
          <w:rFonts w:hint="default"/>
          <w:highlight w:val="none"/>
          <w:lang w:val="en-US" w:eastAsia="zh-CN"/>
        </w:rPr>
      </w:pPr>
      <w:r>
        <w:rPr>
          <w:rFonts w:hint="default"/>
          <w:highlight w:val="none"/>
          <w:lang w:val="en-US" w:eastAsia="zh-CN"/>
        </w:rPr>
        <w:t>2）破坏巷道内的设备、设施。</w:t>
      </w:r>
    </w:p>
    <w:p w14:paraId="72F781D4">
      <w:pPr>
        <w:pStyle w:val="22"/>
        <w:bidi w:val="0"/>
        <w:rPr>
          <w:rFonts w:hint="default"/>
          <w:highlight w:val="none"/>
          <w:lang w:val="en-US" w:eastAsia="zh-CN"/>
        </w:rPr>
      </w:pPr>
      <w:r>
        <w:rPr>
          <w:rFonts w:hint="default"/>
          <w:highlight w:val="none"/>
          <w:lang w:val="en-US" w:eastAsia="zh-CN"/>
        </w:rPr>
        <w:t>3）破坏正常的生产系统。</w:t>
      </w:r>
    </w:p>
    <w:p w14:paraId="1F450FDF">
      <w:pPr>
        <w:pStyle w:val="22"/>
        <w:bidi w:val="0"/>
        <w:rPr>
          <w:rFonts w:hint="default"/>
          <w:highlight w:val="none"/>
          <w:lang w:val="en-US" w:eastAsia="zh-CN"/>
        </w:rPr>
      </w:pPr>
      <w:r>
        <w:rPr>
          <w:rFonts w:hint="default"/>
          <w:highlight w:val="none"/>
          <w:lang w:val="en-US" w:eastAsia="zh-CN"/>
        </w:rPr>
        <w:t>4）破坏巷道等。</w:t>
      </w:r>
    </w:p>
    <w:p w14:paraId="451D1F4D">
      <w:pPr>
        <w:pStyle w:val="22"/>
        <w:numPr>
          <w:ilvl w:val="0"/>
          <w:numId w:val="26"/>
        </w:numPr>
        <w:bidi w:val="0"/>
        <w:rPr>
          <w:rFonts w:hint="default"/>
          <w:highlight w:val="none"/>
          <w:lang w:val="en-US" w:eastAsia="zh-CN"/>
        </w:rPr>
      </w:pPr>
      <w:r>
        <w:rPr>
          <w:rFonts w:hint="eastAsia"/>
          <w:highlight w:val="none"/>
          <w:lang w:val="en-US" w:eastAsia="zh-CN"/>
        </w:rPr>
        <w:t>机械伤害</w:t>
      </w:r>
    </w:p>
    <w:p w14:paraId="42DFC679">
      <w:pPr>
        <w:pStyle w:val="22"/>
        <w:bidi w:val="0"/>
        <w:rPr>
          <w:rFonts w:hint="default"/>
          <w:highlight w:val="none"/>
          <w:lang w:val="en-US" w:eastAsia="zh-CN"/>
        </w:rPr>
      </w:pPr>
      <w:r>
        <w:rPr>
          <w:rFonts w:hint="default"/>
          <w:highlight w:val="none"/>
          <w:lang w:val="en-US" w:eastAsia="zh-CN"/>
        </w:rPr>
        <w:t>机械伤害是指机械设备运动（静止）部件、工具、加工件直接与人体接触引起的夹击、碰撞、剪切、卷入、绞、碾、割、刺等伤害，不包括车辆、起重机械引起的机械伤害。</w:t>
      </w:r>
    </w:p>
    <w:p w14:paraId="66E25E03">
      <w:pPr>
        <w:pStyle w:val="22"/>
        <w:bidi w:val="0"/>
        <w:rPr>
          <w:rFonts w:hint="default"/>
          <w:highlight w:val="none"/>
          <w:lang w:val="en-US" w:eastAsia="zh-CN"/>
        </w:rPr>
      </w:pPr>
      <w:r>
        <w:rPr>
          <w:rFonts w:hint="default"/>
          <w:highlight w:val="none"/>
          <w:lang w:val="en-US" w:eastAsia="zh-CN"/>
        </w:rPr>
        <w:t>矿山造成的机械伤害事故，主要是由于人的违章指挥、违章操作造成的。常见的因素有：</w:t>
      </w:r>
    </w:p>
    <w:p w14:paraId="5999D2D5">
      <w:pPr>
        <w:pStyle w:val="22"/>
        <w:bidi w:val="0"/>
        <w:rPr>
          <w:rFonts w:hint="default"/>
          <w:highlight w:val="none"/>
          <w:lang w:val="en-US" w:eastAsia="zh-CN"/>
        </w:rPr>
      </w:pPr>
      <w:r>
        <w:rPr>
          <w:rFonts w:hint="eastAsia"/>
          <w:highlight w:val="none"/>
          <w:lang w:val="en-US" w:eastAsia="zh-CN"/>
        </w:rPr>
        <w:t>①</w:t>
      </w:r>
      <w:r>
        <w:rPr>
          <w:rFonts w:hint="default"/>
          <w:highlight w:val="none"/>
          <w:lang w:val="en-US" w:eastAsia="zh-CN"/>
        </w:rPr>
        <w:t>穿戴不符合安全规定的服装进行操作；</w:t>
      </w:r>
    </w:p>
    <w:p w14:paraId="05247C0B">
      <w:pPr>
        <w:pStyle w:val="22"/>
        <w:bidi w:val="0"/>
        <w:rPr>
          <w:rFonts w:hint="default"/>
          <w:highlight w:val="none"/>
          <w:lang w:val="en-US" w:eastAsia="zh-CN"/>
        </w:rPr>
      </w:pPr>
      <w:r>
        <w:rPr>
          <w:rFonts w:hint="eastAsia"/>
          <w:highlight w:val="none"/>
          <w:lang w:val="en-US" w:eastAsia="zh-CN"/>
        </w:rPr>
        <w:t>②</w:t>
      </w:r>
      <w:r>
        <w:rPr>
          <w:rFonts w:hint="default"/>
          <w:highlight w:val="none"/>
          <w:lang w:val="en-US" w:eastAsia="zh-CN"/>
        </w:rPr>
        <w:t>违章操作；</w:t>
      </w:r>
    </w:p>
    <w:p w14:paraId="07E585C0">
      <w:pPr>
        <w:pStyle w:val="22"/>
        <w:bidi w:val="0"/>
        <w:rPr>
          <w:rFonts w:hint="default"/>
          <w:highlight w:val="none"/>
          <w:lang w:val="en-US" w:eastAsia="zh-CN"/>
        </w:rPr>
      </w:pPr>
      <w:r>
        <w:rPr>
          <w:rFonts w:hint="eastAsia"/>
          <w:highlight w:val="none"/>
          <w:lang w:val="en-US" w:eastAsia="zh-CN"/>
        </w:rPr>
        <w:t>③</w:t>
      </w:r>
      <w:r>
        <w:rPr>
          <w:rFonts w:hint="default"/>
          <w:highlight w:val="none"/>
          <w:lang w:val="en-US" w:eastAsia="zh-CN"/>
        </w:rPr>
        <w:t>机械设备安全防护装置缺乏或损坏、被拆除等，导致事故发生；</w:t>
      </w:r>
    </w:p>
    <w:p w14:paraId="10747857">
      <w:pPr>
        <w:pStyle w:val="22"/>
        <w:bidi w:val="0"/>
        <w:rPr>
          <w:rFonts w:hint="default"/>
          <w:highlight w:val="none"/>
          <w:lang w:val="en-US" w:eastAsia="zh-CN"/>
        </w:rPr>
      </w:pPr>
      <w:r>
        <w:rPr>
          <w:rFonts w:hint="eastAsia"/>
          <w:highlight w:val="none"/>
          <w:lang w:val="en-US" w:eastAsia="zh-CN"/>
        </w:rPr>
        <w:t>④</w:t>
      </w:r>
      <w:r>
        <w:rPr>
          <w:rFonts w:hint="default"/>
          <w:highlight w:val="none"/>
          <w:lang w:val="en-US" w:eastAsia="zh-CN"/>
        </w:rPr>
        <w:t>操作过程中衣物、头发、工具进入运转机械导致身体被运动机械拖带伤害；</w:t>
      </w:r>
    </w:p>
    <w:p w14:paraId="3509A844">
      <w:pPr>
        <w:pStyle w:val="22"/>
        <w:bidi w:val="0"/>
        <w:rPr>
          <w:rFonts w:hint="default"/>
          <w:highlight w:val="none"/>
          <w:lang w:val="en-US" w:eastAsia="zh-CN"/>
        </w:rPr>
      </w:pPr>
      <w:r>
        <w:rPr>
          <w:rFonts w:hint="eastAsia"/>
          <w:highlight w:val="none"/>
          <w:lang w:val="en-US" w:eastAsia="zh-CN"/>
        </w:rPr>
        <w:t>⑤</w:t>
      </w:r>
      <w:r>
        <w:rPr>
          <w:rFonts w:hint="default"/>
          <w:highlight w:val="none"/>
          <w:lang w:val="en-US" w:eastAsia="zh-CN"/>
        </w:rPr>
        <w:t>操作人员疏忽大意，身体进入机械危险部位；</w:t>
      </w:r>
    </w:p>
    <w:p w14:paraId="419E59C1">
      <w:pPr>
        <w:pStyle w:val="22"/>
        <w:bidi w:val="0"/>
        <w:rPr>
          <w:rFonts w:hint="default"/>
          <w:highlight w:val="none"/>
          <w:lang w:val="en-US" w:eastAsia="zh-CN"/>
        </w:rPr>
      </w:pPr>
      <w:r>
        <w:rPr>
          <w:rFonts w:hint="eastAsia"/>
          <w:highlight w:val="none"/>
          <w:lang w:val="en-US" w:eastAsia="zh-CN"/>
        </w:rPr>
        <w:t>⑥</w:t>
      </w:r>
      <w:r>
        <w:rPr>
          <w:rFonts w:hint="default"/>
          <w:highlight w:val="none"/>
          <w:lang w:val="en-US" w:eastAsia="zh-CN"/>
        </w:rPr>
        <w:t>在检修和正常工作时，机器突然被别人随意启动，导致事故发生；</w:t>
      </w:r>
    </w:p>
    <w:p w14:paraId="04D10F18">
      <w:pPr>
        <w:pStyle w:val="22"/>
        <w:bidi w:val="0"/>
        <w:rPr>
          <w:rFonts w:hint="default"/>
          <w:highlight w:val="none"/>
          <w:lang w:val="en-US" w:eastAsia="zh-CN"/>
        </w:rPr>
      </w:pPr>
      <w:r>
        <w:rPr>
          <w:rFonts w:hint="eastAsia"/>
          <w:highlight w:val="none"/>
          <w:lang w:val="en-US" w:eastAsia="zh-CN"/>
        </w:rPr>
        <w:t>⑦</w:t>
      </w:r>
      <w:r>
        <w:rPr>
          <w:rFonts w:hint="default"/>
          <w:highlight w:val="none"/>
          <w:lang w:val="en-US" w:eastAsia="zh-CN"/>
        </w:rPr>
        <w:t>在不安全的机械上停留、休息，导致事故发生；</w:t>
      </w:r>
    </w:p>
    <w:p w14:paraId="504954CC">
      <w:pPr>
        <w:pStyle w:val="22"/>
        <w:bidi w:val="0"/>
        <w:rPr>
          <w:rFonts w:hint="default"/>
          <w:highlight w:val="none"/>
          <w:lang w:val="en-US" w:eastAsia="zh-CN"/>
        </w:rPr>
      </w:pPr>
      <w:r>
        <w:rPr>
          <w:rFonts w:hint="eastAsia"/>
          <w:highlight w:val="none"/>
          <w:lang w:val="en-US" w:eastAsia="zh-CN"/>
        </w:rPr>
        <w:t>⑧</w:t>
      </w:r>
      <w:r>
        <w:rPr>
          <w:rFonts w:hint="default"/>
          <w:highlight w:val="none"/>
          <w:lang w:val="en-US" w:eastAsia="zh-CN"/>
        </w:rPr>
        <w:t>设备设施设计、选型不合理或安装存在缺陷；</w:t>
      </w:r>
    </w:p>
    <w:p w14:paraId="5C90017C">
      <w:pPr>
        <w:pStyle w:val="22"/>
        <w:bidi w:val="0"/>
        <w:rPr>
          <w:rFonts w:hint="default"/>
          <w:highlight w:val="none"/>
          <w:lang w:val="en-US" w:eastAsia="zh-CN"/>
        </w:rPr>
      </w:pPr>
      <w:r>
        <w:rPr>
          <w:rFonts w:hint="eastAsia"/>
          <w:highlight w:val="none"/>
          <w:lang w:val="en-US" w:eastAsia="zh-CN"/>
        </w:rPr>
        <w:t>⑨</w:t>
      </w:r>
      <w:r>
        <w:rPr>
          <w:rFonts w:hint="default"/>
          <w:highlight w:val="none"/>
          <w:lang w:val="en-US" w:eastAsia="zh-CN"/>
        </w:rPr>
        <w:t>设备设施没有按规定进行维护或特种设备没有定期检测检验；</w:t>
      </w:r>
    </w:p>
    <w:p w14:paraId="125783E8">
      <w:pPr>
        <w:pStyle w:val="22"/>
        <w:bidi w:val="0"/>
        <w:rPr>
          <w:rFonts w:hint="default"/>
          <w:highlight w:val="none"/>
          <w:lang w:val="en-US" w:eastAsia="zh-CN"/>
        </w:rPr>
      </w:pPr>
      <w:r>
        <w:rPr>
          <w:rFonts w:hint="eastAsia"/>
          <w:highlight w:val="none"/>
          <w:lang w:val="en-US" w:eastAsia="zh-CN"/>
        </w:rPr>
        <w:t>⑩</w:t>
      </w:r>
      <w:r>
        <w:rPr>
          <w:rFonts w:hint="default"/>
          <w:highlight w:val="none"/>
          <w:lang w:val="en-US" w:eastAsia="zh-CN"/>
        </w:rPr>
        <w:t>安全管理上存在不足。</w:t>
      </w:r>
    </w:p>
    <w:p w14:paraId="310E49A0">
      <w:pPr>
        <w:pStyle w:val="22"/>
        <w:bidi w:val="0"/>
        <w:rPr>
          <w:rFonts w:hint="default"/>
          <w:highlight w:val="none"/>
          <w:lang w:val="en-US" w:eastAsia="zh-CN"/>
        </w:rPr>
      </w:pPr>
      <w:r>
        <w:rPr>
          <w:rFonts w:hint="default"/>
          <w:highlight w:val="none"/>
          <w:lang w:val="en-US" w:eastAsia="zh-CN"/>
        </w:rPr>
        <w:t>该矿山</w:t>
      </w:r>
      <w:r>
        <w:rPr>
          <w:rFonts w:hint="eastAsia"/>
          <w:highlight w:val="none"/>
          <w:lang w:val="en-US" w:eastAsia="zh-CN"/>
        </w:rPr>
        <w:t>提升</w:t>
      </w:r>
      <w:r>
        <w:rPr>
          <w:rFonts w:hint="default"/>
          <w:highlight w:val="none"/>
          <w:lang w:val="en-US" w:eastAsia="zh-CN"/>
        </w:rPr>
        <w:t>系统在使用和检修过程中存在着机械伤害的可能性。</w:t>
      </w:r>
    </w:p>
    <w:p w14:paraId="479DB335">
      <w:pPr>
        <w:pStyle w:val="30"/>
        <w:bidi w:val="0"/>
        <w:rPr>
          <w:rFonts w:hint="default"/>
          <w:highlight w:val="none"/>
          <w:lang w:val="en-US" w:eastAsia="zh-CN"/>
        </w:rPr>
      </w:pPr>
      <w:r>
        <w:rPr>
          <w:rFonts w:hint="default"/>
          <w:highlight w:val="none"/>
          <w:lang w:val="en-US" w:eastAsia="zh-CN"/>
        </w:rPr>
        <w:t>安全分析及符合性评价</w:t>
      </w:r>
    </w:p>
    <w:p w14:paraId="63E00789">
      <w:pPr>
        <w:pStyle w:val="22"/>
        <w:numPr>
          <w:ilvl w:val="0"/>
          <w:numId w:val="27"/>
        </w:numPr>
        <w:bidi w:val="0"/>
        <w:rPr>
          <w:rFonts w:hint="eastAsia"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rPr>
        <w:t>预先危险性分析法评价</w:t>
      </w:r>
    </w:p>
    <w:p w14:paraId="6941A586">
      <w:pPr>
        <w:snapToGrid w:val="0"/>
        <w:spacing w:line="360" w:lineRule="auto"/>
        <w:ind w:firstLine="560" w:firstLineChars="200"/>
        <w:rPr>
          <w:rFonts w:hint="eastAsia" w:ascii="Times New Roman" w:hAnsi="Times New Roman"/>
          <w:caps w:val="0"/>
          <w:smallCaps w:val="0"/>
          <w:sz w:val="28"/>
          <w:szCs w:val="28"/>
          <w:highlight w:val="none"/>
        </w:rPr>
      </w:pPr>
      <w:r>
        <w:rPr>
          <w:rFonts w:hint="eastAsia" w:ascii="Times New Roman" w:hAnsi="Times New Roman"/>
          <w:caps w:val="0"/>
          <w:smallCaps w:val="0"/>
          <w:sz w:val="28"/>
          <w:szCs w:val="28"/>
          <w:highlight w:val="none"/>
        </w:rPr>
        <w:t>对该项目开拓单元的预先危险性分析表，见表3.2-1。</w:t>
      </w:r>
    </w:p>
    <w:p w14:paraId="61C11706">
      <w:pPr>
        <w:pStyle w:val="31"/>
        <w:bidi w:val="0"/>
        <w:rPr>
          <w:rFonts w:hint="eastAsia"/>
          <w:highlight w:val="none"/>
        </w:rPr>
      </w:pPr>
      <w:r>
        <w:rPr>
          <w:rFonts w:hint="eastAsia"/>
          <w:highlight w:val="none"/>
        </w:rPr>
        <w:t>表3.2-1 开拓单元预先危险性分析表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34"/>
        <w:gridCol w:w="889"/>
        <w:gridCol w:w="1536"/>
        <w:gridCol w:w="1265"/>
        <w:gridCol w:w="1499"/>
        <w:gridCol w:w="889"/>
        <w:gridCol w:w="534"/>
        <w:gridCol w:w="2255"/>
      </w:tblGrid>
      <w:tr w14:paraId="2DF58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4423F84">
            <w:pPr>
              <w:pStyle w:val="32"/>
              <w:bidi w:val="0"/>
              <w:rPr>
                <w:rFonts w:hint="eastAsia"/>
                <w:sz w:val="21"/>
                <w:szCs w:val="21"/>
                <w:highlight w:val="none"/>
              </w:rPr>
            </w:pPr>
            <w:r>
              <w:rPr>
                <w:rFonts w:hint="eastAsia"/>
                <w:sz w:val="21"/>
                <w:szCs w:val="21"/>
                <w:highlight w:val="none"/>
              </w:rPr>
              <w:t>潜在事故</w:t>
            </w:r>
          </w:p>
        </w:tc>
        <w:tc>
          <w:tcPr>
            <w:tcW w:w="0" w:type="auto"/>
            <w:noWrap w:val="0"/>
            <w:vAlign w:val="center"/>
          </w:tcPr>
          <w:p w14:paraId="455C0222">
            <w:pPr>
              <w:pStyle w:val="32"/>
              <w:bidi w:val="0"/>
              <w:rPr>
                <w:rFonts w:hint="eastAsia"/>
                <w:sz w:val="21"/>
                <w:szCs w:val="21"/>
                <w:highlight w:val="none"/>
              </w:rPr>
            </w:pPr>
            <w:r>
              <w:rPr>
                <w:rFonts w:hint="eastAsia"/>
                <w:sz w:val="21"/>
                <w:szCs w:val="21"/>
                <w:highlight w:val="none"/>
              </w:rPr>
              <w:t>危险因素</w:t>
            </w:r>
          </w:p>
        </w:tc>
        <w:tc>
          <w:tcPr>
            <w:tcW w:w="0" w:type="auto"/>
            <w:noWrap w:val="0"/>
            <w:vAlign w:val="center"/>
          </w:tcPr>
          <w:p w14:paraId="542EBF9B">
            <w:pPr>
              <w:pStyle w:val="32"/>
              <w:bidi w:val="0"/>
              <w:rPr>
                <w:rFonts w:hint="eastAsia"/>
                <w:sz w:val="21"/>
                <w:szCs w:val="21"/>
                <w:highlight w:val="none"/>
              </w:rPr>
            </w:pPr>
            <w:r>
              <w:rPr>
                <w:rFonts w:hint="eastAsia"/>
                <w:sz w:val="21"/>
                <w:szCs w:val="21"/>
                <w:highlight w:val="none"/>
              </w:rPr>
              <w:t>触发条件（1）</w:t>
            </w:r>
          </w:p>
        </w:tc>
        <w:tc>
          <w:tcPr>
            <w:tcW w:w="0" w:type="auto"/>
            <w:noWrap w:val="0"/>
            <w:vAlign w:val="center"/>
          </w:tcPr>
          <w:p w14:paraId="1861605E">
            <w:pPr>
              <w:pStyle w:val="32"/>
              <w:bidi w:val="0"/>
              <w:rPr>
                <w:rFonts w:hint="eastAsia"/>
                <w:sz w:val="21"/>
                <w:szCs w:val="21"/>
                <w:highlight w:val="none"/>
              </w:rPr>
            </w:pPr>
            <w:r>
              <w:rPr>
                <w:rFonts w:hint="eastAsia"/>
                <w:sz w:val="21"/>
                <w:szCs w:val="21"/>
                <w:highlight w:val="none"/>
              </w:rPr>
              <w:t>发生条件</w:t>
            </w:r>
          </w:p>
        </w:tc>
        <w:tc>
          <w:tcPr>
            <w:tcW w:w="0" w:type="auto"/>
            <w:noWrap w:val="0"/>
            <w:vAlign w:val="center"/>
          </w:tcPr>
          <w:p w14:paraId="2F72CF18">
            <w:pPr>
              <w:pStyle w:val="32"/>
              <w:bidi w:val="0"/>
              <w:rPr>
                <w:rFonts w:hint="eastAsia"/>
                <w:sz w:val="21"/>
                <w:szCs w:val="21"/>
                <w:highlight w:val="none"/>
              </w:rPr>
            </w:pPr>
            <w:r>
              <w:rPr>
                <w:rFonts w:hint="eastAsia"/>
                <w:sz w:val="21"/>
                <w:szCs w:val="21"/>
                <w:highlight w:val="none"/>
              </w:rPr>
              <w:t>触发条件（2）</w:t>
            </w:r>
          </w:p>
        </w:tc>
        <w:tc>
          <w:tcPr>
            <w:tcW w:w="0" w:type="auto"/>
            <w:noWrap w:val="0"/>
            <w:vAlign w:val="center"/>
          </w:tcPr>
          <w:p w14:paraId="5E2AF7D9">
            <w:pPr>
              <w:pStyle w:val="32"/>
              <w:bidi w:val="0"/>
              <w:rPr>
                <w:rFonts w:hint="eastAsia"/>
                <w:sz w:val="21"/>
                <w:szCs w:val="21"/>
                <w:highlight w:val="none"/>
              </w:rPr>
            </w:pPr>
            <w:r>
              <w:rPr>
                <w:rFonts w:hint="eastAsia"/>
                <w:sz w:val="21"/>
                <w:szCs w:val="21"/>
                <w:highlight w:val="none"/>
              </w:rPr>
              <w:t>事故后果</w:t>
            </w:r>
          </w:p>
        </w:tc>
        <w:tc>
          <w:tcPr>
            <w:tcW w:w="0" w:type="auto"/>
            <w:noWrap w:val="0"/>
            <w:vAlign w:val="center"/>
          </w:tcPr>
          <w:p w14:paraId="1BDE08FF">
            <w:pPr>
              <w:pStyle w:val="32"/>
              <w:bidi w:val="0"/>
              <w:rPr>
                <w:rFonts w:hint="eastAsia"/>
                <w:sz w:val="21"/>
                <w:szCs w:val="21"/>
                <w:highlight w:val="none"/>
              </w:rPr>
            </w:pPr>
            <w:r>
              <w:rPr>
                <w:rFonts w:hint="eastAsia"/>
                <w:sz w:val="21"/>
                <w:szCs w:val="21"/>
                <w:highlight w:val="none"/>
              </w:rPr>
              <w:t>危险等级</w:t>
            </w:r>
          </w:p>
        </w:tc>
        <w:tc>
          <w:tcPr>
            <w:tcW w:w="0" w:type="auto"/>
            <w:noWrap w:val="0"/>
            <w:vAlign w:val="center"/>
          </w:tcPr>
          <w:p w14:paraId="40D1EE23">
            <w:pPr>
              <w:pStyle w:val="32"/>
              <w:bidi w:val="0"/>
              <w:rPr>
                <w:rFonts w:hint="eastAsia"/>
                <w:sz w:val="21"/>
                <w:szCs w:val="21"/>
                <w:highlight w:val="none"/>
              </w:rPr>
            </w:pPr>
            <w:r>
              <w:rPr>
                <w:rFonts w:hint="eastAsia"/>
                <w:sz w:val="21"/>
                <w:szCs w:val="21"/>
                <w:highlight w:val="none"/>
              </w:rPr>
              <w:t>防范措施</w:t>
            </w:r>
          </w:p>
        </w:tc>
      </w:tr>
      <w:tr w14:paraId="43D4134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CA1D6BA">
            <w:pPr>
              <w:pStyle w:val="32"/>
              <w:bidi w:val="0"/>
              <w:rPr>
                <w:rFonts w:hint="eastAsia"/>
                <w:sz w:val="21"/>
                <w:szCs w:val="21"/>
                <w:highlight w:val="none"/>
              </w:rPr>
            </w:pPr>
            <w:r>
              <w:rPr>
                <w:rFonts w:hint="eastAsia"/>
                <w:sz w:val="21"/>
                <w:szCs w:val="21"/>
                <w:highlight w:val="none"/>
              </w:rPr>
              <w:t>物体打击</w:t>
            </w:r>
          </w:p>
        </w:tc>
        <w:tc>
          <w:tcPr>
            <w:tcW w:w="0" w:type="auto"/>
            <w:noWrap w:val="0"/>
            <w:vAlign w:val="center"/>
          </w:tcPr>
          <w:p w14:paraId="71FC77F5">
            <w:pPr>
              <w:pStyle w:val="32"/>
              <w:bidi w:val="0"/>
              <w:rPr>
                <w:rFonts w:hint="eastAsia"/>
                <w:sz w:val="21"/>
                <w:szCs w:val="21"/>
                <w:highlight w:val="none"/>
              </w:rPr>
            </w:pPr>
            <w:r>
              <w:rPr>
                <w:rFonts w:hint="eastAsia"/>
                <w:sz w:val="21"/>
                <w:szCs w:val="21"/>
                <w:highlight w:val="none"/>
              </w:rPr>
              <w:t>高处坠落的物体</w:t>
            </w:r>
          </w:p>
        </w:tc>
        <w:tc>
          <w:tcPr>
            <w:tcW w:w="0" w:type="auto"/>
            <w:noWrap w:val="0"/>
            <w:vAlign w:val="center"/>
          </w:tcPr>
          <w:p w14:paraId="6D10DF7A">
            <w:pPr>
              <w:pStyle w:val="32"/>
              <w:bidi w:val="0"/>
              <w:jc w:val="both"/>
              <w:rPr>
                <w:rFonts w:hint="eastAsia"/>
                <w:sz w:val="21"/>
                <w:szCs w:val="21"/>
                <w:highlight w:val="none"/>
              </w:rPr>
            </w:pPr>
            <w:r>
              <w:rPr>
                <w:rFonts w:hint="eastAsia"/>
                <w:sz w:val="21"/>
                <w:szCs w:val="21"/>
                <w:highlight w:val="none"/>
              </w:rPr>
              <w:t>各水平马头门及井框上的浮石未及时处理或处理不干净</w:t>
            </w:r>
          </w:p>
          <w:p w14:paraId="40CB5999">
            <w:pPr>
              <w:pStyle w:val="32"/>
              <w:bidi w:val="0"/>
              <w:jc w:val="both"/>
              <w:rPr>
                <w:rFonts w:hint="eastAsia"/>
                <w:sz w:val="21"/>
                <w:szCs w:val="21"/>
                <w:highlight w:val="none"/>
              </w:rPr>
            </w:pPr>
            <w:r>
              <w:rPr>
                <w:rFonts w:hint="eastAsia"/>
                <w:sz w:val="21"/>
                <w:szCs w:val="21"/>
                <w:highlight w:val="none"/>
              </w:rPr>
              <w:t>设备工具等坠落物砸伤经过的人员</w:t>
            </w:r>
          </w:p>
        </w:tc>
        <w:tc>
          <w:tcPr>
            <w:tcW w:w="0" w:type="auto"/>
            <w:noWrap w:val="0"/>
            <w:vAlign w:val="center"/>
          </w:tcPr>
          <w:p w14:paraId="660B858E">
            <w:pPr>
              <w:pStyle w:val="32"/>
              <w:bidi w:val="0"/>
              <w:jc w:val="both"/>
              <w:rPr>
                <w:rFonts w:hint="eastAsia"/>
                <w:sz w:val="21"/>
                <w:szCs w:val="21"/>
                <w:highlight w:val="none"/>
              </w:rPr>
            </w:pPr>
            <w:r>
              <w:rPr>
                <w:rFonts w:hint="eastAsia"/>
                <w:sz w:val="21"/>
                <w:szCs w:val="21"/>
                <w:highlight w:val="none"/>
              </w:rPr>
              <w:t>工作人员从可能坠落的物体下通过</w:t>
            </w:r>
          </w:p>
        </w:tc>
        <w:tc>
          <w:tcPr>
            <w:tcW w:w="0" w:type="auto"/>
            <w:noWrap w:val="0"/>
            <w:vAlign w:val="center"/>
          </w:tcPr>
          <w:p w14:paraId="3C3D16F5">
            <w:pPr>
              <w:pStyle w:val="32"/>
              <w:bidi w:val="0"/>
              <w:jc w:val="both"/>
              <w:rPr>
                <w:rFonts w:hint="eastAsia"/>
                <w:sz w:val="21"/>
                <w:szCs w:val="21"/>
                <w:highlight w:val="none"/>
              </w:rPr>
            </w:pPr>
            <w:r>
              <w:rPr>
                <w:rFonts w:hint="eastAsia"/>
                <w:sz w:val="21"/>
                <w:szCs w:val="21"/>
                <w:highlight w:val="none"/>
              </w:rPr>
              <w:t>工作人员违章进入危险区域</w:t>
            </w:r>
          </w:p>
          <w:p w14:paraId="60C09B3A">
            <w:pPr>
              <w:pStyle w:val="32"/>
              <w:bidi w:val="0"/>
              <w:jc w:val="both"/>
              <w:rPr>
                <w:rFonts w:hint="eastAsia"/>
                <w:sz w:val="21"/>
                <w:szCs w:val="21"/>
                <w:highlight w:val="none"/>
              </w:rPr>
            </w:pPr>
            <w:r>
              <w:rPr>
                <w:rFonts w:hint="eastAsia"/>
                <w:sz w:val="21"/>
                <w:szCs w:val="21"/>
                <w:highlight w:val="none"/>
              </w:rPr>
              <w:t>作业环境差，作业人员未发现坠物</w:t>
            </w:r>
          </w:p>
        </w:tc>
        <w:tc>
          <w:tcPr>
            <w:tcW w:w="0" w:type="auto"/>
            <w:noWrap w:val="0"/>
            <w:vAlign w:val="center"/>
          </w:tcPr>
          <w:p w14:paraId="39B065A5">
            <w:pPr>
              <w:pStyle w:val="32"/>
              <w:bidi w:val="0"/>
              <w:rPr>
                <w:rFonts w:hint="eastAsia"/>
                <w:sz w:val="21"/>
                <w:szCs w:val="21"/>
                <w:highlight w:val="none"/>
              </w:rPr>
            </w:pPr>
            <w:r>
              <w:rPr>
                <w:rFonts w:hint="eastAsia"/>
                <w:sz w:val="21"/>
                <w:szCs w:val="21"/>
                <w:highlight w:val="none"/>
              </w:rPr>
              <w:t>人员伤亡</w:t>
            </w:r>
          </w:p>
        </w:tc>
        <w:tc>
          <w:tcPr>
            <w:tcW w:w="0" w:type="auto"/>
            <w:noWrap w:val="0"/>
            <w:vAlign w:val="center"/>
          </w:tcPr>
          <w:p w14:paraId="7BF7082B">
            <w:pPr>
              <w:pStyle w:val="32"/>
              <w:bidi w:val="0"/>
              <w:rPr>
                <w:rFonts w:hint="eastAsia"/>
                <w:sz w:val="21"/>
                <w:szCs w:val="21"/>
                <w:highlight w:val="none"/>
              </w:rPr>
            </w:pPr>
            <w:r>
              <w:rPr>
                <w:rFonts w:hint="eastAsia"/>
                <w:sz w:val="21"/>
                <w:szCs w:val="21"/>
                <w:highlight w:val="none"/>
              </w:rPr>
              <w:t>Ⅱ级</w:t>
            </w:r>
          </w:p>
        </w:tc>
        <w:tc>
          <w:tcPr>
            <w:tcW w:w="0" w:type="auto"/>
            <w:noWrap w:val="0"/>
            <w:vAlign w:val="center"/>
          </w:tcPr>
          <w:p w14:paraId="56F56650">
            <w:pPr>
              <w:pStyle w:val="32"/>
              <w:bidi w:val="0"/>
              <w:jc w:val="both"/>
              <w:rPr>
                <w:rFonts w:hint="eastAsia"/>
                <w:sz w:val="21"/>
                <w:szCs w:val="21"/>
                <w:highlight w:val="none"/>
              </w:rPr>
            </w:pPr>
            <w:r>
              <w:rPr>
                <w:rFonts w:hint="eastAsia"/>
                <w:sz w:val="21"/>
                <w:szCs w:val="21"/>
                <w:highlight w:val="none"/>
              </w:rPr>
              <w:t>（1）严禁在高处抛掷工具</w:t>
            </w:r>
          </w:p>
          <w:p w14:paraId="45AED2EE">
            <w:pPr>
              <w:pStyle w:val="32"/>
              <w:bidi w:val="0"/>
              <w:jc w:val="both"/>
              <w:rPr>
                <w:rFonts w:hint="eastAsia"/>
                <w:sz w:val="21"/>
                <w:szCs w:val="21"/>
                <w:highlight w:val="none"/>
              </w:rPr>
            </w:pPr>
            <w:r>
              <w:rPr>
                <w:rFonts w:hint="eastAsia"/>
                <w:sz w:val="21"/>
                <w:szCs w:val="21"/>
                <w:highlight w:val="none"/>
              </w:rPr>
              <w:t>（2）人员不得进入有坠物危险的区域</w:t>
            </w:r>
          </w:p>
          <w:p w14:paraId="7924D6BA">
            <w:pPr>
              <w:pStyle w:val="32"/>
              <w:bidi w:val="0"/>
              <w:jc w:val="both"/>
              <w:rPr>
                <w:rFonts w:hint="eastAsia"/>
                <w:sz w:val="21"/>
                <w:szCs w:val="21"/>
                <w:highlight w:val="none"/>
              </w:rPr>
            </w:pPr>
            <w:r>
              <w:rPr>
                <w:rFonts w:hint="eastAsia"/>
                <w:sz w:val="21"/>
                <w:szCs w:val="21"/>
                <w:highlight w:val="none"/>
              </w:rPr>
              <w:t>（3）各中段马头门及井框上的浮石及时处理干净</w:t>
            </w:r>
          </w:p>
        </w:tc>
      </w:tr>
      <w:tr w14:paraId="50DABF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74C6BF78">
            <w:pPr>
              <w:pStyle w:val="32"/>
              <w:bidi w:val="0"/>
              <w:rPr>
                <w:rFonts w:hint="eastAsia"/>
                <w:sz w:val="21"/>
                <w:szCs w:val="21"/>
                <w:highlight w:val="none"/>
              </w:rPr>
            </w:pPr>
            <w:r>
              <w:rPr>
                <w:rFonts w:hint="eastAsia"/>
                <w:sz w:val="21"/>
                <w:szCs w:val="21"/>
                <w:highlight w:val="none"/>
              </w:rPr>
              <w:t>高处坠落</w:t>
            </w:r>
          </w:p>
        </w:tc>
        <w:tc>
          <w:tcPr>
            <w:tcW w:w="0" w:type="auto"/>
            <w:noWrap w:val="0"/>
            <w:vAlign w:val="center"/>
          </w:tcPr>
          <w:p w14:paraId="04B207A4">
            <w:pPr>
              <w:pStyle w:val="32"/>
              <w:bidi w:val="0"/>
              <w:rPr>
                <w:rFonts w:hint="eastAsia"/>
                <w:sz w:val="21"/>
                <w:szCs w:val="21"/>
                <w:highlight w:val="none"/>
              </w:rPr>
            </w:pPr>
            <w:r>
              <w:rPr>
                <w:rFonts w:hint="eastAsia"/>
                <w:sz w:val="21"/>
                <w:szCs w:val="21"/>
                <w:highlight w:val="none"/>
              </w:rPr>
              <w:t>登高作业</w:t>
            </w:r>
          </w:p>
        </w:tc>
        <w:tc>
          <w:tcPr>
            <w:tcW w:w="0" w:type="auto"/>
            <w:noWrap w:val="0"/>
            <w:vAlign w:val="center"/>
          </w:tcPr>
          <w:p w14:paraId="73856BBF">
            <w:pPr>
              <w:pStyle w:val="32"/>
              <w:bidi w:val="0"/>
              <w:jc w:val="both"/>
              <w:rPr>
                <w:rFonts w:hint="eastAsia"/>
                <w:sz w:val="21"/>
                <w:szCs w:val="21"/>
                <w:highlight w:val="none"/>
              </w:rPr>
            </w:pPr>
            <w:r>
              <w:rPr>
                <w:rFonts w:hint="eastAsia"/>
                <w:sz w:val="21"/>
                <w:szCs w:val="21"/>
                <w:highlight w:val="none"/>
              </w:rPr>
              <w:t>作业场所边缘无围栏</w:t>
            </w:r>
          </w:p>
          <w:p w14:paraId="11B35EBC">
            <w:pPr>
              <w:pStyle w:val="32"/>
              <w:bidi w:val="0"/>
              <w:jc w:val="both"/>
              <w:rPr>
                <w:rFonts w:hint="eastAsia"/>
                <w:sz w:val="21"/>
                <w:szCs w:val="21"/>
                <w:highlight w:val="none"/>
              </w:rPr>
            </w:pPr>
            <w:r>
              <w:rPr>
                <w:rFonts w:hint="eastAsia"/>
                <w:sz w:val="21"/>
                <w:szCs w:val="21"/>
                <w:highlight w:val="none"/>
              </w:rPr>
              <w:t>防护栏不牢固或高度不够</w:t>
            </w:r>
          </w:p>
          <w:p w14:paraId="04D6F648">
            <w:pPr>
              <w:pStyle w:val="32"/>
              <w:bidi w:val="0"/>
              <w:jc w:val="both"/>
              <w:rPr>
                <w:rFonts w:hint="eastAsia"/>
                <w:sz w:val="21"/>
                <w:szCs w:val="21"/>
                <w:highlight w:val="none"/>
              </w:rPr>
            </w:pPr>
            <w:r>
              <w:rPr>
                <w:rFonts w:hint="eastAsia"/>
                <w:sz w:val="21"/>
                <w:szCs w:val="21"/>
                <w:highlight w:val="none"/>
              </w:rPr>
              <w:t>未穿防滑鞋或防护用品穿戴不当</w:t>
            </w:r>
          </w:p>
          <w:p w14:paraId="780ADC6F">
            <w:pPr>
              <w:pStyle w:val="32"/>
              <w:bidi w:val="0"/>
              <w:jc w:val="both"/>
              <w:rPr>
                <w:rFonts w:hint="eastAsia"/>
                <w:sz w:val="21"/>
                <w:szCs w:val="21"/>
                <w:highlight w:val="none"/>
              </w:rPr>
            </w:pPr>
            <w:r>
              <w:rPr>
                <w:rFonts w:hint="eastAsia"/>
                <w:sz w:val="21"/>
                <w:szCs w:val="21"/>
                <w:highlight w:val="none"/>
              </w:rPr>
              <w:t>身体不适造成跌落</w:t>
            </w:r>
          </w:p>
        </w:tc>
        <w:tc>
          <w:tcPr>
            <w:tcW w:w="0" w:type="auto"/>
            <w:noWrap w:val="0"/>
            <w:vAlign w:val="center"/>
          </w:tcPr>
          <w:p w14:paraId="2DF962F3">
            <w:pPr>
              <w:pStyle w:val="32"/>
              <w:bidi w:val="0"/>
              <w:jc w:val="both"/>
              <w:rPr>
                <w:rFonts w:hint="eastAsia"/>
                <w:sz w:val="21"/>
                <w:szCs w:val="21"/>
                <w:highlight w:val="none"/>
              </w:rPr>
            </w:pPr>
            <w:r>
              <w:rPr>
                <w:rFonts w:hint="eastAsia"/>
                <w:highlight w:val="none"/>
              </w:rPr>
              <w:t>人行阶梯高差较大或者阶梯破坏的位置</w:t>
            </w:r>
          </w:p>
        </w:tc>
        <w:tc>
          <w:tcPr>
            <w:tcW w:w="0" w:type="auto"/>
            <w:noWrap w:val="0"/>
            <w:vAlign w:val="center"/>
          </w:tcPr>
          <w:p w14:paraId="2084F985">
            <w:pPr>
              <w:pStyle w:val="32"/>
              <w:bidi w:val="0"/>
              <w:jc w:val="both"/>
              <w:rPr>
                <w:rFonts w:hint="eastAsia"/>
                <w:sz w:val="21"/>
                <w:szCs w:val="21"/>
                <w:highlight w:val="none"/>
              </w:rPr>
            </w:pPr>
            <w:r>
              <w:rPr>
                <w:rFonts w:hint="eastAsia"/>
                <w:sz w:val="21"/>
                <w:szCs w:val="21"/>
                <w:highlight w:val="none"/>
              </w:rPr>
              <w:t>踩空或支撑物倒塌</w:t>
            </w:r>
          </w:p>
          <w:p w14:paraId="341EDD6B">
            <w:pPr>
              <w:pStyle w:val="32"/>
              <w:bidi w:val="0"/>
              <w:jc w:val="both"/>
              <w:rPr>
                <w:rFonts w:hint="default"/>
                <w:sz w:val="21"/>
                <w:szCs w:val="21"/>
                <w:highlight w:val="none"/>
                <w:lang w:val="en-US"/>
              </w:rPr>
            </w:pPr>
            <w:r>
              <w:rPr>
                <w:rFonts w:hint="eastAsia"/>
                <w:sz w:val="21"/>
                <w:szCs w:val="21"/>
                <w:highlight w:val="none"/>
                <w:lang w:val="en-US" w:eastAsia="zh-CN"/>
              </w:rPr>
              <w:t>携带重物</w:t>
            </w:r>
          </w:p>
          <w:p w14:paraId="62EAB322">
            <w:pPr>
              <w:pStyle w:val="32"/>
              <w:bidi w:val="0"/>
              <w:jc w:val="both"/>
              <w:rPr>
                <w:rFonts w:hint="eastAsia"/>
                <w:sz w:val="21"/>
                <w:szCs w:val="21"/>
                <w:highlight w:val="none"/>
              </w:rPr>
            </w:pPr>
            <w:r>
              <w:rPr>
                <w:rFonts w:hint="eastAsia"/>
                <w:sz w:val="21"/>
                <w:szCs w:val="21"/>
                <w:highlight w:val="none"/>
              </w:rPr>
              <w:t>未穿防滑鞋及紧身工作服</w:t>
            </w:r>
          </w:p>
          <w:p w14:paraId="406FD442">
            <w:pPr>
              <w:pStyle w:val="32"/>
              <w:bidi w:val="0"/>
              <w:jc w:val="both"/>
              <w:rPr>
                <w:rFonts w:hint="eastAsia"/>
                <w:sz w:val="21"/>
                <w:szCs w:val="21"/>
                <w:highlight w:val="none"/>
              </w:rPr>
            </w:pPr>
            <w:r>
              <w:rPr>
                <w:rFonts w:hint="eastAsia"/>
                <w:sz w:val="21"/>
                <w:szCs w:val="21"/>
                <w:highlight w:val="none"/>
              </w:rPr>
              <w:t>违章指挥、违章作业、违反劳动纪律</w:t>
            </w:r>
          </w:p>
        </w:tc>
        <w:tc>
          <w:tcPr>
            <w:tcW w:w="0" w:type="auto"/>
            <w:noWrap w:val="0"/>
            <w:vAlign w:val="center"/>
          </w:tcPr>
          <w:p w14:paraId="59894E2B">
            <w:pPr>
              <w:pStyle w:val="32"/>
              <w:bidi w:val="0"/>
              <w:rPr>
                <w:rFonts w:hint="eastAsia"/>
                <w:sz w:val="21"/>
                <w:szCs w:val="21"/>
                <w:highlight w:val="none"/>
              </w:rPr>
            </w:pPr>
            <w:r>
              <w:rPr>
                <w:rFonts w:hint="eastAsia"/>
                <w:sz w:val="21"/>
                <w:szCs w:val="21"/>
                <w:highlight w:val="none"/>
              </w:rPr>
              <w:t>人员伤亡</w:t>
            </w:r>
          </w:p>
        </w:tc>
        <w:tc>
          <w:tcPr>
            <w:tcW w:w="0" w:type="auto"/>
            <w:noWrap w:val="0"/>
            <w:vAlign w:val="center"/>
          </w:tcPr>
          <w:p w14:paraId="60A963F4">
            <w:pPr>
              <w:pStyle w:val="32"/>
              <w:bidi w:val="0"/>
              <w:rPr>
                <w:rFonts w:hint="eastAsia"/>
                <w:sz w:val="21"/>
                <w:szCs w:val="21"/>
                <w:highlight w:val="none"/>
              </w:rPr>
            </w:pPr>
            <w:r>
              <w:rPr>
                <w:rFonts w:hint="eastAsia"/>
                <w:sz w:val="21"/>
                <w:szCs w:val="21"/>
                <w:highlight w:val="none"/>
              </w:rPr>
              <w:t>Ⅱ级</w:t>
            </w:r>
          </w:p>
        </w:tc>
        <w:tc>
          <w:tcPr>
            <w:tcW w:w="0" w:type="auto"/>
            <w:noWrap w:val="0"/>
            <w:vAlign w:val="center"/>
          </w:tcPr>
          <w:p w14:paraId="2E7FEC3E">
            <w:pPr>
              <w:pStyle w:val="32"/>
              <w:bidi w:val="0"/>
              <w:jc w:val="both"/>
              <w:rPr>
                <w:rFonts w:hint="default" w:eastAsia="宋体"/>
                <w:sz w:val="21"/>
                <w:szCs w:val="21"/>
                <w:highlight w:val="none"/>
                <w:lang w:val="en-US" w:eastAsia="zh-CN"/>
              </w:rPr>
            </w:pPr>
            <w:r>
              <w:rPr>
                <w:rFonts w:hint="eastAsia"/>
                <w:sz w:val="21"/>
                <w:szCs w:val="21"/>
                <w:highlight w:val="none"/>
                <w:lang w:val="en-US" w:eastAsia="zh-CN"/>
              </w:rPr>
              <w:t>及时修整台阶</w:t>
            </w:r>
          </w:p>
          <w:p w14:paraId="5D2CED54">
            <w:pPr>
              <w:pStyle w:val="32"/>
              <w:bidi w:val="0"/>
              <w:jc w:val="both"/>
              <w:rPr>
                <w:rFonts w:hint="eastAsia"/>
                <w:sz w:val="21"/>
                <w:szCs w:val="21"/>
                <w:highlight w:val="none"/>
              </w:rPr>
            </w:pPr>
            <w:r>
              <w:rPr>
                <w:rFonts w:hint="eastAsia"/>
                <w:sz w:val="21"/>
                <w:szCs w:val="21"/>
                <w:highlight w:val="none"/>
              </w:rPr>
              <w:t>制定并严格遵守高处作业安全管理制度</w:t>
            </w:r>
          </w:p>
          <w:p w14:paraId="7C1AA801">
            <w:pPr>
              <w:pStyle w:val="32"/>
              <w:bidi w:val="0"/>
              <w:jc w:val="both"/>
              <w:rPr>
                <w:rFonts w:hint="eastAsia"/>
                <w:sz w:val="21"/>
                <w:szCs w:val="21"/>
                <w:highlight w:val="none"/>
              </w:rPr>
            </w:pPr>
            <w:r>
              <w:rPr>
                <w:rFonts w:hint="eastAsia"/>
                <w:sz w:val="21"/>
                <w:szCs w:val="21"/>
                <w:highlight w:val="none"/>
              </w:rPr>
              <w:t xml:space="preserve">2m以上的高处作业，设轩梯、围栏、盖、平台、走道等等 </w:t>
            </w:r>
          </w:p>
          <w:p w14:paraId="12021FF1">
            <w:pPr>
              <w:pStyle w:val="32"/>
              <w:bidi w:val="0"/>
              <w:jc w:val="both"/>
              <w:rPr>
                <w:rFonts w:hint="eastAsia"/>
                <w:sz w:val="21"/>
                <w:szCs w:val="21"/>
                <w:highlight w:val="none"/>
              </w:rPr>
            </w:pPr>
            <w:r>
              <w:rPr>
                <w:rFonts w:hint="eastAsia"/>
                <w:sz w:val="21"/>
                <w:szCs w:val="21"/>
                <w:highlight w:val="none"/>
              </w:rPr>
              <w:t>登高作业人员必须严格执行高处作业安全规定</w:t>
            </w:r>
          </w:p>
          <w:p w14:paraId="6A714F92">
            <w:pPr>
              <w:pStyle w:val="32"/>
              <w:bidi w:val="0"/>
              <w:jc w:val="both"/>
              <w:rPr>
                <w:rFonts w:hint="eastAsia"/>
                <w:sz w:val="21"/>
                <w:szCs w:val="21"/>
                <w:highlight w:val="none"/>
              </w:rPr>
            </w:pPr>
            <w:r>
              <w:rPr>
                <w:rFonts w:hint="eastAsia"/>
                <w:sz w:val="21"/>
                <w:szCs w:val="21"/>
                <w:highlight w:val="none"/>
              </w:rPr>
              <w:t>登高作业人员必须戴好安全帽，系挂好安全带</w:t>
            </w:r>
          </w:p>
          <w:p w14:paraId="4405FCC7">
            <w:pPr>
              <w:pStyle w:val="32"/>
              <w:bidi w:val="0"/>
              <w:jc w:val="both"/>
              <w:rPr>
                <w:rFonts w:hint="eastAsia"/>
                <w:sz w:val="21"/>
                <w:szCs w:val="21"/>
                <w:highlight w:val="none"/>
              </w:rPr>
            </w:pPr>
            <w:r>
              <w:rPr>
                <w:rFonts w:hint="eastAsia"/>
                <w:sz w:val="21"/>
                <w:szCs w:val="21"/>
                <w:highlight w:val="none"/>
              </w:rPr>
              <w:t>对平台、栏杆、护墙及安全带等要定期检查，确保完好</w:t>
            </w:r>
          </w:p>
          <w:p w14:paraId="270E7268">
            <w:pPr>
              <w:pStyle w:val="32"/>
              <w:bidi w:val="0"/>
              <w:jc w:val="both"/>
              <w:rPr>
                <w:rFonts w:hint="eastAsia"/>
                <w:sz w:val="21"/>
                <w:szCs w:val="21"/>
                <w:highlight w:val="none"/>
              </w:rPr>
            </w:pPr>
            <w:r>
              <w:rPr>
                <w:rFonts w:hint="eastAsia"/>
                <w:sz w:val="21"/>
                <w:szCs w:val="21"/>
                <w:highlight w:val="none"/>
              </w:rPr>
              <w:t>杜绝“三违”</w:t>
            </w:r>
          </w:p>
        </w:tc>
      </w:tr>
      <w:tr w14:paraId="687FCF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6E2AB0D">
            <w:pPr>
              <w:pStyle w:val="32"/>
              <w:bidi w:val="0"/>
              <w:rPr>
                <w:rFonts w:hint="eastAsia"/>
                <w:sz w:val="21"/>
                <w:szCs w:val="21"/>
                <w:highlight w:val="none"/>
              </w:rPr>
            </w:pPr>
            <w:r>
              <w:rPr>
                <w:rFonts w:hint="eastAsia"/>
                <w:sz w:val="21"/>
                <w:szCs w:val="21"/>
                <w:highlight w:val="none"/>
              </w:rPr>
              <w:t>冒顶片帮</w:t>
            </w:r>
          </w:p>
        </w:tc>
        <w:tc>
          <w:tcPr>
            <w:tcW w:w="0" w:type="auto"/>
            <w:noWrap w:val="0"/>
            <w:vAlign w:val="center"/>
          </w:tcPr>
          <w:p w14:paraId="78E7FAF4">
            <w:pPr>
              <w:pStyle w:val="32"/>
              <w:bidi w:val="0"/>
              <w:rPr>
                <w:rFonts w:hint="eastAsia"/>
                <w:sz w:val="21"/>
                <w:szCs w:val="21"/>
                <w:highlight w:val="none"/>
              </w:rPr>
            </w:pPr>
            <w:r>
              <w:rPr>
                <w:rFonts w:hint="eastAsia"/>
                <w:sz w:val="21"/>
                <w:szCs w:val="21"/>
                <w:highlight w:val="none"/>
              </w:rPr>
              <w:t>滚石、滑坡、坍塌</w:t>
            </w:r>
          </w:p>
        </w:tc>
        <w:tc>
          <w:tcPr>
            <w:tcW w:w="0" w:type="auto"/>
            <w:noWrap w:val="0"/>
            <w:vAlign w:val="center"/>
          </w:tcPr>
          <w:p w14:paraId="7060A8F4">
            <w:pPr>
              <w:pStyle w:val="32"/>
              <w:bidi w:val="0"/>
              <w:jc w:val="both"/>
              <w:rPr>
                <w:rFonts w:hint="eastAsia"/>
                <w:sz w:val="21"/>
                <w:szCs w:val="21"/>
                <w:highlight w:val="none"/>
              </w:rPr>
            </w:pPr>
            <w:r>
              <w:rPr>
                <w:rFonts w:hint="eastAsia"/>
                <w:sz w:val="21"/>
                <w:szCs w:val="21"/>
                <w:highlight w:val="none"/>
              </w:rPr>
              <w:t>（1）开拓井巷井口布置在不良工程地质地段。</w:t>
            </w:r>
          </w:p>
          <w:p w14:paraId="05488A21">
            <w:pPr>
              <w:pStyle w:val="32"/>
              <w:bidi w:val="0"/>
              <w:jc w:val="both"/>
              <w:rPr>
                <w:rFonts w:hint="eastAsia"/>
                <w:sz w:val="21"/>
                <w:szCs w:val="21"/>
                <w:highlight w:val="none"/>
              </w:rPr>
            </w:pPr>
            <w:r>
              <w:rPr>
                <w:rFonts w:hint="eastAsia"/>
                <w:sz w:val="21"/>
                <w:szCs w:val="21"/>
                <w:highlight w:val="none"/>
              </w:rPr>
              <w:t>（2）井巷布置不合理。</w:t>
            </w:r>
          </w:p>
          <w:p w14:paraId="50D58224">
            <w:pPr>
              <w:pStyle w:val="32"/>
              <w:bidi w:val="0"/>
              <w:jc w:val="both"/>
              <w:rPr>
                <w:rFonts w:hint="eastAsia"/>
                <w:sz w:val="21"/>
                <w:szCs w:val="21"/>
                <w:highlight w:val="none"/>
              </w:rPr>
            </w:pPr>
            <w:r>
              <w:rPr>
                <w:rFonts w:hint="eastAsia"/>
                <w:sz w:val="21"/>
                <w:szCs w:val="21"/>
                <w:highlight w:val="none"/>
              </w:rPr>
              <w:t>（3）开拓、采准、切割和回采井巷穿越断层或破碎带。</w:t>
            </w:r>
          </w:p>
        </w:tc>
        <w:tc>
          <w:tcPr>
            <w:tcW w:w="0" w:type="auto"/>
            <w:noWrap w:val="0"/>
            <w:vAlign w:val="center"/>
          </w:tcPr>
          <w:p w14:paraId="7F7B6728">
            <w:pPr>
              <w:pStyle w:val="32"/>
              <w:bidi w:val="0"/>
              <w:jc w:val="both"/>
              <w:rPr>
                <w:rFonts w:hint="eastAsia"/>
                <w:sz w:val="21"/>
                <w:szCs w:val="21"/>
                <w:highlight w:val="none"/>
              </w:rPr>
            </w:pPr>
            <w:r>
              <w:rPr>
                <w:rFonts w:hint="eastAsia"/>
                <w:sz w:val="21"/>
                <w:szCs w:val="21"/>
                <w:highlight w:val="none"/>
              </w:rPr>
              <w:t>作业人员位于可能冒顶片帮位置处</w:t>
            </w:r>
          </w:p>
        </w:tc>
        <w:tc>
          <w:tcPr>
            <w:tcW w:w="0" w:type="auto"/>
            <w:noWrap w:val="0"/>
            <w:vAlign w:val="center"/>
          </w:tcPr>
          <w:p w14:paraId="4F6F8714">
            <w:pPr>
              <w:pStyle w:val="32"/>
              <w:bidi w:val="0"/>
              <w:jc w:val="both"/>
              <w:rPr>
                <w:rFonts w:hint="eastAsia"/>
                <w:sz w:val="21"/>
                <w:szCs w:val="21"/>
                <w:highlight w:val="none"/>
              </w:rPr>
            </w:pPr>
            <w:r>
              <w:rPr>
                <w:rFonts w:hint="eastAsia"/>
                <w:sz w:val="21"/>
                <w:szCs w:val="21"/>
                <w:highlight w:val="none"/>
              </w:rPr>
              <w:t>（1）工作人员违章进入危险区域</w:t>
            </w:r>
          </w:p>
          <w:p w14:paraId="6B7582C7">
            <w:pPr>
              <w:pStyle w:val="32"/>
              <w:bidi w:val="0"/>
              <w:jc w:val="both"/>
              <w:rPr>
                <w:rFonts w:hint="eastAsia"/>
                <w:sz w:val="21"/>
                <w:szCs w:val="21"/>
                <w:highlight w:val="none"/>
              </w:rPr>
            </w:pPr>
            <w:r>
              <w:rPr>
                <w:rFonts w:hint="eastAsia"/>
                <w:sz w:val="21"/>
                <w:szCs w:val="21"/>
                <w:highlight w:val="none"/>
              </w:rPr>
              <w:t>（2）工作人员未佩戴符合要求的劳保防护用品</w:t>
            </w:r>
          </w:p>
        </w:tc>
        <w:tc>
          <w:tcPr>
            <w:tcW w:w="0" w:type="auto"/>
            <w:noWrap w:val="0"/>
            <w:vAlign w:val="center"/>
          </w:tcPr>
          <w:p w14:paraId="4364E5C5">
            <w:pPr>
              <w:pStyle w:val="32"/>
              <w:bidi w:val="0"/>
              <w:rPr>
                <w:rFonts w:hint="eastAsia"/>
                <w:sz w:val="21"/>
                <w:szCs w:val="21"/>
                <w:highlight w:val="none"/>
              </w:rPr>
            </w:pPr>
            <w:r>
              <w:rPr>
                <w:rFonts w:hint="eastAsia"/>
                <w:sz w:val="21"/>
                <w:szCs w:val="21"/>
                <w:highlight w:val="none"/>
              </w:rPr>
              <w:t>人员伤亡</w:t>
            </w:r>
          </w:p>
        </w:tc>
        <w:tc>
          <w:tcPr>
            <w:tcW w:w="0" w:type="auto"/>
            <w:noWrap w:val="0"/>
            <w:vAlign w:val="center"/>
          </w:tcPr>
          <w:p w14:paraId="2CC49117">
            <w:pPr>
              <w:pStyle w:val="32"/>
              <w:bidi w:val="0"/>
              <w:rPr>
                <w:rFonts w:hint="eastAsia"/>
                <w:sz w:val="21"/>
                <w:szCs w:val="21"/>
                <w:highlight w:val="none"/>
              </w:rPr>
            </w:pPr>
            <w:r>
              <w:rPr>
                <w:rFonts w:hint="eastAsia"/>
                <w:sz w:val="21"/>
                <w:szCs w:val="21"/>
                <w:highlight w:val="none"/>
              </w:rPr>
              <w:t>Ⅱ级</w:t>
            </w:r>
          </w:p>
        </w:tc>
        <w:tc>
          <w:tcPr>
            <w:tcW w:w="0" w:type="auto"/>
            <w:noWrap w:val="0"/>
            <w:vAlign w:val="center"/>
          </w:tcPr>
          <w:p w14:paraId="333F817F">
            <w:pPr>
              <w:pStyle w:val="32"/>
              <w:bidi w:val="0"/>
              <w:jc w:val="both"/>
              <w:rPr>
                <w:rFonts w:hint="eastAsia"/>
                <w:sz w:val="21"/>
                <w:szCs w:val="21"/>
                <w:highlight w:val="none"/>
              </w:rPr>
            </w:pPr>
            <w:r>
              <w:rPr>
                <w:rFonts w:hint="eastAsia"/>
                <w:sz w:val="21"/>
                <w:szCs w:val="21"/>
                <w:highlight w:val="none"/>
              </w:rPr>
              <w:t>（1）开拓井巷入口应尽量避免布置在各种具有崩塌、滑坡危险及不良工程地质地段；</w:t>
            </w:r>
          </w:p>
          <w:p w14:paraId="25F95510">
            <w:pPr>
              <w:pStyle w:val="32"/>
              <w:bidi w:val="0"/>
              <w:jc w:val="both"/>
              <w:rPr>
                <w:rFonts w:hint="eastAsia"/>
                <w:sz w:val="21"/>
                <w:szCs w:val="21"/>
                <w:highlight w:val="none"/>
              </w:rPr>
            </w:pPr>
            <w:r>
              <w:rPr>
                <w:rFonts w:hint="eastAsia"/>
                <w:sz w:val="21"/>
                <w:szCs w:val="21"/>
                <w:highlight w:val="none"/>
              </w:rPr>
              <w:t>（2）加强井巷入口段的支护工作；</w:t>
            </w:r>
          </w:p>
          <w:p w14:paraId="02B72EC3">
            <w:pPr>
              <w:pStyle w:val="32"/>
              <w:bidi w:val="0"/>
              <w:jc w:val="both"/>
              <w:rPr>
                <w:rFonts w:hint="eastAsia"/>
                <w:sz w:val="21"/>
                <w:szCs w:val="21"/>
                <w:highlight w:val="none"/>
              </w:rPr>
            </w:pPr>
            <w:r>
              <w:rPr>
                <w:rFonts w:hint="eastAsia"/>
                <w:sz w:val="21"/>
                <w:szCs w:val="21"/>
                <w:highlight w:val="none"/>
              </w:rPr>
              <w:t>（3）合理控制临近地表处的地下采场爆破的一次爆破药量；</w:t>
            </w:r>
          </w:p>
          <w:p w14:paraId="79E54623">
            <w:pPr>
              <w:pStyle w:val="32"/>
              <w:bidi w:val="0"/>
              <w:jc w:val="both"/>
              <w:rPr>
                <w:rFonts w:hint="eastAsia"/>
                <w:sz w:val="21"/>
                <w:szCs w:val="21"/>
                <w:highlight w:val="none"/>
              </w:rPr>
            </w:pPr>
            <w:r>
              <w:rPr>
                <w:rFonts w:hint="eastAsia"/>
                <w:sz w:val="21"/>
                <w:szCs w:val="21"/>
                <w:highlight w:val="none"/>
              </w:rPr>
              <w:t>（4）加强对该崩塌、滑坡危险地段的移动监测工作。（5）加强地质工作，了解工程地质条件；</w:t>
            </w:r>
          </w:p>
          <w:p w14:paraId="6F4C06EE">
            <w:pPr>
              <w:pStyle w:val="32"/>
              <w:bidi w:val="0"/>
              <w:jc w:val="both"/>
              <w:rPr>
                <w:rFonts w:hint="eastAsia"/>
                <w:sz w:val="21"/>
                <w:szCs w:val="21"/>
                <w:highlight w:val="none"/>
              </w:rPr>
            </w:pPr>
            <w:r>
              <w:rPr>
                <w:rFonts w:hint="eastAsia"/>
                <w:sz w:val="21"/>
                <w:szCs w:val="21"/>
                <w:highlight w:val="none"/>
              </w:rPr>
              <w:t>（6）聘请有经验的设计人员进行井巷工程的系统设计；</w:t>
            </w:r>
          </w:p>
          <w:p w14:paraId="318F099C">
            <w:pPr>
              <w:pStyle w:val="32"/>
              <w:bidi w:val="0"/>
              <w:jc w:val="both"/>
              <w:rPr>
                <w:rFonts w:hint="eastAsia"/>
                <w:sz w:val="21"/>
                <w:szCs w:val="21"/>
                <w:highlight w:val="none"/>
              </w:rPr>
            </w:pPr>
            <w:r>
              <w:rPr>
                <w:rFonts w:hint="eastAsia"/>
                <w:sz w:val="21"/>
                <w:szCs w:val="21"/>
                <w:highlight w:val="none"/>
              </w:rPr>
              <w:t>（7）留有足够的隔离矿柱；</w:t>
            </w:r>
          </w:p>
          <w:p w14:paraId="56D1EA4F">
            <w:pPr>
              <w:pStyle w:val="32"/>
              <w:bidi w:val="0"/>
              <w:jc w:val="both"/>
              <w:rPr>
                <w:rFonts w:hint="eastAsia"/>
                <w:sz w:val="21"/>
                <w:szCs w:val="21"/>
                <w:highlight w:val="none"/>
              </w:rPr>
            </w:pPr>
            <w:r>
              <w:rPr>
                <w:rFonts w:hint="eastAsia"/>
                <w:sz w:val="21"/>
                <w:szCs w:val="21"/>
                <w:highlight w:val="none"/>
              </w:rPr>
              <w:t>（8）选用合适的掘进方法；</w:t>
            </w:r>
          </w:p>
          <w:p w14:paraId="29A1ED35">
            <w:pPr>
              <w:pStyle w:val="32"/>
              <w:bidi w:val="0"/>
              <w:jc w:val="both"/>
              <w:rPr>
                <w:rFonts w:hint="eastAsia"/>
                <w:sz w:val="21"/>
                <w:szCs w:val="21"/>
                <w:highlight w:val="none"/>
              </w:rPr>
            </w:pPr>
            <w:r>
              <w:rPr>
                <w:rFonts w:hint="eastAsia"/>
                <w:sz w:val="21"/>
                <w:szCs w:val="21"/>
                <w:highlight w:val="none"/>
              </w:rPr>
              <w:t>（9）严格按规程作业；</w:t>
            </w:r>
          </w:p>
          <w:p w14:paraId="43BD00A3">
            <w:pPr>
              <w:pStyle w:val="32"/>
              <w:bidi w:val="0"/>
              <w:jc w:val="both"/>
              <w:rPr>
                <w:rFonts w:hint="eastAsia"/>
                <w:sz w:val="21"/>
                <w:szCs w:val="21"/>
                <w:highlight w:val="none"/>
              </w:rPr>
            </w:pPr>
            <w:r>
              <w:rPr>
                <w:rFonts w:hint="eastAsia"/>
                <w:sz w:val="21"/>
                <w:szCs w:val="21"/>
                <w:highlight w:val="none"/>
              </w:rPr>
              <w:t>（10）重视井巷的支护和维护，加强断层、破碎带井巷支护工作。</w:t>
            </w:r>
          </w:p>
        </w:tc>
      </w:tr>
      <w:tr w14:paraId="3D7B80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5F87A94">
            <w:pPr>
              <w:pStyle w:val="32"/>
              <w:bidi w:val="0"/>
              <w:rPr>
                <w:rFonts w:hint="eastAsia"/>
                <w:sz w:val="21"/>
                <w:szCs w:val="21"/>
                <w:highlight w:val="none"/>
              </w:rPr>
            </w:pPr>
            <w:r>
              <w:rPr>
                <w:rFonts w:hint="eastAsia"/>
                <w:sz w:val="21"/>
                <w:szCs w:val="21"/>
                <w:highlight w:val="none"/>
              </w:rPr>
              <w:t>机械伤害</w:t>
            </w:r>
          </w:p>
        </w:tc>
        <w:tc>
          <w:tcPr>
            <w:tcW w:w="0" w:type="auto"/>
            <w:noWrap w:val="0"/>
            <w:vAlign w:val="center"/>
          </w:tcPr>
          <w:p w14:paraId="4F097204">
            <w:pPr>
              <w:pStyle w:val="32"/>
              <w:bidi w:val="0"/>
              <w:rPr>
                <w:rFonts w:hint="default" w:eastAsia="宋体"/>
                <w:sz w:val="21"/>
                <w:szCs w:val="21"/>
                <w:highlight w:val="none"/>
                <w:lang w:val="en-US" w:eastAsia="zh-CN"/>
              </w:rPr>
            </w:pPr>
            <w:r>
              <w:rPr>
                <w:rFonts w:hint="eastAsia"/>
                <w:sz w:val="21"/>
                <w:szCs w:val="21"/>
                <w:highlight w:val="none"/>
                <w:lang w:val="en-US" w:eastAsia="zh-CN"/>
              </w:rPr>
              <w:t>辅助绞车非正常运行</w:t>
            </w:r>
          </w:p>
        </w:tc>
        <w:tc>
          <w:tcPr>
            <w:tcW w:w="0" w:type="auto"/>
            <w:noWrap w:val="0"/>
            <w:vAlign w:val="center"/>
          </w:tcPr>
          <w:p w14:paraId="494B52C6">
            <w:pPr>
              <w:pStyle w:val="32"/>
              <w:bidi w:val="0"/>
              <w:jc w:val="both"/>
              <w:rPr>
                <w:rFonts w:hint="eastAsia"/>
                <w:sz w:val="21"/>
                <w:szCs w:val="21"/>
                <w:highlight w:val="none"/>
              </w:rPr>
            </w:pPr>
            <w:r>
              <w:rPr>
                <w:rFonts w:hint="eastAsia"/>
                <w:sz w:val="21"/>
                <w:szCs w:val="21"/>
                <w:highlight w:val="none"/>
              </w:rPr>
              <w:t>（1）钢丝绳强度不够</w:t>
            </w:r>
          </w:p>
          <w:p w14:paraId="525456C2">
            <w:pPr>
              <w:pStyle w:val="32"/>
              <w:bidi w:val="0"/>
              <w:jc w:val="both"/>
              <w:rPr>
                <w:rFonts w:hint="eastAsia"/>
                <w:sz w:val="21"/>
                <w:szCs w:val="21"/>
                <w:highlight w:val="none"/>
              </w:rPr>
            </w:pPr>
            <w:r>
              <w:rPr>
                <w:rFonts w:hint="eastAsia"/>
                <w:sz w:val="21"/>
                <w:szCs w:val="21"/>
                <w:highlight w:val="none"/>
              </w:rPr>
              <w:t>（2）设备的保护装置存在缺陷</w:t>
            </w:r>
          </w:p>
          <w:p w14:paraId="7EA4D7D3">
            <w:pPr>
              <w:pStyle w:val="32"/>
              <w:bidi w:val="0"/>
              <w:jc w:val="both"/>
              <w:rPr>
                <w:rFonts w:hint="eastAsia"/>
                <w:sz w:val="21"/>
                <w:szCs w:val="21"/>
                <w:highlight w:val="none"/>
              </w:rPr>
            </w:pPr>
            <w:r>
              <w:rPr>
                <w:rFonts w:hint="eastAsia"/>
                <w:sz w:val="21"/>
                <w:szCs w:val="21"/>
                <w:highlight w:val="none"/>
              </w:rPr>
              <w:t>（</w:t>
            </w:r>
            <w:r>
              <w:rPr>
                <w:rFonts w:hint="eastAsia"/>
                <w:sz w:val="21"/>
                <w:szCs w:val="21"/>
                <w:highlight w:val="none"/>
                <w:lang w:val="en-US" w:eastAsia="zh-CN"/>
              </w:rPr>
              <w:t>3</w:t>
            </w:r>
            <w:r>
              <w:rPr>
                <w:rFonts w:hint="eastAsia"/>
                <w:sz w:val="21"/>
                <w:szCs w:val="21"/>
                <w:highlight w:val="none"/>
              </w:rPr>
              <w:t>）提升信号不完善。</w:t>
            </w:r>
          </w:p>
        </w:tc>
        <w:tc>
          <w:tcPr>
            <w:tcW w:w="0" w:type="auto"/>
            <w:noWrap w:val="0"/>
            <w:vAlign w:val="center"/>
          </w:tcPr>
          <w:p w14:paraId="1B44B450">
            <w:pPr>
              <w:pStyle w:val="32"/>
              <w:bidi w:val="0"/>
              <w:jc w:val="both"/>
              <w:rPr>
                <w:rFonts w:hint="eastAsia"/>
                <w:sz w:val="21"/>
                <w:szCs w:val="21"/>
                <w:highlight w:val="none"/>
              </w:rPr>
            </w:pPr>
            <w:r>
              <w:rPr>
                <w:rFonts w:hint="eastAsia"/>
                <w:sz w:val="21"/>
                <w:szCs w:val="21"/>
                <w:highlight w:val="none"/>
              </w:rPr>
              <w:t>提升系统在提升人员、设备时发生故障</w:t>
            </w:r>
          </w:p>
        </w:tc>
        <w:tc>
          <w:tcPr>
            <w:tcW w:w="0" w:type="auto"/>
            <w:noWrap w:val="0"/>
            <w:vAlign w:val="center"/>
          </w:tcPr>
          <w:p w14:paraId="0BD4A217">
            <w:pPr>
              <w:pStyle w:val="32"/>
              <w:bidi w:val="0"/>
              <w:jc w:val="both"/>
              <w:rPr>
                <w:rFonts w:hint="eastAsia"/>
                <w:sz w:val="21"/>
                <w:szCs w:val="21"/>
                <w:highlight w:val="none"/>
              </w:rPr>
            </w:pPr>
            <w:r>
              <w:rPr>
                <w:rFonts w:hint="eastAsia"/>
                <w:sz w:val="21"/>
                <w:szCs w:val="21"/>
                <w:highlight w:val="none"/>
              </w:rPr>
              <w:t>（1）操作人员缺乏安全知识</w:t>
            </w:r>
          </w:p>
          <w:p w14:paraId="2D55FF4C">
            <w:pPr>
              <w:pStyle w:val="32"/>
              <w:bidi w:val="0"/>
              <w:jc w:val="both"/>
              <w:rPr>
                <w:rFonts w:hint="eastAsia"/>
                <w:sz w:val="21"/>
                <w:szCs w:val="21"/>
                <w:highlight w:val="none"/>
              </w:rPr>
            </w:pPr>
            <w:r>
              <w:rPr>
                <w:rFonts w:hint="eastAsia"/>
                <w:sz w:val="21"/>
                <w:szCs w:val="21"/>
                <w:highlight w:val="none"/>
                <w:lang w:eastAsia="zh-CN"/>
              </w:rPr>
              <w:t>（</w:t>
            </w:r>
            <w:r>
              <w:rPr>
                <w:rFonts w:hint="eastAsia"/>
                <w:sz w:val="21"/>
                <w:szCs w:val="21"/>
                <w:highlight w:val="none"/>
                <w:lang w:val="en-US" w:eastAsia="zh-CN"/>
              </w:rPr>
              <w:t>2</w:t>
            </w:r>
            <w:r>
              <w:rPr>
                <w:rFonts w:hint="eastAsia"/>
                <w:sz w:val="21"/>
                <w:szCs w:val="21"/>
                <w:highlight w:val="none"/>
                <w:lang w:eastAsia="zh-CN"/>
              </w:rPr>
              <w:t>）</w:t>
            </w:r>
            <w:r>
              <w:rPr>
                <w:rFonts w:hint="eastAsia"/>
                <w:sz w:val="21"/>
                <w:szCs w:val="21"/>
                <w:highlight w:val="none"/>
              </w:rPr>
              <w:t>信号工和卷扬司机在收发信号时，忽视相互确认</w:t>
            </w:r>
          </w:p>
        </w:tc>
        <w:tc>
          <w:tcPr>
            <w:tcW w:w="0" w:type="auto"/>
            <w:noWrap w:val="0"/>
            <w:vAlign w:val="center"/>
          </w:tcPr>
          <w:p w14:paraId="5C94BCD0">
            <w:pPr>
              <w:pStyle w:val="32"/>
              <w:bidi w:val="0"/>
              <w:rPr>
                <w:rFonts w:hint="eastAsia"/>
                <w:sz w:val="21"/>
                <w:szCs w:val="21"/>
                <w:highlight w:val="none"/>
              </w:rPr>
            </w:pPr>
            <w:r>
              <w:rPr>
                <w:rFonts w:hint="eastAsia" w:ascii="Times New Roman" w:hAnsi="Times New Roman" w:cs="宋体"/>
                <w:caps w:val="0"/>
                <w:smallCaps w:val="0"/>
                <w:sz w:val="21"/>
                <w:szCs w:val="21"/>
                <w:highlight w:val="none"/>
              </w:rPr>
              <w:t>损坏设备、人员伤亡</w:t>
            </w:r>
          </w:p>
        </w:tc>
        <w:tc>
          <w:tcPr>
            <w:tcW w:w="0" w:type="auto"/>
            <w:noWrap w:val="0"/>
            <w:vAlign w:val="center"/>
          </w:tcPr>
          <w:p w14:paraId="1F8F9301">
            <w:pPr>
              <w:pStyle w:val="32"/>
              <w:bidi w:val="0"/>
              <w:rPr>
                <w:rFonts w:hint="eastAsia"/>
                <w:sz w:val="21"/>
                <w:szCs w:val="21"/>
                <w:highlight w:val="none"/>
              </w:rPr>
            </w:pPr>
            <w:r>
              <w:rPr>
                <w:rFonts w:hint="eastAsia"/>
                <w:sz w:val="21"/>
                <w:szCs w:val="21"/>
                <w:highlight w:val="none"/>
              </w:rPr>
              <w:t>Ⅱ</w:t>
            </w:r>
            <w:r>
              <w:rPr>
                <w:rFonts w:hint="eastAsia" w:ascii="Times New Roman" w:hAnsi="Times New Roman" w:cs="宋体"/>
                <w:caps w:val="0"/>
                <w:smallCaps w:val="0"/>
                <w:sz w:val="21"/>
                <w:szCs w:val="21"/>
                <w:highlight w:val="none"/>
              </w:rPr>
              <w:t>级</w:t>
            </w:r>
          </w:p>
        </w:tc>
        <w:tc>
          <w:tcPr>
            <w:tcW w:w="0" w:type="auto"/>
            <w:noWrap w:val="0"/>
            <w:vAlign w:val="center"/>
          </w:tcPr>
          <w:p w14:paraId="324842C9">
            <w:pPr>
              <w:pStyle w:val="32"/>
              <w:bidi w:val="0"/>
              <w:jc w:val="both"/>
              <w:rPr>
                <w:rFonts w:hint="eastAsia"/>
                <w:sz w:val="21"/>
                <w:szCs w:val="21"/>
                <w:highlight w:val="none"/>
              </w:rPr>
            </w:pPr>
            <w:r>
              <w:rPr>
                <w:rFonts w:hint="eastAsia"/>
                <w:sz w:val="21"/>
                <w:szCs w:val="21"/>
                <w:highlight w:val="none"/>
              </w:rPr>
              <w:t>（1）提升设备的设计、安装、制造都应该符合有关的技术规范和安全规程的要求</w:t>
            </w:r>
          </w:p>
          <w:p w14:paraId="7B537BE3">
            <w:pPr>
              <w:pStyle w:val="32"/>
              <w:bidi w:val="0"/>
              <w:jc w:val="both"/>
              <w:rPr>
                <w:rFonts w:hint="eastAsia"/>
                <w:sz w:val="21"/>
                <w:szCs w:val="21"/>
                <w:highlight w:val="none"/>
              </w:rPr>
            </w:pPr>
            <w:r>
              <w:rPr>
                <w:rFonts w:hint="eastAsia"/>
                <w:sz w:val="21"/>
                <w:szCs w:val="21"/>
                <w:highlight w:val="none"/>
              </w:rPr>
              <w:t>（2）提升容器、钢丝绳及提升绞车，都必须定期进行检查</w:t>
            </w:r>
          </w:p>
          <w:p w14:paraId="696C4EB7">
            <w:pPr>
              <w:pStyle w:val="32"/>
              <w:bidi w:val="0"/>
              <w:jc w:val="both"/>
              <w:rPr>
                <w:rFonts w:hint="eastAsia"/>
                <w:sz w:val="21"/>
                <w:szCs w:val="21"/>
                <w:highlight w:val="none"/>
              </w:rPr>
            </w:pPr>
            <w:r>
              <w:rPr>
                <w:rFonts w:hint="eastAsia"/>
                <w:sz w:val="21"/>
                <w:szCs w:val="21"/>
                <w:highlight w:val="none"/>
              </w:rPr>
              <w:t>（</w:t>
            </w:r>
            <w:r>
              <w:rPr>
                <w:rFonts w:hint="eastAsia"/>
                <w:sz w:val="21"/>
                <w:szCs w:val="21"/>
                <w:highlight w:val="none"/>
                <w:lang w:val="en-US" w:eastAsia="zh-CN"/>
              </w:rPr>
              <w:t>3</w:t>
            </w:r>
            <w:r>
              <w:rPr>
                <w:rFonts w:hint="eastAsia"/>
                <w:sz w:val="21"/>
                <w:szCs w:val="21"/>
                <w:highlight w:val="none"/>
              </w:rPr>
              <w:t>）加强对信号工教育，信号工要准确无误的传发信号。</w:t>
            </w:r>
          </w:p>
        </w:tc>
      </w:tr>
    </w:tbl>
    <w:p w14:paraId="7A15B819">
      <w:pPr>
        <w:pStyle w:val="22"/>
        <w:bidi w:val="0"/>
        <w:rPr>
          <w:rFonts w:hint="eastAsia"/>
          <w:highlight w:val="none"/>
        </w:rPr>
      </w:pPr>
      <w:r>
        <w:rPr>
          <w:rFonts w:hint="eastAsia"/>
          <w:highlight w:val="none"/>
        </w:rPr>
        <w:t>开拓单元潜在的危险因素是高处坠落、物体打击、冒顶片帮以及机械伤害，其危险程度为“临界的”，应采取防范措施，做好各井口的安全防护。</w:t>
      </w:r>
    </w:p>
    <w:p w14:paraId="6260C245">
      <w:pPr>
        <w:pStyle w:val="22"/>
        <w:numPr>
          <w:ilvl w:val="0"/>
          <w:numId w:val="27"/>
        </w:numPr>
        <w:bidi w:val="0"/>
        <w:rPr>
          <w:rFonts w:hint="eastAsia" w:ascii="Times New Roman" w:hAnsi="Times New Roman"/>
          <w:caps w:val="0"/>
          <w:smallCaps w:val="0"/>
          <w:sz w:val="28"/>
          <w:szCs w:val="28"/>
          <w:highlight w:val="none"/>
        </w:rPr>
      </w:pPr>
      <w:r>
        <w:rPr>
          <w:rFonts w:hint="eastAsia" w:ascii="Times New Roman" w:hAnsi="Times New Roman"/>
          <w:caps w:val="0"/>
          <w:smallCaps w:val="0"/>
          <w:sz w:val="28"/>
          <w:szCs w:val="28"/>
          <w:highlight w:val="none"/>
        </w:rPr>
        <w:t>专家评议法评价</w:t>
      </w:r>
    </w:p>
    <w:p w14:paraId="693BA5D1">
      <w:pPr>
        <w:pStyle w:val="22"/>
        <w:bidi w:val="0"/>
        <w:rPr>
          <w:rFonts w:hint="default"/>
          <w:highlight w:val="none"/>
          <w:lang w:val="en-US" w:eastAsia="zh-CN"/>
        </w:rPr>
      </w:pPr>
      <w:r>
        <w:rPr>
          <w:rFonts w:hint="eastAsia"/>
          <w:highlight w:val="none"/>
          <w:lang w:val="en-US" w:eastAsia="zh-CN"/>
        </w:rPr>
        <w:t>1、</w:t>
      </w:r>
      <w:r>
        <w:rPr>
          <w:rFonts w:hint="default"/>
          <w:highlight w:val="none"/>
          <w:lang w:val="en-US" w:eastAsia="zh-CN"/>
        </w:rPr>
        <w:t>井巷布置安全可靠性评价</w:t>
      </w:r>
    </w:p>
    <w:p w14:paraId="3743EC3E">
      <w:pPr>
        <w:numPr>
          <w:ilvl w:val="0"/>
          <w:numId w:val="0"/>
        </w:numPr>
        <w:snapToGrid w:val="0"/>
        <w:spacing w:line="360" w:lineRule="auto"/>
        <w:ind w:left="560" w:leftChars="0"/>
        <w:rPr>
          <w:rFonts w:hint="eastAsia" w:ascii="Times New Roman" w:hAnsi="Times New Roman"/>
          <w:caps w:val="0"/>
          <w:smallCaps w:val="0"/>
          <w:sz w:val="28"/>
          <w:szCs w:val="28"/>
          <w:highlight w:val="none"/>
        </w:rPr>
      </w:pPr>
      <w:r>
        <w:rPr>
          <w:rFonts w:hint="eastAsia" w:ascii="Times New Roman" w:hAnsi="Times New Roman"/>
          <w:caps w:val="0"/>
          <w:smallCaps w:val="0"/>
          <w:sz w:val="28"/>
          <w:szCs w:val="28"/>
          <w:highlight w:val="none"/>
          <w:lang w:val="en-US" w:eastAsia="zh-CN"/>
        </w:rPr>
        <w:t>①</w:t>
      </w:r>
      <w:r>
        <w:rPr>
          <w:rFonts w:hint="eastAsia" w:ascii="Times New Roman" w:hAnsi="Times New Roman"/>
          <w:caps w:val="0"/>
          <w:smallCaps w:val="0"/>
          <w:sz w:val="28"/>
          <w:szCs w:val="28"/>
          <w:highlight w:val="none"/>
        </w:rPr>
        <w:t>新设计井巷工程安全可靠性分析</w:t>
      </w:r>
    </w:p>
    <w:p w14:paraId="199F3866">
      <w:pPr>
        <w:pStyle w:val="22"/>
        <w:bidi w:val="0"/>
        <w:rPr>
          <w:rFonts w:hint="default"/>
          <w:highlight w:val="none"/>
          <w:lang w:val="en-US" w:eastAsia="zh-CN"/>
        </w:rPr>
      </w:pPr>
      <w:r>
        <w:rPr>
          <w:rFonts w:hint="default"/>
          <w:highlight w:val="none"/>
          <w:lang w:val="en-US" w:eastAsia="zh-CN"/>
        </w:rPr>
        <w:t>矿床为沉积变质型的“鞍山式”铁矿，矿层主要为磁铁石英岩，夹层较少，厚度变化较大，分布较连续，稳固性较好。矿体围岩主要为主要为滑石化透闪岩和中细粒黑云母二长花岗岩。对于深部井巷开采，矿床内基岩多属于坚硬的层状工程地质岩组，岩体完整性为较完整到完整。矿区工程地质勘查类型为第三类，以块状岩类为主，工程地质条件复杂程度为简单</w:t>
      </w:r>
      <w:r>
        <w:rPr>
          <w:rFonts w:hint="eastAsia"/>
          <w:highlight w:val="none"/>
          <w:lang w:val="en-US" w:eastAsia="zh-CN"/>
        </w:rPr>
        <w:t>。</w:t>
      </w:r>
      <w:r>
        <w:rPr>
          <w:rFonts w:hint="default"/>
          <w:highlight w:val="none"/>
          <w:lang w:val="en-US" w:eastAsia="zh-CN"/>
        </w:rPr>
        <w:t>因此《可研报告》设计的井巷工程从岩石性质上安全可行。</w:t>
      </w:r>
    </w:p>
    <w:p w14:paraId="2F030E18">
      <w:pPr>
        <w:pStyle w:val="22"/>
        <w:bidi w:val="0"/>
        <w:rPr>
          <w:rFonts w:hint="default"/>
          <w:highlight w:val="none"/>
          <w:lang w:val="en-US" w:eastAsia="zh-CN"/>
        </w:rPr>
      </w:pPr>
      <w:r>
        <w:rPr>
          <w:rFonts w:hint="default"/>
          <w:highlight w:val="none"/>
          <w:lang w:val="en-US" w:eastAsia="zh-CN"/>
        </w:rPr>
        <w:t>《可研报告》明确掘进过程中如果遇到断裂构造应尽量垂直通过断裂构造并及时进行支护，遇到不稳固的岩层应及时进行支护，在松软岩层中掘进，永久性支护至掘进工作面之间应架设临时支护或特殊支护。满足《金属非金属矿山安全规程》（GB16423-2020）第6.2.7.2条“在不稳固的岩层中掘进时应进行支护；在松软、破碎或流砂地层中掘进时应在永久性支护与掘进工作面之间进行临时支护或者特殊支护。”规定的要求。</w:t>
      </w:r>
    </w:p>
    <w:p w14:paraId="7C9473E1">
      <w:pPr>
        <w:pStyle w:val="22"/>
        <w:bidi w:val="0"/>
        <w:rPr>
          <w:rFonts w:hint="default"/>
          <w:highlight w:val="none"/>
          <w:lang w:val="en-US" w:eastAsia="zh-CN"/>
        </w:rPr>
      </w:pPr>
      <w:r>
        <w:rPr>
          <w:rFonts w:hint="default"/>
          <w:highlight w:val="none"/>
          <w:lang w:val="en-US" w:eastAsia="zh-CN"/>
        </w:rPr>
        <w:t>②原有废弃井巷、采空区处理措施安全可靠性分析</w:t>
      </w:r>
    </w:p>
    <w:p w14:paraId="4CF08C66">
      <w:pPr>
        <w:pStyle w:val="22"/>
        <w:bidi w:val="0"/>
        <w:rPr>
          <w:rFonts w:hint="default"/>
          <w:highlight w:val="none"/>
          <w:lang w:val="en-US" w:eastAsia="zh-CN"/>
        </w:rPr>
      </w:pPr>
      <w:r>
        <w:rPr>
          <w:rFonts w:hint="default"/>
          <w:highlight w:val="none"/>
          <w:lang w:val="en-US" w:eastAsia="zh-CN"/>
        </w:rPr>
        <w:t>根据《可研报告》及图纸本次利用的有：</w:t>
      </w:r>
    </w:p>
    <w:p w14:paraId="7CCBA115">
      <w:pPr>
        <w:pStyle w:val="22"/>
        <w:bidi w:val="0"/>
        <w:rPr>
          <w:rFonts w:hint="default"/>
          <w:highlight w:val="none"/>
          <w:lang w:val="en-US" w:eastAsia="zh-CN"/>
        </w:rPr>
      </w:pPr>
      <w:r>
        <w:rPr>
          <w:rFonts w:hint="default"/>
          <w:highlight w:val="none"/>
          <w:lang w:val="en-US" w:eastAsia="zh-CN"/>
        </w:rPr>
        <w:t>矿山为优化开拓系统</w:t>
      </w:r>
      <w:r>
        <w:rPr>
          <w:rFonts w:hint="eastAsia"/>
          <w:highlight w:val="none"/>
          <w:lang w:val="en-US" w:eastAsia="zh-CN"/>
        </w:rPr>
        <w:t>，</w:t>
      </w:r>
      <w:r>
        <w:rPr>
          <w:rFonts w:hint="default"/>
          <w:highlight w:val="none"/>
          <w:lang w:val="en-US" w:eastAsia="zh-CN"/>
        </w:rPr>
        <w:t>计划对</w:t>
      </w:r>
      <w:r>
        <w:rPr>
          <w:rFonts w:hint="eastAsia"/>
          <w:highlight w:val="none"/>
          <w:lang w:val="en-US" w:eastAsia="zh-CN"/>
        </w:rPr>
        <w:t>斜坡道部分利用、回风竖井</w:t>
      </w:r>
      <w:r>
        <w:rPr>
          <w:rFonts w:hint="default"/>
          <w:highlight w:val="none"/>
          <w:lang w:val="en-US" w:eastAsia="zh-CN"/>
        </w:rPr>
        <w:t>继续利用。</w:t>
      </w:r>
    </w:p>
    <w:p w14:paraId="2DD4346D">
      <w:pPr>
        <w:pStyle w:val="22"/>
        <w:bidi w:val="0"/>
        <w:rPr>
          <w:rFonts w:hint="default"/>
          <w:highlight w:val="none"/>
          <w:lang w:val="en-US" w:eastAsia="zh-CN"/>
        </w:rPr>
      </w:pPr>
      <w:r>
        <w:rPr>
          <w:rFonts w:hint="default"/>
          <w:highlight w:val="none"/>
          <w:lang w:val="en-US" w:eastAsia="zh-CN"/>
        </w:rPr>
        <w:t>《可研报告》未明确对通往采空区的原有井巷工程的处理措施，评价组认为应采用混凝土对其进行封堵，并要保证封堵效果，同时需要留有泄水孔与中段巷道相连，及时排出井内的积水。</w:t>
      </w:r>
    </w:p>
    <w:p w14:paraId="6FF3B9EF">
      <w:pPr>
        <w:pStyle w:val="22"/>
        <w:bidi w:val="0"/>
        <w:rPr>
          <w:rFonts w:hint="default"/>
          <w:highlight w:val="none"/>
          <w:lang w:val="en-US" w:eastAsia="zh-CN"/>
        </w:rPr>
      </w:pPr>
      <w:r>
        <w:rPr>
          <w:rFonts w:hint="default"/>
          <w:highlight w:val="none"/>
          <w:lang w:val="en-US" w:eastAsia="zh-CN"/>
        </w:rPr>
        <w:t>建设单位应按照《</w:t>
      </w:r>
      <w:r>
        <w:rPr>
          <w:rFonts w:hint="eastAsia"/>
          <w:highlight w:val="none"/>
          <w:lang w:val="en-US" w:eastAsia="zh-CN"/>
        </w:rPr>
        <w:t>隐蔽致灾因素普查</w:t>
      </w:r>
      <w:r>
        <w:rPr>
          <w:rFonts w:hint="default"/>
          <w:highlight w:val="none"/>
          <w:lang w:val="en-US" w:eastAsia="zh-CN"/>
        </w:rPr>
        <w:t>》处理原有采空区，保证在矿山基建前对原有采空区和废弃不利用的井巷处理完毕，如能够按照本预评价报告、《可研报告》及《</w:t>
      </w:r>
      <w:r>
        <w:rPr>
          <w:rFonts w:hint="eastAsia"/>
          <w:highlight w:val="none"/>
          <w:lang w:val="en-US" w:eastAsia="zh-CN"/>
        </w:rPr>
        <w:t>隐蔽致灾因素普查</w:t>
      </w:r>
      <w:r>
        <w:rPr>
          <w:rFonts w:hint="default"/>
          <w:highlight w:val="none"/>
          <w:lang w:val="en-US" w:eastAsia="zh-CN"/>
        </w:rPr>
        <w:t>》提出的安全对策措施对原有的矿山井巷和采空区进行处理，可以保证该项目井巷工程的安全可靠。</w:t>
      </w:r>
    </w:p>
    <w:p w14:paraId="0A75D297">
      <w:pPr>
        <w:pStyle w:val="22"/>
        <w:bidi w:val="0"/>
        <w:rPr>
          <w:rFonts w:hint="eastAsia"/>
          <w:highlight w:val="none"/>
          <w:lang w:val="en-US" w:eastAsia="zh-CN"/>
        </w:rPr>
      </w:pPr>
      <w:r>
        <w:rPr>
          <w:rFonts w:hint="eastAsia"/>
          <w:highlight w:val="none"/>
          <w:lang w:val="en-US" w:eastAsia="zh-CN"/>
        </w:rPr>
        <w:t>2、安全出口可靠性评价</w:t>
      </w:r>
    </w:p>
    <w:p w14:paraId="7CD01C6E">
      <w:pPr>
        <w:pStyle w:val="22"/>
        <w:bidi w:val="0"/>
        <w:rPr>
          <w:rFonts w:hint="default"/>
          <w:highlight w:val="none"/>
          <w:lang w:val="en-US" w:eastAsia="zh-CN"/>
        </w:rPr>
      </w:pPr>
      <w:r>
        <w:rPr>
          <w:rFonts w:hint="default"/>
          <w:highlight w:val="none"/>
          <w:lang w:val="en-US" w:eastAsia="zh-CN"/>
        </w:rPr>
        <w:t>《可研报告》根据矿体赋存条件结合矿山现有的井巷工程，设计采用斜坡道开拓。采用斜坡道入风，回风竖井出风的中央并列抽出式通风系统。</w:t>
      </w:r>
    </w:p>
    <w:p w14:paraId="3E0A9D03">
      <w:pPr>
        <w:pStyle w:val="22"/>
        <w:bidi w:val="0"/>
        <w:rPr>
          <w:rFonts w:hint="default"/>
          <w:highlight w:val="none"/>
          <w:lang w:val="en-US" w:eastAsia="zh-CN"/>
        </w:rPr>
      </w:pPr>
      <w:r>
        <w:rPr>
          <w:rFonts w:hint="default"/>
          <w:highlight w:val="none"/>
          <w:lang w:val="en-US" w:eastAsia="zh-CN"/>
        </w:rPr>
        <w:t>斜坡道：为矿山现有工程，硐口位于1号勘探线和3号勘探线之间，岩石移动范围20m外。硐口坐标：X=</w:t>
      </w:r>
      <w:r>
        <w:rPr>
          <w:rFonts w:hint="eastAsia"/>
          <w:highlight w:val="none"/>
          <w:lang w:val="en-US" w:eastAsia="zh-CN"/>
        </w:rPr>
        <w:t>XXXXX</w:t>
      </w:r>
      <w:r>
        <w:rPr>
          <w:rFonts w:hint="default"/>
          <w:highlight w:val="none"/>
          <w:lang w:val="en-US" w:eastAsia="zh-CN"/>
        </w:rPr>
        <w:t>，Y=</w:t>
      </w:r>
      <w:r>
        <w:rPr>
          <w:rFonts w:hint="eastAsia"/>
          <w:highlight w:val="none"/>
          <w:lang w:val="en-US" w:eastAsia="zh-CN"/>
        </w:rPr>
        <w:t>XXXXX</w:t>
      </w:r>
      <w:r>
        <w:rPr>
          <w:rFonts w:hint="default"/>
          <w:highlight w:val="none"/>
          <w:lang w:val="en-US" w:eastAsia="zh-CN"/>
        </w:rPr>
        <w:t>，Z=272.80m，底部标高138m，总长约1090m，斜坡道坡度为12%，断面采用三心拱形，净断面规格为5.0m×4.0m。每不大于400m设置长度不小于20m的缓坡段，缓坡段坡度为3‰。缓坡段同时作为错车道，断面为三心拱形，净断面规格为7.5m×4.53m。斜坡道一侧设有人行道，担负井下矿石、废石、材料、设备及人员的运输任务，入新风兼做安全出口。本次设计对其加以改道延伸至-67m标高，延伸后斜坡道总长约2950m，本次设计利用其部分现有斜坡道长度301m，其余现有247m标高～205m标高斜坡道位于岩石移动范围内，故不予利用，对不利用部分进行封堵。</w:t>
      </w:r>
    </w:p>
    <w:p w14:paraId="412458DB">
      <w:pPr>
        <w:pStyle w:val="22"/>
        <w:bidi w:val="0"/>
        <w:rPr>
          <w:rFonts w:hint="default"/>
          <w:highlight w:val="none"/>
          <w:lang w:val="en-US" w:eastAsia="zh-CN"/>
        </w:rPr>
      </w:pPr>
      <w:r>
        <w:rPr>
          <w:rFonts w:hint="default"/>
          <w:highlight w:val="none"/>
          <w:lang w:val="en-US" w:eastAsia="zh-CN"/>
        </w:rPr>
        <w:t>回风竖井：为矿山现有工程，井口位于1号勘探线附近，井口中心点坐标：X=4532215.045，Y=41580468.464，Z=277.366m，井筒位于岩石移动范围20m外，井底标高138m，井深139.366m，井筒断面为矩形，断面尺寸为4.6×2.35m，为混合井。设计对其继续进行利用，将该井筒装备进行拆除，仅保留梯子间，井口安装主扇风机，排污风兼做安全出口。</w:t>
      </w:r>
    </w:p>
    <w:p w14:paraId="57D3EACF">
      <w:pPr>
        <w:pStyle w:val="22"/>
        <w:bidi w:val="0"/>
        <w:rPr>
          <w:rFonts w:hint="default"/>
          <w:highlight w:val="none"/>
          <w:lang w:val="en-US" w:eastAsia="zh-CN"/>
        </w:rPr>
      </w:pPr>
      <w:r>
        <w:rPr>
          <w:rFonts w:hint="default"/>
          <w:highlight w:val="none"/>
          <w:lang w:val="en-US" w:eastAsia="zh-CN"/>
        </w:rPr>
        <w:t>倒段回风井：为本次设计新建工程，各阶段倒段回风井均布置在监测范围20m外，井筒断面为圆形，断面直径为3.5m，井筒内设有梯子间，排污风兼安全出口。</w:t>
      </w:r>
    </w:p>
    <w:p w14:paraId="5EF8D964">
      <w:pPr>
        <w:pStyle w:val="22"/>
        <w:bidi w:val="0"/>
        <w:rPr>
          <w:rFonts w:hint="default"/>
          <w:highlight w:val="none"/>
          <w:lang w:val="en-US" w:eastAsia="zh-CN"/>
        </w:rPr>
      </w:pPr>
      <w:r>
        <w:rPr>
          <w:rFonts w:hint="default"/>
          <w:highlight w:val="none"/>
          <w:lang w:val="en-US" w:eastAsia="zh-CN"/>
        </w:rPr>
        <w:t>《可研报告》中明确</w:t>
      </w:r>
      <w:r>
        <w:rPr>
          <w:rFonts w:hint="eastAsia"/>
          <w:highlight w:val="none"/>
          <w:lang w:val="en-US" w:eastAsia="zh-CN"/>
        </w:rPr>
        <w:t>矿山</w:t>
      </w:r>
      <w:r>
        <w:rPr>
          <w:rFonts w:hint="default"/>
          <w:highlight w:val="none"/>
          <w:lang w:val="en-US" w:eastAsia="zh-CN"/>
        </w:rPr>
        <w:t>1个</w:t>
      </w:r>
      <w:r>
        <w:rPr>
          <w:rFonts w:hint="eastAsia"/>
          <w:highlight w:val="none"/>
          <w:lang w:val="en-US" w:eastAsia="zh-CN"/>
        </w:rPr>
        <w:t>主要</w:t>
      </w:r>
      <w:r>
        <w:rPr>
          <w:rFonts w:hint="default"/>
          <w:highlight w:val="none"/>
          <w:lang w:val="en-US" w:eastAsia="zh-CN"/>
        </w:rPr>
        <w:t>安全出口（</w:t>
      </w:r>
      <w:r>
        <w:rPr>
          <w:rFonts w:hint="eastAsia"/>
          <w:highlight w:val="none"/>
          <w:lang w:val="en-US" w:eastAsia="zh-CN"/>
        </w:rPr>
        <w:t>斜坡道</w:t>
      </w:r>
      <w:r>
        <w:rPr>
          <w:rFonts w:hint="default"/>
          <w:highlight w:val="none"/>
          <w:lang w:val="en-US" w:eastAsia="zh-CN"/>
        </w:rPr>
        <w:t>），</w:t>
      </w:r>
      <w:r>
        <w:rPr>
          <w:rFonts w:hint="eastAsia"/>
          <w:highlight w:val="none"/>
          <w:lang w:val="en-US" w:eastAsia="zh-CN"/>
        </w:rPr>
        <w:t>1</w:t>
      </w:r>
      <w:r>
        <w:rPr>
          <w:rFonts w:hint="default"/>
          <w:highlight w:val="none"/>
          <w:lang w:val="en-US" w:eastAsia="zh-CN"/>
        </w:rPr>
        <w:t>个应急安全出口（回风</w:t>
      </w:r>
      <w:r>
        <w:rPr>
          <w:rFonts w:hint="eastAsia"/>
          <w:highlight w:val="none"/>
          <w:lang w:val="en-US" w:eastAsia="zh-CN"/>
        </w:rPr>
        <w:t>竖</w:t>
      </w:r>
      <w:r>
        <w:rPr>
          <w:rFonts w:hint="default"/>
          <w:highlight w:val="none"/>
          <w:lang w:val="en-US" w:eastAsia="zh-CN"/>
        </w:rPr>
        <w:t>井）符合《金属非金属矿山安全规程》（GB16423-2020）第6.1.1.1条规定“每个矿井至少应有两个相互独立、间距不小于30m直达地面的安全出口”的要求。</w:t>
      </w:r>
    </w:p>
    <w:p w14:paraId="57F2E6D5">
      <w:pPr>
        <w:pStyle w:val="30"/>
        <w:bidi w:val="0"/>
        <w:rPr>
          <w:rFonts w:hint="default"/>
          <w:highlight w:val="none"/>
          <w:lang w:val="en-US" w:eastAsia="zh-CN"/>
        </w:rPr>
      </w:pPr>
      <w:r>
        <w:rPr>
          <w:rFonts w:hint="default"/>
          <w:highlight w:val="none"/>
          <w:lang w:val="en-US" w:eastAsia="zh-CN"/>
        </w:rPr>
        <w:t>评价结果小结</w:t>
      </w:r>
    </w:p>
    <w:p w14:paraId="51ED40D4">
      <w:pPr>
        <w:pStyle w:val="22"/>
        <w:bidi w:val="0"/>
        <w:rPr>
          <w:rFonts w:hint="default"/>
          <w:highlight w:val="none"/>
          <w:lang w:val="en-US" w:eastAsia="zh-CN"/>
        </w:rPr>
      </w:pPr>
      <w:r>
        <w:rPr>
          <w:rFonts w:hint="default"/>
          <w:highlight w:val="none"/>
          <w:lang w:val="en-US" w:eastAsia="zh-CN"/>
        </w:rPr>
        <w:t>通过对开拓工程布置、安全出口安全可靠性评价，建设单位只要按照设计要求及本预评价单位提出的安全对策措施对开拓系统进行施工，合理布置井巷、及时支护，并保证安全出口的畅通，则《可研报告》设计的开拓系统是安全可靠的。</w:t>
      </w:r>
    </w:p>
    <w:p w14:paraId="08A0B653">
      <w:pPr>
        <w:pStyle w:val="29"/>
        <w:bidi w:val="0"/>
        <w:rPr>
          <w:rFonts w:hint="default"/>
          <w:highlight w:val="none"/>
          <w:lang w:val="en-US" w:eastAsia="zh-CN"/>
        </w:rPr>
      </w:pPr>
      <w:bookmarkStart w:id="14" w:name="_Toc13204"/>
      <w:r>
        <w:rPr>
          <w:rFonts w:hint="default"/>
          <w:highlight w:val="none"/>
          <w:lang w:val="en-US" w:eastAsia="zh-CN"/>
        </w:rPr>
        <w:t>提升和运输单元评价</w:t>
      </w:r>
      <w:bookmarkEnd w:id="14"/>
    </w:p>
    <w:p w14:paraId="19CDB790">
      <w:pPr>
        <w:pStyle w:val="30"/>
        <w:rPr>
          <w:rFonts w:hint="default"/>
          <w:highlight w:val="none"/>
          <w:lang w:val="en-US" w:eastAsia="zh-CN"/>
        </w:rPr>
      </w:pPr>
      <w:r>
        <w:rPr>
          <w:rFonts w:hint="default"/>
          <w:highlight w:val="none"/>
          <w:lang w:val="en-US" w:eastAsia="zh-CN"/>
        </w:rPr>
        <w:t>危险、有害因素辨识</w:t>
      </w:r>
    </w:p>
    <w:p w14:paraId="528F18F6">
      <w:pPr>
        <w:pStyle w:val="22"/>
        <w:bidi w:val="0"/>
        <w:rPr>
          <w:rFonts w:hint="default"/>
          <w:lang w:val="en-US" w:eastAsia="zh-CN"/>
        </w:rPr>
      </w:pPr>
      <w:r>
        <w:rPr>
          <w:rFonts w:hint="eastAsia"/>
          <w:lang w:val="en-US" w:eastAsia="zh-CN"/>
        </w:rPr>
        <w:t>井下各生产中段均为无轨运输方式，井下产出的矿石以及掘进岩石由ZL50E矿用装载机装入UQ-35井下运输车后，经脉外运输巷经由斜坡道运输至地表矿石堆场。</w:t>
      </w:r>
      <w:r>
        <w:rPr>
          <w:rFonts w:hint="default"/>
          <w:lang w:val="en-US" w:eastAsia="zh-CN"/>
        </w:rPr>
        <w:t>基建期废石排至地表</w:t>
      </w:r>
      <w:r>
        <w:rPr>
          <w:rFonts w:hint="eastAsia"/>
          <w:lang w:val="en-US" w:eastAsia="zh-CN"/>
        </w:rPr>
        <w:t>CK2。生产期间废石用于回填井下采空区，不出坑。采用斜坡道人车运输人员。</w:t>
      </w:r>
    </w:p>
    <w:p w14:paraId="5561603D">
      <w:pPr>
        <w:pStyle w:val="22"/>
        <w:rPr>
          <w:rFonts w:hint="default"/>
          <w:highlight w:val="none"/>
          <w:lang w:val="en-US" w:eastAsia="zh-CN"/>
        </w:rPr>
      </w:pPr>
      <w:r>
        <w:rPr>
          <w:rFonts w:hint="default"/>
          <w:highlight w:val="none"/>
          <w:lang w:val="en-US" w:eastAsia="zh-CN"/>
        </w:rPr>
        <w:t>运输系统存在的主要危险有害因素有：车辆伤害、机械伤害、物体打击及粉尘等。</w:t>
      </w:r>
    </w:p>
    <w:p w14:paraId="1EF4366A">
      <w:pPr>
        <w:pStyle w:val="22"/>
        <w:numPr>
          <w:ilvl w:val="0"/>
          <w:numId w:val="28"/>
        </w:numPr>
        <w:bidi w:val="0"/>
        <w:rPr>
          <w:b/>
          <w:bCs/>
          <w:highlight w:val="none"/>
        </w:rPr>
      </w:pPr>
      <w:r>
        <w:rPr>
          <w:b/>
          <w:bCs/>
          <w:highlight w:val="none"/>
        </w:rPr>
        <w:t>车辆伤害</w:t>
      </w:r>
    </w:p>
    <w:p w14:paraId="30063209">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ascii="Times New Roman" w:hAnsi="Times New Roman"/>
          <w:caps w:val="0"/>
          <w:smallCaps w:val="0"/>
          <w:snapToGrid w:val="0"/>
          <w:color w:val="000000"/>
          <w:kern w:val="0"/>
          <w:sz w:val="28"/>
          <w:szCs w:val="28"/>
          <w:highlight w:val="none"/>
        </w:rPr>
        <w:t>该项目车辆伤害包括井下</w:t>
      </w:r>
      <w:r>
        <w:rPr>
          <w:rFonts w:hint="eastAsia" w:ascii="Times New Roman" w:hAnsi="Times New Roman"/>
          <w:caps w:val="0"/>
          <w:smallCaps w:val="0"/>
          <w:snapToGrid w:val="0"/>
          <w:color w:val="000000"/>
          <w:kern w:val="0"/>
          <w:sz w:val="28"/>
          <w:szCs w:val="28"/>
          <w:highlight w:val="none"/>
          <w:lang w:val="en-US" w:eastAsia="zh-CN"/>
        </w:rPr>
        <w:t>人车、运输车辆</w:t>
      </w:r>
      <w:r>
        <w:rPr>
          <w:rFonts w:ascii="Times New Roman" w:hAnsi="Times New Roman"/>
          <w:caps w:val="0"/>
          <w:smallCaps w:val="0"/>
          <w:snapToGrid w:val="0"/>
          <w:color w:val="000000"/>
          <w:kern w:val="0"/>
          <w:sz w:val="28"/>
          <w:szCs w:val="28"/>
          <w:highlight w:val="none"/>
        </w:rPr>
        <w:t>等车辆的伤害。这些车辆在运行过程中，由于以下原因，可能造成车辆伤害。</w:t>
      </w:r>
    </w:p>
    <w:p w14:paraId="3D4EEE33">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①</w:t>
      </w:r>
      <w:r>
        <w:rPr>
          <w:rFonts w:ascii="Times New Roman" w:hAnsi="Times New Roman"/>
          <w:caps w:val="0"/>
          <w:smallCaps w:val="0"/>
          <w:snapToGrid w:val="0"/>
          <w:color w:val="000000"/>
          <w:kern w:val="0"/>
          <w:sz w:val="28"/>
          <w:szCs w:val="28"/>
          <w:highlight w:val="none"/>
        </w:rPr>
        <w:t>由于局部巷道断面小，达不到规范要求；</w:t>
      </w:r>
    </w:p>
    <w:p w14:paraId="4220AC69">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②</w:t>
      </w:r>
      <w:r>
        <w:rPr>
          <w:rFonts w:ascii="Times New Roman" w:hAnsi="Times New Roman"/>
          <w:caps w:val="0"/>
          <w:smallCaps w:val="0"/>
          <w:snapToGrid w:val="0"/>
          <w:color w:val="000000"/>
          <w:kern w:val="0"/>
          <w:sz w:val="28"/>
          <w:szCs w:val="28"/>
          <w:highlight w:val="none"/>
        </w:rPr>
        <w:t>车辆运输过程中因无信号装置提示行人和未按规定设置错车道、人行道或未掘躲避硐室导致人员避让不及受车辆的挤夹伤害；</w:t>
      </w:r>
    </w:p>
    <w:p w14:paraId="6BAD559B">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③</w:t>
      </w:r>
      <w:r>
        <w:rPr>
          <w:rFonts w:ascii="Times New Roman" w:hAnsi="Times New Roman"/>
          <w:caps w:val="0"/>
          <w:smallCaps w:val="0"/>
          <w:snapToGrid w:val="0"/>
          <w:color w:val="000000"/>
          <w:kern w:val="0"/>
          <w:sz w:val="28"/>
          <w:szCs w:val="28"/>
          <w:highlight w:val="none"/>
        </w:rPr>
        <w:t>巷道底板坡度大，车辆制动装置失灵，车况不好，都易发生车辆倾翻，导致人员伤害，设备、设施损坏事故；</w:t>
      </w:r>
    </w:p>
    <w:p w14:paraId="59E9ED94">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④</w:t>
      </w:r>
      <w:r>
        <w:rPr>
          <w:rFonts w:ascii="Times New Roman" w:hAnsi="Times New Roman"/>
          <w:caps w:val="0"/>
          <w:smallCaps w:val="0"/>
          <w:snapToGrid w:val="0"/>
          <w:color w:val="000000"/>
          <w:kern w:val="0"/>
          <w:sz w:val="28"/>
          <w:szCs w:val="28"/>
          <w:highlight w:val="none"/>
        </w:rPr>
        <w:t>在运输过程中，由于运输信号联络不畅或信号失灵、设备故障、无相应的安全设施、安全标志等，也很容易发生翻车、挤伤、撞坏设备和撞死撞伤人员等事故；</w:t>
      </w:r>
    </w:p>
    <w:p w14:paraId="78C0C402">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⑤</w:t>
      </w:r>
      <w:r>
        <w:rPr>
          <w:rFonts w:ascii="Times New Roman" w:hAnsi="Times New Roman"/>
          <w:caps w:val="0"/>
          <w:smallCaps w:val="0"/>
          <w:snapToGrid w:val="0"/>
          <w:color w:val="000000"/>
          <w:kern w:val="0"/>
          <w:sz w:val="28"/>
          <w:szCs w:val="28"/>
          <w:highlight w:val="none"/>
        </w:rPr>
        <w:t>在废石运输过程中由于车辆制动装置失灵、道路坡度过大、运行速度过快、路面设计不合理、道路局部坍塌、下沉、路况质量差、狭窄、路不平、雨季冲刷严重，很容易发生车辆倾覆、车辆相撞等事故；</w:t>
      </w:r>
    </w:p>
    <w:p w14:paraId="2D724396">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hint="eastAsia" w:ascii="Times New Roman" w:hAnsi="Times New Roman"/>
          <w:caps w:val="0"/>
          <w:smallCaps w:val="0"/>
          <w:snapToGrid w:val="0"/>
          <w:color w:val="000000"/>
          <w:kern w:val="0"/>
          <w:sz w:val="28"/>
          <w:szCs w:val="28"/>
          <w:highlight w:val="none"/>
          <w:lang w:val="en-US" w:eastAsia="zh-CN"/>
        </w:rPr>
        <w:t>⑥</w:t>
      </w:r>
      <w:r>
        <w:rPr>
          <w:rFonts w:hint="eastAsia" w:ascii="Times New Roman" w:hAnsi="Times New Roman"/>
          <w:caps w:val="0"/>
          <w:smallCaps w:val="0"/>
          <w:snapToGrid w:val="0"/>
          <w:color w:val="000000"/>
          <w:kern w:val="0"/>
          <w:sz w:val="28"/>
          <w:szCs w:val="28"/>
          <w:highlight w:val="none"/>
        </w:rPr>
        <w:t>地面</w:t>
      </w:r>
      <w:r>
        <w:rPr>
          <w:rFonts w:ascii="Times New Roman" w:hAnsi="Times New Roman"/>
          <w:caps w:val="0"/>
          <w:smallCaps w:val="0"/>
          <w:snapToGrid w:val="0"/>
          <w:color w:val="000000"/>
          <w:kern w:val="0"/>
          <w:sz w:val="28"/>
          <w:szCs w:val="28"/>
          <w:highlight w:val="none"/>
        </w:rPr>
        <w:t>雨天运输车辆未采取防滑措施、违章驾驶等。</w:t>
      </w:r>
    </w:p>
    <w:p w14:paraId="3770B7AC">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ascii="Times New Roman" w:hAnsi="Times New Roman"/>
          <w:caps w:val="0"/>
          <w:smallCaps w:val="0"/>
          <w:snapToGrid w:val="0"/>
          <w:color w:val="000000"/>
          <w:kern w:val="0"/>
          <w:sz w:val="28"/>
          <w:szCs w:val="28"/>
          <w:highlight w:val="none"/>
        </w:rPr>
        <w:t>在生产过程中安全管理职责不明、安全管理制度及操作规程缺陷以及运输车辆故障等情况均有可能导致各种危及人身和设备的安全事故。</w:t>
      </w:r>
    </w:p>
    <w:p w14:paraId="099174E8">
      <w:pPr>
        <w:snapToGrid w:val="0"/>
        <w:spacing w:line="360" w:lineRule="auto"/>
        <w:ind w:firstLine="560" w:firstLineChars="200"/>
        <w:rPr>
          <w:rFonts w:ascii="Times New Roman" w:hAnsi="Times New Roman"/>
          <w:caps w:val="0"/>
          <w:smallCaps w:val="0"/>
          <w:snapToGrid w:val="0"/>
          <w:color w:val="000000"/>
          <w:kern w:val="0"/>
          <w:sz w:val="28"/>
          <w:szCs w:val="28"/>
          <w:highlight w:val="none"/>
        </w:rPr>
      </w:pPr>
      <w:r>
        <w:rPr>
          <w:rFonts w:ascii="Times New Roman" w:hAnsi="Times New Roman"/>
          <w:caps w:val="0"/>
          <w:smallCaps w:val="0"/>
          <w:snapToGrid w:val="0"/>
          <w:color w:val="000000"/>
          <w:kern w:val="0"/>
          <w:sz w:val="28"/>
          <w:szCs w:val="28"/>
          <w:highlight w:val="none"/>
        </w:rPr>
        <w:t>可能存在的部位：运输过程中的各种车辆设备、运输设备、运输巷道、运输公路及废石场等。</w:t>
      </w:r>
    </w:p>
    <w:p w14:paraId="58F480A5">
      <w:pPr>
        <w:pStyle w:val="22"/>
        <w:numPr>
          <w:ilvl w:val="0"/>
          <w:numId w:val="28"/>
        </w:numPr>
        <w:bidi w:val="0"/>
        <w:rPr>
          <w:rFonts w:hint="eastAsia"/>
          <w:b/>
          <w:bCs/>
          <w:highlight w:val="none"/>
        </w:rPr>
      </w:pPr>
      <w:r>
        <w:rPr>
          <w:rFonts w:hint="eastAsia"/>
          <w:b/>
          <w:bCs/>
          <w:highlight w:val="none"/>
        </w:rPr>
        <w:t>机械伤害</w:t>
      </w:r>
    </w:p>
    <w:p w14:paraId="7ED6C3A9">
      <w:pPr>
        <w:pStyle w:val="22"/>
        <w:bidi w:val="0"/>
        <w:rPr>
          <w:rFonts w:hint="eastAsia"/>
          <w:highlight w:val="none"/>
        </w:rPr>
      </w:pPr>
      <w:r>
        <w:rPr>
          <w:rFonts w:hint="eastAsia"/>
          <w:highlight w:val="none"/>
        </w:rPr>
        <w:t>机械伤害是指机械设备运动（静止）部件、工具、加工件直接与人体接触引起的夹击、碰撞、剪切、卷入、绞、碾、割、刺等伤害，不包括车辆、起重机械引起的机械伤害。</w:t>
      </w:r>
    </w:p>
    <w:p w14:paraId="6BBA308E">
      <w:pPr>
        <w:pStyle w:val="22"/>
        <w:bidi w:val="0"/>
        <w:rPr>
          <w:rFonts w:hint="eastAsia"/>
          <w:highlight w:val="none"/>
        </w:rPr>
      </w:pPr>
      <w:r>
        <w:rPr>
          <w:rFonts w:hint="eastAsia"/>
          <w:highlight w:val="none"/>
        </w:rPr>
        <w:t>矿山造成的机械伤害事故，主要是由于人的违章指挥、违章操作造成的。常见的因素有：</w:t>
      </w:r>
    </w:p>
    <w:p w14:paraId="780380F8">
      <w:pPr>
        <w:pStyle w:val="22"/>
        <w:bidi w:val="0"/>
        <w:rPr>
          <w:rFonts w:hint="eastAsia"/>
          <w:highlight w:val="none"/>
        </w:rPr>
      </w:pPr>
      <w:r>
        <w:rPr>
          <w:rFonts w:hint="eastAsia"/>
          <w:highlight w:val="none"/>
          <w:lang w:val="en-US" w:eastAsia="zh-CN"/>
        </w:rPr>
        <w:t>①</w:t>
      </w:r>
      <w:r>
        <w:rPr>
          <w:rFonts w:hint="eastAsia"/>
          <w:highlight w:val="none"/>
        </w:rPr>
        <w:t>穿戴不符合安全规定的服装进行操作；</w:t>
      </w:r>
    </w:p>
    <w:p w14:paraId="6381459D">
      <w:pPr>
        <w:pStyle w:val="22"/>
        <w:bidi w:val="0"/>
        <w:rPr>
          <w:rFonts w:hint="eastAsia"/>
          <w:highlight w:val="none"/>
        </w:rPr>
      </w:pPr>
      <w:r>
        <w:rPr>
          <w:rFonts w:hint="eastAsia"/>
          <w:highlight w:val="none"/>
          <w:lang w:val="en-US" w:eastAsia="zh-CN"/>
        </w:rPr>
        <w:t>②</w:t>
      </w:r>
      <w:r>
        <w:rPr>
          <w:rFonts w:hint="eastAsia"/>
          <w:highlight w:val="none"/>
        </w:rPr>
        <w:t>违章操作；</w:t>
      </w:r>
    </w:p>
    <w:p w14:paraId="5CB1EEC1">
      <w:pPr>
        <w:pStyle w:val="22"/>
        <w:bidi w:val="0"/>
        <w:rPr>
          <w:rFonts w:hint="eastAsia"/>
          <w:highlight w:val="none"/>
        </w:rPr>
      </w:pPr>
      <w:r>
        <w:rPr>
          <w:rFonts w:hint="eastAsia"/>
          <w:highlight w:val="none"/>
          <w:lang w:val="en-US" w:eastAsia="zh-CN"/>
        </w:rPr>
        <w:t>③</w:t>
      </w:r>
      <w:r>
        <w:rPr>
          <w:rFonts w:hint="eastAsia"/>
          <w:highlight w:val="none"/>
        </w:rPr>
        <w:t>机械设备安全防护装置缺乏或损坏、被拆除等，导致事故发生；</w:t>
      </w:r>
    </w:p>
    <w:p w14:paraId="1528AA04">
      <w:pPr>
        <w:pStyle w:val="22"/>
        <w:bidi w:val="0"/>
        <w:rPr>
          <w:rFonts w:hint="eastAsia"/>
          <w:highlight w:val="none"/>
        </w:rPr>
      </w:pPr>
      <w:r>
        <w:rPr>
          <w:rFonts w:hint="eastAsia"/>
          <w:highlight w:val="none"/>
          <w:lang w:val="en-US" w:eastAsia="zh-CN"/>
        </w:rPr>
        <w:t>④</w:t>
      </w:r>
      <w:r>
        <w:rPr>
          <w:rFonts w:hint="eastAsia"/>
          <w:highlight w:val="none"/>
        </w:rPr>
        <w:t>操作过程中衣物、头发、工具进入运转机械导致身体被运动机械拖带伤害；</w:t>
      </w:r>
    </w:p>
    <w:p w14:paraId="17DBBEE9">
      <w:pPr>
        <w:pStyle w:val="22"/>
        <w:bidi w:val="0"/>
        <w:rPr>
          <w:rFonts w:hint="eastAsia"/>
          <w:highlight w:val="none"/>
        </w:rPr>
      </w:pPr>
      <w:r>
        <w:rPr>
          <w:rFonts w:hint="eastAsia"/>
          <w:highlight w:val="none"/>
          <w:lang w:val="en-US" w:eastAsia="zh-CN"/>
        </w:rPr>
        <w:t>⑤</w:t>
      </w:r>
      <w:r>
        <w:rPr>
          <w:rFonts w:hint="eastAsia"/>
          <w:highlight w:val="none"/>
        </w:rPr>
        <w:t>操作人员疏忽大意，身体进入机械危险部位；</w:t>
      </w:r>
    </w:p>
    <w:p w14:paraId="2B6F7F65">
      <w:pPr>
        <w:pStyle w:val="22"/>
        <w:bidi w:val="0"/>
        <w:rPr>
          <w:rFonts w:hint="eastAsia"/>
          <w:highlight w:val="none"/>
        </w:rPr>
      </w:pPr>
      <w:r>
        <w:rPr>
          <w:rFonts w:hint="eastAsia"/>
          <w:highlight w:val="none"/>
          <w:lang w:val="en-US" w:eastAsia="zh-CN"/>
        </w:rPr>
        <w:t>⑥</w:t>
      </w:r>
      <w:r>
        <w:rPr>
          <w:rFonts w:hint="eastAsia"/>
          <w:highlight w:val="none"/>
        </w:rPr>
        <w:t>在检修和正常工作时，机器突然被别人随意启动，导致事故发生；</w:t>
      </w:r>
    </w:p>
    <w:p w14:paraId="29954ECE">
      <w:pPr>
        <w:pStyle w:val="22"/>
        <w:bidi w:val="0"/>
        <w:rPr>
          <w:rFonts w:hint="eastAsia"/>
          <w:highlight w:val="none"/>
        </w:rPr>
      </w:pPr>
      <w:r>
        <w:rPr>
          <w:rFonts w:hint="eastAsia"/>
          <w:highlight w:val="none"/>
          <w:lang w:val="en-US" w:eastAsia="zh-CN"/>
        </w:rPr>
        <w:t>⑦</w:t>
      </w:r>
      <w:r>
        <w:rPr>
          <w:rFonts w:hint="eastAsia"/>
          <w:highlight w:val="none"/>
        </w:rPr>
        <w:t>在不安全的机械上停留、休息，导致事故发生；</w:t>
      </w:r>
    </w:p>
    <w:p w14:paraId="4DC4F474">
      <w:pPr>
        <w:pStyle w:val="22"/>
        <w:bidi w:val="0"/>
        <w:rPr>
          <w:rFonts w:hint="eastAsia"/>
          <w:highlight w:val="none"/>
        </w:rPr>
      </w:pPr>
      <w:r>
        <w:rPr>
          <w:rFonts w:hint="eastAsia"/>
          <w:highlight w:val="none"/>
          <w:lang w:val="en-US" w:eastAsia="zh-CN"/>
        </w:rPr>
        <w:t>⑧</w:t>
      </w:r>
      <w:r>
        <w:rPr>
          <w:rFonts w:hint="eastAsia"/>
          <w:highlight w:val="none"/>
        </w:rPr>
        <w:t>设备设施设计、选型不合理或安装存在缺陷；</w:t>
      </w:r>
    </w:p>
    <w:p w14:paraId="4D0185B9">
      <w:pPr>
        <w:pStyle w:val="22"/>
        <w:bidi w:val="0"/>
        <w:rPr>
          <w:rFonts w:hint="eastAsia"/>
          <w:highlight w:val="none"/>
        </w:rPr>
      </w:pPr>
      <w:r>
        <w:rPr>
          <w:rFonts w:hint="eastAsia"/>
          <w:highlight w:val="none"/>
          <w:lang w:val="en-US" w:eastAsia="zh-CN"/>
        </w:rPr>
        <w:t>⑨</w:t>
      </w:r>
      <w:r>
        <w:rPr>
          <w:rFonts w:hint="eastAsia"/>
          <w:highlight w:val="none"/>
        </w:rPr>
        <w:t>设备设施没有按规定进行维护或特种设备没有定期检测检验；</w:t>
      </w:r>
    </w:p>
    <w:p w14:paraId="47A6269A">
      <w:pPr>
        <w:pStyle w:val="22"/>
        <w:bidi w:val="0"/>
        <w:rPr>
          <w:rFonts w:hint="eastAsia"/>
          <w:highlight w:val="none"/>
        </w:rPr>
      </w:pPr>
      <w:r>
        <w:rPr>
          <w:rFonts w:hint="eastAsia"/>
          <w:highlight w:val="none"/>
          <w:lang w:val="en-US" w:eastAsia="zh-CN"/>
        </w:rPr>
        <w:t>⑩</w:t>
      </w:r>
      <w:r>
        <w:rPr>
          <w:rFonts w:hint="eastAsia"/>
          <w:highlight w:val="none"/>
        </w:rPr>
        <w:t>安全管理上存在不足。</w:t>
      </w:r>
    </w:p>
    <w:p w14:paraId="411637A5">
      <w:pPr>
        <w:pStyle w:val="22"/>
        <w:bidi w:val="0"/>
        <w:rPr>
          <w:highlight w:val="none"/>
        </w:rPr>
      </w:pPr>
      <w:r>
        <w:rPr>
          <w:rFonts w:hint="eastAsia"/>
          <w:highlight w:val="none"/>
        </w:rPr>
        <w:t>该矿山运输系统在使用和检修过程中存在着机械伤害的可能性。</w:t>
      </w:r>
    </w:p>
    <w:p w14:paraId="235BA2BF">
      <w:pPr>
        <w:pStyle w:val="22"/>
        <w:numPr>
          <w:ilvl w:val="0"/>
          <w:numId w:val="28"/>
        </w:numPr>
        <w:bidi w:val="0"/>
        <w:rPr>
          <w:b/>
          <w:bCs/>
          <w:highlight w:val="none"/>
        </w:rPr>
      </w:pPr>
      <w:r>
        <w:rPr>
          <w:b/>
          <w:bCs/>
          <w:highlight w:val="none"/>
        </w:rPr>
        <w:t>物体打击</w:t>
      </w:r>
    </w:p>
    <w:p w14:paraId="5808A412">
      <w:pPr>
        <w:pStyle w:val="22"/>
        <w:bidi w:val="0"/>
        <w:rPr>
          <w:highlight w:val="none"/>
        </w:rPr>
      </w:pPr>
      <w:r>
        <w:rPr>
          <w:highlight w:val="none"/>
        </w:rPr>
        <w:t>运输过程中造成物体打击伤害的原因主要有：</w:t>
      </w:r>
    </w:p>
    <w:p w14:paraId="36DAB979">
      <w:pPr>
        <w:pStyle w:val="22"/>
        <w:bidi w:val="0"/>
        <w:rPr>
          <w:highlight w:val="none"/>
        </w:rPr>
      </w:pPr>
      <w:r>
        <w:rPr>
          <w:rFonts w:hint="eastAsia"/>
          <w:highlight w:val="none"/>
          <w:lang w:val="en-US" w:eastAsia="zh-CN"/>
        </w:rPr>
        <w:t>①</w:t>
      </w:r>
      <w:r>
        <w:rPr>
          <w:highlight w:val="none"/>
        </w:rPr>
        <w:t>浮石清理不及时、排浮不净或排浮不按规程操作；</w:t>
      </w:r>
    </w:p>
    <w:p w14:paraId="23D0432C">
      <w:pPr>
        <w:pStyle w:val="22"/>
        <w:bidi w:val="0"/>
        <w:rPr>
          <w:highlight w:val="none"/>
        </w:rPr>
      </w:pPr>
      <w:r>
        <w:rPr>
          <w:rFonts w:hint="eastAsia"/>
          <w:highlight w:val="none"/>
          <w:lang w:val="en-US" w:eastAsia="zh-CN"/>
        </w:rPr>
        <w:t>②</w:t>
      </w:r>
      <w:r>
        <w:rPr>
          <w:highlight w:val="none"/>
        </w:rPr>
        <w:t>对排不下的危石，未及时支护或支护质量差；</w:t>
      </w:r>
    </w:p>
    <w:p w14:paraId="0394E740">
      <w:pPr>
        <w:pStyle w:val="22"/>
        <w:bidi w:val="0"/>
        <w:rPr>
          <w:highlight w:val="none"/>
        </w:rPr>
      </w:pPr>
      <w:r>
        <w:rPr>
          <w:rFonts w:hint="eastAsia"/>
          <w:highlight w:val="none"/>
          <w:lang w:val="en-US" w:eastAsia="zh-CN"/>
        </w:rPr>
        <w:t>③</w:t>
      </w:r>
      <w:r>
        <w:rPr>
          <w:highlight w:val="none"/>
        </w:rPr>
        <w:t>安全帽等劳保用品穿戴不齐；</w:t>
      </w:r>
    </w:p>
    <w:p w14:paraId="5EBBF90D">
      <w:pPr>
        <w:pStyle w:val="22"/>
        <w:bidi w:val="0"/>
        <w:rPr>
          <w:highlight w:val="none"/>
        </w:rPr>
      </w:pPr>
      <w:r>
        <w:rPr>
          <w:rFonts w:hint="eastAsia"/>
          <w:highlight w:val="none"/>
          <w:lang w:val="en-US" w:eastAsia="zh-CN"/>
        </w:rPr>
        <w:t>④</w:t>
      </w:r>
      <w:r>
        <w:rPr>
          <w:highlight w:val="none"/>
        </w:rPr>
        <w:t>出矿、出渣时精力不集中，对出现的危险不能及时做出反应；</w:t>
      </w:r>
    </w:p>
    <w:p w14:paraId="3AE5531D">
      <w:pPr>
        <w:pStyle w:val="22"/>
        <w:bidi w:val="0"/>
        <w:rPr>
          <w:highlight w:val="none"/>
        </w:rPr>
      </w:pPr>
      <w:r>
        <w:rPr>
          <w:rFonts w:hint="eastAsia"/>
          <w:highlight w:val="none"/>
          <w:lang w:val="en-US" w:eastAsia="zh-CN"/>
        </w:rPr>
        <w:t>⑤</w:t>
      </w:r>
      <w:r>
        <w:rPr>
          <w:highlight w:val="none"/>
        </w:rPr>
        <w:t>地表装矿（岩）作业等均可能发生掉块伤人；</w:t>
      </w:r>
    </w:p>
    <w:p w14:paraId="1AFE3A02">
      <w:pPr>
        <w:pStyle w:val="22"/>
        <w:bidi w:val="0"/>
        <w:rPr>
          <w:highlight w:val="none"/>
        </w:rPr>
      </w:pPr>
      <w:r>
        <w:rPr>
          <w:rFonts w:hint="eastAsia"/>
          <w:highlight w:val="none"/>
          <w:lang w:val="en-US" w:eastAsia="zh-CN"/>
        </w:rPr>
        <w:t>⑥</w:t>
      </w:r>
      <w:r>
        <w:rPr>
          <w:highlight w:val="none"/>
        </w:rPr>
        <w:t>坑口卸载点、地表废石场排弃作业范围未设置安全警示标志，人员误入可能发生滚石伤人。</w:t>
      </w:r>
    </w:p>
    <w:p w14:paraId="4A132595">
      <w:pPr>
        <w:pStyle w:val="22"/>
        <w:numPr>
          <w:ilvl w:val="0"/>
          <w:numId w:val="28"/>
        </w:numPr>
        <w:bidi w:val="0"/>
        <w:rPr>
          <w:rFonts w:hint="eastAsia" w:ascii="Times New Roman" w:hAnsi="Times New Roman" w:eastAsia="宋体"/>
          <w:b/>
          <w:bCs/>
          <w:highlight w:val="none"/>
        </w:rPr>
      </w:pPr>
      <w:r>
        <w:rPr>
          <w:rFonts w:hint="eastAsia" w:ascii="Times New Roman" w:hAnsi="Times New Roman" w:eastAsia="宋体"/>
          <w:b/>
          <w:bCs/>
          <w:highlight w:val="none"/>
        </w:rPr>
        <w:t>粉尘</w:t>
      </w:r>
    </w:p>
    <w:p w14:paraId="1502B6AA">
      <w:pPr>
        <w:pStyle w:val="22"/>
        <w:bidi w:val="0"/>
        <w:rPr>
          <w:rFonts w:hint="default"/>
          <w:highlight w:val="none"/>
          <w:lang w:val="en-US" w:eastAsia="zh-CN"/>
        </w:rPr>
      </w:pPr>
      <w:r>
        <w:rPr>
          <w:rFonts w:hint="default"/>
          <w:highlight w:val="none"/>
          <w:lang w:val="en-US" w:eastAsia="zh-CN"/>
        </w:rPr>
        <w:t>粉尘主要来源于：矿岩转运作业等过程，产生大量有害的粉尘，如未采取湿式作业、井下通风不良或通风质量达不到要求，易造成粉尘危害。井下主要产尘点分布在铲装工作面、回风道、装矿（废）石巷道、卸矿漏斗等处。</w:t>
      </w:r>
    </w:p>
    <w:p w14:paraId="08376CB3">
      <w:pPr>
        <w:pStyle w:val="30"/>
        <w:bidi w:val="0"/>
        <w:rPr>
          <w:rFonts w:hint="default"/>
          <w:highlight w:val="none"/>
          <w:lang w:val="en-US" w:eastAsia="zh-CN"/>
        </w:rPr>
      </w:pPr>
      <w:r>
        <w:rPr>
          <w:rFonts w:hint="default"/>
          <w:highlight w:val="none"/>
          <w:lang w:val="en-US" w:eastAsia="zh-CN"/>
        </w:rPr>
        <w:t>安全分析及符合性评价</w:t>
      </w:r>
    </w:p>
    <w:p w14:paraId="28F90F74">
      <w:pPr>
        <w:pStyle w:val="22"/>
        <w:numPr>
          <w:ilvl w:val="0"/>
          <w:numId w:val="29"/>
        </w:numPr>
        <w:bidi w:val="0"/>
        <w:rPr>
          <w:rFonts w:hint="eastAsia"/>
          <w:highlight w:val="none"/>
        </w:rPr>
      </w:pPr>
      <w:r>
        <w:rPr>
          <w:rFonts w:hint="eastAsia"/>
          <w:highlight w:val="none"/>
        </w:rPr>
        <w:t>预先危险性分析法</w:t>
      </w:r>
    </w:p>
    <w:p w14:paraId="175FF958">
      <w:pPr>
        <w:pStyle w:val="31"/>
        <w:bidi w:val="0"/>
        <w:rPr>
          <w:highlight w:val="none"/>
        </w:rPr>
      </w:pPr>
      <w:r>
        <w:rPr>
          <w:rFonts w:hint="eastAsia"/>
          <w:highlight w:val="none"/>
        </w:rPr>
        <w:t>表3.3-1</w:t>
      </w:r>
      <w:r>
        <w:rPr>
          <w:highlight w:val="none"/>
        </w:rPr>
        <w:t xml:space="preserve">  </w:t>
      </w:r>
      <w:r>
        <w:rPr>
          <w:rFonts w:hint="eastAsia"/>
          <w:highlight w:val="none"/>
        </w:rPr>
        <w:t>提升和运输单元预先危险性分析表</w:t>
      </w:r>
    </w:p>
    <w:tbl>
      <w:tblPr>
        <w:tblStyle w:val="24"/>
        <w:tblW w:w="857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96"/>
        <w:gridCol w:w="816"/>
        <w:gridCol w:w="1188"/>
        <w:gridCol w:w="1078"/>
        <w:gridCol w:w="1123"/>
        <w:gridCol w:w="765"/>
        <w:gridCol w:w="772"/>
        <w:gridCol w:w="2139"/>
      </w:tblGrid>
      <w:tr w14:paraId="16DF14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4F45DB96">
            <w:pPr>
              <w:pStyle w:val="32"/>
              <w:bidi w:val="0"/>
              <w:rPr>
                <w:rFonts w:hint="eastAsia"/>
                <w:sz w:val="21"/>
                <w:szCs w:val="21"/>
                <w:highlight w:val="none"/>
              </w:rPr>
            </w:pPr>
            <w:r>
              <w:rPr>
                <w:rFonts w:hint="eastAsia"/>
                <w:sz w:val="21"/>
                <w:szCs w:val="21"/>
                <w:highlight w:val="none"/>
              </w:rPr>
              <w:t>潜在事故</w:t>
            </w:r>
          </w:p>
        </w:tc>
        <w:tc>
          <w:tcPr>
            <w:tcW w:w="816" w:type="dxa"/>
            <w:noWrap w:val="0"/>
            <w:vAlign w:val="center"/>
          </w:tcPr>
          <w:p w14:paraId="18211290">
            <w:pPr>
              <w:pStyle w:val="32"/>
              <w:bidi w:val="0"/>
              <w:rPr>
                <w:rFonts w:hint="eastAsia"/>
                <w:sz w:val="21"/>
                <w:szCs w:val="21"/>
                <w:highlight w:val="none"/>
              </w:rPr>
            </w:pPr>
            <w:r>
              <w:rPr>
                <w:rFonts w:hint="eastAsia"/>
                <w:sz w:val="21"/>
                <w:szCs w:val="21"/>
                <w:highlight w:val="none"/>
              </w:rPr>
              <w:t>危险因素</w:t>
            </w:r>
          </w:p>
        </w:tc>
        <w:tc>
          <w:tcPr>
            <w:tcW w:w="1188" w:type="dxa"/>
            <w:noWrap w:val="0"/>
            <w:vAlign w:val="center"/>
          </w:tcPr>
          <w:p w14:paraId="4810FAE4">
            <w:pPr>
              <w:pStyle w:val="32"/>
              <w:bidi w:val="0"/>
              <w:rPr>
                <w:rFonts w:hint="eastAsia"/>
                <w:sz w:val="21"/>
                <w:szCs w:val="21"/>
                <w:highlight w:val="none"/>
              </w:rPr>
            </w:pPr>
            <w:r>
              <w:rPr>
                <w:rFonts w:hint="eastAsia"/>
                <w:sz w:val="21"/>
                <w:szCs w:val="21"/>
                <w:highlight w:val="none"/>
              </w:rPr>
              <w:t>触发条件（1）</w:t>
            </w:r>
          </w:p>
        </w:tc>
        <w:tc>
          <w:tcPr>
            <w:tcW w:w="1078" w:type="dxa"/>
            <w:noWrap w:val="0"/>
            <w:vAlign w:val="center"/>
          </w:tcPr>
          <w:p w14:paraId="5E44A10C">
            <w:pPr>
              <w:pStyle w:val="32"/>
              <w:bidi w:val="0"/>
              <w:rPr>
                <w:rFonts w:hint="eastAsia"/>
                <w:sz w:val="21"/>
                <w:szCs w:val="21"/>
                <w:highlight w:val="none"/>
              </w:rPr>
            </w:pPr>
            <w:r>
              <w:rPr>
                <w:rFonts w:hint="eastAsia"/>
                <w:sz w:val="21"/>
                <w:szCs w:val="21"/>
                <w:highlight w:val="none"/>
              </w:rPr>
              <w:t>发生条件</w:t>
            </w:r>
          </w:p>
        </w:tc>
        <w:tc>
          <w:tcPr>
            <w:tcW w:w="1123" w:type="dxa"/>
            <w:noWrap w:val="0"/>
            <w:vAlign w:val="center"/>
          </w:tcPr>
          <w:p w14:paraId="58962570">
            <w:pPr>
              <w:pStyle w:val="32"/>
              <w:bidi w:val="0"/>
              <w:rPr>
                <w:rFonts w:hint="eastAsia"/>
                <w:sz w:val="21"/>
                <w:szCs w:val="21"/>
                <w:highlight w:val="none"/>
              </w:rPr>
            </w:pPr>
            <w:r>
              <w:rPr>
                <w:rFonts w:hint="eastAsia"/>
                <w:sz w:val="21"/>
                <w:szCs w:val="21"/>
                <w:highlight w:val="none"/>
              </w:rPr>
              <w:t>触发条件（2）</w:t>
            </w:r>
          </w:p>
        </w:tc>
        <w:tc>
          <w:tcPr>
            <w:tcW w:w="765" w:type="dxa"/>
            <w:noWrap w:val="0"/>
            <w:vAlign w:val="center"/>
          </w:tcPr>
          <w:p w14:paraId="53BE8DBA">
            <w:pPr>
              <w:pStyle w:val="32"/>
              <w:bidi w:val="0"/>
              <w:rPr>
                <w:rFonts w:hint="eastAsia"/>
                <w:sz w:val="21"/>
                <w:szCs w:val="21"/>
                <w:highlight w:val="none"/>
              </w:rPr>
            </w:pPr>
            <w:r>
              <w:rPr>
                <w:rFonts w:hint="eastAsia"/>
                <w:sz w:val="21"/>
                <w:szCs w:val="21"/>
                <w:highlight w:val="none"/>
              </w:rPr>
              <w:t>事故后果</w:t>
            </w:r>
          </w:p>
        </w:tc>
        <w:tc>
          <w:tcPr>
            <w:tcW w:w="772" w:type="dxa"/>
            <w:noWrap w:val="0"/>
            <w:vAlign w:val="center"/>
          </w:tcPr>
          <w:p w14:paraId="17217688">
            <w:pPr>
              <w:pStyle w:val="32"/>
              <w:bidi w:val="0"/>
              <w:rPr>
                <w:rFonts w:hint="eastAsia"/>
                <w:sz w:val="21"/>
                <w:szCs w:val="21"/>
                <w:highlight w:val="none"/>
              </w:rPr>
            </w:pPr>
            <w:r>
              <w:rPr>
                <w:rFonts w:hint="eastAsia"/>
                <w:sz w:val="21"/>
                <w:szCs w:val="21"/>
                <w:highlight w:val="none"/>
              </w:rPr>
              <w:t>危险等级</w:t>
            </w:r>
          </w:p>
        </w:tc>
        <w:tc>
          <w:tcPr>
            <w:tcW w:w="2139" w:type="dxa"/>
            <w:noWrap w:val="0"/>
            <w:vAlign w:val="center"/>
          </w:tcPr>
          <w:p w14:paraId="2B86106E">
            <w:pPr>
              <w:pStyle w:val="32"/>
              <w:bidi w:val="0"/>
              <w:rPr>
                <w:rFonts w:hint="eastAsia"/>
                <w:sz w:val="21"/>
                <w:szCs w:val="21"/>
                <w:highlight w:val="none"/>
              </w:rPr>
            </w:pPr>
            <w:r>
              <w:rPr>
                <w:rFonts w:hint="eastAsia"/>
                <w:sz w:val="21"/>
                <w:szCs w:val="21"/>
                <w:highlight w:val="none"/>
              </w:rPr>
              <w:t>防范措施</w:t>
            </w:r>
          </w:p>
        </w:tc>
      </w:tr>
      <w:tr w14:paraId="01987D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175B2F14">
            <w:pPr>
              <w:pStyle w:val="32"/>
              <w:bidi w:val="0"/>
              <w:rPr>
                <w:rFonts w:hint="eastAsia"/>
                <w:sz w:val="21"/>
                <w:szCs w:val="21"/>
                <w:highlight w:val="none"/>
              </w:rPr>
            </w:pPr>
            <w:r>
              <w:rPr>
                <w:rFonts w:hint="eastAsia"/>
                <w:sz w:val="21"/>
                <w:szCs w:val="21"/>
                <w:highlight w:val="none"/>
              </w:rPr>
              <w:t>车辆伤害</w:t>
            </w:r>
          </w:p>
        </w:tc>
        <w:tc>
          <w:tcPr>
            <w:tcW w:w="816" w:type="dxa"/>
            <w:noWrap w:val="0"/>
            <w:vAlign w:val="center"/>
          </w:tcPr>
          <w:p w14:paraId="4A72D59C">
            <w:pPr>
              <w:pStyle w:val="32"/>
              <w:bidi w:val="0"/>
              <w:rPr>
                <w:rFonts w:hint="eastAsia"/>
                <w:sz w:val="21"/>
                <w:szCs w:val="21"/>
                <w:highlight w:val="none"/>
              </w:rPr>
            </w:pPr>
            <w:r>
              <w:rPr>
                <w:rFonts w:hint="eastAsia"/>
                <w:sz w:val="21"/>
                <w:szCs w:val="21"/>
                <w:highlight w:val="none"/>
              </w:rPr>
              <w:t>井下运输</w:t>
            </w:r>
          </w:p>
        </w:tc>
        <w:tc>
          <w:tcPr>
            <w:tcW w:w="1188" w:type="dxa"/>
            <w:noWrap w:val="0"/>
            <w:vAlign w:val="center"/>
          </w:tcPr>
          <w:p w14:paraId="5F8267FA">
            <w:pPr>
              <w:pStyle w:val="32"/>
              <w:bidi w:val="0"/>
              <w:rPr>
                <w:rFonts w:hint="eastAsia"/>
                <w:sz w:val="21"/>
                <w:szCs w:val="21"/>
                <w:highlight w:val="none"/>
              </w:rPr>
            </w:pPr>
            <w:r>
              <w:rPr>
                <w:rFonts w:hint="eastAsia"/>
                <w:sz w:val="21"/>
                <w:szCs w:val="21"/>
                <w:highlight w:val="none"/>
                <w:lang w:val="en-US" w:eastAsia="zh-CN"/>
              </w:rPr>
              <w:t>矿车</w:t>
            </w:r>
            <w:r>
              <w:rPr>
                <w:rFonts w:hint="eastAsia"/>
                <w:sz w:val="21"/>
                <w:szCs w:val="21"/>
                <w:highlight w:val="none"/>
              </w:rPr>
              <w:t>惯性、车速过快、无警示信号。</w:t>
            </w:r>
          </w:p>
        </w:tc>
        <w:tc>
          <w:tcPr>
            <w:tcW w:w="1078" w:type="dxa"/>
            <w:noWrap w:val="0"/>
            <w:vAlign w:val="center"/>
          </w:tcPr>
          <w:p w14:paraId="4AA1D0DA">
            <w:pPr>
              <w:pStyle w:val="32"/>
              <w:bidi w:val="0"/>
              <w:rPr>
                <w:rFonts w:hint="eastAsia"/>
                <w:sz w:val="21"/>
                <w:szCs w:val="21"/>
                <w:highlight w:val="none"/>
              </w:rPr>
            </w:pPr>
            <w:r>
              <w:rPr>
                <w:rFonts w:hint="eastAsia"/>
                <w:sz w:val="21"/>
                <w:szCs w:val="21"/>
                <w:highlight w:val="none"/>
              </w:rPr>
              <w:t>人员在有矿车经过的危险区域内行走</w:t>
            </w:r>
          </w:p>
        </w:tc>
        <w:tc>
          <w:tcPr>
            <w:tcW w:w="1123" w:type="dxa"/>
            <w:noWrap w:val="0"/>
            <w:vAlign w:val="center"/>
          </w:tcPr>
          <w:p w14:paraId="38C673A1">
            <w:pPr>
              <w:pStyle w:val="32"/>
              <w:bidi w:val="0"/>
              <w:jc w:val="both"/>
              <w:rPr>
                <w:rFonts w:hint="eastAsia"/>
                <w:sz w:val="21"/>
                <w:szCs w:val="21"/>
                <w:highlight w:val="none"/>
              </w:rPr>
            </w:pPr>
            <w:r>
              <w:rPr>
                <w:rFonts w:hint="eastAsia"/>
                <w:sz w:val="21"/>
                <w:szCs w:val="21"/>
                <w:highlight w:val="none"/>
              </w:rPr>
              <w:t>行人在巷道窄侧行走</w:t>
            </w:r>
          </w:p>
          <w:p w14:paraId="24BE75FA">
            <w:pPr>
              <w:pStyle w:val="32"/>
              <w:bidi w:val="0"/>
              <w:jc w:val="both"/>
              <w:rPr>
                <w:rFonts w:hint="eastAsia"/>
                <w:sz w:val="21"/>
                <w:szCs w:val="21"/>
                <w:highlight w:val="none"/>
              </w:rPr>
            </w:pPr>
            <w:r>
              <w:rPr>
                <w:rFonts w:hint="eastAsia"/>
                <w:sz w:val="21"/>
                <w:szCs w:val="21"/>
                <w:highlight w:val="none"/>
              </w:rPr>
              <w:t>行人安全意识差或精神不集中</w:t>
            </w:r>
          </w:p>
          <w:p w14:paraId="14D94D3F">
            <w:pPr>
              <w:pStyle w:val="32"/>
              <w:bidi w:val="0"/>
              <w:jc w:val="both"/>
              <w:rPr>
                <w:rFonts w:hint="eastAsia"/>
                <w:sz w:val="21"/>
                <w:szCs w:val="21"/>
                <w:highlight w:val="none"/>
              </w:rPr>
            </w:pPr>
            <w:r>
              <w:rPr>
                <w:rFonts w:hint="eastAsia"/>
                <w:sz w:val="21"/>
                <w:szCs w:val="21"/>
                <w:highlight w:val="none"/>
              </w:rPr>
              <w:t>驾驶人员违章操作、判断失误、操作失控等</w:t>
            </w:r>
          </w:p>
        </w:tc>
        <w:tc>
          <w:tcPr>
            <w:tcW w:w="765" w:type="dxa"/>
            <w:noWrap w:val="0"/>
            <w:vAlign w:val="center"/>
          </w:tcPr>
          <w:p w14:paraId="455F7D17">
            <w:pPr>
              <w:pStyle w:val="32"/>
              <w:bidi w:val="0"/>
              <w:rPr>
                <w:rFonts w:hint="eastAsia"/>
                <w:sz w:val="21"/>
                <w:szCs w:val="21"/>
                <w:highlight w:val="none"/>
              </w:rPr>
            </w:pPr>
            <w:r>
              <w:rPr>
                <w:rFonts w:hint="eastAsia"/>
                <w:sz w:val="21"/>
                <w:szCs w:val="21"/>
                <w:highlight w:val="none"/>
              </w:rPr>
              <w:t>人员伤害、撞坏管线、设备等</w:t>
            </w:r>
          </w:p>
        </w:tc>
        <w:tc>
          <w:tcPr>
            <w:tcW w:w="772" w:type="dxa"/>
            <w:noWrap w:val="0"/>
            <w:vAlign w:val="center"/>
          </w:tcPr>
          <w:p w14:paraId="3BDEC1EE">
            <w:pPr>
              <w:pStyle w:val="32"/>
              <w:bidi w:val="0"/>
              <w:rPr>
                <w:rFonts w:hint="eastAsia"/>
                <w:sz w:val="21"/>
                <w:szCs w:val="21"/>
                <w:highlight w:val="none"/>
              </w:rPr>
            </w:pPr>
            <w:r>
              <w:rPr>
                <w:rFonts w:hint="eastAsia"/>
                <w:sz w:val="21"/>
                <w:szCs w:val="21"/>
                <w:highlight w:val="none"/>
              </w:rPr>
              <w:t>Ⅱ～Ⅲ级</w:t>
            </w:r>
          </w:p>
        </w:tc>
        <w:tc>
          <w:tcPr>
            <w:tcW w:w="2139" w:type="dxa"/>
            <w:noWrap w:val="0"/>
            <w:vAlign w:val="center"/>
          </w:tcPr>
          <w:p w14:paraId="766CC061">
            <w:pPr>
              <w:pStyle w:val="32"/>
              <w:bidi w:val="0"/>
              <w:jc w:val="both"/>
              <w:rPr>
                <w:rFonts w:hint="eastAsia"/>
                <w:sz w:val="21"/>
                <w:szCs w:val="21"/>
                <w:highlight w:val="none"/>
              </w:rPr>
            </w:pPr>
            <w:r>
              <w:rPr>
                <w:rFonts w:hint="eastAsia"/>
                <w:sz w:val="21"/>
                <w:szCs w:val="21"/>
                <w:highlight w:val="none"/>
              </w:rPr>
              <w:t>防止人员在危险区行走</w:t>
            </w:r>
          </w:p>
          <w:p w14:paraId="2FBC8ABA">
            <w:pPr>
              <w:pStyle w:val="32"/>
              <w:bidi w:val="0"/>
              <w:jc w:val="both"/>
              <w:rPr>
                <w:rFonts w:hint="eastAsia"/>
                <w:sz w:val="21"/>
                <w:szCs w:val="21"/>
                <w:highlight w:val="none"/>
              </w:rPr>
            </w:pPr>
            <w:r>
              <w:rPr>
                <w:rFonts w:hint="eastAsia"/>
                <w:sz w:val="21"/>
                <w:szCs w:val="21"/>
                <w:highlight w:val="none"/>
              </w:rPr>
              <w:t>司机必须经培训考核，持证上岗</w:t>
            </w:r>
          </w:p>
          <w:p w14:paraId="5E014E0E">
            <w:pPr>
              <w:pStyle w:val="32"/>
              <w:bidi w:val="0"/>
              <w:jc w:val="both"/>
              <w:rPr>
                <w:rFonts w:hint="eastAsia"/>
                <w:sz w:val="21"/>
                <w:szCs w:val="21"/>
                <w:highlight w:val="none"/>
              </w:rPr>
            </w:pPr>
            <w:r>
              <w:rPr>
                <w:rFonts w:hint="eastAsia"/>
                <w:sz w:val="21"/>
                <w:szCs w:val="21"/>
                <w:highlight w:val="none"/>
              </w:rPr>
              <w:t>行车时必须随时注意前方有无障碍物、行人或其他危险情况</w:t>
            </w:r>
          </w:p>
          <w:p w14:paraId="70833BEE">
            <w:pPr>
              <w:pStyle w:val="32"/>
              <w:bidi w:val="0"/>
              <w:jc w:val="both"/>
              <w:rPr>
                <w:rFonts w:hint="eastAsia"/>
                <w:sz w:val="21"/>
                <w:szCs w:val="21"/>
                <w:highlight w:val="none"/>
              </w:rPr>
            </w:pPr>
            <w:r>
              <w:rPr>
                <w:rFonts w:hint="eastAsia"/>
                <w:sz w:val="21"/>
                <w:szCs w:val="21"/>
                <w:highlight w:val="none"/>
              </w:rPr>
              <w:t>严格按照设施施工中段运输巷道</w:t>
            </w:r>
          </w:p>
        </w:tc>
      </w:tr>
    </w:tbl>
    <w:p w14:paraId="6954D6B1">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highlight w:val="none"/>
          <w:lang w:val="en-US" w:eastAsia="zh-CN"/>
        </w:rPr>
      </w:pPr>
      <w:r>
        <w:rPr>
          <w:rFonts w:hint="default"/>
          <w:highlight w:val="none"/>
          <w:lang w:val="en-US" w:eastAsia="zh-CN"/>
        </w:rPr>
        <w:t>运输是矿山开采的主要工艺之一，其危险程度为“临界的”，应采取相应的控制措施。</w:t>
      </w:r>
    </w:p>
    <w:p w14:paraId="72198B31">
      <w:pPr>
        <w:pStyle w:val="22"/>
        <w:numPr>
          <w:ilvl w:val="0"/>
          <w:numId w:val="29"/>
        </w:numPr>
        <w:bidi w:val="0"/>
        <w:rPr>
          <w:rFonts w:hint="eastAsia"/>
          <w:highlight w:val="none"/>
        </w:rPr>
      </w:pPr>
      <w:r>
        <w:rPr>
          <w:rFonts w:hint="eastAsia"/>
          <w:highlight w:val="none"/>
        </w:rPr>
        <w:t>专家评议法</w:t>
      </w:r>
    </w:p>
    <w:p w14:paraId="181DC1C3">
      <w:pPr>
        <w:pStyle w:val="22"/>
        <w:bidi w:val="0"/>
        <w:rPr>
          <w:rFonts w:hint="eastAsia"/>
          <w:highlight w:val="none"/>
          <w:lang w:val="en-US" w:eastAsia="zh-CN"/>
        </w:rPr>
      </w:pPr>
      <w:r>
        <w:rPr>
          <w:rFonts w:hint="eastAsia"/>
          <w:highlight w:val="none"/>
          <w:lang w:val="en-US" w:eastAsia="zh-CN"/>
        </w:rPr>
        <w:t>1、运输系统安全可靠性分析</w:t>
      </w:r>
    </w:p>
    <w:p w14:paraId="3C3D1C82">
      <w:pPr>
        <w:pStyle w:val="22"/>
        <w:bidi w:val="0"/>
        <w:rPr>
          <w:rFonts w:hint="eastAsia"/>
          <w:highlight w:val="none"/>
          <w:lang w:val="en-US" w:eastAsia="zh-CN"/>
        </w:rPr>
      </w:pPr>
      <w:r>
        <w:rPr>
          <w:rFonts w:hint="eastAsia"/>
          <w:highlight w:val="none"/>
          <w:lang w:val="en-US" w:eastAsia="zh-CN"/>
        </w:rPr>
        <w:t>《可研报告》中明确矿山井下无轨运输设备选用UQ-35型地下自卸车,装载设备选用ZL50E装载机。无轨铲运设备均为具备矿安标志的产品。人员运输设备选用UR-10型无轨人车。</w:t>
      </w:r>
    </w:p>
    <w:p w14:paraId="65E5F904">
      <w:pPr>
        <w:pStyle w:val="22"/>
        <w:bidi w:val="0"/>
        <w:rPr>
          <w:rFonts w:hint="default"/>
          <w:highlight w:val="none"/>
          <w:lang w:val="en-US" w:eastAsia="zh-CN"/>
        </w:rPr>
      </w:pPr>
      <w:r>
        <w:rPr>
          <w:rFonts w:hint="default"/>
          <w:highlight w:val="none"/>
          <w:lang w:val="en-US" w:eastAsia="zh-CN"/>
        </w:rPr>
        <w:t>井下各生产中段均为</w:t>
      </w:r>
      <w:r>
        <w:rPr>
          <w:rFonts w:hint="eastAsia"/>
          <w:highlight w:val="none"/>
          <w:lang w:val="en-US" w:eastAsia="zh-CN"/>
        </w:rPr>
        <w:t>无</w:t>
      </w:r>
      <w:r>
        <w:rPr>
          <w:rFonts w:hint="default"/>
          <w:highlight w:val="none"/>
          <w:lang w:val="en-US" w:eastAsia="zh-CN"/>
        </w:rPr>
        <w:t>轨运输方式，矿车于巷道中通行无困难，需要注意的是：</w:t>
      </w:r>
    </w:p>
    <w:p w14:paraId="1284D52B">
      <w:pPr>
        <w:pStyle w:val="22"/>
        <w:bidi w:val="0"/>
        <w:rPr>
          <w:rFonts w:hint="default"/>
          <w:highlight w:val="none"/>
          <w:lang w:val="en-US" w:eastAsia="zh-CN"/>
        </w:rPr>
      </w:pPr>
      <w:r>
        <w:rPr>
          <w:rFonts w:hint="default"/>
          <w:highlight w:val="none"/>
          <w:lang w:val="en-US" w:eastAsia="zh-CN"/>
        </w:rPr>
        <w:t>利旧的原中段巷道尺寸不够处应进行扩刷断面符合设计要求；</w:t>
      </w:r>
    </w:p>
    <w:p w14:paraId="3686A441">
      <w:pPr>
        <w:pStyle w:val="22"/>
        <w:bidi w:val="0"/>
        <w:rPr>
          <w:rFonts w:hint="default"/>
          <w:highlight w:val="none"/>
          <w:lang w:val="en-US" w:eastAsia="zh-CN"/>
        </w:rPr>
      </w:pPr>
      <w:r>
        <w:rPr>
          <w:rFonts w:hint="default"/>
          <w:highlight w:val="none"/>
          <w:lang w:val="en-US" w:eastAsia="zh-CN"/>
        </w:rPr>
        <w:t>建设单位只要按照设计要求布置井下运输系统，以及设计单位落实本预评价报告提出的以上安全措施，井下运输作业是安全可靠的。</w:t>
      </w:r>
    </w:p>
    <w:p w14:paraId="4292EDA9">
      <w:pPr>
        <w:pStyle w:val="30"/>
        <w:bidi w:val="0"/>
        <w:rPr>
          <w:rFonts w:hint="default"/>
          <w:highlight w:val="none"/>
          <w:lang w:val="en-US" w:eastAsia="zh-CN"/>
        </w:rPr>
      </w:pPr>
      <w:r>
        <w:rPr>
          <w:rFonts w:hint="default"/>
          <w:highlight w:val="none"/>
          <w:lang w:val="en-US" w:eastAsia="zh-CN"/>
        </w:rPr>
        <w:t>评价结果小结</w:t>
      </w:r>
    </w:p>
    <w:p w14:paraId="701061B6">
      <w:pPr>
        <w:pStyle w:val="22"/>
        <w:bidi w:val="0"/>
        <w:rPr>
          <w:rFonts w:hint="default"/>
          <w:highlight w:val="none"/>
          <w:lang w:val="en-US" w:eastAsia="zh-CN"/>
        </w:rPr>
      </w:pPr>
      <w:r>
        <w:rPr>
          <w:rFonts w:hint="default"/>
          <w:highlight w:val="none"/>
          <w:lang w:val="en-US" w:eastAsia="zh-CN"/>
        </w:rPr>
        <w:t>建设单位应对运输方面的安全措施重视，在施工及生产中，保证运输巷道断面尺寸满足运输要求，定期清理巷道内杂物，保证运输畅通，杜绝违章作业，定期检查运输设备，能够保证运输系统安全可靠。</w:t>
      </w:r>
    </w:p>
    <w:p w14:paraId="08E8937F">
      <w:pPr>
        <w:pStyle w:val="22"/>
        <w:bidi w:val="0"/>
        <w:rPr>
          <w:rFonts w:hint="default"/>
          <w:highlight w:val="none"/>
          <w:lang w:val="en-US" w:eastAsia="zh-CN"/>
        </w:rPr>
      </w:pPr>
      <w:r>
        <w:rPr>
          <w:rFonts w:hint="default"/>
          <w:highlight w:val="none"/>
          <w:lang w:val="en-US" w:eastAsia="zh-CN"/>
        </w:rPr>
        <w:t>《可研报告》中确定的</w:t>
      </w:r>
      <w:r>
        <w:rPr>
          <w:rFonts w:hint="eastAsia"/>
          <w:highlight w:val="none"/>
          <w:lang w:val="en-US" w:eastAsia="zh-CN"/>
        </w:rPr>
        <w:t>运输</w:t>
      </w:r>
      <w:r>
        <w:rPr>
          <w:rFonts w:hint="default"/>
          <w:highlight w:val="none"/>
          <w:lang w:val="en-US" w:eastAsia="zh-CN"/>
        </w:rPr>
        <w:t>设备安全可靠，建设单位在以后的施工及生产中，只要严格落实可行性研究报告及本评价报告提出的安全措施，能保证</w:t>
      </w:r>
      <w:r>
        <w:rPr>
          <w:rFonts w:hint="eastAsia"/>
          <w:highlight w:val="none"/>
          <w:lang w:val="en-US" w:eastAsia="zh-CN"/>
        </w:rPr>
        <w:t>运输</w:t>
      </w:r>
      <w:r>
        <w:rPr>
          <w:rFonts w:hint="default"/>
          <w:highlight w:val="none"/>
          <w:lang w:val="en-US" w:eastAsia="zh-CN"/>
        </w:rPr>
        <w:t>系统安全可靠。</w:t>
      </w:r>
    </w:p>
    <w:p w14:paraId="66686504">
      <w:pPr>
        <w:pStyle w:val="29"/>
        <w:bidi w:val="0"/>
        <w:rPr>
          <w:rFonts w:hint="default"/>
          <w:highlight w:val="none"/>
          <w:lang w:val="en-US" w:eastAsia="zh-CN"/>
        </w:rPr>
      </w:pPr>
      <w:bookmarkStart w:id="15" w:name="_Toc28019"/>
      <w:r>
        <w:rPr>
          <w:rFonts w:hint="eastAsia"/>
          <w:highlight w:val="none"/>
          <w:lang w:val="en-US" w:eastAsia="zh-CN"/>
        </w:rPr>
        <w:t>采掘单元评价</w:t>
      </w:r>
      <w:bookmarkEnd w:id="15"/>
    </w:p>
    <w:p w14:paraId="7B499C1E">
      <w:pPr>
        <w:pStyle w:val="30"/>
        <w:rPr>
          <w:rFonts w:hint="default"/>
          <w:highlight w:val="none"/>
          <w:lang w:val="en-US" w:eastAsia="zh-CN"/>
        </w:rPr>
      </w:pPr>
      <w:r>
        <w:rPr>
          <w:rFonts w:hint="default"/>
          <w:highlight w:val="none"/>
          <w:lang w:val="en-US" w:eastAsia="zh-CN"/>
        </w:rPr>
        <w:t>危险、有害因素辨识</w:t>
      </w:r>
    </w:p>
    <w:p w14:paraId="37E44B4D">
      <w:pPr>
        <w:pStyle w:val="22"/>
        <w:rPr>
          <w:rFonts w:hint="default"/>
          <w:highlight w:val="none"/>
          <w:lang w:val="en-US" w:eastAsia="zh-CN"/>
        </w:rPr>
      </w:pPr>
      <w:r>
        <w:rPr>
          <w:rFonts w:hint="default"/>
          <w:highlight w:val="none"/>
          <w:lang w:val="en-US" w:eastAsia="zh-CN"/>
        </w:rPr>
        <w:t>采掘单元存在的主要危险有害因素有：冒顶片帮、地表塌陷、中毒窒息、爆破伤害、火药爆炸、高处坠落、物体打击、机械伤害、容器爆炸、粉尘、噪声及振动等。</w:t>
      </w:r>
    </w:p>
    <w:p w14:paraId="78ABBEB7">
      <w:pPr>
        <w:pStyle w:val="22"/>
        <w:numPr>
          <w:ilvl w:val="0"/>
          <w:numId w:val="30"/>
        </w:numPr>
        <w:bidi w:val="0"/>
        <w:rPr>
          <w:rFonts w:hint="default"/>
          <w:b/>
          <w:bCs/>
          <w:highlight w:val="none"/>
          <w:lang w:val="en-US" w:eastAsia="zh-CN"/>
        </w:rPr>
      </w:pPr>
      <w:r>
        <w:rPr>
          <w:rFonts w:hint="default"/>
          <w:b/>
          <w:bCs/>
          <w:highlight w:val="none"/>
          <w:lang w:val="en-US" w:eastAsia="zh-CN"/>
        </w:rPr>
        <w:t>冒顶片帮</w:t>
      </w:r>
    </w:p>
    <w:p w14:paraId="797C416B">
      <w:pPr>
        <w:pStyle w:val="22"/>
        <w:rPr>
          <w:rFonts w:hint="default"/>
          <w:highlight w:val="none"/>
          <w:lang w:val="en-US" w:eastAsia="zh-CN"/>
        </w:rPr>
      </w:pPr>
      <w:r>
        <w:rPr>
          <w:rFonts w:hint="default"/>
          <w:highlight w:val="none"/>
          <w:lang w:val="en-US" w:eastAsia="zh-CN"/>
        </w:rPr>
        <w:t>在采矿生产活动中，冒顶片帮是最常见的矿山安全事故之一。井下采掘生产作业破坏了原岩的初始平衡状态，导致岩体内部应力集中。当重新分布的应力超过岩体或其构造的强度时，将会发生岩体失稳。如果支护不及时或支护方法不当，就会发生顶板冒落或侧帮片帮。造成冒顶片帮事故的主要原因：</w:t>
      </w:r>
    </w:p>
    <w:p w14:paraId="689B616C">
      <w:pPr>
        <w:pStyle w:val="22"/>
        <w:rPr>
          <w:rFonts w:hint="default"/>
          <w:highlight w:val="none"/>
          <w:lang w:val="en-US" w:eastAsia="zh-CN"/>
        </w:rPr>
      </w:pPr>
      <w:r>
        <w:rPr>
          <w:rFonts w:hint="default"/>
          <w:highlight w:val="none"/>
          <w:lang w:val="en-US" w:eastAsia="zh-CN"/>
        </w:rPr>
        <w:t>1</w:t>
      </w:r>
      <w:r>
        <w:rPr>
          <w:rFonts w:hint="eastAsia"/>
          <w:highlight w:val="none"/>
          <w:lang w:val="en-US" w:eastAsia="zh-CN"/>
        </w:rPr>
        <w:t>、</w:t>
      </w:r>
      <w:r>
        <w:rPr>
          <w:rFonts w:hint="default"/>
          <w:highlight w:val="none"/>
          <w:lang w:val="en-US" w:eastAsia="zh-CN"/>
        </w:rPr>
        <w:t>引起冒顶片帮的原因及部位</w:t>
      </w:r>
    </w:p>
    <w:p w14:paraId="09A8EF7D">
      <w:pPr>
        <w:pStyle w:val="22"/>
        <w:numPr>
          <w:ilvl w:val="0"/>
          <w:numId w:val="31"/>
        </w:numPr>
        <w:ind w:left="0" w:leftChars="0" w:firstLine="560" w:firstLineChars="200"/>
        <w:rPr>
          <w:rFonts w:hint="default"/>
          <w:highlight w:val="none"/>
          <w:lang w:val="en-US" w:eastAsia="zh-CN"/>
        </w:rPr>
      </w:pPr>
      <w:r>
        <w:rPr>
          <w:rFonts w:hint="default"/>
          <w:highlight w:val="none"/>
          <w:lang w:val="en-US" w:eastAsia="zh-CN"/>
        </w:rPr>
        <w:t>矿山岩体本身稳定性差，原岩应力高。如：岩体或其构造的强度低、岩体内节理裂隙发育、采场或巷道所在岩体的原岩应力高等。</w:t>
      </w:r>
    </w:p>
    <w:p w14:paraId="6B95BA5F">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井巷工程布置在不稳定的岩层、断层、破碎带地段等，容易发生片帮、冒顶。</w:t>
      </w:r>
    </w:p>
    <w:p w14:paraId="1EC5B238">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3C33A3C4">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工程布置密集地段，平巷交岔口等因暴露面积较大缺乏有效支护，导致巷道顶板、侧板垮塌诱发冒顶片帮。</w:t>
      </w:r>
    </w:p>
    <w:p w14:paraId="32352BCC">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爆破参数确定不合理、爆破工序不合理、爆破施工时违章作业等。</w:t>
      </w:r>
    </w:p>
    <w:p w14:paraId="004D95FD">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遇到新的地质构造而没有及时采取措施或没有按岩性进行施工。</w:t>
      </w:r>
    </w:p>
    <w:p w14:paraId="6CAB2EF6">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采矿方法不合理，巷道或采场设计不合理，采场或巷道施工工艺不合理，采场或巷道施工时违章作业。</w:t>
      </w:r>
    </w:p>
    <w:p w14:paraId="310D6BC2">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采场矿柱设计不合理或矿柱被破坏，未保留保安矿柱或不明确，无相应的安全对策措施。</w:t>
      </w:r>
    </w:p>
    <w:p w14:paraId="38994594">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在应该进行支护的井巷没有支护或支护质量差。</w:t>
      </w:r>
    </w:p>
    <w:p w14:paraId="41318EB4">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采动影响或采动破坏，采空区大面积暴露，未及时处理等。</w:t>
      </w:r>
    </w:p>
    <w:p w14:paraId="2CFF0986">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区域地压活动。长期大规模采矿作业，导致矿区总体应力场重新分布，如果发生大规模地压活动，将急剧恶化生产采场和巷道的稳定性，发生冒顶和片帮。</w:t>
      </w:r>
    </w:p>
    <w:p w14:paraId="494FB624">
      <w:pPr>
        <w:pStyle w:val="22"/>
        <w:numPr>
          <w:ilvl w:val="0"/>
          <w:numId w:val="3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地质报告级别等级低，导致设计的采矿方法和工艺、开拓运输、通风、供配电设施及防排水等系统不合理或不完善。</w:t>
      </w:r>
    </w:p>
    <w:p w14:paraId="03D7B926">
      <w:pPr>
        <w:pStyle w:val="22"/>
        <w:rPr>
          <w:rFonts w:hint="default"/>
          <w:highlight w:val="none"/>
          <w:lang w:val="en-US" w:eastAsia="zh-CN"/>
        </w:rPr>
      </w:pPr>
      <w:r>
        <w:rPr>
          <w:rFonts w:hint="default"/>
          <w:highlight w:val="none"/>
          <w:lang w:val="en-US" w:eastAsia="zh-CN"/>
        </w:rPr>
        <w:t>2</w:t>
      </w:r>
      <w:r>
        <w:rPr>
          <w:rFonts w:hint="eastAsia"/>
          <w:highlight w:val="none"/>
          <w:lang w:val="en-US" w:eastAsia="zh-CN"/>
        </w:rPr>
        <w:t>、</w:t>
      </w:r>
      <w:r>
        <w:rPr>
          <w:rFonts w:hint="default"/>
          <w:highlight w:val="none"/>
          <w:lang w:val="en-US" w:eastAsia="zh-CN"/>
        </w:rPr>
        <w:t>冒顶片帮的危害形式</w:t>
      </w:r>
    </w:p>
    <w:p w14:paraId="595AABA8">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破坏采场和周围的巷道。</w:t>
      </w:r>
    </w:p>
    <w:p w14:paraId="42425729">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造成采场内人员的伤亡。</w:t>
      </w:r>
    </w:p>
    <w:p w14:paraId="5AEE9592">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破坏采场内的设备和设施。</w:t>
      </w:r>
    </w:p>
    <w:p w14:paraId="0B45EC74">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破坏矿井的正常通风系统。</w:t>
      </w:r>
    </w:p>
    <w:p w14:paraId="7363099E">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造成生产秩序的紊乱。</w:t>
      </w:r>
    </w:p>
    <w:p w14:paraId="1FDA74DB">
      <w:pPr>
        <w:pStyle w:val="22"/>
        <w:numPr>
          <w:ilvl w:val="0"/>
          <w:numId w:val="3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其他危害：如破坏矿井的供电系统等。</w:t>
      </w:r>
    </w:p>
    <w:p w14:paraId="4BBAA32A">
      <w:pPr>
        <w:pStyle w:val="22"/>
        <w:rPr>
          <w:rFonts w:hint="default"/>
          <w:highlight w:val="none"/>
          <w:lang w:val="en-US" w:eastAsia="zh-CN"/>
        </w:rPr>
      </w:pPr>
      <w:r>
        <w:rPr>
          <w:rFonts w:hint="default"/>
          <w:highlight w:val="none"/>
          <w:lang w:val="en-US" w:eastAsia="zh-CN"/>
        </w:rPr>
        <w:t>3</w:t>
      </w:r>
      <w:r>
        <w:rPr>
          <w:rFonts w:hint="eastAsia"/>
          <w:highlight w:val="none"/>
          <w:lang w:val="en-US" w:eastAsia="zh-CN"/>
        </w:rPr>
        <w:t>、</w:t>
      </w:r>
      <w:r>
        <w:rPr>
          <w:rFonts w:hint="default"/>
          <w:highlight w:val="none"/>
          <w:lang w:val="en-US" w:eastAsia="zh-CN"/>
        </w:rPr>
        <w:t>巷道或采掘工作面的片帮、冒顶</w:t>
      </w:r>
    </w:p>
    <w:p w14:paraId="01B2584C">
      <w:pPr>
        <w:pStyle w:val="22"/>
        <w:rPr>
          <w:rFonts w:hint="default"/>
          <w:highlight w:val="none"/>
          <w:lang w:val="en-US" w:eastAsia="zh-CN"/>
        </w:rPr>
      </w:pPr>
      <w:r>
        <w:rPr>
          <w:rFonts w:hint="default"/>
          <w:highlight w:val="none"/>
          <w:lang w:val="en-US" w:eastAsia="zh-CN"/>
        </w:rPr>
        <w:t>岩体的矿压活动造成巷道的片帮和冒顶，产生的直接危害是：</w:t>
      </w:r>
    </w:p>
    <w:p w14:paraId="42668A90">
      <w:pPr>
        <w:pStyle w:val="22"/>
        <w:numPr>
          <w:ilvl w:val="0"/>
          <w:numId w:val="3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巷道内人员的伤亡。</w:t>
      </w:r>
    </w:p>
    <w:p w14:paraId="5FECD564">
      <w:pPr>
        <w:pStyle w:val="22"/>
        <w:numPr>
          <w:ilvl w:val="0"/>
          <w:numId w:val="3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破坏巷道内的设备、设施。</w:t>
      </w:r>
    </w:p>
    <w:p w14:paraId="0A08B400">
      <w:pPr>
        <w:pStyle w:val="22"/>
        <w:numPr>
          <w:ilvl w:val="0"/>
          <w:numId w:val="3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破坏正常的生产系统。</w:t>
      </w:r>
    </w:p>
    <w:p w14:paraId="193CCAFC">
      <w:pPr>
        <w:pStyle w:val="22"/>
        <w:numPr>
          <w:ilvl w:val="0"/>
          <w:numId w:val="3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破坏巷道等。</w:t>
      </w:r>
    </w:p>
    <w:p w14:paraId="60BD872D">
      <w:pPr>
        <w:pStyle w:val="22"/>
        <w:rPr>
          <w:rFonts w:hint="default"/>
          <w:highlight w:val="none"/>
          <w:lang w:val="en-US" w:eastAsia="zh-CN"/>
        </w:rPr>
      </w:pPr>
      <w:r>
        <w:rPr>
          <w:rFonts w:hint="default"/>
          <w:highlight w:val="none"/>
          <w:lang w:val="en-US" w:eastAsia="zh-CN"/>
        </w:rPr>
        <w:t>矿区部分巷道围岩稳固性差，局部较破碎地段采用喷浆支护，如果支护不及时或支护失效则可能导致冒顶片帮事故的发生，可能导致人员伤亡。</w:t>
      </w:r>
    </w:p>
    <w:p w14:paraId="1751CC04">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地表塌陷</w:t>
      </w:r>
    </w:p>
    <w:p w14:paraId="1D2CC006">
      <w:pPr>
        <w:pStyle w:val="22"/>
        <w:rPr>
          <w:rFonts w:hint="default"/>
          <w:highlight w:val="none"/>
          <w:lang w:val="en-US" w:eastAsia="zh-CN"/>
        </w:rPr>
      </w:pPr>
      <w:r>
        <w:rPr>
          <w:rFonts w:hint="default"/>
          <w:highlight w:val="none"/>
          <w:lang w:val="en-US" w:eastAsia="zh-CN"/>
        </w:rPr>
        <w:t>采空区垮塌后导致上下盘围岩崩落，进而引起地表移动和塌陷。</w:t>
      </w:r>
    </w:p>
    <w:p w14:paraId="2FA84D75">
      <w:pPr>
        <w:pStyle w:val="22"/>
        <w:numPr>
          <w:ilvl w:val="0"/>
          <w:numId w:val="34"/>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地表水可能由塌陷处进入矿井，淹没人员和设备，若在洪水季节出现地表塌陷，后果更为严重；</w:t>
      </w:r>
    </w:p>
    <w:p w14:paraId="3C3E9039">
      <w:pPr>
        <w:pStyle w:val="22"/>
        <w:numPr>
          <w:ilvl w:val="0"/>
          <w:numId w:val="34"/>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地表塌陷可能导致塌陷区内建筑受损并危及人身安全；</w:t>
      </w:r>
    </w:p>
    <w:p w14:paraId="17449D5F">
      <w:pPr>
        <w:pStyle w:val="22"/>
        <w:numPr>
          <w:ilvl w:val="0"/>
          <w:numId w:val="34"/>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地表塌陷可能导致路基的破坏；</w:t>
      </w:r>
    </w:p>
    <w:p w14:paraId="2ECA9105">
      <w:pPr>
        <w:pStyle w:val="22"/>
        <w:numPr>
          <w:ilvl w:val="0"/>
          <w:numId w:val="34"/>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人员如误入塌陷区易造成人员伤亡；</w:t>
      </w:r>
    </w:p>
    <w:p w14:paraId="7EB5ACA5">
      <w:pPr>
        <w:pStyle w:val="22"/>
        <w:numPr>
          <w:ilvl w:val="0"/>
          <w:numId w:val="34"/>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矿井附近的地表塌陷可能危及矿井的安全生产。</w:t>
      </w:r>
    </w:p>
    <w:p w14:paraId="29C27860">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中毒窒息</w:t>
      </w:r>
    </w:p>
    <w:p w14:paraId="2F16403D">
      <w:pPr>
        <w:pStyle w:val="22"/>
        <w:rPr>
          <w:rFonts w:hint="default"/>
          <w:highlight w:val="none"/>
          <w:lang w:val="en-US" w:eastAsia="zh-CN"/>
        </w:rPr>
      </w:pPr>
      <w:r>
        <w:rPr>
          <w:rFonts w:hint="default"/>
          <w:highlight w:val="none"/>
          <w:lang w:val="en-US" w:eastAsia="zh-CN"/>
        </w:rPr>
        <w:t>井下可燃物着火时，由于没有足够的氧气供应，燃烧不充分，容易产生大量的有毒有害气体，发生中毒窒息事故。</w:t>
      </w:r>
    </w:p>
    <w:p w14:paraId="7D54717D">
      <w:pPr>
        <w:pStyle w:val="22"/>
        <w:rPr>
          <w:rFonts w:hint="default"/>
          <w:highlight w:val="none"/>
          <w:lang w:val="en-US" w:eastAsia="zh-CN"/>
        </w:rPr>
      </w:pPr>
      <w:r>
        <w:rPr>
          <w:rFonts w:hint="default"/>
          <w:highlight w:val="none"/>
          <w:lang w:val="en-US" w:eastAsia="zh-CN"/>
        </w:rPr>
        <w:t>1</w:t>
      </w:r>
      <w:r>
        <w:rPr>
          <w:rFonts w:hint="eastAsia"/>
          <w:highlight w:val="none"/>
          <w:lang w:val="en-US" w:eastAsia="zh-CN"/>
        </w:rPr>
        <w:t>、</w:t>
      </w:r>
      <w:r>
        <w:rPr>
          <w:rFonts w:hint="default"/>
          <w:highlight w:val="none"/>
          <w:lang w:val="en-US" w:eastAsia="zh-CN"/>
        </w:rPr>
        <w:t>引起中毒、窒息的原因：</w:t>
      </w:r>
    </w:p>
    <w:p w14:paraId="59195983">
      <w:pPr>
        <w:pStyle w:val="22"/>
        <w:rPr>
          <w:rFonts w:hint="default"/>
          <w:highlight w:val="none"/>
          <w:lang w:val="en-US" w:eastAsia="zh-CN"/>
        </w:rPr>
      </w:pPr>
      <w:r>
        <w:rPr>
          <w:rFonts w:hint="default"/>
          <w:highlight w:val="none"/>
          <w:lang w:val="en-US" w:eastAsia="zh-CN"/>
        </w:rPr>
        <w:t>引起中毒的因素主要有：爆破后形成的炮烟和其他有毒烟尘。其他有毒烟尘如：开采过程中遇到的溶洞、采空区、巷道中存在的有毒气体，火灾后产生的有毒烟流等。</w:t>
      </w:r>
    </w:p>
    <w:p w14:paraId="254F1E24">
      <w:pPr>
        <w:pStyle w:val="22"/>
        <w:rPr>
          <w:rFonts w:hint="default"/>
          <w:highlight w:val="none"/>
          <w:lang w:val="en-US" w:eastAsia="zh-CN"/>
        </w:rPr>
      </w:pPr>
      <w:r>
        <w:rPr>
          <w:rFonts w:hint="default"/>
          <w:highlight w:val="none"/>
          <w:lang w:val="en-US" w:eastAsia="zh-CN"/>
        </w:rPr>
        <w:t>爆破后形成的炮烟因井下通风不畅和违章作业造成井下人员中毒是主要因素之一。发生人员中毒、窒息的原因包括：</w:t>
      </w:r>
    </w:p>
    <w:p w14:paraId="3BCEAC76">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违章作业。如放炮后没有足够的通风时间就进入工作面作业，人员没有按要求撤离到不致发生炮烟中毒的巷道等。</w:t>
      </w:r>
    </w:p>
    <w:p w14:paraId="7614B8E2">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通风设计不合理。如通风设计不合理使炮烟长时间在作业人员工作区滞留，没有足够的风量稀释炮烟，设计的通风时间过短，进风口新鲜风受到污染等。</w:t>
      </w:r>
    </w:p>
    <w:p w14:paraId="6D3A17BA">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通风系统不完善，造成井下工作面风量不足，引起中毒窒息事故的发生。</w:t>
      </w:r>
    </w:p>
    <w:p w14:paraId="07FEB759">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用风点计算不准确或实际与计算存在差异，造成风量不足，不能及时排出炮烟，除尘效果差，而发生中毒窒息事故的发生。</w:t>
      </w:r>
    </w:p>
    <w:p w14:paraId="01409662">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巷道漏风，通风构筑物不符合规定，坑内温度高等会导致发生炮烟中毒窒息事故的发生。</w:t>
      </w:r>
    </w:p>
    <w:p w14:paraId="19DCFB48">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由于标志不合理或没有标志，人员意外进入通风不畅、长期不通风的盲巷、采空区、硐室等。</w:t>
      </w:r>
    </w:p>
    <w:p w14:paraId="4B5BF53D">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突然遇到含有大量窒息性气体、有毒气体、粉尘的地质构造，大量窒息性气体、有毒气体、粉尘突然涌出进入到采掘工作面或其他人员作业场所，人员没有防护措施等。</w:t>
      </w:r>
    </w:p>
    <w:p w14:paraId="403FD06D">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出现意外情况。如意外的风流短路，人员意外进入炮烟污染区并长时间停留，意外的停风等。</w:t>
      </w:r>
    </w:p>
    <w:p w14:paraId="5F882078">
      <w:pPr>
        <w:pStyle w:val="22"/>
        <w:numPr>
          <w:ilvl w:val="0"/>
          <w:numId w:val="35"/>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井下发生火灾后，通风系统没有安装反风装置或反风装置损坏，造成有毒有害气体在坑内循环，不能及时排出坑外。</w:t>
      </w:r>
    </w:p>
    <w:p w14:paraId="12DB059F">
      <w:pPr>
        <w:pStyle w:val="22"/>
        <w:rPr>
          <w:rFonts w:hint="default"/>
          <w:highlight w:val="none"/>
          <w:lang w:val="en-US" w:eastAsia="zh-CN"/>
        </w:rPr>
      </w:pPr>
      <w:r>
        <w:rPr>
          <w:rFonts w:hint="default"/>
          <w:highlight w:val="none"/>
          <w:lang w:val="en-US" w:eastAsia="zh-CN"/>
        </w:rPr>
        <w:t>2</w:t>
      </w:r>
      <w:r>
        <w:rPr>
          <w:rFonts w:hint="eastAsia"/>
          <w:highlight w:val="none"/>
          <w:lang w:val="en-US" w:eastAsia="zh-CN"/>
        </w:rPr>
        <w:t>、</w:t>
      </w:r>
      <w:r>
        <w:rPr>
          <w:rFonts w:hint="default"/>
          <w:highlight w:val="none"/>
          <w:lang w:val="en-US" w:eastAsia="zh-CN"/>
        </w:rPr>
        <w:t>中毒、窒息场所</w:t>
      </w:r>
    </w:p>
    <w:p w14:paraId="57966937">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爆破作业面。</w:t>
      </w:r>
    </w:p>
    <w:p w14:paraId="15938598">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炮烟流经的巷道。</w:t>
      </w:r>
    </w:p>
    <w:p w14:paraId="6C8A28D2">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炮烟积聚的采空区。</w:t>
      </w:r>
    </w:p>
    <w:p w14:paraId="167631E4">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炮烟进入的硐室。</w:t>
      </w:r>
    </w:p>
    <w:p w14:paraId="3606709C">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盲巷、盲井。</w:t>
      </w:r>
    </w:p>
    <w:p w14:paraId="2671B879">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通风不良的巷道。</w:t>
      </w:r>
    </w:p>
    <w:p w14:paraId="6C514275">
      <w:pPr>
        <w:pStyle w:val="22"/>
        <w:numPr>
          <w:ilvl w:val="0"/>
          <w:numId w:val="36"/>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采空区等。</w:t>
      </w:r>
    </w:p>
    <w:p w14:paraId="68C99E44">
      <w:pPr>
        <w:pStyle w:val="22"/>
        <w:bidi w:val="0"/>
        <w:rPr>
          <w:rFonts w:hint="default"/>
          <w:highlight w:val="none"/>
          <w:lang w:val="en-US" w:eastAsia="zh-CN"/>
        </w:rPr>
      </w:pPr>
      <w:r>
        <w:rPr>
          <w:rFonts w:hint="default"/>
          <w:highlight w:val="none"/>
          <w:lang w:val="en-US" w:eastAsia="zh-CN"/>
        </w:rPr>
        <w:t>该矿山采用机械通风，辅以局扇辅助通风。如中段掘进或探矿巷道仅形成局扇压入式通风而没有把污风抽出地表的设施，导致污风在巷道内混流，最终导致独头掘进作业中的新鲜风量不足，易导致中毒或窒息事故。</w:t>
      </w:r>
    </w:p>
    <w:p w14:paraId="6606EF86">
      <w:pPr>
        <w:pStyle w:val="22"/>
        <w:bidi w:val="0"/>
        <w:rPr>
          <w:rFonts w:hint="default"/>
          <w:highlight w:val="none"/>
          <w:lang w:val="en-US" w:eastAsia="zh-CN"/>
        </w:rPr>
      </w:pPr>
      <w:r>
        <w:rPr>
          <w:rFonts w:hint="default"/>
          <w:highlight w:val="none"/>
          <w:lang w:val="en-US" w:eastAsia="zh-CN"/>
        </w:rPr>
        <w:t>在井下进行爆破作业过程中，由于炮烟不能及时排出地表或人行材料通风井内有人员停留，导致井下炮烟浓度过高，爆破后作业人员过早进入作业场所，且未采取可靠的检测手段对进行空气质量进行检测、也未采取有效的个体防护措施等可能会发生炮烟中毒或窒息事故。</w:t>
      </w:r>
    </w:p>
    <w:p w14:paraId="0FB3D036">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爆破伤害</w:t>
      </w:r>
    </w:p>
    <w:p w14:paraId="3F965A35">
      <w:pPr>
        <w:pStyle w:val="22"/>
        <w:bidi w:val="0"/>
        <w:rPr>
          <w:rFonts w:hint="default"/>
          <w:highlight w:val="none"/>
          <w:lang w:val="en-US" w:eastAsia="zh-CN"/>
        </w:rPr>
      </w:pPr>
      <w:r>
        <w:rPr>
          <w:rFonts w:hint="default"/>
          <w:highlight w:val="none"/>
          <w:lang w:val="en-US" w:eastAsia="zh-CN"/>
        </w:rPr>
        <w:t>爆破伤害（放炮），是指爆破作业中发生的伤亡事故。</w:t>
      </w:r>
    </w:p>
    <w:p w14:paraId="7C1907CC">
      <w:pPr>
        <w:pStyle w:val="22"/>
        <w:bidi w:val="0"/>
        <w:rPr>
          <w:rFonts w:hint="default"/>
          <w:highlight w:val="none"/>
          <w:lang w:val="en-US" w:eastAsia="zh-CN"/>
        </w:rPr>
      </w:pPr>
      <w:r>
        <w:rPr>
          <w:rFonts w:hint="default"/>
          <w:highlight w:val="none"/>
          <w:lang w:val="en-US" w:eastAsia="zh-CN"/>
        </w:rPr>
        <w:t>爆破是矿山矿岩开采的主要工艺，也是矿山事故的主要来源。爆破事故的发生原因主要有爆破器材质量事故及爆破设计事故、爆破施工事故等，且大部分是因为违章指挥、违章操作引起的。故加强爆破设计工作，提高放炮工的安全意识和爆破操作技能，避免冒险作业；加强爆破安全管理，积极做好放炮警戒，及时通知有关人员躲避，都是预防事故的有效措施。</w:t>
      </w:r>
    </w:p>
    <w:p w14:paraId="7F009ABF">
      <w:pPr>
        <w:pStyle w:val="22"/>
        <w:rPr>
          <w:rFonts w:hint="default"/>
          <w:highlight w:val="none"/>
          <w:lang w:val="en-US" w:eastAsia="zh-CN"/>
        </w:rPr>
      </w:pPr>
      <w:r>
        <w:rPr>
          <w:rFonts w:hint="default"/>
          <w:highlight w:val="none"/>
          <w:lang w:val="en-US" w:eastAsia="zh-CN"/>
        </w:rPr>
        <w:t>1</w:t>
      </w:r>
      <w:r>
        <w:rPr>
          <w:rFonts w:hint="eastAsia"/>
          <w:highlight w:val="none"/>
          <w:lang w:val="en-US" w:eastAsia="zh-CN"/>
        </w:rPr>
        <w:t>、</w:t>
      </w:r>
      <w:r>
        <w:rPr>
          <w:rFonts w:hint="default"/>
          <w:highlight w:val="none"/>
          <w:lang w:val="en-US" w:eastAsia="zh-CN"/>
        </w:rPr>
        <w:t>引起爆破伤害的原因：</w:t>
      </w:r>
    </w:p>
    <w:p w14:paraId="202E1EDA">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爆破作业后，没有检查或检查不彻底，瞎炮处理不当，没有清理出未爆炸的残余炸药，打老孔、残孔。</w:t>
      </w:r>
    </w:p>
    <w:p w14:paraId="702141BA">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装药工艺不合理或违章作业。</w:t>
      </w:r>
    </w:p>
    <w:p w14:paraId="7C32B750">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起爆工艺不合理或违章作业。</w:t>
      </w:r>
    </w:p>
    <w:p w14:paraId="4E75B471">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人员没有撤离到安全区域就起爆，或其他人员误入爆破区。</w:t>
      </w:r>
    </w:p>
    <w:p w14:paraId="23460A30">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爆破时使用不合格的雷管或导爆索（管）、炸药。</w:t>
      </w:r>
    </w:p>
    <w:p w14:paraId="67DF727A">
      <w:pPr>
        <w:pStyle w:val="22"/>
        <w:numPr>
          <w:ilvl w:val="0"/>
          <w:numId w:val="37"/>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其他违章作业。</w:t>
      </w:r>
    </w:p>
    <w:p w14:paraId="2BFB502B">
      <w:pPr>
        <w:pStyle w:val="22"/>
        <w:rPr>
          <w:rFonts w:hint="default"/>
          <w:highlight w:val="none"/>
          <w:lang w:val="en-US" w:eastAsia="zh-CN"/>
        </w:rPr>
      </w:pPr>
      <w:r>
        <w:rPr>
          <w:rFonts w:hint="default"/>
          <w:highlight w:val="none"/>
          <w:lang w:val="en-US" w:eastAsia="zh-CN"/>
        </w:rPr>
        <w:t>2</w:t>
      </w:r>
      <w:r>
        <w:rPr>
          <w:rFonts w:hint="eastAsia"/>
          <w:highlight w:val="none"/>
          <w:lang w:val="en-US" w:eastAsia="zh-CN"/>
        </w:rPr>
        <w:t>、</w:t>
      </w:r>
      <w:r>
        <w:rPr>
          <w:rFonts w:hint="default"/>
          <w:highlight w:val="none"/>
          <w:lang w:val="en-US" w:eastAsia="zh-CN"/>
        </w:rPr>
        <w:t>容易发生爆破事故的场所：</w:t>
      </w:r>
    </w:p>
    <w:p w14:paraId="68EC7344">
      <w:pPr>
        <w:pStyle w:val="22"/>
        <w:numPr>
          <w:ilvl w:val="0"/>
          <w:numId w:val="38"/>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爆破作业点。</w:t>
      </w:r>
    </w:p>
    <w:p w14:paraId="6EC96689">
      <w:pPr>
        <w:pStyle w:val="22"/>
        <w:numPr>
          <w:ilvl w:val="0"/>
          <w:numId w:val="38"/>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爆破作业时的采场。</w:t>
      </w:r>
    </w:p>
    <w:p w14:paraId="22918BAE">
      <w:pPr>
        <w:pStyle w:val="22"/>
        <w:numPr>
          <w:ilvl w:val="0"/>
          <w:numId w:val="38"/>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爆破后的采场。</w:t>
      </w:r>
    </w:p>
    <w:p w14:paraId="0E9F995B">
      <w:pPr>
        <w:pStyle w:val="22"/>
        <w:numPr>
          <w:ilvl w:val="0"/>
          <w:numId w:val="38"/>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矿岩装运的过程中。</w:t>
      </w:r>
    </w:p>
    <w:p w14:paraId="7C8B0DB5">
      <w:pPr>
        <w:pStyle w:val="22"/>
        <w:numPr>
          <w:ilvl w:val="0"/>
          <w:numId w:val="38"/>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瞎炮处理及凿岩过程中。</w:t>
      </w:r>
    </w:p>
    <w:p w14:paraId="2CCCAC26">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高处坠落</w:t>
      </w:r>
    </w:p>
    <w:p w14:paraId="0FBD446E">
      <w:pPr>
        <w:pStyle w:val="22"/>
        <w:rPr>
          <w:rFonts w:hint="default"/>
          <w:highlight w:val="none"/>
          <w:lang w:val="en-US" w:eastAsia="zh-CN"/>
        </w:rPr>
      </w:pPr>
      <w:r>
        <w:rPr>
          <w:rFonts w:hint="default"/>
          <w:highlight w:val="none"/>
          <w:lang w:val="en-US" w:eastAsia="zh-CN"/>
        </w:rPr>
        <w:t>在地下开采过程中，进入采场的各类天井、上山的施工和使用过程中，因施工方法不当，安全平台、爬梯不规范或不牢靠、缺少安全警示、安全防护设施，照明条件差等均可能导致人员坠落的危险。</w:t>
      </w:r>
    </w:p>
    <w:p w14:paraId="77B97080">
      <w:pPr>
        <w:pStyle w:val="22"/>
        <w:rPr>
          <w:rFonts w:hint="default"/>
          <w:highlight w:val="none"/>
          <w:lang w:val="en-US" w:eastAsia="zh-CN"/>
        </w:rPr>
      </w:pPr>
      <w:r>
        <w:rPr>
          <w:rFonts w:hint="default"/>
          <w:highlight w:val="none"/>
          <w:lang w:val="en-US" w:eastAsia="zh-CN"/>
        </w:rPr>
        <w:t>产生高处坠落的诱因为：</w:t>
      </w:r>
    </w:p>
    <w:p w14:paraId="3F56D227">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高处作业人员没有按要求使用安全防护用品（安全帽、安全带）；</w:t>
      </w:r>
    </w:p>
    <w:p w14:paraId="6A3CE38A">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作业人员疏忽大意，疲劳过度；</w:t>
      </w:r>
    </w:p>
    <w:p w14:paraId="41DB2A54">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缺少照明，无安全警示标志；</w:t>
      </w:r>
    </w:p>
    <w:p w14:paraId="59863FCA">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溜矿井不加格筛；</w:t>
      </w:r>
    </w:p>
    <w:p w14:paraId="032A0B02">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溜井及高处作业未设置防护设施及安全警示；</w:t>
      </w:r>
    </w:p>
    <w:p w14:paraId="2015404F">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高处作业时安全防护设施损坏；</w:t>
      </w:r>
    </w:p>
    <w:p w14:paraId="1FC216B0">
      <w:pPr>
        <w:pStyle w:val="22"/>
        <w:numPr>
          <w:ilvl w:val="0"/>
          <w:numId w:val="39"/>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人行通风井口、井下和地表卸矿（废）点未设置安全设施或警示标志，卸矿（废）作业可能发生高处坠落。</w:t>
      </w:r>
    </w:p>
    <w:p w14:paraId="3D43A4E3">
      <w:pPr>
        <w:pStyle w:val="22"/>
        <w:rPr>
          <w:rFonts w:hint="default"/>
          <w:highlight w:val="none"/>
          <w:lang w:val="en-US" w:eastAsia="zh-CN"/>
        </w:rPr>
      </w:pPr>
      <w:r>
        <w:rPr>
          <w:rFonts w:hint="default"/>
          <w:highlight w:val="none"/>
          <w:lang w:val="en-US" w:eastAsia="zh-CN"/>
        </w:rPr>
        <w:t>该项目高处坠落可能发生的场所：各类相对于坠落基准面2m及以上的作业平台、溜矿井口和回风井坑口、采场人行通风天井井口、地表卸矿（废）点等处。</w:t>
      </w:r>
    </w:p>
    <w:p w14:paraId="03E03B5F">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物体打击</w:t>
      </w:r>
    </w:p>
    <w:p w14:paraId="549ABBCB">
      <w:pPr>
        <w:pStyle w:val="22"/>
        <w:rPr>
          <w:rFonts w:hint="default"/>
          <w:highlight w:val="none"/>
          <w:lang w:val="en-US" w:eastAsia="zh-CN"/>
        </w:rPr>
      </w:pPr>
      <w:r>
        <w:rPr>
          <w:rFonts w:hint="default"/>
          <w:highlight w:val="none"/>
          <w:lang w:val="en-US" w:eastAsia="zh-CN"/>
        </w:rPr>
        <w:t>造成物体打击伤害的原因多种多样，主要有：</w:t>
      </w:r>
    </w:p>
    <w:p w14:paraId="4AEAC8C7">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浮石清理不及时、排浮不净或排浮不按规程操作；单人作业；撬小落大、撬前落后等；</w:t>
      </w:r>
    </w:p>
    <w:p w14:paraId="01A986C0">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对排不下的危石，不及时支护或支护质量差；</w:t>
      </w:r>
    </w:p>
    <w:p w14:paraId="2ABB4558">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安全帽等劳保用品穿戴不齐；</w:t>
      </w:r>
    </w:p>
    <w:p w14:paraId="48E4F9FB">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出矿、出渣时精力不集中，对出现的危险不能及时做出反应；</w:t>
      </w:r>
    </w:p>
    <w:p w14:paraId="5E8E42A1">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工作场所狭小，缺乏躲避空间；</w:t>
      </w:r>
    </w:p>
    <w:p w14:paraId="1DC9927C">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照明不足或没有照明；</w:t>
      </w:r>
    </w:p>
    <w:p w14:paraId="5D679B01">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没有排险工具或排险工具长度不够；</w:t>
      </w:r>
    </w:p>
    <w:p w14:paraId="4E86451D">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联络井无相应的防护设施，放矿缺乏有效管理</w:t>
      </w:r>
    </w:p>
    <w:p w14:paraId="0FF9B329">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采场人行通道、巷道、作业硐室等在爆破作业后，缺乏检查维护等；</w:t>
      </w:r>
    </w:p>
    <w:p w14:paraId="13754E3C">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地表装矿（岩）作业等均可能发生掉块伤人；</w:t>
      </w:r>
    </w:p>
    <w:p w14:paraId="6EE192B0">
      <w:pPr>
        <w:pStyle w:val="22"/>
        <w:numPr>
          <w:ilvl w:val="0"/>
          <w:numId w:val="4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坑口卸载点、地表废石场排弃作业范围未设置安全警示标志，人员误入可能发生滚石伤人。</w:t>
      </w:r>
    </w:p>
    <w:p w14:paraId="635B0CD3">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机械伤害</w:t>
      </w:r>
    </w:p>
    <w:p w14:paraId="3022516E">
      <w:pPr>
        <w:pStyle w:val="22"/>
        <w:rPr>
          <w:rFonts w:hint="default"/>
          <w:highlight w:val="none"/>
          <w:lang w:val="en-US" w:eastAsia="zh-CN"/>
        </w:rPr>
      </w:pPr>
      <w:r>
        <w:rPr>
          <w:rFonts w:hint="default"/>
          <w:highlight w:val="none"/>
          <w:lang w:val="en-US" w:eastAsia="zh-CN"/>
        </w:rPr>
        <w:t>机械伤害是指机械设备运动（静止）部件、工具、加工件直接与人体接触引起的夹击、碰撞、剪切、卷入、绞、碾、割、刺等伤害，不包括车辆、起重机械引起的机械伤害。</w:t>
      </w:r>
    </w:p>
    <w:p w14:paraId="3F0FF6F8">
      <w:pPr>
        <w:pStyle w:val="22"/>
        <w:rPr>
          <w:rFonts w:hint="default"/>
          <w:highlight w:val="none"/>
          <w:lang w:val="en-US" w:eastAsia="zh-CN"/>
        </w:rPr>
      </w:pPr>
      <w:r>
        <w:rPr>
          <w:rFonts w:hint="default"/>
          <w:highlight w:val="none"/>
          <w:lang w:val="en-US" w:eastAsia="zh-CN"/>
        </w:rPr>
        <w:t>矿山造成的机械伤害事故，主要是由于人的违章指挥、违章操作造成的。常见的因素有：</w:t>
      </w:r>
    </w:p>
    <w:p w14:paraId="62BC5A8B">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穿戴不符合安全规定的服装进行操作；</w:t>
      </w:r>
    </w:p>
    <w:p w14:paraId="4CB74F33">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违章操作；</w:t>
      </w:r>
    </w:p>
    <w:p w14:paraId="13FE4C65">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机械设备安全防护装置缺乏或损坏、被拆除等，导致事故发生；</w:t>
      </w:r>
    </w:p>
    <w:p w14:paraId="1D1B0C55">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操作过程中衣物、头发、工具进入运转机械导致身体被运动机械拖带伤害；</w:t>
      </w:r>
    </w:p>
    <w:p w14:paraId="1A955ABF">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操作人员疏忽大意，身体进入机械危险部位；</w:t>
      </w:r>
    </w:p>
    <w:p w14:paraId="159E3CDF">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在检修和正常工作时，机器突然被别人随意启动，导致事故发生；</w:t>
      </w:r>
    </w:p>
    <w:p w14:paraId="6A8C59EE">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在不安全的机械上停留、休息，导致事故发生；</w:t>
      </w:r>
    </w:p>
    <w:p w14:paraId="2734AC7D">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凿岩机砸、夹、挤伤人，断钎伤人，钻架倾倒， 风、水管摆动或飞出伤人等；</w:t>
      </w:r>
    </w:p>
    <w:p w14:paraId="23EBDADD">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设备设施设计、选型不合理或安装存在缺陷；</w:t>
      </w:r>
    </w:p>
    <w:p w14:paraId="1010EBAC">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设备设施没有按规定进行维护或特种设备没有定期检测检验；</w:t>
      </w:r>
    </w:p>
    <w:p w14:paraId="0CBFA3F7">
      <w:pPr>
        <w:pStyle w:val="22"/>
        <w:numPr>
          <w:ilvl w:val="0"/>
          <w:numId w:val="4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安全管理上存在不足。</w:t>
      </w:r>
    </w:p>
    <w:p w14:paraId="3B323888">
      <w:pPr>
        <w:pStyle w:val="22"/>
        <w:rPr>
          <w:rFonts w:hint="default"/>
          <w:highlight w:val="none"/>
          <w:lang w:val="en-US" w:eastAsia="zh-CN"/>
        </w:rPr>
      </w:pPr>
      <w:r>
        <w:rPr>
          <w:rFonts w:hint="default"/>
          <w:highlight w:val="none"/>
          <w:lang w:val="en-US" w:eastAsia="zh-CN"/>
        </w:rPr>
        <w:t>该矿山采掘有凿岩机、空压机、通风机、机械设备在使用和检修过程中存在着机械伤害的可能性。</w:t>
      </w:r>
    </w:p>
    <w:p w14:paraId="21304F00">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容器爆炸</w:t>
      </w:r>
    </w:p>
    <w:p w14:paraId="0AC2C1B7">
      <w:pPr>
        <w:pStyle w:val="22"/>
        <w:rPr>
          <w:rFonts w:hint="default"/>
          <w:highlight w:val="none"/>
          <w:lang w:val="en-US" w:eastAsia="zh-CN"/>
        </w:rPr>
      </w:pPr>
      <w:r>
        <w:rPr>
          <w:rFonts w:hint="default"/>
          <w:highlight w:val="none"/>
          <w:lang w:val="en-US" w:eastAsia="zh-CN"/>
        </w:rPr>
        <w:t>储气罐属压力容器，如果管理不善、设备缺限、安全附件（压力表、安全阀等）故障等存在压力容器爆炸的危险。一旦发生爆炸事故，其爆炸能量在向外释放时以冲击波能量、碎片能量和容器残余变形能量三种形式表现出来。后两者消耗的能量只占爆炸能量的3%～15%，即大部分能量是产生的冲击波。冲击波会对周边的厂房设施造成不同程度地破坏，造成作业人员的伤亡，严重影响生产的正常进行。</w:t>
      </w:r>
    </w:p>
    <w:p w14:paraId="1EDBA96D">
      <w:pPr>
        <w:pStyle w:val="22"/>
        <w:rPr>
          <w:rFonts w:hint="default"/>
          <w:highlight w:val="none"/>
          <w:lang w:val="en-US" w:eastAsia="zh-CN"/>
        </w:rPr>
      </w:pPr>
      <w:r>
        <w:rPr>
          <w:rFonts w:hint="default"/>
          <w:highlight w:val="none"/>
          <w:lang w:val="en-US" w:eastAsia="zh-CN"/>
        </w:rPr>
        <w:t>造成容器爆炸事故的主要因素：</w:t>
      </w:r>
    </w:p>
    <w:p w14:paraId="3076FF9B">
      <w:pPr>
        <w:pStyle w:val="22"/>
        <w:numPr>
          <w:ilvl w:val="0"/>
          <w:numId w:val="4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压力容器受到机械损伤，在高压下发生爆炸事故；</w:t>
      </w:r>
    </w:p>
    <w:p w14:paraId="08890B6C">
      <w:pPr>
        <w:pStyle w:val="22"/>
        <w:numPr>
          <w:ilvl w:val="0"/>
          <w:numId w:val="4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压力容器遇到突然撞击或遇到高温而发生爆炸。</w:t>
      </w:r>
    </w:p>
    <w:p w14:paraId="54A3F59A">
      <w:pPr>
        <w:pStyle w:val="22"/>
        <w:numPr>
          <w:ilvl w:val="0"/>
          <w:numId w:val="4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未制订安全操作规程或操作人员违章操作，引起超温、超压、压力突然增大等。</w:t>
      </w:r>
    </w:p>
    <w:p w14:paraId="49040976">
      <w:pPr>
        <w:pStyle w:val="22"/>
        <w:numPr>
          <w:ilvl w:val="0"/>
          <w:numId w:val="4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管理不善或操作人员不具备特种作业资格进行操作。</w:t>
      </w:r>
    </w:p>
    <w:p w14:paraId="7571D1F0">
      <w:pPr>
        <w:pStyle w:val="22"/>
        <w:numPr>
          <w:ilvl w:val="0"/>
          <w:numId w:val="4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压力容器、空压机上的安全附件未按规定定期进行检验测检验，造成安全附件失效。</w:t>
      </w:r>
    </w:p>
    <w:p w14:paraId="0C719B6C">
      <w:pPr>
        <w:pStyle w:val="22"/>
        <w:numPr>
          <w:ilvl w:val="0"/>
          <w:numId w:val="30"/>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粉尘</w:t>
      </w:r>
    </w:p>
    <w:p w14:paraId="641E10FE">
      <w:pPr>
        <w:pStyle w:val="22"/>
        <w:bidi w:val="0"/>
        <w:rPr>
          <w:rFonts w:hint="default"/>
          <w:highlight w:val="none"/>
          <w:lang w:val="en-US" w:eastAsia="zh-CN"/>
        </w:rPr>
      </w:pPr>
      <w:r>
        <w:rPr>
          <w:rFonts w:hint="default"/>
          <w:highlight w:val="none"/>
          <w:lang w:val="en-US" w:eastAsia="zh-CN"/>
        </w:rP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4C1C324F">
      <w:pPr>
        <w:pStyle w:val="22"/>
        <w:bidi w:val="0"/>
        <w:rPr>
          <w:rFonts w:hint="default"/>
          <w:highlight w:val="none"/>
          <w:lang w:val="en-US" w:eastAsia="zh-CN"/>
        </w:rPr>
      </w:pPr>
      <w:r>
        <w:rPr>
          <w:rFonts w:hint="default"/>
          <w:highlight w:val="none"/>
          <w:lang w:val="en-US" w:eastAsia="zh-CN"/>
        </w:rPr>
        <w:t>该项目的粉尘主要来源于：矿岩转运作业等过程，产生大量有害的粉尘，凿岩爆破产生大量的粉尘，如未采取湿式作业、井下通风不良或通风质量达不到要求，易造成粉尘危害。井下主要产尘点分布在采掘工作面、回风道、装矿（废）石巷道、卸矿漏斗等处。</w:t>
      </w:r>
    </w:p>
    <w:p w14:paraId="0FEFF1F3">
      <w:pPr>
        <w:pStyle w:val="30"/>
        <w:bidi w:val="0"/>
        <w:rPr>
          <w:rFonts w:hint="default"/>
          <w:highlight w:val="none"/>
          <w:lang w:val="en-US" w:eastAsia="zh-CN"/>
        </w:rPr>
      </w:pPr>
      <w:r>
        <w:rPr>
          <w:rFonts w:hint="default"/>
          <w:highlight w:val="none"/>
          <w:lang w:val="en-US" w:eastAsia="zh-CN"/>
        </w:rPr>
        <w:t>安全分析及符合性评价</w:t>
      </w:r>
    </w:p>
    <w:p w14:paraId="34EE1B06">
      <w:pPr>
        <w:pStyle w:val="22"/>
        <w:numPr>
          <w:ilvl w:val="0"/>
          <w:numId w:val="43"/>
        </w:numPr>
        <w:bidi w:val="0"/>
        <w:rPr>
          <w:rFonts w:hint="default"/>
          <w:highlight w:val="none"/>
          <w:lang w:val="en-US" w:eastAsia="zh-CN"/>
        </w:rPr>
      </w:pPr>
      <w:r>
        <w:rPr>
          <w:rFonts w:hint="default"/>
          <w:highlight w:val="none"/>
          <w:lang w:val="en-US" w:eastAsia="zh-CN"/>
        </w:rPr>
        <w:t>预先危险性分析法</w:t>
      </w:r>
    </w:p>
    <w:p w14:paraId="619E6FBD">
      <w:pPr>
        <w:pStyle w:val="31"/>
        <w:bidi w:val="0"/>
        <w:rPr>
          <w:rFonts w:hint="eastAsia"/>
          <w:highlight w:val="none"/>
        </w:rPr>
      </w:pPr>
      <w:r>
        <w:rPr>
          <w:rFonts w:hint="eastAsia"/>
          <w:highlight w:val="none"/>
        </w:rPr>
        <w:t>表3.4-1  地压管理单元预先危险性分析表</w:t>
      </w:r>
    </w:p>
    <w:tbl>
      <w:tblPr>
        <w:tblStyle w:val="24"/>
        <w:tblW w:w="4996"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267"/>
        <w:gridCol w:w="748"/>
        <w:gridCol w:w="1700"/>
        <w:gridCol w:w="756"/>
        <w:gridCol w:w="1141"/>
        <w:gridCol w:w="1222"/>
        <w:gridCol w:w="782"/>
        <w:gridCol w:w="1777"/>
      </w:tblGrid>
      <w:tr w14:paraId="63E95F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74" w:type="pct"/>
            <w:noWrap w:val="0"/>
            <w:vAlign w:val="center"/>
          </w:tcPr>
          <w:p w14:paraId="2E6A9043">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潜在</w:t>
            </w:r>
          </w:p>
          <w:p w14:paraId="14AD8ED6">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w:t>
            </w:r>
          </w:p>
        </w:tc>
        <w:tc>
          <w:tcPr>
            <w:tcW w:w="398" w:type="pct"/>
            <w:noWrap w:val="0"/>
            <w:vAlign w:val="center"/>
          </w:tcPr>
          <w:p w14:paraId="3764E12F">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危险因素</w:t>
            </w:r>
          </w:p>
        </w:tc>
        <w:tc>
          <w:tcPr>
            <w:tcW w:w="904" w:type="pct"/>
            <w:noWrap w:val="0"/>
            <w:vAlign w:val="center"/>
          </w:tcPr>
          <w:p w14:paraId="071A3030">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触发条件（1）</w:t>
            </w:r>
          </w:p>
        </w:tc>
        <w:tc>
          <w:tcPr>
            <w:tcW w:w="402" w:type="pct"/>
            <w:noWrap w:val="0"/>
            <w:vAlign w:val="center"/>
          </w:tcPr>
          <w:p w14:paraId="6D5DD56C">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发生条件</w:t>
            </w:r>
          </w:p>
        </w:tc>
        <w:tc>
          <w:tcPr>
            <w:tcW w:w="607" w:type="pct"/>
            <w:noWrap w:val="0"/>
            <w:vAlign w:val="center"/>
          </w:tcPr>
          <w:p w14:paraId="1FD5D720">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触发条件（2）</w:t>
            </w:r>
          </w:p>
        </w:tc>
        <w:tc>
          <w:tcPr>
            <w:tcW w:w="650" w:type="pct"/>
            <w:noWrap w:val="0"/>
            <w:vAlign w:val="center"/>
          </w:tcPr>
          <w:p w14:paraId="5CAFC69C">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事故后果</w:t>
            </w:r>
          </w:p>
        </w:tc>
        <w:tc>
          <w:tcPr>
            <w:tcW w:w="416" w:type="pct"/>
            <w:noWrap w:val="0"/>
            <w:vAlign w:val="center"/>
          </w:tcPr>
          <w:p w14:paraId="43318BFB">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危险等级</w:t>
            </w:r>
          </w:p>
        </w:tc>
        <w:tc>
          <w:tcPr>
            <w:tcW w:w="945" w:type="pct"/>
            <w:noWrap w:val="0"/>
            <w:vAlign w:val="center"/>
          </w:tcPr>
          <w:p w14:paraId="4D3EB1BB">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防范措施</w:t>
            </w:r>
          </w:p>
        </w:tc>
      </w:tr>
      <w:tr w14:paraId="27B3FA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68" w:hRule="atLeast"/>
          <w:jc w:val="center"/>
        </w:trPr>
        <w:tc>
          <w:tcPr>
            <w:tcW w:w="674" w:type="pct"/>
            <w:noWrap w:val="0"/>
            <w:vAlign w:val="center"/>
          </w:tcPr>
          <w:p w14:paraId="49695CC0">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采场顶板冒落</w:t>
            </w:r>
          </w:p>
          <w:p w14:paraId="6E2240AF">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采空区陷落</w:t>
            </w:r>
          </w:p>
          <w:p w14:paraId="59A9F188">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巷道或采掘工作面的片帮、冒顶等</w:t>
            </w:r>
          </w:p>
          <w:p w14:paraId="71DEDE66">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地面塌陷</w:t>
            </w:r>
          </w:p>
        </w:tc>
        <w:tc>
          <w:tcPr>
            <w:tcW w:w="398" w:type="pct"/>
            <w:noWrap w:val="0"/>
            <w:vAlign w:val="center"/>
          </w:tcPr>
          <w:p w14:paraId="64DA439A">
            <w:pPr>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井下不稳定的采场、采空区、巷道</w:t>
            </w:r>
          </w:p>
        </w:tc>
        <w:tc>
          <w:tcPr>
            <w:tcW w:w="904" w:type="pct"/>
            <w:noWrap w:val="0"/>
            <w:vAlign w:val="center"/>
          </w:tcPr>
          <w:p w14:paraId="5E60B2CF">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采矿方法不合理</w:t>
            </w:r>
          </w:p>
          <w:p w14:paraId="2C730EF9">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巷道穿越地压活动区域</w:t>
            </w:r>
          </w:p>
          <w:p w14:paraId="68C6976F">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矿柱设计不合理</w:t>
            </w:r>
          </w:p>
          <w:p w14:paraId="628EBA1D">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爆破参数设计不合理、爆破工序不合理和爆破施工时违章作业</w:t>
            </w:r>
          </w:p>
        </w:tc>
        <w:tc>
          <w:tcPr>
            <w:tcW w:w="402" w:type="pct"/>
            <w:noWrap w:val="0"/>
            <w:vAlign w:val="top"/>
          </w:tcPr>
          <w:p w14:paraId="3F27F666">
            <w:pPr>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人员、设备处于地压灾害的采场、空区或巷道</w:t>
            </w:r>
          </w:p>
        </w:tc>
        <w:tc>
          <w:tcPr>
            <w:tcW w:w="607" w:type="pct"/>
            <w:noWrap w:val="0"/>
            <w:vAlign w:val="center"/>
          </w:tcPr>
          <w:p w14:paraId="223F2C06">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顶板管理方法不当</w:t>
            </w:r>
          </w:p>
          <w:p w14:paraId="1991662F">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岩石松软没有支护</w:t>
            </w:r>
          </w:p>
          <w:p w14:paraId="322D52C6">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顶板冒落征兆没有停止作业</w:t>
            </w:r>
          </w:p>
        </w:tc>
        <w:tc>
          <w:tcPr>
            <w:tcW w:w="650" w:type="pct"/>
            <w:noWrap w:val="0"/>
            <w:vAlign w:val="center"/>
          </w:tcPr>
          <w:p w14:paraId="028A709D">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破坏采场巷道</w:t>
            </w:r>
          </w:p>
          <w:p w14:paraId="2F52B4A3">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造成巷道内人员伤亡</w:t>
            </w:r>
          </w:p>
          <w:p w14:paraId="6464DD4D">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破坏正常的生产系统</w:t>
            </w:r>
          </w:p>
        </w:tc>
        <w:tc>
          <w:tcPr>
            <w:tcW w:w="416" w:type="pct"/>
            <w:noWrap w:val="0"/>
            <w:vAlign w:val="center"/>
          </w:tcPr>
          <w:p w14:paraId="18A46B54">
            <w:pPr>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Ⅲ级</w:t>
            </w:r>
          </w:p>
        </w:tc>
        <w:tc>
          <w:tcPr>
            <w:tcW w:w="945" w:type="pct"/>
            <w:noWrap w:val="0"/>
            <w:vAlign w:val="center"/>
          </w:tcPr>
          <w:p w14:paraId="049652E8">
            <w:pPr>
              <w:numPr>
                <w:ilvl w:val="0"/>
                <w:numId w:val="48"/>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根据矿床地质条件，选择合理的采矿方法和采场布置。</w:t>
            </w:r>
          </w:p>
          <w:p w14:paraId="06D64630">
            <w:pPr>
              <w:numPr>
                <w:ilvl w:val="0"/>
                <w:numId w:val="48"/>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按照安全技术操作规程作业，提高职工安全防患意识和技术素质</w:t>
            </w:r>
          </w:p>
          <w:p w14:paraId="78340662">
            <w:pPr>
              <w:numPr>
                <w:ilvl w:val="0"/>
                <w:numId w:val="48"/>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防止大面积冒顶</w:t>
            </w:r>
          </w:p>
        </w:tc>
      </w:tr>
    </w:tbl>
    <w:p w14:paraId="4F6FE572">
      <w:pPr>
        <w:pStyle w:val="31"/>
        <w:bidi w:val="0"/>
        <w:rPr>
          <w:rFonts w:hint="eastAsia"/>
          <w:highlight w:val="none"/>
        </w:rPr>
      </w:pPr>
      <w:r>
        <w:rPr>
          <w:rFonts w:hint="eastAsia"/>
          <w:highlight w:val="none"/>
        </w:rPr>
        <w:t>表3.4-2  爆破单元预先危险性分析表</w:t>
      </w:r>
    </w:p>
    <w:tbl>
      <w:tblPr>
        <w:tblStyle w:val="24"/>
        <w:tblW w:w="4998"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833"/>
        <w:gridCol w:w="773"/>
        <w:gridCol w:w="1292"/>
        <w:gridCol w:w="773"/>
        <w:gridCol w:w="1447"/>
        <w:gridCol w:w="779"/>
        <w:gridCol w:w="779"/>
        <w:gridCol w:w="2721"/>
      </w:tblGrid>
      <w:tr w14:paraId="4771AA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noWrap w:val="0"/>
            <w:vAlign w:val="center"/>
          </w:tcPr>
          <w:p w14:paraId="758B31D4">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潜在事故</w:t>
            </w:r>
          </w:p>
        </w:tc>
        <w:tc>
          <w:tcPr>
            <w:tcW w:w="411" w:type="pct"/>
            <w:noWrap w:val="0"/>
            <w:vAlign w:val="center"/>
          </w:tcPr>
          <w:p w14:paraId="4E99ABCA">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危险因素</w:t>
            </w:r>
          </w:p>
        </w:tc>
        <w:tc>
          <w:tcPr>
            <w:tcW w:w="687" w:type="pct"/>
            <w:noWrap w:val="0"/>
            <w:vAlign w:val="center"/>
          </w:tcPr>
          <w:p w14:paraId="33E8AA3D">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触发条件（1）</w:t>
            </w:r>
          </w:p>
        </w:tc>
        <w:tc>
          <w:tcPr>
            <w:tcW w:w="411" w:type="pct"/>
            <w:noWrap w:val="0"/>
            <w:vAlign w:val="center"/>
          </w:tcPr>
          <w:p w14:paraId="3AA06EE5">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发生条件</w:t>
            </w:r>
          </w:p>
        </w:tc>
        <w:tc>
          <w:tcPr>
            <w:tcW w:w="769" w:type="pct"/>
            <w:noWrap w:val="0"/>
            <w:vAlign w:val="center"/>
          </w:tcPr>
          <w:p w14:paraId="5328C43F">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触发条件（2）</w:t>
            </w:r>
          </w:p>
        </w:tc>
        <w:tc>
          <w:tcPr>
            <w:tcW w:w="414" w:type="pct"/>
            <w:noWrap w:val="0"/>
            <w:vAlign w:val="center"/>
          </w:tcPr>
          <w:p w14:paraId="0D5AFD9B">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事故后果</w:t>
            </w:r>
          </w:p>
        </w:tc>
        <w:tc>
          <w:tcPr>
            <w:tcW w:w="414" w:type="pct"/>
            <w:noWrap w:val="0"/>
            <w:vAlign w:val="center"/>
          </w:tcPr>
          <w:p w14:paraId="079B8E9C">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危险等级</w:t>
            </w:r>
          </w:p>
        </w:tc>
        <w:tc>
          <w:tcPr>
            <w:tcW w:w="1446" w:type="pct"/>
            <w:noWrap w:val="0"/>
            <w:vAlign w:val="center"/>
          </w:tcPr>
          <w:p w14:paraId="5E4C2F25">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防范措施</w:t>
            </w:r>
          </w:p>
        </w:tc>
      </w:tr>
      <w:tr w14:paraId="770177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noWrap w:val="0"/>
            <w:vAlign w:val="center"/>
          </w:tcPr>
          <w:p w14:paraId="1D2F6013">
            <w:pPr>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爆破伤害</w:t>
            </w:r>
          </w:p>
        </w:tc>
        <w:tc>
          <w:tcPr>
            <w:tcW w:w="411" w:type="pct"/>
            <w:noWrap w:val="0"/>
            <w:vAlign w:val="center"/>
          </w:tcPr>
          <w:p w14:paraId="079EBB2B">
            <w:pPr>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爆破飞石、爆破地震、冲击波、早爆、自爆、拒爆、迟爆等</w:t>
            </w:r>
          </w:p>
        </w:tc>
        <w:tc>
          <w:tcPr>
            <w:tcW w:w="687" w:type="pct"/>
            <w:noWrap w:val="0"/>
            <w:vAlign w:val="center"/>
          </w:tcPr>
          <w:p w14:paraId="4F971423">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爆破器材不符合标准</w:t>
            </w:r>
          </w:p>
          <w:p w14:paraId="46741C30">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盲炮处理不当或打残眼</w:t>
            </w:r>
          </w:p>
          <w:p w14:paraId="273840CD">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装药工艺不合理或违章作业</w:t>
            </w:r>
          </w:p>
          <w:p w14:paraId="4B2D253B">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爆破器材质量不良，点火迟缓，拖延点炮时间</w:t>
            </w:r>
          </w:p>
        </w:tc>
        <w:tc>
          <w:tcPr>
            <w:tcW w:w="411" w:type="pct"/>
            <w:noWrap w:val="0"/>
            <w:vAlign w:val="center"/>
          </w:tcPr>
          <w:p w14:paraId="542F8934">
            <w:pPr>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作业人员处于炸药有可能意外爆炸的场所</w:t>
            </w:r>
          </w:p>
        </w:tc>
        <w:tc>
          <w:tcPr>
            <w:tcW w:w="769" w:type="pct"/>
            <w:noWrap w:val="0"/>
            <w:vAlign w:val="center"/>
          </w:tcPr>
          <w:p w14:paraId="4A3030A9">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违反操作规程</w:t>
            </w:r>
          </w:p>
          <w:p w14:paraId="4A8B23E4">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装药前炮孔清理不净</w:t>
            </w:r>
          </w:p>
          <w:p w14:paraId="55090ADB">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凿岩工打残眼</w:t>
            </w:r>
          </w:p>
          <w:p w14:paraId="1764E2BF">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放炮后过早进入工作面</w:t>
            </w:r>
          </w:p>
          <w:p w14:paraId="3F61EBBE">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非爆破作业人员作业，爆破作业人员违章</w:t>
            </w:r>
          </w:p>
        </w:tc>
        <w:tc>
          <w:tcPr>
            <w:tcW w:w="414" w:type="pct"/>
            <w:noWrap w:val="0"/>
            <w:vAlign w:val="center"/>
          </w:tcPr>
          <w:p w14:paraId="0D93981A">
            <w:pPr>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人员伤亡</w:t>
            </w:r>
          </w:p>
        </w:tc>
        <w:tc>
          <w:tcPr>
            <w:tcW w:w="414" w:type="pct"/>
            <w:noWrap w:val="0"/>
            <w:vAlign w:val="center"/>
          </w:tcPr>
          <w:p w14:paraId="47273176">
            <w:pPr>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Ⅲ级</w:t>
            </w:r>
          </w:p>
        </w:tc>
        <w:tc>
          <w:tcPr>
            <w:tcW w:w="1446" w:type="pct"/>
            <w:noWrap w:val="0"/>
            <w:vAlign w:val="center"/>
          </w:tcPr>
          <w:p w14:paraId="29A3D121">
            <w:pPr>
              <w:numPr>
                <w:ilvl w:val="0"/>
                <w:numId w:val="51"/>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配合爆破的人员听从统一指挥，各岗哨要认真履行职责</w:t>
            </w:r>
          </w:p>
          <w:p w14:paraId="39D4C649">
            <w:pPr>
              <w:numPr>
                <w:ilvl w:val="0"/>
                <w:numId w:val="51"/>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爆破必须按规定时间进行，爆破前发出能听到和看到的（视觉）警戒信号</w:t>
            </w:r>
          </w:p>
          <w:p w14:paraId="3FC6C776">
            <w:pPr>
              <w:numPr>
                <w:ilvl w:val="0"/>
                <w:numId w:val="51"/>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盲炮应在当班处理，当班未处理完毕，应将盲炮情况（盲炮数目、装药数量和起爆药位置等）在现场交接清楚，由下一班继续处理</w:t>
            </w:r>
          </w:p>
          <w:p w14:paraId="34CE5F50">
            <w:pPr>
              <w:numPr>
                <w:ilvl w:val="0"/>
                <w:numId w:val="51"/>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没有爆破资格人员不接触爆破器材</w:t>
            </w:r>
          </w:p>
          <w:p w14:paraId="2EFEE2D3">
            <w:pPr>
              <w:numPr>
                <w:ilvl w:val="0"/>
                <w:numId w:val="51"/>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炸药和雷管分别存放，炸药和雷管箱要加锁</w:t>
            </w:r>
          </w:p>
        </w:tc>
      </w:tr>
    </w:tbl>
    <w:p w14:paraId="1CF024E7">
      <w:pPr>
        <w:pStyle w:val="22"/>
        <w:numPr>
          <w:ilvl w:val="0"/>
          <w:numId w:val="43"/>
        </w:numPr>
        <w:bidi w:val="0"/>
        <w:rPr>
          <w:rFonts w:hint="default"/>
          <w:highlight w:val="none"/>
          <w:lang w:val="en-US" w:eastAsia="zh-CN"/>
        </w:rPr>
      </w:pPr>
      <w:r>
        <w:rPr>
          <w:rFonts w:hint="default"/>
          <w:highlight w:val="none"/>
          <w:lang w:val="en-US" w:eastAsia="zh-CN"/>
        </w:rPr>
        <w:t>专家评议法</w:t>
      </w:r>
    </w:p>
    <w:p w14:paraId="7F7BF9A0">
      <w:pPr>
        <w:pStyle w:val="22"/>
        <w:bidi w:val="0"/>
        <w:rPr>
          <w:rFonts w:hint="default"/>
          <w:highlight w:val="none"/>
          <w:lang w:val="en-US" w:eastAsia="zh-CN"/>
        </w:rPr>
      </w:pPr>
      <w:r>
        <w:rPr>
          <w:rFonts w:hint="eastAsia"/>
          <w:highlight w:val="none"/>
          <w:lang w:val="en-US" w:eastAsia="zh-CN"/>
        </w:rPr>
        <w:t>1、</w:t>
      </w:r>
      <w:r>
        <w:rPr>
          <w:rFonts w:hint="default"/>
          <w:highlight w:val="none"/>
          <w:lang w:val="en-US" w:eastAsia="zh-CN"/>
        </w:rPr>
        <w:t>采矿方法合理性分析</w:t>
      </w:r>
    </w:p>
    <w:p w14:paraId="16899B70">
      <w:pPr>
        <w:pStyle w:val="22"/>
        <w:bidi w:val="0"/>
        <w:rPr>
          <w:rFonts w:hint="default"/>
          <w:highlight w:val="none"/>
          <w:lang w:val="en-US" w:eastAsia="zh-CN"/>
        </w:rPr>
      </w:pPr>
      <w:r>
        <w:rPr>
          <w:rFonts w:hint="eastAsia"/>
          <w:highlight w:val="none"/>
          <w:lang w:val="en-US" w:eastAsia="zh-CN"/>
        </w:rPr>
        <w:t>①</w:t>
      </w:r>
      <w:r>
        <w:rPr>
          <w:rFonts w:hint="default"/>
          <w:highlight w:val="none"/>
          <w:lang w:val="en-US" w:eastAsia="zh-CN"/>
        </w:rPr>
        <w:t>采矿方法的选择合理性</w:t>
      </w:r>
    </w:p>
    <w:p w14:paraId="3A0CABCE">
      <w:pPr>
        <w:pStyle w:val="22"/>
        <w:bidi w:val="0"/>
        <w:rPr>
          <w:rFonts w:hint="default"/>
          <w:highlight w:val="none"/>
          <w:lang w:val="en-US" w:eastAsia="zh-CN"/>
        </w:rPr>
      </w:pPr>
      <w:r>
        <w:rPr>
          <w:rFonts w:hint="default"/>
          <w:highlight w:val="none"/>
          <w:lang w:val="en-US" w:eastAsia="zh-CN"/>
        </w:rPr>
        <w:t>根据《国家矿山安全监察局关于印发&lt;关于加强非煤矿山安全生产工作的指导意见&gt;的通知》（矿安〔2022〕4号），新建金属非金属地下矿山应当采用充填采矿法，不能采用的要进行严格论证。</w:t>
      </w:r>
    </w:p>
    <w:p w14:paraId="2C74C3BE">
      <w:pPr>
        <w:pStyle w:val="22"/>
        <w:bidi w:val="0"/>
        <w:rPr>
          <w:rFonts w:hint="eastAsia"/>
          <w:highlight w:val="none"/>
          <w:lang w:val="en-US" w:eastAsia="zh-CN"/>
        </w:rPr>
      </w:pPr>
      <w:r>
        <w:rPr>
          <w:rFonts w:hint="default"/>
          <w:highlight w:val="none"/>
          <w:lang w:val="en-US" w:eastAsia="zh-CN"/>
        </w:rPr>
        <w:t>铁矿体围岩主要为中细粒二长花岗岩，个别矿体围岩为透闪岩。矿体与围岩产状基本一致。根据岩石力学试验结果按单轴抗压强度划分，中细粒黑云母二长花岗岩抗压强度值为127.7～156.3MPa，岩石强度为坚硬岩；滑石化透闪岩抗压强度值为59.5～65.5MPa，岩石强度为坚硬岩；磁铁石英岩抗压强度值为67.4MPa，岩石强度为坚硬岩。以上说明矿区岩石强度较大，所见的矿体的稳定性较好。中细粒黑云母二长花岗岩：RQD值为95％，岩石质量是极好的。滑石化透闪岩： RQD值为91％，岩石质量是极好的。磁铁石英岩：RQD值为92％，岩石质量是极好的。</w:t>
      </w:r>
      <w:r>
        <w:rPr>
          <w:rFonts w:hint="eastAsia"/>
          <w:highlight w:val="none"/>
          <w:lang w:val="en-US" w:eastAsia="zh-CN"/>
        </w:rPr>
        <w:t>《可研报告》</w:t>
      </w:r>
      <w:r>
        <w:rPr>
          <w:rFonts w:hint="default"/>
          <w:highlight w:val="none"/>
          <w:lang w:val="en-US" w:eastAsia="zh-CN"/>
        </w:rPr>
        <w:t>设计采用</w:t>
      </w:r>
      <w:r>
        <w:rPr>
          <w:rFonts w:hint="eastAsia"/>
          <w:highlight w:val="none"/>
          <w:lang w:val="en-US" w:eastAsia="zh-CN"/>
        </w:rPr>
        <w:t>浅孔留矿嗣后充填采矿法和分段空场嗣后充填采矿法。依据《冶金矿山采矿设计规范》，《可研报告》选用的采矿方法合理。</w:t>
      </w:r>
    </w:p>
    <w:p w14:paraId="25621063">
      <w:pPr>
        <w:pStyle w:val="22"/>
        <w:bidi w:val="0"/>
        <w:rPr>
          <w:rFonts w:hint="eastAsia"/>
          <w:highlight w:val="none"/>
          <w:lang w:val="en-US" w:eastAsia="zh-CN"/>
        </w:rPr>
      </w:pPr>
      <w:r>
        <w:rPr>
          <w:rFonts w:hint="eastAsia"/>
          <w:highlight w:val="none"/>
          <w:lang w:val="en-US" w:eastAsia="zh-CN"/>
        </w:rPr>
        <w:t>②回采顺序</w:t>
      </w:r>
    </w:p>
    <w:p w14:paraId="039273B3">
      <w:pPr>
        <w:pStyle w:val="22"/>
        <w:bidi w:val="0"/>
        <w:rPr>
          <w:rFonts w:hint="default"/>
          <w:highlight w:val="none"/>
          <w:lang w:val="en-US" w:eastAsia="zh-CN"/>
        </w:rPr>
      </w:pPr>
      <w:r>
        <w:rPr>
          <w:rFonts w:hint="eastAsia"/>
          <w:highlight w:val="none"/>
          <w:lang w:val="en-US" w:eastAsia="zh-CN"/>
        </w:rPr>
        <w:t>《可研报告》明确</w:t>
      </w:r>
      <w:r>
        <w:rPr>
          <w:rFonts w:hint="default"/>
          <w:highlight w:val="none"/>
          <w:lang w:val="en-US" w:eastAsia="zh-CN"/>
        </w:rPr>
        <w:t>根据开拓系统布置，矿体自上而下按中段依次开采；由回风侧向入风侧后退式回采；矿体间先开采上盘矿体，再开采下盘矿体。</w:t>
      </w:r>
    </w:p>
    <w:p w14:paraId="4B6AC39A">
      <w:pPr>
        <w:pStyle w:val="22"/>
        <w:bidi w:val="0"/>
        <w:rPr>
          <w:rFonts w:hint="eastAsia"/>
          <w:highlight w:val="none"/>
          <w:lang w:val="en-US" w:eastAsia="zh-CN"/>
        </w:rPr>
      </w:pPr>
      <w:r>
        <w:rPr>
          <w:rFonts w:hint="eastAsia"/>
          <w:highlight w:val="none"/>
          <w:lang w:val="en-US" w:eastAsia="zh-CN"/>
        </w:rPr>
        <w:t>③采场结构参数</w:t>
      </w:r>
    </w:p>
    <w:p w14:paraId="329D9F13">
      <w:pPr>
        <w:pStyle w:val="22"/>
        <w:bidi w:val="0"/>
        <w:rPr>
          <w:rFonts w:hint="default"/>
          <w:highlight w:val="none"/>
          <w:lang w:val="en-US" w:eastAsia="zh-CN"/>
        </w:rPr>
      </w:pPr>
      <w:r>
        <w:rPr>
          <w:rFonts w:hint="eastAsia"/>
          <w:highlight w:val="none"/>
          <w:lang w:val="en-US" w:eastAsia="zh-CN"/>
        </w:rPr>
        <w:t>《可研报告》</w:t>
      </w:r>
      <w:r>
        <w:rPr>
          <w:rFonts w:hint="default"/>
          <w:highlight w:val="none"/>
          <w:lang w:val="en-US" w:eastAsia="zh-CN"/>
        </w:rPr>
        <w:t>设计采用浅孔留矿嗣后废石充填采矿法</w:t>
      </w:r>
      <w:r>
        <w:rPr>
          <w:rFonts w:hint="eastAsia"/>
          <w:highlight w:val="none"/>
          <w:lang w:val="en-US" w:eastAsia="zh-CN"/>
        </w:rPr>
        <w:t>和分段空场嗣后充填采矿法回采工艺。明确</w:t>
      </w:r>
      <w:r>
        <w:rPr>
          <w:rFonts w:hint="default"/>
          <w:highlight w:val="none"/>
          <w:lang w:val="en-US" w:eastAsia="zh-CN"/>
        </w:rPr>
        <w:t>浅孔留矿嗣后废石充填采矿法</w:t>
      </w:r>
      <w:r>
        <w:rPr>
          <w:rFonts w:hint="eastAsia"/>
          <w:highlight w:val="none"/>
          <w:lang w:val="en-US" w:eastAsia="zh-CN"/>
        </w:rPr>
        <w:t>矿块矿块沿走向布置，矿块长50m，矿块高30m～45m，矿块宽为矿体厚度，间柱6m，顶柱3m，装矿横巷间距为6m。采用平底结构，装载机装矿。两矿块间以采准天井相隔，天井供行人、通风</w:t>
      </w:r>
      <w:r>
        <w:rPr>
          <w:rFonts w:hint="default"/>
          <w:highlight w:val="none"/>
          <w:lang w:val="en-US" w:eastAsia="zh-CN"/>
        </w:rPr>
        <w:t>。</w:t>
      </w:r>
    </w:p>
    <w:p w14:paraId="27653FE3">
      <w:pPr>
        <w:pStyle w:val="22"/>
        <w:bidi w:val="0"/>
        <w:rPr>
          <w:rFonts w:hint="eastAsia"/>
          <w:highlight w:val="none"/>
          <w:lang w:eastAsia="zh-CN"/>
        </w:rPr>
      </w:pPr>
      <w:r>
        <w:rPr>
          <w:rFonts w:hint="eastAsia"/>
          <w:highlight w:val="none"/>
          <w:lang w:val="en-US" w:eastAsia="zh-CN"/>
        </w:rPr>
        <w:t>明确沿走向分段空场嗣后充填采矿法回采工艺，</w:t>
      </w:r>
      <w:r>
        <w:rPr>
          <w:rFonts w:hint="eastAsia"/>
          <w:highlight w:val="none"/>
        </w:rPr>
        <w:t>矿块沿矿体走向布置，阶段高30m～45m，矿块长50m，宽为矿体厚，间柱宽度8m，顶柱高度3m，分段高度10m，采用平底结构，装载机装矿。每个矿块沿倾斜下行回采。倾斜方向为2个分段</w:t>
      </w:r>
      <w:r>
        <w:rPr>
          <w:rFonts w:hint="eastAsia"/>
          <w:highlight w:val="none"/>
          <w:lang w:eastAsia="zh-CN"/>
        </w:rPr>
        <w:t>。</w:t>
      </w:r>
    </w:p>
    <w:p w14:paraId="1BCCD895">
      <w:pPr>
        <w:pStyle w:val="22"/>
        <w:bidi w:val="0"/>
        <w:rPr>
          <w:rFonts w:hint="default"/>
          <w:highlight w:val="none"/>
          <w:lang w:val="en-US" w:eastAsia="zh-CN"/>
        </w:rPr>
      </w:pPr>
      <w:r>
        <w:rPr>
          <w:rFonts w:hint="eastAsia"/>
          <w:highlight w:val="none"/>
          <w:lang w:val="en-US" w:eastAsia="zh-CN"/>
        </w:rPr>
        <w:t>明确垂直走向分段空场嗣后充填采矿法，垂直矿体走向布置，阶段高30m～45m，矿块长25m，宽为矿体厚，间柱宽度10m，顶柱高度3m，分段高度10m，采用平底结构，装载机装矿。每个矿块沿倾斜下行回采。倾斜方向为2个分段。</w:t>
      </w:r>
    </w:p>
    <w:p w14:paraId="04E1B0EC">
      <w:pPr>
        <w:pStyle w:val="22"/>
        <w:bidi w:val="0"/>
        <w:rPr>
          <w:rFonts w:hint="default"/>
          <w:highlight w:val="none"/>
          <w:lang w:val="en-US" w:eastAsia="zh-CN"/>
        </w:rPr>
      </w:pPr>
      <w:r>
        <w:rPr>
          <w:rFonts w:hint="eastAsia"/>
          <w:highlight w:val="none"/>
          <w:lang w:val="en-US" w:eastAsia="zh-CN"/>
        </w:rPr>
        <w:t>④充填工艺</w:t>
      </w:r>
    </w:p>
    <w:p w14:paraId="4CDA06F1">
      <w:pPr>
        <w:pStyle w:val="22"/>
        <w:bidi w:val="0"/>
        <w:rPr>
          <w:rFonts w:hint="default"/>
          <w:highlight w:val="none"/>
          <w:lang w:val="en-US" w:eastAsia="zh-CN"/>
        </w:rPr>
      </w:pPr>
      <w:r>
        <w:rPr>
          <w:rFonts w:hint="default"/>
          <w:highlight w:val="none"/>
          <w:lang w:val="en-US" w:eastAsia="zh-CN"/>
        </w:rPr>
        <w:t>矿房开采结束后，不进行矿柱回收，立即对采空区进行干式充填，设计要求于上部回风巷道施工废石充填井，充填井规格为1.5×2.5m，设计要求采场充填率不小于65％。</w:t>
      </w:r>
    </w:p>
    <w:p w14:paraId="5F8D2654">
      <w:pPr>
        <w:pStyle w:val="22"/>
        <w:bidi w:val="0"/>
        <w:rPr>
          <w:highlight w:val="none"/>
        </w:rPr>
      </w:pPr>
      <w:r>
        <w:rPr>
          <w:rFonts w:hint="default"/>
          <w:highlight w:val="none"/>
          <w:lang w:val="en-US" w:eastAsia="zh-CN"/>
        </w:rPr>
        <w:t>各采空区处理结束后应及时封闭，通往采空区的巷道进行封堵，封堵墙采用浆砌石结构，密闭厚度1.6m，混凝土抹缝，混凝土强度等级C20，挡墙上留孔径0.3m的观测孔，同时距密闭底部0.3m高度预留两个φ150mm的泄水孔。</w:t>
      </w:r>
    </w:p>
    <w:p w14:paraId="0E5ECBEB">
      <w:pPr>
        <w:pStyle w:val="22"/>
        <w:bidi w:val="0"/>
        <w:rPr>
          <w:rFonts w:hint="eastAsia"/>
          <w:highlight w:val="none"/>
        </w:rPr>
      </w:pPr>
      <w:r>
        <w:rPr>
          <w:rFonts w:hint="eastAsia"/>
          <w:highlight w:val="none"/>
          <w:lang w:val="en-US" w:eastAsia="zh-CN"/>
        </w:rPr>
        <w:t>④</w:t>
      </w:r>
      <w:r>
        <w:rPr>
          <w:rFonts w:hint="eastAsia"/>
          <w:highlight w:val="none"/>
        </w:rPr>
        <w:t>采空区处理措施安全可靠性评价</w:t>
      </w:r>
    </w:p>
    <w:p w14:paraId="7269EACB">
      <w:pPr>
        <w:pStyle w:val="22"/>
        <w:bidi w:val="0"/>
        <w:rPr>
          <w:rFonts w:hint="default"/>
          <w:b/>
          <w:bCs/>
          <w:highlight w:val="none"/>
          <w:lang w:val="en-US" w:eastAsia="zh-CN"/>
        </w:rPr>
      </w:pPr>
      <w:r>
        <w:rPr>
          <w:rFonts w:hint="default"/>
          <w:b/>
          <w:bCs/>
          <w:highlight w:val="none"/>
          <w:lang w:val="en-US" w:eastAsia="zh-CN"/>
        </w:rPr>
        <w:t>原有采空区：</w:t>
      </w:r>
    </w:p>
    <w:p w14:paraId="6E7DA644">
      <w:pPr>
        <w:pStyle w:val="22"/>
        <w:bidi w:val="0"/>
        <w:rPr>
          <w:rFonts w:hint="default"/>
          <w:highlight w:val="none"/>
          <w:lang w:val="en-US" w:eastAsia="zh-CN"/>
        </w:rPr>
      </w:pPr>
      <w:r>
        <w:rPr>
          <w:rFonts w:hint="eastAsia"/>
          <w:highlight w:val="none"/>
          <w:lang w:val="en-US" w:eastAsia="zh-CN"/>
        </w:rPr>
        <w:t>矿山现已形成208m、168m、144m、138m四个中段。208m中段现已形成3处采空区，168m中段现已形成4处采空区，144m中段无采空区，138m中段现已形成3处采空区，原有采空区无积水，且已进行封闭。</w:t>
      </w:r>
    </w:p>
    <w:p w14:paraId="112FAB01">
      <w:pPr>
        <w:pStyle w:val="22"/>
        <w:bidi w:val="0"/>
        <w:rPr>
          <w:rFonts w:hint="default"/>
          <w:b/>
          <w:bCs/>
          <w:highlight w:val="none"/>
          <w:lang w:val="en-US" w:eastAsia="zh-CN"/>
        </w:rPr>
      </w:pPr>
      <w:r>
        <w:rPr>
          <w:rFonts w:hint="default"/>
          <w:b/>
          <w:bCs/>
          <w:highlight w:val="none"/>
          <w:lang w:val="en-US" w:eastAsia="zh-CN"/>
        </w:rPr>
        <w:t>新形成采空区：</w:t>
      </w:r>
    </w:p>
    <w:p w14:paraId="39B1F36F">
      <w:pPr>
        <w:pStyle w:val="22"/>
        <w:bidi w:val="0"/>
        <w:rPr>
          <w:rFonts w:hint="default"/>
          <w:highlight w:val="none"/>
          <w:lang w:val="en-US" w:eastAsia="zh-CN"/>
        </w:rPr>
      </w:pPr>
      <w:r>
        <w:rPr>
          <w:rFonts w:hint="default"/>
          <w:highlight w:val="none"/>
          <w:lang w:val="en-US" w:eastAsia="zh-CN"/>
        </w:rPr>
        <w:t>矿房开采结束后，不进行矿柱回收，立即对采空区进行干式充填，设计要求于上部回风巷道施工废石充填井，充填井规格为1.5×2.5m，设计要求采场充填率不小于65％。</w:t>
      </w:r>
    </w:p>
    <w:p w14:paraId="437D5BFF">
      <w:pPr>
        <w:pStyle w:val="22"/>
        <w:bidi w:val="0"/>
        <w:rPr>
          <w:rFonts w:hint="default"/>
          <w:highlight w:val="none"/>
          <w:lang w:val="en-US" w:eastAsia="zh-CN"/>
        </w:rPr>
      </w:pPr>
      <w:r>
        <w:rPr>
          <w:rFonts w:hint="default"/>
          <w:highlight w:val="none"/>
          <w:lang w:val="en-US" w:eastAsia="zh-CN"/>
        </w:rPr>
        <w:t>《可研报告》采空区处理方式为“充填”，符合《国家矿山安全监察局关于印发&lt;关于加强非煤矿山安全生产工作的指导意见&gt;的通知（矿安〔2022〕4号）》以及《中共中央办公厅 国务院办公厅关于进一步加强矿山安全生产工作的意见》要求，新建、改扩建金属非金属地下矿山原则上采用充填采矿法</w:t>
      </w:r>
      <w:r>
        <w:rPr>
          <w:rFonts w:hint="eastAsia"/>
          <w:highlight w:val="none"/>
          <w:lang w:val="en-US" w:eastAsia="zh-CN"/>
        </w:rPr>
        <w:t>的要求</w:t>
      </w:r>
      <w:r>
        <w:rPr>
          <w:rFonts w:hint="default"/>
          <w:highlight w:val="none"/>
          <w:lang w:val="en-US" w:eastAsia="zh-CN"/>
        </w:rPr>
        <w:t>。</w:t>
      </w:r>
    </w:p>
    <w:p w14:paraId="4BD3CE34">
      <w:pPr>
        <w:pStyle w:val="22"/>
        <w:bidi w:val="0"/>
        <w:rPr>
          <w:rFonts w:hint="eastAsia"/>
          <w:highlight w:val="none"/>
        </w:rPr>
      </w:pPr>
      <w:r>
        <w:rPr>
          <w:highlight w:val="none"/>
        </w:rPr>
        <w:t>建设单位在以后施工及生产中，若严格按照设计布置矿块参数</w:t>
      </w:r>
      <w:r>
        <w:rPr>
          <w:rFonts w:hint="eastAsia"/>
          <w:highlight w:val="none"/>
        </w:rPr>
        <w:t>和充填工作</w:t>
      </w:r>
      <w:r>
        <w:rPr>
          <w:highlight w:val="none"/>
        </w:rPr>
        <w:t>，严格按照</w:t>
      </w:r>
      <w:r>
        <w:rPr>
          <w:rFonts w:hint="eastAsia"/>
          <w:highlight w:val="none"/>
        </w:rPr>
        <w:t>《可研报告》提出的措施</w:t>
      </w:r>
      <w:r>
        <w:rPr>
          <w:highlight w:val="none"/>
        </w:rPr>
        <w:t>及时妥善的处理采空区，能够把采空区对采矿工作的影响控制在可接受范围内，而且可以较好的避免采空区地压灾害的发生。</w:t>
      </w:r>
    </w:p>
    <w:p w14:paraId="27469C2C">
      <w:pPr>
        <w:pStyle w:val="30"/>
        <w:bidi w:val="0"/>
        <w:rPr>
          <w:rFonts w:hint="default"/>
          <w:highlight w:val="none"/>
          <w:lang w:val="en-US" w:eastAsia="zh-CN"/>
        </w:rPr>
      </w:pPr>
      <w:r>
        <w:rPr>
          <w:rFonts w:hint="default"/>
          <w:highlight w:val="none"/>
          <w:lang w:val="en-US" w:eastAsia="zh-CN"/>
        </w:rPr>
        <w:t>评价结果小结</w:t>
      </w:r>
    </w:p>
    <w:p w14:paraId="09902E1D">
      <w:pPr>
        <w:pStyle w:val="22"/>
        <w:bidi w:val="0"/>
        <w:rPr>
          <w:rFonts w:hint="eastAsia"/>
          <w:highlight w:val="none"/>
        </w:rPr>
      </w:pPr>
      <w:r>
        <w:rPr>
          <w:rFonts w:hint="eastAsia"/>
          <w:highlight w:val="none"/>
        </w:rPr>
        <w:t>通过以上对采掘单元评价，建设单位只要严格落实可行性研究报告及本预评价提出的安全对策措施，则《可研报告》设计的采掘系统在安全上是合理可行的。</w:t>
      </w:r>
    </w:p>
    <w:p w14:paraId="2190459B">
      <w:pPr>
        <w:pStyle w:val="29"/>
        <w:bidi w:val="0"/>
        <w:rPr>
          <w:rFonts w:hint="default"/>
          <w:highlight w:val="none"/>
          <w:lang w:val="en-US" w:eastAsia="zh-CN"/>
        </w:rPr>
      </w:pPr>
      <w:bookmarkStart w:id="16" w:name="_Toc12758"/>
      <w:r>
        <w:rPr>
          <w:rFonts w:hint="eastAsia"/>
          <w:highlight w:val="none"/>
          <w:lang w:val="en-US" w:eastAsia="zh-CN"/>
        </w:rPr>
        <w:t>通风防尘评价</w:t>
      </w:r>
      <w:bookmarkEnd w:id="16"/>
    </w:p>
    <w:p w14:paraId="21D3672B">
      <w:pPr>
        <w:pStyle w:val="30"/>
        <w:rPr>
          <w:rFonts w:hint="default"/>
          <w:highlight w:val="none"/>
          <w:lang w:val="en-US" w:eastAsia="zh-CN"/>
        </w:rPr>
      </w:pPr>
      <w:r>
        <w:rPr>
          <w:rFonts w:hint="default"/>
          <w:highlight w:val="none"/>
          <w:lang w:val="en-US" w:eastAsia="zh-CN"/>
        </w:rPr>
        <w:t>危险、有害因素辨识</w:t>
      </w:r>
    </w:p>
    <w:p w14:paraId="4867C34E">
      <w:pPr>
        <w:snapToGrid w:val="0"/>
        <w:spacing w:line="360" w:lineRule="auto"/>
        <w:ind w:firstLine="560" w:firstLineChars="200"/>
        <w:jc w:val="left"/>
        <w:rPr>
          <w:rFonts w:ascii="Times New Roman" w:hAnsi="Times New Roman"/>
          <w:caps w:val="0"/>
          <w:smallCaps w:val="0"/>
          <w:color w:val="000000"/>
          <w:sz w:val="28"/>
          <w:szCs w:val="28"/>
          <w:highlight w:val="none"/>
        </w:rPr>
      </w:pPr>
      <w:r>
        <w:rPr>
          <w:rFonts w:ascii="Times New Roman" w:hAnsi="Times New Roman"/>
          <w:caps w:val="0"/>
          <w:smallCaps w:val="0"/>
          <w:color w:val="000000"/>
          <w:sz w:val="28"/>
          <w:szCs w:val="28"/>
          <w:highlight w:val="none"/>
        </w:rPr>
        <w:t>通风系统存在的主要危险有害因素有：中毒和窒息、机械伤害、粉尘危害等。</w:t>
      </w:r>
    </w:p>
    <w:p w14:paraId="65CB3C17">
      <w:pPr>
        <w:pStyle w:val="22"/>
        <w:numPr>
          <w:ilvl w:val="0"/>
          <w:numId w:val="52"/>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中毒和窒息</w:t>
      </w:r>
    </w:p>
    <w:p w14:paraId="4CD7D8DB">
      <w:pPr>
        <w:pStyle w:val="22"/>
        <w:bidi w:val="0"/>
        <w:rPr>
          <w:highlight w:val="none"/>
        </w:rPr>
      </w:pPr>
      <w:r>
        <w:rPr>
          <w:highlight w:val="none"/>
        </w:rPr>
        <w:t>矿山井下空气中的有害气体，主要指由爆破产生的一氧化碳、二氧化碳以及氮氧化物等有毒有害气体；井下可燃物燃烧产生的CO和其他有毒气体；地表柴油设备、运输车辆释放的有毒气体。少量的有毒气体主要刺激人的呼吸道系统、皮肤、眼睛等部位。大量的有毒气体会导致中毒窒息事故。</w:t>
      </w:r>
    </w:p>
    <w:p w14:paraId="3DD5A936">
      <w:pPr>
        <w:pStyle w:val="22"/>
        <w:numPr>
          <w:ilvl w:val="0"/>
          <w:numId w:val="52"/>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机械伤害</w:t>
      </w:r>
    </w:p>
    <w:p w14:paraId="0B6AD9EA">
      <w:pPr>
        <w:pStyle w:val="22"/>
        <w:bidi w:val="0"/>
        <w:rPr>
          <w:highlight w:val="none"/>
        </w:rPr>
      </w:pPr>
      <w:r>
        <w:rPr>
          <w:highlight w:val="none"/>
        </w:rPr>
        <w:t>机械伤害是指机械设备运动</w:t>
      </w:r>
      <w:r>
        <w:rPr>
          <w:rFonts w:hint="eastAsia"/>
          <w:highlight w:val="none"/>
        </w:rPr>
        <w:t>（</w:t>
      </w:r>
      <w:r>
        <w:rPr>
          <w:highlight w:val="none"/>
        </w:rPr>
        <w:t>静止</w:t>
      </w:r>
      <w:r>
        <w:rPr>
          <w:rFonts w:hint="eastAsia"/>
          <w:highlight w:val="none"/>
        </w:rPr>
        <w:t>）</w:t>
      </w:r>
      <w:r>
        <w:rPr>
          <w:highlight w:val="none"/>
        </w:rPr>
        <w:t>部件、工具、加工件直接与人体接触引起的夹击、碰撞、剪切、卷入、绞、碾、割、刺等伤害，不包括车辆、起重机械引起的机械伤害。</w:t>
      </w:r>
    </w:p>
    <w:p w14:paraId="429C7CC3">
      <w:pPr>
        <w:pStyle w:val="22"/>
        <w:bidi w:val="0"/>
        <w:rPr>
          <w:highlight w:val="none"/>
        </w:rPr>
      </w:pPr>
      <w:r>
        <w:rPr>
          <w:highlight w:val="none"/>
        </w:rPr>
        <w:t>该矿山通风机在使用和检修过程中存在着机械伤害的可能性，主要是由于人的违章指挥、违章操作造成的。常见的因素有：</w:t>
      </w:r>
    </w:p>
    <w:p w14:paraId="76BE97A2">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穿戴不符合安全规定的服装进行操作；</w:t>
      </w:r>
    </w:p>
    <w:p w14:paraId="79021CB9">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违章操作；</w:t>
      </w:r>
    </w:p>
    <w:p w14:paraId="4695BD78">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通风机安全防护装置缺乏或损坏、被拆除等，导致事故发生；</w:t>
      </w:r>
    </w:p>
    <w:p w14:paraId="17D823EE">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操作过程中衣物、头发、工具进入运转机械导致身体被运动机械拖带伤害；</w:t>
      </w:r>
    </w:p>
    <w:p w14:paraId="25670C13">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操作人员疏忽大意，身体进入机械危险部位；</w:t>
      </w:r>
    </w:p>
    <w:p w14:paraId="0BF90539">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在检修和正常工作时，机器突然被别人随意启动，导致事故发生；</w:t>
      </w:r>
    </w:p>
    <w:p w14:paraId="5D10F07B">
      <w:pPr>
        <w:pStyle w:val="22"/>
        <w:numPr>
          <w:ilvl w:val="0"/>
          <w:numId w:val="53"/>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安全管理上存在不足。</w:t>
      </w:r>
    </w:p>
    <w:p w14:paraId="5D2D12C6">
      <w:pPr>
        <w:pStyle w:val="22"/>
        <w:numPr>
          <w:ilvl w:val="0"/>
          <w:numId w:val="52"/>
        </w:numPr>
        <w:bidi w:val="0"/>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粉尘</w:t>
      </w:r>
    </w:p>
    <w:p w14:paraId="6A7BE47B">
      <w:pPr>
        <w:pStyle w:val="22"/>
        <w:bidi w:val="0"/>
        <w:rPr>
          <w:highlight w:val="none"/>
        </w:rPr>
      </w:pPr>
      <w:r>
        <w:rPr>
          <w:highlight w:val="none"/>
        </w:rP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6C39A8AF">
      <w:pPr>
        <w:pStyle w:val="22"/>
        <w:bidi w:val="0"/>
        <w:rPr>
          <w:highlight w:val="none"/>
        </w:rPr>
      </w:pPr>
      <w:r>
        <w:rPr>
          <w:highlight w:val="none"/>
        </w:rPr>
        <w:t>该项目的粉尘主要来源于：矿岩转运作业等过程，产生大量有害的粉尘，凿岩爆破产生大量的粉尘，如井下通风不良或通风质量达不到要求，易造成粉尘危害。井下主要产尘点分布在采掘工作面、回风道、装矿（废）石巷道、卸矿漏斗等处。</w:t>
      </w:r>
    </w:p>
    <w:p w14:paraId="7EE852CC">
      <w:pPr>
        <w:pStyle w:val="30"/>
        <w:bidi w:val="0"/>
        <w:rPr>
          <w:rFonts w:hint="eastAsia"/>
          <w:highlight w:val="none"/>
        </w:rPr>
      </w:pPr>
      <w:r>
        <w:rPr>
          <w:rFonts w:hint="eastAsia"/>
          <w:highlight w:val="none"/>
        </w:rPr>
        <w:t>安全分析及符合性评价</w:t>
      </w:r>
    </w:p>
    <w:p w14:paraId="1A702A28">
      <w:pPr>
        <w:pStyle w:val="22"/>
        <w:numPr>
          <w:ilvl w:val="0"/>
          <w:numId w:val="54"/>
        </w:numPr>
        <w:bidi w:val="0"/>
        <w:rPr>
          <w:highlight w:val="none"/>
        </w:rPr>
      </w:pPr>
      <w:r>
        <w:rPr>
          <w:rFonts w:hint="eastAsia"/>
          <w:highlight w:val="none"/>
        </w:rPr>
        <w:t>预先危险性分析法评价</w:t>
      </w:r>
    </w:p>
    <w:p w14:paraId="54EA00D9">
      <w:pPr>
        <w:pStyle w:val="31"/>
        <w:bidi w:val="0"/>
        <w:rPr>
          <w:rFonts w:hint="eastAsia"/>
          <w:highlight w:val="none"/>
        </w:rPr>
      </w:pPr>
      <w:r>
        <w:rPr>
          <w:rFonts w:hint="eastAsia"/>
          <w:highlight w:val="none"/>
        </w:rPr>
        <w:t>表3.5-1  通风防尘单元预先危险性分析表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51"/>
        <w:gridCol w:w="843"/>
        <w:gridCol w:w="1706"/>
        <w:gridCol w:w="1367"/>
        <w:gridCol w:w="1706"/>
        <w:gridCol w:w="886"/>
        <w:gridCol w:w="552"/>
        <w:gridCol w:w="1790"/>
      </w:tblGrid>
      <w:tr w14:paraId="020C89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5E2C7209">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潜在事故</w:t>
            </w:r>
          </w:p>
        </w:tc>
        <w:tc>
          <w:tcPr>
            <w:tcW w:w="0" w:type="auto"/>
            <w:noWrap w:val="0"/>
            <w:vAlign w:val="center"/>
          </w:tcPr>
          <w:p w14:paraId="7CFC12CD">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危险因素</w:t>
            </w:r>
          </w:p>
        </w:tc>
        <w:tc>
          <w:tcPr>
            <w:tcW w:w="0" w:type="auto"/>
            <w:noWrap w:val="0"/>
            <w:vAlign w:val="center"/>
          </w:tcPr>
          <w:p w14:paraId="6B071DB2">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触发条件（1）</w:t>
            </w:r>
          </w:p>
        </w:tc>
        <w:tc>
          <w:tcPr>
            <w:tcW w:w="0" w:type="auto"/>
            <w:noWrap w:val="0"/>
            <w:vAlign w:val="center"/>
          </w:tcPr>
          <w:p w14:paraId="1B9BF4A4">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发生</w:t>
            </w:r>
          </w:p>
          <w:p w14:paraId="5A4CA919">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条件</w:t>
            </w:r>
          </w:p>
        </w:tc>
        <w:tc>
          <w:tcPr>
            <w:tcW w:w="0" w:type="auto"/>
            <w:noWrap w:val="0"/>
            <w:vAlign w:val="center"/>
          </w:tcPr>
          <w:p w14:paraId="0BCD0E8B">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触发条件（2）</w:t>
            </w:r>
          </w:p>
        </w:tc>
        <w:tc>
          <w:tcPr>
            <w:tcW w:w="0" w:type="auto"/>
            <w:noWrap w:val="0"/>
            <w:vAlign w:val="center"/>
          </w:tcPr>
          <w:p w14:paraId="6F821724">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w:t>
            </w:r>
          </w:p>
          <w:p w14:paraId="62499FAB">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后果</w:t>
            </w:r>
          </w:p>
        </w:tc>
        <w:tc>
          <w:tcPr>
            <w:tcW w:w="0" w:type="auto"/>
            <w:noWrap w:val="0"/>
            <w:vAlign w:val="center"/>
          </w:tcPr>
          <w:p w14:paraId="74E963D3">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危险等级</w:t>
            </w:r>
          </w:p>
        </w:tc>
        <w:tc>
          <w:tcPr>
            <w:tcW w:w="0" w:type="auto"/>
            <w:noWrap w:val="0"/>
            <w:vAlign w:val="center"/>
          </w:tcPr>
          <w:p w14:paraId="1C893480">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防范措施</w:t>
            </w:r>
          </w:p>
        </w:tc>
      </w:tr>
      <w:tr w14:paraId="059E2C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70EBF10">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中毒窒息</w:t>
            </w:r>
          </w:p>
        </w:tc>
        <w:tc>
          <w:tcPr>
            <w:tcW w:w="0" w:type="auto"/>
            <w:noWrap w:val="0"/>
            <w:vAlign w:val="center"/>
          </w:tcPr>
          <w:p w14:paraId="152C95DE">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有害有毒气体</w:t>
            </w:r>
          </w:p>
        </w:tc>
        <w:tc>
          <w:tcPr>
            <w:tcW w:w="0" w:type="auto"/>
            <w:noWrap w:val="0"/>
            <w:vAlign w:val="center"/>
          </w:tcPr>
          <w:p w14:paraId="7BE7755B">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没有完善的通风系统</w:t>
            </w:r>
          </w:p>
          <w:p w14:paraId="5E87A3B8">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没有在采切工作面和独头巷道配备局扇</w:t>
            </w:r>
          </w:p>
          <w:p w14:paraId="5CCBA628">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没有配备主扇</w:t>
            </w:r>
          </w:p>
        </w:tc>
        <w:tc>
          <w:tcPr>
            <w:tcW w:w="0" w:type="auto"/>
            <w:noWrap w:val="0"/>
            <w:vAlign w:val="center"/>
          </w:tcPr>
          <w:p w14:paraId="6A8CDB3E">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人员处于于有害有毒气体场所中</w:t>
            </w:r>
          </w:p>
        </w:tc>
        <w:tc>
          <w:tcPr>
            <w:tcW w:w="0" w:type="auto"/>
            <w:noWrap w:val="0"/>
            <w:vAlign w:val="center"/>
          </w:tcPr>
          <w:p w14:paraId="28CFFAEB">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进入独头巷道前没有进行通风</w:t>
            </w:r>
          </w:p>
          <w:p w14:paraId="1BEDEFA2">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爆破后过早进入工作面</w:t>
            </w:r>
          </w:p>
          <w:p w14:paraId="4CFFEB5D">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爆破后没有经过通风</w:t>
            </w:r>
          </w:p>
          <w:p w14:paraId="00679D2F">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人员误入长期不通风的废弃井巷和空区</w:t>
            </w:r>
          </w:p>
        </w:tc>
        <w:tc>
          <w:tcPr>
            <w:tcW w:w="0" w:type="auto"/>
            <w:noWrap w:val="0"/>
            <w:vAlign w:val="center"/>
          </w:tcPr>
          <w:p w14:paraId="537FD2D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人员伤亡</w:t>
            </w:r>
          </w:p>
        </w:tc>
        <w:tc>
          <w:tcPr>
            <w:tcW w:w="0" w:type="auto"/>
            <w:noWrap w:val="0"/>
            <w:vAlign w:val="center"/>
          </w:tcPr>
          <w:p w14:paraId="25AE9A9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Ⅲ级</w:t>
            </w:r>
          </w:p>
        </w:tc>
        <w:tc>
          <w:tcPr>
            <w:tcW w:w="0" w:type="auto"/>
            <w:noWrap w:val="0"/>
            <w:vAlign w:val="center"/>
          </w:tcPr>
          <w:p w14:paraId="21B379BC">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设计完善的通风系统</w:t>
            </w:r>
          </w:p>
          <w:p w14:paraId="636F0D76">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主扇的供风要满足风量和风压的需要</w:t>
            </w:r>
          </w:p>
          <w:p w14:paraId="5B9F06D0">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严禁随意停开主扇</w:t>
            </w:r>
          </w:p>
          <w:p w14:paraId="5EB2F5E2">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配备足够的局部通风机</w:t>
            </w:r>
          </w:p>
          <w:p w14:paraId="6DBE72E6">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爆破后要进行充分的通风后方可进入工作面</w:t>
            </w:r>
          </w:p>
        </w:tc>
      </w:tr>
      <w:tr w14:paraId="54125E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2AFEB6C">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粉尘危害</w:t>
            </w:r>
          </w:p>
        </w:tc>
        <w:tc>
          <w:tcPr>
            <w:tcW w:w="0" w:type="auto"/>
            <w:noWrap w:val="0"/>
            <w:vAlign w:val="center"/>
          </w:tcPr>
          <w:p w14:paraId="06E57DEC">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生产工艺过程产生的粉尘</w:t>
            </w:r>
          </w:p>
        </w:tc>
        <w:tc>
          <w:tcPr>
            <w:tcW w:w="0" w:type="auto"/>
            <w:noWrap w:val="0"/>
            <w:vAlign w:val="center"/>
          </w:tcPr>
          <w:p w14:paraId="354687F4">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凿岩过程</w:t>
            </w:r>
          </w:p>
          <w:p w14:paraId="38548949">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爆破过程</w:t>
            </w:r>
          </w:p>
          <w:p w14:paraId="08816D80">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运输过程</w:t>
            </w:r>
          </w:p>
        </w:tc>
        <w:tc>
          <w:tcPr>
            <w:tcW w:w="0" w:type="auto"/>
            <w:noWrap w:val="0"/>
            <w:vAlign w:val="center"/>
          </w:tcPr>
          <w:p w14:paraId="13F93DC7">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（1）缺乏个体防护用品（如防尘口罩）</w:t>
            </w:r>
          </w:p>
          <w:p w14:paraId="34D45476">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（2）除尘设备运行故障</w:t>
            </w:r>
          </w:p>
        </w:tc>
        <w:tc>
          <w:tcPr>
            <w:tcW w:w="0" w:type="auto"/>
            <w:noWrap w:val="0"/>
            <w:vAlign w:val="center"/>
          </w:tcPr>
          <w:p w14:paraId="5017CFD6">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（1）操作不当</w:t>
            </w:r>
          </w:p>
          <w:p w14:paraId="730BA949">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（2）除尘设备维护不及时、维修不及时</w:t>
            </w:r>
          </w:p>
          <w:p w14:paraId="6F0DAC32">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（3）清灰不及时，二次扬尘个体防护不好</w:t>
            </w:r>
          </w:p>
        </w:tc>
        <w:tc>
          <w:tcPr>
            <w:tcW w:w="0" w:type="auto"/>
            <w:noWrap w:val="0"/>
            <w:vAlign w:val="center"/>
          </w:tcPr>
          <w:p w14:paraId="5EFC04BF">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职业病，如尘肺病</w:t>
            </w:r>
          </w:p>
        </w:tc>
        <w:tc>
          <w:tcPr>
            <w:tcW w:w="0" w:type="auto"/>
            <w:noWrap w:val="0"/>
            <w:vAlign w:val="center"/>
          </w:tcPr>
          <w:p w14:paraId="4CD0585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Ⅱ级</w:t>
            </w:r>
          </w:p>
        </w:tc>
        <w:tc>
          <w:tcPr>
            <w:tcW w:w="0" w:type="auto"/>
            <w:noWrap w:val="0"/>
            <w:vAlign w:val="center"/>
          </w:tcPr>
          <w:p w14:paraId="7CBD9E59">
            <w:pPr>
              <w:numPr>
                <w:ilvl w:val="0"/>
                <w:numId w:val="59"/>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选用优质高效的除尘设备</w:t>
            </w:r>
          </w:p>
          <w:p w14:paraId="7B636D85">
            <w:pPr>
              <w:numPr>
                <w:ilvl w:val="0"/>
                <w:numId w:val="59"/>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要及时维护保养好除尘设备及时更换滤袋</w:t>
            </w:r>
          </w:p>
          <w:p w14:paraId="62A6C9A9">
            <w:pPr>
              <w:numPr>
                <w:ilvl w:val="0"/>
                <w:numId w:val="59"/>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及时清灰防止二次扬尘</w:t>
            </w:r>
          </w:p>
          <w:p w14:paraId="513924DF">
            <w:pPr>
              <w:numPr>
                <w:ilvl w:val="0"/>
                <w:numId w:val="59"/>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培训、学习有关防尘知识提高防护水平</w:t>
            </w:r>
          </w:p>
        </w:tc>
      </w:tr>
    </w:tbl>
    <w:p w14:paraId="150A950B">
      <w:pPr>
        <w:pStyle w:val="22"/>
        <w:bidi w:val="0"/>
        <w:rPr>
          <w:highlight w:val="none"/>
        </w:rPr>
      </w:pPr>
      <w:r>
        <w:rPr>
          <w:rFonts w:hint="eastAsia"/>
          <w:highlight w:val="none"/>
        </w:rPr>
        <w:t>由于通风系统的不完善造成中毒窒息事故，在地下矿山是比较常见的，其危险程度是“危险的”，必须立即采取重点安全防范措施。</w:t>
      </w:r>
    </w:p>
    <w:p w14:paraId="3F8DF06F">
      <w:pPr>
        <w:pStyle w:val="22"/>
        <w:numPr>
          <w:ilvl w:val="0"/>
          <w:numId w:val="54"/>
        </w:numPr>
        <w:bidi w:val="0"/>
        <w:rPr>
          <w:rFonts w:hint="eastAsia"/>
          <w:highlight w:val="none"/>
        </w:rPr>
      </w:pPr>
      <w:bookmarkStart w:id="17" w:name="_Toc406688044"/>
      <w:bookmarkStart w:id="18" w:name="_Toc331618241"/>
      <w:r>
        <w:rPr>
          <w:rFonts w:hint="eastAsia"/>
          <w:highlight w:val="none"/>
        </w:rPr>
        <w:t>专家评议法评价</w:t>
      </w:r>
      <w:bookmarkEnd w:id="17"/>
      <w:bookmarkEnd w:id="18"/>
    </w:p>
    <w:p w14:paraId="7D3B0ABF">
      <w:pPr>
        <w:pStyle w:val="22"/>
        <w:bidi w:val="0"/>
        <w:rPr>
          <w:rFonts w:hint="eastAsia"/>
          <w:highlight w:val="none"/>
        </w:rPr>
      </w:pPr>
      <w:r>
        <w:rPr>
          <w:rFonts w:hint="eastAsia"/>
          <w:highlight w:val="none"/>
        </w:rPr>
        <w:t>《可研报告》明确矿井通风采用对角抽出式通风系统。风机室设在回风井井口。《可研报告》</w:t>
      </w:r>
      <w:r>
        <w:rPr>
          <w:highlight w:val="none"/>
        </w:rPr>
        <w:t>根据计算的风量、风压</w:t>
      </w:r>
      <w:r>
        <w:rPr>
          <w:rFonts w:hint="eastAsia"/>
          <w:highlight w:val="none"/>
          <w:lang w:eastAsia="zh-CN"/>
        </w:rPr>
        <w:t>，</w:t>
      </w:r>
      <w:r>
        <w:rPr>
          <w:rFonts w:hint="eastAsia" w:cs="仿宋"/>
          <w:caps w:val="0"/>
          <w:smallCaps w:val="0"/>
          <w:color w:val="auto"/>
          <w:szCs w:val="28"/>
          <w:highlight w:val="none"/>
          <w:lang w:val="en-US" w:eastAsia="zh-CN"/>
        </w:rPr>
        <w:t>选择FKCDZ№19/2×132轴流式变频风机1台（具有矿用安全标志）。风量37.0～88.6m³/s，负压614～2711Pa，配套电机功率2×132kW，转速980r/min，电压380V。可反转反风，反风率不小于60%，主扇配置一台备用电机</w:t>
      </w:r>
      <w:r>
        <w:rPr>
          <w:rFonts w:hint="eastAsia"/>
          <w:highlight w:val="none"/>
          <w:lang w:eastAsia="zh-CN"/>
        </w:rPr>
        <w:t>。</w:t>
      </w:r>
    </w:p>
    <w:p w14:paraId="65B76F66">
      <w:pPr>
        <w:pStyle w:val="22"/>
        <w:bidi w:val="0"/>
        <w:rPr>
          <w:rFonts w:hint="default"/>
          <w:highlight w:val="none"/>
          <w:lang w:val="en-US" w:eastAsia="zh-CN"/>
        </w:rPr>
      </w:pPr>
      <w:r>
        <w:rPr>
          <w:rFonts w:hint="eastAsia"/>
          <w:highlight w:val="none"/>
          <w:lang w:val="en-US" w:eastAsia="zh-CN"/>
        </w:rPr>
        <w:t>1、风量验算</w:t>
      </w:r>
    </w:p>
    <w:p w14:paraId="3B0020E2">
      <w:pPr>
        <w:pStyle w:val="22"/>
        <w:bidi w:val="0"/>
        <w:rPr>
          <w:rFonts w:hint="eastAsia"/>
          <w:highlight w:val="none"/>
          <w:lang w:eastAsia="zh-CN"/>
        </w:rPr>
      </w:pPr>
      <w:r>
        <w:rPr>
          <w:rFonts w:hint="eastAsia"/>
          <w:highlight w:val="none"/>
          <w:lang w:val="en-US" w:eastAsia="zh-CN"/>
        </w:rPr>
        <w:t>《可研报告》分别按排尘风速要求计算矿井需风量、</w:t>
      </w:r>
      <w:r>
        <w:rPr>
          <w:rFonts w:hint="eastAsia"/>
          <w:highlight w:val="none"/>
        </w:rPr>
        <w:t>按井下最大同时作业人数计算总需风量</w:t>
      </w:r>
      <w:r>
        <w:rPr>
          <w:rFonts w:hint="eastAsia"/>
          <w:highlight w:val="none"/>
          <w:lang w:eastAsia="zh-CN"/>
        </w:rPr>
        <w:t>、</w:t>
      </w:r>
      <w:r>
        <w:rPr>
          <w:rFonts w:hint="eastAsia"/>
          <w:highlight w:val="none"/>
          <w:lang w:val="en-US" w:eastAsia="zh-CN"/>
        </w:rPr>
        <w:t>按柴油设备计算需风量，计算需风量结果分别为41.4m³/s、1.8</w:t>
      </w:r>
      <w:r>
        <w:rPr>
          <w:rFonts w:hint="default"/>
          <w:highlight w:val="none"/>
          <w:lang w:val="en-US" w:eastAsia="zh-CN"/>
        </w:rPr>
        <w:t>m³/s</w:t>
      </w:r>
      <w:r>
        <w:rPr>
          <w:rFonts w:hint="eastAsia"/>
          <w:highlight w:val="none"/>
          <w:lang w:val="en-US" w:eastAsia="zh-CN"/>
        </w:rPr>
        <w:t>、54.1</w:t>
      </w:r>
      <w:r>
        <w:rPr>
          <w:rFonts w:hint="default"/>
          <w:highlight w:val="none"/>
          <w:lang w:val="en-US" w:eastAsia="zh-CN"/>
        </w:rPr>
        <w:t>m³/s</w:t>
      </w:r>
      <w:r>
        <w:rPr>
          <w:rFonts w:hint="eastAsia"/>
          <w:highlight w:val="none"/>
          <w:lang w:val="en-US" w:eastAsia="zh-CN"/>
        </w:rPr>
        <w:t>。因此，井下需风量取最大值54.1m³/s</w:t>
      </w:r>
      <w:r>
        <w:rPr>
          <w:rFonts w:hint="eastAsia"/>
          <w:highlight w:val="none"/>
          <w:lang w:eastAsia="zh-CN"/>
        </w:rPr>
        <w:t>。</w:t>
      </w:r>
    </w:p>
    <w:p w14:paraId="425AB79A">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highlight w:val="none"/>
          <w:lang w:val="en-US" w:eastAsia="zh-CN"/>
        </w:rPr>
      </w:pPr>
      <w:r>
        <w:rPr>
          <w:rFonts w:hint="eastAsia"/>
          <w:highlight w:val="none"/>
          <w:lang w:val="en-US" w:eastAsia="zh-CN"/>
        </w:rPr>
        <w:t>2、通风能力核定</w:t>
      </w:r>
    </w:p>
    <w:p w14:paraId="2E8FEB99">
      <w:pPr>
        <w:pStyle w:val="22"/>
        <w:bidi w:val="0"/>
        <w:rPr>
          <w:rFonts w:hint="eastAsia"/>
          <w:highlight w:val="none"/>
          <w:lang w:val="en-US" w:eastAsia="zh-CN"/>
        </w:rPr>
      </w:pPr>
      <w:r>
        <w:rPr>
          <w:rFonts w:hint="eastAsia"/>
          <w:highlight w:val="none"/>
          <w:lang w:val="en-US" w:eastAsia="zh-CN"/>
        </w:rPr>
        <w:t>《可研报告》对矿井通风总阻力计算是按通风最困难时期为准进行计算。由于采区出风井和进风井高差相差均不大，自然风压很小，因此设计通风阻力计算不考虑自然风压的影响。经计算，回风竖井通风容易时期负压为312.57Pa，通风困难时期负压为1358.58Pa。</w:t>
      </w:r>
    </w:p>
    <w:p w14:paraId="44756229">
      <w:pPr>
        <w:pStyle w:val="22"/>
        <w:bidi w:val="0"/>
        <w:rPr>
          <w:rFonts w:hint="default"/>
          <w:highlight w:val="none"/>
          <w:lang w:val="en-US" w:eastAsia="zh-CN"/>
        </w:rPr>
      </w:pPr>
      <w:r>
        <w:rPr>
          <w:rFonts w:hint="eastAsia"/>
          <w:highlight w:val="none"/>
          <w:lang w:val="en-US" w:eastAsia="zh-CN"/>
        </w:rPr>
        <w:t>《可研报告》对矿井等积孔及通风阻力进行计算，计算结果为1.75，小于于2，且通风困难时期风阻0.054，小于0.354，所以该矿山为通风阻力为中等等级。</w:t>
      </w:r>
    </w:p>
    <w:p w14:paraId="5FEA5C73">
      <w:pPr>
        <w:pStyle w:val="22"/>
        <w:bidi w:val="0"/>
        <w:rPr>
          <w:rFonts w:hint="eastAsia"/>
          <w:highlight w:val="none"/>
        </w:rPr>
      </w:pPr>
      <w:r>
        <w:rPr>
          <w:rFonts w:hint="eastAsia"/>
          <w:highlight w:val="none"/>
        </w:rPr>
        <w:t>根据上述计算结果，《可研报告》选取通风机的风压、风量均能够满足要求。</w:t>
      </w:r>
    </w:p>
    <w:p w14:paraId="6E6A31FA">
      <w:pPr>
        <w:pStyle w:val="22"/>
        <w:bidi w:val="0"/>
        <w:rPr>
          <w:rFonts w:hint="eastAsia"/>
          <w:highlight w:val="none"/>
        </w:rPr>
      </w:pPr>
      <w:r>
        <w:rPr>
          <w:rFonts w:hint="eastAsia"/>
          <w:highlight w:val="none"/>
        </w:rPr>
        <w:t>3</w:t>
      </w:r>
      <w:r>
        <w:rPr>
          <w:rFonts w:hint="eastAsia"/>
          <w:highlight w:val="none"/>
          <w:lang w:eastAsia="zh-CN"/>
        </w:rPr>
        <w:t>、</w:t>
      </w:r>
      <w:r>
        <w:rPr>
          <w:rFonts w:hint="eastAsia"/>
          <w:highlight w:val="none"/>
        </w:rPr>
        <w:t>通风防尘措施安全可靠性分析</w:t>
      </w:r>
    </w:p>
    <w:p w14:paraId="40CF8B84">
      <w:pPr>
        <w:pStyle w:val="22"/>
        <w:bidi w:val="0"/>
        <w:rPr>
          <w:rFonts w:hint="eastAsia"/>
          <w:highlight w:val="none"/>
          <w:lang w:val="en-US" w:eastAsia="zh-CN"/>
        </w:rPr>
      </w:pPr>
      <w:r>
        <w:rPr>
          <w:rFonts w:hint="default"/>
          <w:highlight w:val="none"/>
        </w:rPr>
        <w:t>井下所需新鲜风流由斜坡道进入井下，经中段的主运巷道、出矿巷道送至井下各作业面，冲洗采场后的污风经上中段回风巷由回风竖井井口主扇抽出至地表</w:t>
      </w:r>
      <w:r>
        <w:rPr>
          <w:rFonts w:hint="eastAsia"/>
          <w:highlight w:val="none"/>
          <w:lang w:val="en-US" w:eastAsia="zh-CN"/>
        </w:rPr>
        <w:t>。</w:t>
      </w:r>
    </w:p>
    <w:p w14:paraId="4057868A">
      <w:pPr>
        <w:pStyle w:val="22"/>
        <w:bidi w:val="0"/>
        <w:rPr>
          <w:rFonts w:hint="default"/>
          <w:highlight w:val="none"/>
          <w:lang w:val="en-US" w:eastAsia="zh-CN"/>
        </w:rPr>
      </w:pPr>
      <w:r>
        <w:rPr>
          <w:rFonts w:hint="default"/>
          <w:highlight w:val="none"/>
          <w:lang w:val="en-US" w:eastAsia="zh-CN"/>
        </w:rPr>
        <w:t>该通风网络结构简单，工程量少，风流稳定，适用于矿体规整的脉状矿床。由矿床地质特征可知，该项目所采矿体均为脉状矿体，矿体连续，厚度变化稳定。故《可研报告》设计的通风网络可行合理</w:t>
      </w:r>
      <w:r>
        <w:rPr>
          <w:rFonts w:hint="eastAsia"/>
          <w:highlight w:val="none"/>
          <w:lang w:val="en-US" w:eastAsia="zh-CN"/>
        </w:rPr>
        <w:t>。建设单位应按严格充填并封堵废弃采空区，防止漏风。</w:t>
      </w:r>
    </w:p>
    <w:p w14:paraId="78AF02B0">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default"/>
          <w:highlight w:val="none"/>
          <w:lang w:val="en-US" w:eastAsia="zh-CN"/>
        </w:rPr>
        <w:t>《可研报告》设计</w:t>
      </w:r>
      <w:r>
        <w:rPr>
          <w:rFonts w:hint="eastAsia"/>
          <w:highlight w:val="none"/>
          <w:lang w:val="en-US" w:eastAsia="zh-CN"/>
        </w:rPr>
        <w:t>斜坡道</w:t>
      </w:r>
      <w:r>
        <w:rPr>
          <w:rFonts w:hint="default"/>
          <w:highlight w:val="none"/>
          <w:lang w:val="en-US" w:eastAsia="zh-CN"/>
        </w:rPr>
        <w:t>、石门、中段运输巷道、人行通风天井、采场风速</w:t>
      </w:r>
      <w:r>
        <w:rPr>
          <w:rFonts w:hint="eastAsia"/>
          <w:highlight w:val="none"/>
          <w:lang w:val="en-US" w:eastAsia="zh-CN"/>
        </w:rPr>
        <w:t>、回风竖井</w:t>
      </w:r>
      <w:r>
        <w:rPr>
          <w:rFonts w:hint="default"/>
          <w:highlight w:val="none"/>
          <w:lang w:val="en-US" w:eastAsia="zh-CN"/>
        </w:rPr>
        <w:t>均满足《金属非金属矿山安全规程》第6.6.16条井巷断面平均风速限值要求。</w:t>
      </w:r>
    </w:p>
    <w:p w14:paraId="781423E4">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default"/>
          <w:highlight w:val="none"/>
          <w:lang w:val="en-US" w:eastAsia="zh-CN"/>
        </w:rPr>
        <w:t>建设单位每年至少进行一次反风试验，并测定主要风路反风后的风量，应达到正常运转时风量的60％以上。在掘进工作面和通风不良的采场，安装局部通风设备，局扇应有完善的保护装置。评价组建议矿山在凿岩、装矿等特殊作业地点均应保持洒水作业，人员佩戴防护口罩，可以保证井下污风对人员工作的影响控制在可接受范围之内。</w:t>
      </w:r>
    </w:p>
    <w:p w14:paraId="36FF9FF5">
      <w:pPr>
        <w:pStyle w:val="30"/>
        <w:bidi w:val="0"/>
        <w:rPr>
          <w:highlight w:val="none"/>
        </w:rPr>
      </w:pPr>
      <w:bookmarkStart w:id="19" w:name="_Toc331618242"/>
      <w:bookmarkStart w:id="20" w:name="_Toc19787"/>
      <w:bookmarkStart w:id="21" w:name="_Toc27194"/>
      <w:bookmarkStart w:id="22" w:name="_Toc292396057"/>
      <w:bookmarkStart w:id="23" w:name="_Toc290502850"/>
      <w:bookmarkStart w:id="24" w:name="_Toc30068"/>
      <w:bookmarkStart w:id="25" w:name="_Toc406688045"/>
      <w:r>
        <w:rPr>
          <w:rFonts w:hint="eastAsia"/>
          <w:highlight w:val="none"/>
        </w:rPr>
        <w:t>评价结果小结</w:t>
      </w:r>
      <w:bookmarkEnd w:id="19"/>
      <w:bookmarkEnd w:id="20"/>
      <w:bookmarkEnd w:id="21"/>
      <w:bookmarkEnd w:id="22"/>
      <w:bookmarkEnd w:id="23"/>
      <w:bookmarkEnd w:id="24"/>
      <w:bookmarkEnd w:id="25"/>
    </w:p>
    <w:p w14:paraId="43A4534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highlight w:val="none"/>
          <w:lang w:val="en-US" w:eastAsia="zh-CN"/>
        </w:rPr>
      </w:pPr>
      <w:r>
        <w:rPr>
          <w:rFonts w:hint="default"/>
          <w:highlight w:val="none"/>
          <w:lang w:val="en-US" w:eastAsia="zh-CN"/>
        </w:rPr>
        <w:t>通过以上对通风系统的评价，得出结论为：《可研报告》确定的主扇选型满足供风要求。建设单位在以后的施工及生产中，按照落实《可研报告》和本预评价报告提出相应的安全措施，能保证通风系统的安全可靠。</w:t>
      </w:r>
    </w:p>
    <w:p w14:paraId="6ED28D4A">
      <w:pPr>
        <w:pStyle w:val="29"/>
        <w:bidi w:val="0"/>
        <w:rPr>
          <w:rFonts w:hint="default"/>
          <w:highlight w:val="none"/>
          <w:lang w:val="en-US" w:eastAsia="zh-CN"/>
        </w:rPr>
      </w:pPr>
      <w:bookmarkStart w:id="26" w:name="_Toc27164"/>
      <w:r>
        <w:rPr>
          <w:rFonts w:hint="default"/>
          <w:highlight w:val="none"/>
          <w:lang w:val="en-US" w:eastAsia="zh-CN"/>
        </w:rPr>
        <w:t>矿山电气单元评价</w:t>
      </w:r>
      <w:bookmarkEnd w:id="26"/>
    </w:p>
    <w:p w14:paraId="2B9B2630">
      <w:pPr>
        <w:pStyle w:val="30"/>
        <w:rPr>
          <w:rFonts w:hint="default"/>
          <w:highlight w:val="none"/>
          <w:lang w:val="en-US" w:eastAsia="zh-CN"/>
        </w:rPr>
      </w:pPr>
      <w:r>
        <w:rPr>
          <w:rFonts w:hint="default"/>
          <w:highlight w:val="none"/>
          <w:lang w:val="en-US" w:eastAsia="zh-CN"/>
        </w:rPr>
        <w:t>危险、有害因素辨识</w:t>
      </w:r>
    </w:p>
    <w:p w14:paraId="6EB80600">
      <w:pPr>
        <w:pStyle w:val="22"/>
        <w:rPr>
          <w:rFonts w:hint="default"/>
          <w:highlight w:val="none"/>
          <w:lang w:val="en-US" w:eastAsia="zh-CN"/>
        </w:rPr>
      </w:pPr>
      <w:r>
        <w:rPr>
          <w:rFonts w:hint="default"/>
          <w:highlight w:val="none"/>
          <w:lang w:val="en-US" w:eastAsia="zh-CN"/>
        </w:rPr>
        <w:t>供配电设施存在的主要危险有害因素有：触电、火灾、雷击、机械伤害及职业危害等。</w:t>
      </w:r>
    </w:p>
    <w:p w14:paraId="01484D9B">
      <w:pPr>
        <w:pStyle w:val="22"/>
        <w:numPr>
          <w:ilvl w:val="0"/>
          <w:numId w:val="0"/>
        </w:numPr>
        <w:bidi w:val="0"/>
        <w:ind w:leftChars="200"/>
        <w:rPr>
          <w:rFonts w:hint="default"/>
          <w:highlight w:val="none"/>
          <w:lang w:val="en-US" w:eastAsia="zh-CN"/>
        </w:rPr>
      </w:pPr>
      <w:r>
        <w:rPr>
          <w:rFonts w:hint="eastAsia"/>
          <w:highlight w:val="none"/>
          <w:lang w:val="en-US" w:eastAsia="zh-CN"/>
        </w:rPr>
        <w:t>1、</w:t>
      </w:r>
      <w:r>
        <w:rPr>
          <w:rFonts w:hint="default"/>
          <w:highlight w:val="none"/>
          <w:lang w:val="en-US" w:eastAsia="zh-CN"/>
        </w:rPr>
        <w:t>触电</w:t>
      </w:r>
    </w:p>
    <w:p w14:paraId="6A3E0665">
      <w:pPr>
        <w:pStyle w:val="22"/>
        <w:rPr>
          <w:rFonts w:hint="default"/>
          <w:highlight w:val="none"/>
          <w:lang w:val="en-US" w:eastAsia="zh-CN"/>
        </w:rPr>
      </w:pPr>
      <w:r>
        <w:rPr>
          <w:rFonts w:hint="default"/>
          <w:highlight w:val="none"/>
          <w:lang w:val="en-US" w:eastAsia="zh-CN"/>
        </w:rPr>
        <w:t>矿山企业条件艰苦，作业环境差，容易发生触电事故。引起触电事故的主要原因，除了设备缺陷、设计不周等技术因素外，大部分是由于违章指挥、违章操作引起的，造成触电事故的主要因素：</w:t>
      </w:r>
    </w:p>
    <w:p w14:paraId="2C98FC69">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 xml:space="preserve">井下爆破冲击波损坏电气线路产生漏电； </w:t>
      </w:r>
    </w:p>
    <w:p w14:paraId="2573FBB6">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不填写操作票或不执行监护制度，不使用或使用不合格绝缘工具和电气工具；</w:t>
      </w:r>
    </w:p>
    <w:p w14:paraId="7BBD9FFE">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线路或电气设备工作完毕，未办理工作票终结手续，就对停电设备恢复送电；</w:t>
      </w:r>
    </w:p>
    <w:p w14:paraId="082E043C">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在带电设备附近进行作业，不符合安全距离或无监护措施；</w:t>
      </w:r>
    </w:p>
    <w:p w14:paraId="40C3382A">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跨越安全围栏或超越安全警戒线，工作人员走错间隔误碰带电设备，以及在带电设备附近使用钢卷尺等进行测量或携带金属超高物体在带电设备下行走；</w:t>
      </w:r>
    </w:p>
    <w:p w14:paraId="555BD1CF">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线路磨损、压破绝缘层使外壳带电，设备缺少漏电保护等防护装置；</w:t>
      </w:r>
    </w:p>
    <w:p w14:paraId="4402CB00">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绝缘胶鞋破损造成绝缘失效，作业者身体或工具碰到带电设备或线路上；</w:t>
      </w:r>
    </w:p>
    <w:p w14:paraId="17C8D9AB">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缺少标志或标志不明显；</w:t>
      </w:r>
    </w:p>
    <w:p w14:paraId="5A8646B7">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使用电动工具金属外壳不接地，不戴绝缘手套；</w:t>
      </w:r>
    </w:p>
    <w:p w14:paraId="0D2CECA5">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在井下采掘运输等、工作面工作不使用安全电压照明；</w:t>
      </w:r>
    </w:p>
    <w:p w14:paraId="49C1BBB0">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在潮湿地区、金属容器内工作不穿绝缘鞋，无绝缘垫，无监护人；</w:t>
      </w:r>
    </w:p>
    <w:p w14:paraId="67C8878C">
      <w:pPr>
        <w:pStyle w:val="22"/>
        <w:numPr>
          <w:ilvl w:val="0"/>
          <w:numId w:val="60"/>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电气作业的安全管理工作存在漏洞等。</w:t>
      </w:r>
    </w:p>
    <w:p w14:paraId="6379F689">
      <w:pPr>
        <w:pStyle w:val="22"/>
        <w:numPr>
          <w:ilvl w:val="0"/>
          <w:numId w:val="0"/>
        </w:numPr>
        <w:bidi w:val="0"/>
        <w:ind w:leftChars="200"/>
        <w:rPr>
          <w:rFonts w:hint="default"/>
          <w:highlight w:val="none"/>
          <w:lang w:val="en-US" w:eastAsia="zh-CN"/>
        </w:rPr>
      </w:pPr>
      <w:r>
        <w:rPr>
          <w:rFonts w:hint="eastAsia"/>
          <w:highlight w:val="none"/>
          <w:lang w:val="en-US" w:eastAsia="zh-CN"/>
        </w:rPr>
        <w:t>2、</w:t>
      </w:r>
      <w:r>
        <w:rPr>
          <w:rFonts w:hint="default"/>
          <w:highlight w:val="none"/>
          <w:lang w:val="en-US" w:eastAsia="zh-CN"/>
        </w:rPr>
        <w:t>火灾</w:t>
      </w:r>
    </w:p>
    <w:p w14:paraId="37D1577D">
      <w:pPr>
        <w:pStyle w:val="22"/>
        <w:rPr>
          <w:rFonts w:hint="default"/>
          <w:highlight w:val="none"/>
          <w:lang w:val="en-US" w:eastAsia="zh-CN"/>
        </w:rPr>
      </w:pPr>
      <w:r>
        <w:rPr>
          <w:rFonts w:hint="default"/>
          <w:highlight w:val="none"/>
          <w:lang w:val="en-US" w:eastAsia="zh-CN"/>
        </w:rPr>
        <w:t>造成火灾的主要因素：</w:t>
      </w:r>
    </w:p>
    <w:p w14:paraId="14CE2AEE">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明火（包括火柴点火、吸烟、明火灯等）所引燃；</w:t>
      </w:r>
    </w:p>
    <w:p w14:paraId="6279ADC4">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携带易燃品下井；</w:t>
      </w:r>
    </w:p>
    <w:p w14:paraId="64B6789E">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井下爆破、火药爆炸以及地面井口火灾火焰顺风流进入井下等；</w:t>
      </w:r>
    </w:p>
    <w:p w14:paraId="16AF5A4B">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电弧、电火花、杂散电流；</w:t>
      </w:r>
    </w:p>
    <w:p w14:paraId="62B2F244">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电缆、电线、电动机、电钻等电器设备损坏、漏电、失爆、短路或超负荷运行引起火灾；</w:t>
      </w:r>
    </w:p>
    <w:p w14:paraId="2645A333">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保险丝（片）选用不当；</w:t>
      </w:r>
    </w:p>
    <w:p w14:paraId="48378601">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开关及配电箱内油料着火；</w:t>
      </w:r>
    </w:p>
    <w:p w14:paraId="3F741776">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机械作用（包括摩擦、震动冲击等）所引起；</w:t>
      </w:r>
    </w:p>
    <w:p w14:paraId="5B8B0243">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电器设备（包括动力线、照明线、变压器、电动设备等）的绝缘损坏和性能不良所引起；</w:t>
      </w:r>
    </w:p>
    <w:p w14:paraId="780AC088">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空压机润滑油在高温高压下加剧氧化形成积炭附在金属表面和风阀上，积炭本身是易燃物，温度升高到一定程度就可能引起燃烧；</w:t>
      </w:r>
    </w:p>
    <w:p w14:paraId="5722C43F">
      <w:pPr>
        <w:pStyle w:val="22"/>
        <w:numPr>
          <w:ilvl w:val="0"/>
          <w:numId w:val="61"/>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坑道电灯烘烤电缆等引起的火灾；</w:t>
      </w:r>
    </w:p>
    <w:p w14:paraId="7990D09B">
      <w:pPr>
        <w:pStyle w:val="22"/>
        <w:bidi w:val="0"/>
        <w:rPr>
          <w:rFonts w:hint="default"/>
          <w:highlight w:val="none"/>
          <w:lang w:val="en-US" w:eastAsia="zh-CN"/>
        </w:rPr>
      </w:pPr>
      <w:r>
        <w:rPr>
          <w:rFonts w:hint="default"/>
          <w:highlight w:val="none"/>
          <w:lang w:val="en-US" w:eastAsia="zh-CN"/>
        </w:rPr>
        <w:t>该矿山安设有电力设施、机械设备，有井口变压器、井口空压机、配电箱等，故存在着火灾事故的隐患。井下火灾产生CO、CO</w:t>
      </w:r>
      <w:r>
        <w:rPr>
          <w:rFonts w:hint="default"/>
          <w:highlight w:val="none"/>
          <w:vertAlign w:val="subscript"/>
          <w:lang w:val="en-US" w:eastAsia="zh-CN"/>
        </w:rPr>
        <w:t>2</w:t>
      </w:r>
      <w:r>
        <w:rPr>
          <w:rFonts w:hint="default"/>
          <w:highlight w:val="none"/>
          <w:lang w:val="en-US" w:eastAsia="zh-CN"/>
        </w:rPr>
        <w:t>等有毒有害气体，导致作业人员中毒窒息。</w:t>
      </w:r>
    </w:p>
    <w:p w14:paraId="39959977">
      <w:pPr>
        <w:pStyle w:val="22"/>
        <w:bidi w:val="0"/>
        <w:rPr>
          <w:rFonts w:hint="default"/>
          <w:highlight w:val="none"/>
          <w:lang w:val="en-US" w:eastAsia="zh-CN"/>
        </w:rPr>
      </w:pPr>
      <w:r>
        <w:rPr>
          <w:rFonts w:hint="default"/>
          <w:highlight w:val="none"/>
          <w:lang w:val="en-US" w:eastAsia="zh-CN"/>
        </w:rPr>
        <w:t>可能存在的部位：加油设施、变配电设施（变压器、配电室）、供电线路等。</w:t>
      </w:r>
    </w:p>
    <w:p w14:paraId="77AE7D2C">
      <w:pPr>
        <w:pStyle w:val="22"/>
        <w:numPr>
          <w:ilvl w:val="0"/>
          <w:numId w:val="0"/>
        </w:numPr>
        <w:bidi w:val="0"/>
        <w:ind w:leftChars="200"/>
        <w:rPr>
          <w:rFonts w:hint="default"/>
          <w:highlight w:val="none"/>
          <w:lang w:val="en-US" w:eastAsia="zh-CN"/>
        </w:rPr>
      </w:pPr>
      <w:r>
        <w:rPr>
          <w:rFonts w:hint="eastAsia"/>
          <w:highlight w:val="none"/>
          <w:lang w:val="en-US" w:eastAsia="zh-CN"/>
        </w:rPr>
        <w:t>3、</w:t>
      </w:r>
      <w:r>
        <w:rPr>
          <w:rFonts w:hint="default"/>
          <w:highlight w:val="none"/>
          <w:lang w:val="en-US" w:eastAsia="zh-CN"/>
        </w:rPr>
        <w:t>雷击</w:t>
      </w:r>
    </w:p>
    <w:p w14:paraId="72288CEF">
      <w:pPr>
        <w:pStyle w:val="22"/>
        <w:rPr>
          <w:rFonts w:hint="default"/>
          <w:highlight w:val="none"/>
          <w:lang w:val="en-US" w:eastAsia="zh-CN"/>
        </w:rPr>
      </w:pPr>
      <w:r>
        <w:rPr>
          <w:rFonts w:hint="default"/>
          <w:highlight w:val="none"/>
          <w:lang w:val="en-US" w:eastAsia="zh-CN"/>
        </w:rPr>
        <w:t>雷击：位于地势较高的地表的建（构）筑物及配电设施等易受雷击，遭受雷击后会造成不同程度的破坏，严重者会造成建（构）筑物的倒塌（如高大建筑物），烧毁变压器及矿山用电设施，人员伤亡等事故。</w:t>
      </w:r>
    </w:p>
    <w:p w14:paraId="580C4A86">
      <w:pPr>
        <w:pStyle w:val="22"/>
        <w:numPr>
          <w:ilvl w:val="0"/>
          <w:numId w:val="0"/>
        </w:numPr>
        <w:bidi w:val="0"/>
        <w:ind w:leftChars="200"/>
        <w:rPr>
          <w:rFonts w:hint="default"/>
          <w:highlight w:val="none"/>
          <w:lang w:val="en-US" w:eastAsia="zh-CN"/>
        </w:rPr>
      </w:pPr>
      <w:r>
        <w:rPr>
          <w:rFonts w:hint="eastAsia"/>
          <w:highlight w:val="none"/>
          <w:lang w:val="en-US" w:eastAsia="zh-CN"/>
        </w:rPr>
        <w:t>4、</w:t>
      </w:r>
      <w:r>
        <w:rPr>
          <w:rFonts w:hint="default"/>
          <w:highlight w:val="none"/>
          <w:lang w:val="en-US" w:eastAsia="zh-CN"/>
        </w:rPr>
        <w:t>机械伤害</w:t>
      </w:r>
    </w:p>
    <w:p w14:paraId="2EE8FC86">
      <w:pPr>
        <w:pStyle w:val="22"/>
        <w:rPr>
          <w:rFonts w:hint="default"/>
          <w:highlight w:val="none"/>
          <w:lang w:val="en-US" w:eastAsia="zh-CN"/>
        </w:rPr>
      </w:pPr>
      <w:r>
        <w:rPr>
          <w:rFonts w:hint="default"/>
          <w:highlight w:val="none"/>
          <w:lang w:val="en-US" w:eastAsia="zh-CN"/>
        </w:rPr>
        <w:t>矿山电气设备造成的机械伤害事故，主要是由于人的违章指挥、违章操作造成的。常见的因素有：</w:t>
      </w:r>
    </w:p>
    <w:p w14:paraId="3FDBC9FF">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穿戴不符合安全规定的服装进行操作；</w:t>
      </w:r>
    </w:p>
    <w:p w14:paraId="5A03C68D">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违章操作；</w:t>
      </w:r>
    </w:p>
    <w:p w14:paraId="665C2CB2">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电气设备安全防护装置缺乏或损坏、被拆除等，导致事故发生；</w:t>
      </w:r>
    </w:p>
    <w:p w14:paraId="5CF6FBB8">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操作过程中衣物、头发、工具进入运转机械导致身体被运动机械拖带伤害；</w:t>
      </w:r>
    </w:p>
    <w:p w14:paraId="4E6E0209">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操作人员疏忽大意，身体进入机械危险部位；</w:t>
      </w:r>
    </w:p>
    <w:p w14:paraId="66C8ECEC">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在检修和正常工作时，机器突然被别人随意启动，导致事故发生；</w:t>
      </w:r>
    </w:p>
    <w:p w14:paraId="3B870645">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在不安全的电气设备上停留、休息，导致事故发生；</w:t>
      </w:r>
    </w:p>
    <w:p w14:paraId="0C9DF987">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电气设备设施设计、选型不合理或安装存在缺陷；</w:t>
      </w:r>
    </w:p>
    <w:p w14:paraId="5755CF31">
      <w:pPr>
        <w:pStyle w:val="22"/>
        <w:numPr>
          <w:ilvl w:val="0"/>
          <w:numId w:val="62"/>
        </w:numPr>
        <w:ind w:left="0" w:leftChars="0" w:firstLine="560" w:firstLineChars="200"/>
        <w:rPr>
          <w:rFonts w:hint="default" w:ascii="Times New Roman" w:hAnsi="Times New Roman" w:eastAsia="宋体"/>
          <w:highlight w:val="none"/>
          <w:lang w:val="en-US" w:eastAsia="zh-CN"/>
        </w:rPr>
      </w:pPr>
      <w:r>
        <w:rPr>
          <w:rFonts w:hint="default" w:ascii="Times New Roman" w:hAnsi="Times New Roman" w:eastAsia="宋体"/>
          <w:highlight w:val="none"/>
          <w:lang w:val="en-US" w:eastAsia="zh-CN"/>
        </w:rPr>
        <w:t>安全管理上存在不足。</w:t>
      </w:r>
    </w:p>
    <w:p w14:paraId="4D863018">
      <w:pPr>
        <w:pStyle w:val="22"/>
        <w:numPr>
          <w:ilvl w:val="0"/>
          <w:numId w:val="0"/>
        </w:numPr>
        <w:bidi w:val="0"/>
        <w:ind w:left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5、</w:t>
      </w:r>
      <w:r>
        <w:rPr>
          <w:rFonts w:hint="default" w:ascii="Times New Roman" w:hAnsi="Times New Roman" w:eastAsia="宋体"/>
          <w:highlight w:val="none"/>
          <w:lang w:val="en-US" w:eastAsia="zh-CN"/>
        </w:rPr>
        <w:t>噪声</w:t>
      </w:r>
    </w:p>
    <w:p w14:paraId="0D95F195">
      <w:pPr>
        <w:pStyle w:val="22"/>
        <w:bidi w:val="0"/>
        <w:rPr>
          <w:rFonts w:hint="default"/>
          <w:highlight w:val="none"/>
          <w:lang w:val="en-US" w:eastAsia="zh-CN"/>
        </w:rPr>
      </w:pPr>
      <w:r>
        <w:rPr>
          <w:rFonts w:hint="default"/>
          <w:highlight w:val="none"/>
          <w:lang w:val="en-US" w:eastAsia="zh-CN"/>
        </w:rPr>
        <w:t>凡是人们不需要的，使人感到讨厌和烦躁的声音通称为噪声。噪声对人的危害是多方面的。噪声可以使人耳聋，还可能引起高血压、心脏病、神经官能症等疾病。噪声还污染环境，影响人们的正常生活和生产活动，特别强烈的噪声还能损害建筑物与影响仪器设备等的正常运行。该项目噪声主要来源于各种电气设备在运转过程中由震动、摩擦而产生的机械动力噪声等。</w:t>
      </w:r>
    </w:p>
    <w:p w14:paraId="7F63278B">
      <w:pPr>
        <w:pStyle w:val="22"/>
        <w:numPr>
          <w:ilvl w:val="0"/>
          <w:numId w:val="63"/>
        </w:numPr>
        <w:bidi w:val="0"/>
        <w:rPr>
          <w:rFonts w:hint="eastAsia" w:ascii="Times New Roman" w:hAnsi="Times New Roman" w:eastAsia="宋体"/>
          <w:highlight w:val="none"/>
          <w:lang w:val="en-US" w:eastAsia="zh-CN"/>
        </w:rPr>
      </w:pPr>
      <w:bookmarkStart w:id="27" w:name="_Toc331618244"/>
      <w:bookmarkStart w:id="28" w:name="_Toc406688047"/>
      <w:r>
        <w:rPr>
          <w:rFonts w:hint="eastAsia" w:ascii="Times New Roman" w:hAnsi="Times New Roman" w:eastAsia="宋体"/>
          <w:highlight w:val="none"/>
          <w:lang w:val="en-US" w:eastAsia="zh-CN"/>
        </w:rPr>
        <w:t>预先危险性分析法评价</w:t>
      </w:r>
      <w:bookmarkEnd w:id="27"/>
      <w:bookmarkEnd w:id="28"/>
    </w:p>
    <w:p w14:paraId="09DED8DC">
      <w:pPr>
        <w:pStyle w:val="22"/>
        <w:bidi w:val="0"/>
        <w:rPr>
          <w:rFonts w:hint="eastAsia"/>
          <w:highlight w:val="none"/>
        </w:rPr>
      </w:pPr>
      <w:r>
        <w:rPr>
          <w:rFonts w:hint="eastAsia"/>
          <w:highlight w:val="none"/>
        </w:rPr>
        <w:t>用选定的预先危险性分析法评价如下：</w:t>
      </w:r>
    </w:p>
    <w:p w14:paraId="3F85CAF7">
      <w:pPr>
        <w:pStyle w:val="31"/>
        <w:bidi w:val="0"/>
        <w:rPr>
          <w:rFonts w:hint="eastAsia"/>
          <w:highlight w:val="none"/>
        </w:rPr>
      </w:pPr>
      <w:r>
        <w:rPr>
          <w:rFonts w:hint="eastAsia"/>
          <w:highlight w:val="none"/>
        </w:rPr>
        <w:t>表</w:t>
      </w:r>
      <w:r>
        <w:rPr>
          <w:rFonts w:hint="eastAsia"/>
          <w:highlight w:val="none"/>
          <w:lang w:val="en-US" w:eastAsia="zh-CN"/>
        </w:rPr>
        <w:t>3.6-1</w:t>
      </w:r>
      <w:r>
        <w:rPr>
          <w:rFonts w:hint="eastAsia"/>
          <w:highlight w:val="none"/>
        </w:rPr>
        <w:t xml:space="preserve">  矿山电气单元预先危险性分析表</w:t>
      </w:r>
    </w:p>
    <w:tbl>
      <w:tblPr>
        <w:tblStyle w:val="24"/>
        <w:tblW w:w="84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9"/>
        <w:gridCol w:w="992"/>
        <w:gridCol w:w="1843"/>
        <w:gridCol w:w="709"/>
        <w:gridCol w:w="708"/>
        <w:gridCol w:w="3368"/>
      </w:tblGrid>
      <w:tr w14:paraId="2E32CC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50FDCBC">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潜在事故</w:t>
            </w:r>
          </w:p>
        </w:tc>
        <w:tc>
          <w:tcPr>
            <w:tcW w:w="992" w:type="dxa"/>
            <w:noWrap w:val="0"/>
            <w:vAlign w:val="center"/>
          </w:tcPr>
          <w:p w14:paraId="5A5C33E4">
            <w:pPr>
              <w:tabs>
                <w:tab w:val="left" w:pos="2177"/>
              </w:tabs>
              <w:adjustRightInd w:val="0"/>
              <w:snapToGrid w:val="0"/>
              <w:spacing w:line="240" w:lineRule="auto"/>
              <w:jc w:val="center"/>
              <w:rPr>
                <w:rFonts w:hint="eastAsia"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危险</w:t>
            </w:r>
          </w:p>
          <w:p w14:paraId="4434A862">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因素</w:t>
            </w:r>
          </w:p>
        </w:tc>
        <w:tc>
          <w:tcPr>
            <w:tcW w:w="1843" w:type="dxa"/>
            <w:noWrap w:val="0"/>
            <w:vAlign w:val="center"/>
          </w:tcPr>
          <w:p w14:paraId="7687A381">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触发条件</w:t>
            </w:r>
          </w:p>
        </w:tc>
        <w:tc>
          <w:tcPr>
            <w:tcW w:w="709" w:type="dxa"/>
            <w:noWrap w:val="0"/>
            <w:vAlign w:val="center"/>
          </w:tcPr>
          <w:p w14:paraId="6E433448">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事故后果</w:t>
            </w:r>
          </w:p>
        </w:tc>
        <w:tc>
          <w:tcPr>
            <w:tcW w:w="708" w:type="dxa"/>
            <w:noWrap w:val="0"/>
            <w:vAlign w:val="center"/>
          </w:tcPr>
          <w:p w14:paraId="3533B149">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危险等级</w:t>
            </w:r>
          </w:p>
        </w:tc>
        <w:tc>
          <w:tcPr>
            <w:tcW w:w="3368" w:type="dxa"/>
            <w:noWrap w:val="0"/>
            <w:vAlign w:val="center"/>
          </w:tcPr>
          <w:p w14:paraId="0A4EE718">
            <w:pPr>
              <w:tabs>
                <w:tab w:val="left" w:pos="2177"/>
              </w:tabs>
              <w:adjustRightInd w:val="0"/>
              <w:snapToGrid w:val="0"/>
              <w:spacing w:line="240" w:lineRule="auto"/>
              <w:jc w:val="center"/>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防范措施</w:t>
            </w:r>
          </w:p>
        </w:tc>
      </w:tr>
      <w:tr w14:paraId="0B125C6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26D1D1F4">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电气伤害</w:t>
            </w:r>
          </w:p>
        </w:tc>
        <w:tc>
          <w:tcPr>
            <w:tcW w:w="992" w:type="dxa"/>
            <w:noWrap w:val="0"/>
            <w:vAlign w:val="center"/>
          </w:tcPr>
          <w:p w14:paraId="0FDF14A8">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漏电、绝缘损坏、安全距离不够、雷击</w:t>
            </w:r>
          </w:p>
        </w:tc>
        <w:tc>
          <w:tcPr>
            <w:tcW w:w="1843" w:type="dxa"/>
            <w:noWrap w:val="0"/>
            <w:vAlign w:val="center"/>
          </w:tcPr>
          <w:p w14:paraId="1A3DC2D2">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设备漏电</w:t>
            </w:r>
          </w:p>
          <w:p w14:paraId="0FB9AFDB">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安全距离不够</w:t>
            </w:r>
          </w:p>
          <w:p w14:paraId="02E229A1">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保护接地、接零不规范；</w:t>
            </w:r>
          </w:p>
          <w:p w14:paraId="49ABB701">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手持电动工具电压等级选择不当、疏于管理</w:t>
            </w:r>
          </w:p>
        </w:tc>
        <w:tc>
          <w:tcPr>
            <w:tcW w:w="709" w:type="dxa"/>
            <w:noWrap w:val="0"/>
            <w:vAlign w:val="center"/>
          </w:tcPr>
          <w:p w14:paraId="4951ED0D">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人体伤害</w:t>
            </w:r>
          </w:p>
        </w:tc>
        <w:tc>
          <w:tcPr>
            <w:tcW w:w="708" w:type="dxa"/>
            <w:noWrap w:val="0"/>
            <w:vAlign w:val="center"/>
          </w:tcPr>
          <w:p w14:paraId="3E53F94A">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s="宋体"/>
                <w:caps w:val="0"/>
                <w:smallCaps w:val="0"/>
                <w:sz w:val="21"/>
                <w:szCs w:val="21"/>
                <w:highlight w:val="none"/>
              </w:rPr>
              <w:t>Ⅱ</w:t>
            </w:r>
            <w:r>
              <w:rPr>
                <w:rFonts w:hint="eastAsia" w:ascii="Times New Roman" w:hAnsi="Times New Roman"/>
                <w:caps w:val="0"/>
                <w:smallCaps w:val="0"/>
                <w:sz w:val="21"/>
                <w:szCs w:val="21"/>
                <w:highlight w:val="none"/>
              </w:rPr>
              <w:t>级</w:t>
            </w:r>
          </w:p>
        </w:tc>
        <w:tc>
          <w:tcPr>
            <w:tcW w:w="3368" w:type="dxa"/>
            <w:noWrap w:val="0"/>
            <w:vAlign w:val="center"/>
          </w:tcPr>
          <w:p w14:paraId="34A6C6CD">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变配电建筑结构、配电装置及线路要严格符合有关电气规程</w:t>
            </w:r>
          </w:p>
          <w:p w14:paraId="7B3DC31E">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架空线路、室内线路、变配电设备、用电设备、检修作业，应按规定要有一定安全距离</w:t>
            </w:r>
          </w:p>
          <w:p w14:paraId="343C88B7">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根据要求对用电设备做好保护接地或保护接零</w:t>
            </w:r>
          </w:p>
          <w:p w14:paraId="7CB1018C">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安装漏电保护器</w:t>
            </w:r>
          </w:p>
          <w:p w14:paraId="226FA9B2">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电气作业人员必须持证上岗</w:t>
            </w:r>
          </w:p>
        </w:tc>
      </w:tr>
      <w:tr w14:paraId="7288C0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62" w:hRule="atLeast"/>
          <w:jc w:val="center"/>
        </w:trPr>
        <w:tc>
          <w:tcPr>
            <w:tcW w:w="819" w:type="dxa"/>
            <w:noWrap w:val="0"/>
            <w:vAlign w:val="center"/>
          </w:tcPr>
          <w:p w14:paraId="71360F9B">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机械伤害</w:t>
            </w:r>
          </w:p>
        </w:tc>
        <w:tc>
          <w:tcPr>
            <w:tcW w:w="992" w:type="dxa"/>
            <w:noWrap w:val="0"/>
            <w:vAlign w:val="center"/>
          </w:tcPr>
          <w:p w14:paraId="61FBEED4">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夹、绞、碾、碰、割、卷、剪刺、压伤人身体</w:t>
            </w:r>
          </w:p>
        </w:tc>
        <w:tc>
          <w:tcPr>
            <w:tcW w:w="1843" w:type="dxa"/>
            <w:noWrap w:val="0"/>
            <w:vAlign w:val="center"/>
          </w:tcPr>
          <w:p w14:paraId="1F7603A7">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机械旋转部分缺防护罩</w:t>
            </w:r>
          </w:p>
          <w:p w14:paraId="55942D1A">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检修时未挂牌作业</w:t>
            </w:r>
          </w:p>
          <w:p w14:paraId="24D07D9B">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工作时注意力不集中</w:t>
            </w:r>
          </w:p>
          <w:p w14:paraId="1CF3043E">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劳动防护用品未正确穿戴</w:t>
            </w:r>
          </w:p>
        </w:tc>
        <w:tc>
          <w:tcPr>
            <w:tcW w:w="709" w:type="dxa"/>
            <w:noWrap w:val="0"/>
            <w:vAlign w:val="center"/>
          </w:tcPr>
          <w:p w14:paraId="4EC4D221">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人体伤害</w:t>
            </w:r>
          </w:p>
        </w:tc>
        <w:tc>
          <w:tcPr>
            <w:tcW w:w="708" w:type="dxa"/>
            <w:noWrap w:val="0"/>
            <w:vAlign w:val="center"/>
          </w:tcPr>
          <w:p w14:paraId="3D6BD984">
            <w:pPr>
              <w:tabs>
                <w:tab w:val="left" w:pos="2177"/>
              </w:tabs>
              <w:adjustRightInd w:val="0"/>
              <w:snapToGrid w:val="0"/>
              <w:spacing w:line="240" w:lineRule="auto"/>
              <w:jc w:val="left"/>
              <w:rPr>
                <w:rFonts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Ⅱ级</w:t>
            </w:r>
          </w:p>
        </w:tc>
        <w:tc>
          <w:tcPr>
            <w:tcW w:w="3368" w:type="dxa"/>
            <w:noWrap w:val="0"/>
            <w:vAlign w:val="center"/>
          </w:tcPr>
          <w:p w14:paraId="045D4C6D">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正确穿戴好劳动防护用品；</w:t>
            </w:r>
          </w:p>
          <w:p w14:paraId="06E9FBF9">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设备裸露的运转及传动部位的周围应设置防护设施</w:t>
            </w:r>
          </w:p>
          <w:p w14:paraId="1452EB82">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机械设备要定期检查、检修，保证其完好状态</w:t>
            </w:r>
          </w:p>
          <w:p w14:paraId="2B2BD791">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设备检修前停电、上锁、并挂牌或专人监护电源</w:t>
            </w:r>
          </w:p>
        </w:tc>
      </w:tr>
      <w:tr w14:paraId="094D73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BD84F02">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压力容器爆炸</w:t>
            </w:r>
          </w:p>
        </w:tc>
        <w:tc>
          <w:tcPr>
            <w:tcW w:w="992" w:type="dxa"/>
            <w:noWrap w:val="0"/>
            <w:vAlign w:val="center"/>
          </w:tcPr>
          <w:p w14:paraId="5DFF2AA7">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空压机的风包</w:t>
            </w:r>
          </w:p>
        </w:tc>
        <w:tc>
          <w:tcPr>
            <w:tcW w:w="1843" w:type="dxa"/>
            <w:noWrap w:val="0"/>
            <w:vAlign w:val="center"/>
          </w:tcPr>
          <w:p w14:paraId="3260B6CF">
            <w:pPr>
              <w:numPr>
                <w:ilvl w:val="0"/>
                <w:numId w:val="68"/>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压力容器材质有缺陷</w:t>
            </w:r>
          </w:p>
          <w:p w14:paraId="16FBADB7">
            <w:pPr>
              <w:numPr>
                <w:ilvl w:val="0"/>
                <w:numId w:val="68"/>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焊接有缺陷</w:t>
            </w:r>
          </w:p>
          <w:p w14:paraId="3C7CC9E0">
            <w:pPr>
              <w:numPr>
                <w:ilvl w:val="0"/>
                <w:numId w:val="68"/>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容器本身有裂纹</w:t>
            </w:r>
          </w:p>
        </w:tc>
        <w:tc>
          <w:tcPr>
            <w:tcW w:w="709" w:type="dxa"/>
            <w:noWrap w:val="0"/>
            <w:vAlign w:val="center"/>
          </w:tcPr>
          <w:p w14:paraId="61B8D1B3">
            <w:pPr>
              <w:tabs>
                <w:tab w:val="left" w:pos="2177"/>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人员伤亡</w:t>
            </w:r>
          </w:p>
        </w:tc>
        <w:tc>
          <w:tcPr>
            <w:tcW w:w="708" w:type="dxa"/>
            <w:noWrap w:val="0"/>
            <w:vAlign w:val="center"/>
          </w:tcPr>
          <w:p w14:paraId="05000850">
            <w:pPr>
              <w:tabs>
                <w:tab w:val="left" w:pos="2177"/>
              </w:tabs>
              <w:adjustRightInd w:val="0"/>
              <w:snapToGrid w:val="0"/>
              <w:spacing w:line="240" w:lineRule="auto"/>
              <w:jc w:val="left"/>
              <w:rPr>
                <w:rFonts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Ⅱ级</w:t>
            </w:r>
          </w:p>
        </w:tc>
        <w:tc>
          <w:tcPr>
            <w:tcW w:w="3368" w:type="dxa"/>
            <w:noWrap w:val="0"/>
            <w:vAlign w:val="center"/>
          </w:tcPr>
          <w:p w14:paraId="0468420F">
            <w:pPr>
              <w:numPr>
                <w:ilvl w:val="0"/>
                <w:numId w:val="69"/>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定期检测；空压工必须经过培训持证上岗</w:t>
            </w:r>
          </w:p>
          <w:p w14:paraId="179CF808">
            <w:pPr>
              <w:numPr>
                <w:ilvl w:val="0"/>
                <w:numId w:val="69"/>
              </w:numPr>
              <w:tabs>
                <w:tab w:val="left" w:pos="516"/>
                <w:tab w:val="left" w:pos="612"/>
              </w:tabs>
              <w:adjustRightInd w:val="0"/>
              <w:snapToGrid w:val="0"/>
              <w:spacing w:line="240" w:lineRule="auto"/>
              <w:jc w:val="left"/>
              <w:rPr>
                <w:rFonts w:ascii="Times New Roman" w:hAnsi="Times New Roman"/>
                <w:caps w:val="0"/>
                <w:smallCaps w:val="0"/>
                <w:sz w:val="21"/>
                <w:szCs w:val="21"/>
                <w:highlight w:val="none"/>
              </w:rPr>
            </w:pPr>
            <w:r>
              <w:rPr>
                <w:rFonts w:hint="eastAsia" w:ascii="Times New Roman" w:hAnsi="Times New Roman"/>
                <w:caps w:val="0"/>
                <w:smallCaps w:val="0"/>
                <w:sz w:val="21"/>
                <w:szCs w:val="21"/>
                <w:highlight w:val="none"/>
              </w:rPr>
              <w:t>空压工不得违章作业，不得超压运行</w:t>
            </w:r>
          </w:p>
        </w:tc>
      </w:tr>
    </w:tbl>
    <w:p w14:paraId="00AB8F3D">
      <w:pPr>
        <w:pStyle w:val="22"/>
        <w:bidi w:val="0"/>
        <w:rPr>
          <w:highlight w:val="none"/>
        </w:rPr>
      </w:pPr>
      <w:r>
        <w:rPr>
          <w:rFonts w:hint="eastAsia"/>
          <w:highlight w:val="none"/>
        </w:rPr>
        <w:t>机电设备在矿山数量较多，机械设备、电气设备、压力容器都是应重视的危险因素，其危险程度为“临界的”，应采取相应的控制措施。</w:t>
      </w:r>
    </w:p>
    <w:p w14:paraId="5129DFC3">
      <w:pPr>
        <w:pStyle w:val="22"/>
        <w:numPr>
          <w:ilvl w:val="0"/>
          <w:numId w:val="63"/>
        </w:numPr>
        <w:bidi w:val="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安全检查表法</w:t>
      </w:r>
    </w:p>
    <w:p w14:paraId="65B55F8D">
      <w:pPr>
        <w:pStyle w:val="22"/>
        <w:bidi w:val="0"/>
        <w:rPr>
          <w:rFonts w:hint="eastAsia"/>
          <w:highlight w:val="none"/>
        </w:rPr>
      </w:pPr>
      <w:r>
        <w:rPr>
          <w:rFonts w:hint="eastAsia"/>
          <w:highlight w:val="none"/>
        </w:rPr>
        <w:t>根据《金属非金属矿山安全规程》（GB16423-2020）、《矿山电力设计标准》（GB 50070-2020）、《低压配电设计规范》（GB50054-2011）等标准规范中的相关内容，对矿山供配电设施进行检查，检查表见表3.6-</w:t>
      </w:r>
      <w:r>
        <w:rPr>
          <w:rFonts w:hint="eastAsia"/>
          <w:highlight w:val="none"/>
          <w:lang w:val="en-US" w:eastAsia="zh-CN"/>
        </w:rPr>
        <w:t>2</w:t>
      </w:r>
      <w:r>
        <w:rPr>
          <w:rFonts w:hint="eastAsia"/>
          <w:highlight w:val="none"/>
        </w:rPr>
        <w:t>。</w:t>
      </w:r>
    </w:p>
    <w:p w14:paraId="69C5E538">
      <w:pPr>
        <w:pStyle w:val="31"/>
        <w:bidi w:val="0"/>
        <w:rPr>
          <w:rFonts w:hint="default"/>
          <w:highlight w:val="none"/>
          <w:lang w:val="en-US"/>
        </w:rPr>
      </w:pPr>
      <w:r>
        <w:rPr>
          <w:rFonts w:hint="eastAsia"/>
          <w:highlight w:val="none"/>
        </w:rPr>
        <w:t>表3.6-</w:t>
      </w:r>
      <w:r>
        <w:rPr>
          <w:rFonts w:hint="eastAsia"/>
          <w:highlight w:val="none"/>
          <w:lang w:val="en-US" w:eastAsia="zh-CN"/>
        </w:rPr>
        <w:t>2  矿山供配电设施检查表</w:t>
      </w:r>
    </w:p>
    <w:tbl>
      <w:tblPr>
        <w:tblStyle w:val="24"/>
        <w:tblW w:w="9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3385"/>
        <w:gridCol w:w="1512"/>
        <w:gridCol w:w="2926"/>
        <w:gridCol w:w="655"/>
      </w:tblGrid>
      <w:tr w14:paraId="104F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80" w:type="dxa"/>
            <w:noWrap w:val="0"/>
            <w:vAlign w:val="center"/>
          </w:tcPr>
          <w:p w14:paraId="64209F1F">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检查项目</w:t>
            </w:r>
          </w:p>
        </w:tc>
        <w:tc>
          <w:tcPr>
            <w:tcW w:w="3385" w:type="dxa"/>
            <w:noWrap w:val="0"/>
            <w:vAlign w:val="center"/>
          </w:tcPr>
          <w:p w14:paraId="0097BD8C">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检查内容</w:t>
            </w:r>
          </w:p>
        </w:tc>
        <w:tc>
          <w:tcPr>
            <w:tcW w:w="1512" w:type="dxa"/>
            <w:noWrap w:val="0"/>
            <w:vAlign w:val="center"/>
          </w:tcPr>
          <w:p w14:paraId="0B8C681A">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标准依据</w:t>
            </w:r>
          </w:p>
        </w:tc>
        <w:tc>
          <w:tcPr>
            <w:tcW w:w="2926" w:type="dxa"/>
            <w:noWrap w:val="0"/>
            <w:vAlign w:val="center"/>
          </w:tcPr>
          <w:p w14:paraId="0C76DC2B">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检查情况</w:t>
            </w:r>
          </w:p>
        </w:tc>
        <w:tc>
          <w:tcPr>
            <w:tcW w:w="655" w:type="dxa"/>
            <w:noWrap w:val="0"/>
            <w:vAlign w:val="center"/>
          </w:tcPr>
          <w:p w14:paraId="411C5FDC">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检查</w:t>
            </w:r>
          </w:p>
          <w:p w14:paraId="715FE476">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结论</w:t>
            </w:r>
          </w:p>
        </w:tc>
      </w:tr>
      <w:tr w14:paraId="387F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restart"/>
            <w:noWrap w:val="0"/>
            <w:vAlign w:val="center"/>
          </w:tcPr>
          <w:p w14:paraId="1F9C25E8">
            <w:pPr>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供电</w:t>
            </w:r>
          </w:p>
        </w:tc>
        <w:tc>
          <w:tcPr>
            <w:tcW w:w="3385" w:type="dxa"/>
            <w:noWrap w:val="0"/>
            <w:vAlign w:val="center"/>
          </w:tcPr>
          <w:p w14:paraId="1249D121">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矿山工程内部配电电源线路，应符合下列规定：</w:t>
            </w:r>
          </w:p>
          <w:p w14:paraId="6A18CF20">
            <w:pPr>
              <w:snapToGrid w:val="0"/>
              <w:spacing w:line="240" w:lineRule="auto"/>
              <w:ind w:firstLine="420" w:firstLineChars="20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1.一级负荷，应采用二回路电源线路，且分别接于电源不同的母线段。当条件受到限制时，应使一回路引自地面主变电所，另一回路引自地面同一负荷级的其它配电场所。</w:t>
            </w:r>
          </w:p>
          <w:p w14:paraId="312EFC1A">
            <w:pPr>
              <w:snapToGrid w:val="0"/>
              <w:spacing w:line="240" w:lineRule="auto"/>
              <w:ind w:firstLine="420" w:firstLineChars="20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2.二级负荷，宜采用二回路电源线路，且分别接于电源不同的母线段。当条件受到限制时，应使一回路引自地面主变电所，另一回路引自其它配电场所。</w:t>
            </w:r>
          </w:p>
          <w:p w14:paraId="5E75F836">
            <w:pPr>
              <w:snapToGrid w:val="0"/>
              <w:spacing w:line="240" w:lineRule="auto"/>
              <w:ind w:firstLine="420" w:firstLineChars="20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3.三级负荷，应采用一回电源线路供电。</w:t>
            </w:r>
          </w:p>
        </w:tc>
        <w:tc>
          <w:tcPr>
            <w:tcW w:w="1512" w:type="dxa"/>
            <w:noWrap w:val="0"/>
            <w:vAlign w:val="center"/>
          </w:tcPr>
          <w:p w14:paraId="4D4D11A6">
            <w:pPr>
              <w:pStyle w:val="38"/>
              <w:snapToGrid w:val="0"/>
              <w:spacing w:line="240" w:lineRule="auto"/>
              <w:ind w:left="0"/>
              <w:rPr>
                <w:rFonts w:hint="eastAsia" w:ascii="Times New Roman" w:hAnsi="Times New Roman" w:eastAsia="宋体" w:cs="宋体"/>
                <w:caps w:val="0"/>
                <w:smallCaps w:val="0"/>
                <w:color w:val="000000"/>
                <w:sz w:val="21"/>
                <w:szCs w:val="21"/>
                <w:highlight w:val="none"/>
              </w:rPr>
            </w:pPr>
            <w:r>
              <w:rPr>
                <w:rFonts w:hint="eastAsia" w:ascii="Times New Roman" w:hAnsi="Times New Roman" w:eastAsia="宋体" w:cs="宋体"/>
                <w:caps w:val="0"/>
                <w:smallCaps w:val="0"/>
                <w:color w:val="000000"/>
                <w:sz w:val="21"/>
                <w:szCs w:val="21"/>
                <w:highlight w:val="none"/>
              </w:rPr>
              <w:t>GB50070-2020/2.0.21</w:t>
            </w:r>
          </w:p>
        </w:tc>
        <w:tc>
          <w:tcPr>
            <w:tcW w:w="2926" w:type="dxa"/>
            <w:noWrap w:val="0"/>
            <w:vAlign w:val="center"/>
          </w:tcPr>
          <w:p w14:paraId="078FD648">
            <w:pPr>
              <w:snapToGrid w:val="0"/>
              <w:spacing w:line="240" w:lineRule="auto"/>
              <w:ind w:firstLine="189" w:firstLineChars="90"/>
              <w:rPr>
                <w:rFonts w:hint="eastAsia" w:ascii="Times New Roman" w:hAnsi="Times New Roman" w:eastAsia="宋体" w:cs="宋体"/>
                <w:caps w:val="0"/>
                <w:smallCaps w:val="0"/>
                <w:sz w:val="21"/>
                <w:szCs w:val="21"/>
                <w:highlight w:val="none"/>
                <w:lang w:eastAsia="zh-CN"/>
              </w:rPr>
            </w:pPr>
            <w:r>
              <w:rPr>
                <w:rFonts w:hint="default" w:ascii="Times New Roman" w:hAnsi="Times New Roman" w:cs="Times New Roman"/>
                <w:color w:val="auto"/>
                <w:highlight w:val="none"/>
                <w:lang w:val="en-US" w:eastAsia="zh-CN"/>
              </w:rPr>
              <w:t>采用双重电源供电，一路主供电源引自草河城镇66千伏变电站10kV侧，距离本矿山8.5km，由LGJ-70架空输电线路至本矿山变电所。由于矿山受条件限制不具备两回路供电条件，为了保证矿井在供电电源因故障或其他原因停止供电时，仍能担负矿山一级负荷的需要，以保障人员、排水等安全用电，故设置备用电源。另一路由柴油发电机组供电，为备用保安电源，选择1台650kW 10.5kV柴油发电机组，以保证一级负荷的供电电源，满足要求。以上两回电源均安全可靠且满足用电需要。</w:t>
            </w:r>
          </w:p>
        </w:tc>
        <w:tc>
          <w:tcPr>
            <w:tcW w:w="655" w:type="dxa"/>
            <w:noWrap w:val="0"/>
            <w:vAlign w:val="center"/>
          </w:tcPr>
          <w:p w14:paraId="53BD8968">
            <w:pPr>
              <w:adjustRightInd w:val="0"/>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kern w:val="0"/>
                <w:sz w:val="21"/>
                <w:szCs w:val="21"/>
                <w:highlight w:val="none"/>
              </w:rPr>
              <w:t>符合</w:t>
            </w:r>
          </w:p>
        </w:tc>
      </w:tr>
      <w:tr w14:paraId="58BD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continue"/>
            <w:noWrap w:val="0"/>
            <w:vAlign w:val="center"/>
          </w:tcPr>
          <w:p w14:paraId="32DF9C95">
            <w:pPr>
              <w:snapToGrid w:val="0"/>
              <w:spacing w:line="240" w:lineRule="auto"/>
              <w:jc w:val="center"/>
              <w:rPr>
                <w:rFonts w:hint="eastAsia" w:ascii="Times New Roman" w:hAnsi="Times New Roman" w:cs="宋体"/>
                <w:caps w:val="0"/>
                <w:smallCaps w:val="0"/>
                <w:color w:val="000000"/>
                <w:sz w:val="21"/>
                <w:szCs w:val="21"/>
                <w:highlight w:val="none"/>
              </w:rPr>
            </w:pPr>
          </w:p>
        </w:tc>
        <w:tc>
          <w:tcPr>
            <w:tcW w:w="3385" w:type="dxa"/>
            <w:noWrap w:val="0"/>
            <w:vAlign w:val="center"/>
          </w:tcPr>
          <w:p w14:paraId="5FE9A581">
            <w:pPr>
              <w:snapToGrid w:val="0"/>
              <w:spacing w:line="240" w:lineRule="auto"/>
              <w:ind w:firstLine="189" w:firstLineChars="90"/>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井下采用的电压应符合下列规定：</w:t>
            </w:r>
          </w:p>
          <w:p w14:paraId="729B8922">
            <w:pPr>
              <w:pStyle w:val="2"/>
              <w:numPr>
                <w:ilvl w:val="0"/>
                <w:numId w:val="70"/>
              </w:numPr>
              <w:snapToGrid w:val="0"/>
              <w:spacing w:line="240" w:lineRule="auto"/>
              <w:ind w:left="0" w:leftChars="0" w:firstLine="0"/>
              <w:rPr>
                <w:rFonts w:hint="eastAsia" w:ascii="Times New Roman" w:hAnsi="Times New Roman" w:cs="宋体"/>
                <w:caps w:val="0"/>
                <w:smallCaps w:val="0"/>
                <w:szCs w:val="21"/>
                <w:highlight w:val="none"/>
              </w:rPr>
            </w:pPr>
            <w:r>
              <w:rPr>
                <w:rFonts w:hint="eastAsia" w:ascii="Times New Roman" w:hAnsi="Times New Roman" w:cs="宋体"/>
                <w:caps w:val="0"/>
                <w:smallCaps w:val="0"/>
                <w:szCs w:val="21"/>
                <w:highlight w:val="none"/>
              </w:rPr>
              <w:t>高压不超过35kV；</w:t>
            </w:r>
          </w:p>
          <w:p w14:paraId="41323205">
            <w:pPr>
              <w:numPr>
                <w:ilvl w:val="0"/>
                <w:numId w:val="70"/>
              </w:numPr>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低压不超过1140kV；</w:t>
            </w:r>
          </w:p>
          <w:p w14:paraId="63578B77">
            <w:pPr>
              <w:numPr>
                <w:ilvl w:val="0"/>
                <w:numId w:val="70"/>
              </w:numPr>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运输巷道、井底车场照明不超过220V；采掘工作面、出矿巷道、天井和天井至回采工作面之间照明，不超过36V，行灯电压不超过36V；</w:t>
            </w:r>
          </w:p>
          <w:p w14:paraId="4F225336">
            <w:pPr>
              <w:numPr>
                <w:ilvl w:val="0"/>
                <w:numId w:val="70"/>
              </w:numPr>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手持电气设备电压不超过127V；</w:t>
            </w:r>
          </w:p>
          <w:p w14:paraId="4778BF20">
            <w:pPr>
              <w:numPr>
                <w:ilvl w:val="0"/>
                <w:numId w:val="70"/>
              </w:numPr>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电机牵引网络电压：交流不超过380V；直流不超过750V;</w:t>
            </w:r>
          </w:p>
        </w:tc>
        <w:tc>
          <w:tcPr>
            <w:tcW w:w="1512" w:type="dxa"/>
            <w:noWrap w:val="0"/>
            <w:vAlign w:val="center"/>
          </w:tcPr>
          <w:p w14:paraId="4D3E8C11">
            <w:pPr>
              <w:snapToGrid w:val="0"/>
              <w:spacing w:line="240" w:lineRule="auto"/>
              <w:rPr>
                <w:rFonts w:hint="eastAsia" w:ascii="Times New Roman" w:hAnsi="Times New Roman" w:cs="宋体"/>
                <w:caps w:val="0"/>
                <w:smallCaps w:val="0"/>
                <w:snapToGrid w:val="0"/>
                <w:color w:val="000000"/>
                <w:kern w:val="0"/>
                <w:sz w:val="21"/>
                <w:szCs w:val="21"/>
                <w:highlight w:val="none"/>
              </w:rPr>
            </w:pPr>
            <w:r>
              <w:rPr>
                <w:rFonts w:hint="eastAsia" w:ascii="Times New Roman" w:hAnsi="Times New Roman" w:cs="宋体"/>
                <w:caps w:val="0"/>
                <w:smallCaps w:val="0"/>
                <w:snapToGrid w:val="0"/>
                <w:color w:val="000000"/>
                <w:kern w:val="0"/>
                <w:sz w:val="21"/>
                <w:szCs w:val="21"/>
                <w:highlight w:val="none"/>
              </w:rPr>
              <w:t>GB16423-2020/6.7.1.4</w:t>
            </w:r>
          </w:p>
        </w:tc>
        <w:tc>
          <w:tcPr>
            <w:tcW w:w="2926" w:type="dxa"/>
            <w:noWrap w:val="0"/>
            <w:vAlign w:val="center"/>
          </w:tcPr>
          <w:p w14:paraId="6D44D6D9">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井下照明选用矿用照明变压器，照明电压为220V，并装设漏电保护装置。</w:t>
            </w:r>
          </w:p>
          <w:p w14:paraId="447AA809">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井下运输巷道、井底车场照明电压为220V；采掘工作面、出矿巷道、天井和天井至回采工作面之间电压为36V；行灯电压为36V以下，照明灯具选用矿用荧光灯。</w:t>
            </w:r>
          </w:p>
        </w:tc>
        <w:tc>
          <w:tcPr>
            <w:tcW w:w="655" w:type="dxa"/>
            <w:noWrap w:val="0"/>
            <w:vAlign w:val="center"/>
          </w:tcPr>
          <w:p w14:paraId="6A837A9C">
            <w:pPr>
              <w:adjustRightInd w:val="0"/>
              <w:snapToGrid w:val="0"/>
              <w:spacing w:line="240" w:lineRule="auto"/>
              <w:jc w:val="center"/>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kern w:val="0"/>
                <w:sz w:val="21"/>
                <w:szCs w:val="21"/>
                <w:highlight w:val="none"/>
              </w:rPr>
              <w:t>符合</w:t>
            </w:r>
          </w:p>
        </w:tc>
      </w:tr>
      <w:tr w14:paraId="020AE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680" w:type="dxa"/>
            <w:vMerge w:val="restart"/>
            <w:noWrap w:val="0"/>
            <w:vAlign w:val="center"/>
          </w:tcPr>
          <w:p w14:paraId="63CE6BEE">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电气设备</w:t>
            </w:r>
          </w:p>
        </w:tc>
        <w:tc>
          <w:tcPr>
            <w:tcW w:w="3385" w:type="dxa"/>
            <w:noWrap w:val="0"/>
            <w:vAlign w:val="center"/>
          </w:tcPr>
          <w:p w14:paraId="1D40F5CA">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井下不应采用油浸式电气设备。</w:t>
            </w:r>
          </w:p>
        </w:tc>
        <w:tc>
          <w:tcPr>
            <w:tcW w:w="1512" w:type="dxa"/>
            <w:noWrap w:val="0"/>
            <w:vAlign w:val="center"/>
          </w:tcPr>
          <w:p w14:paraId="19C178E1">
            <w:pPr>
              <w:snapToGrid w:val="0"/>
              <w:spacing w:line="240" w:lineRule="auto"/>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kern w:val="0"/>
                <w:sz w:val="21"/>
                <w:szCs w:val="21"/>
                <w:highlight w:val="none"/>
              </w:rPr>
              <w:t>GB50070-2020/6.7.3.1</w:t>
            </w:r>
          </w:p>
        </w:tc>
        <w:tc>
          <w:tcPr>
            <w:tcW w:w="2926" w:type="dxa"/>
            <w:noWrap w:val="0"/>
            <w:vAlign w:val="center"/>
          </w:tcPr>
          <w:p w14:paraId="220D7970">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《可研报告》设计电气设备未采用油浸式电气设备。</w:t>
            </w:r>
          </w:p>
        </w:tc>
        <w:tc>
          <w:tcPr>
            <w:tcW w:w="655" w:type="dxa"/>
            <w:noWrap w:val="0"/>
            <w:vAlign w:val="center"/>
          </w:tcPr>
          <w:p w14:paraId="04EAA7F1">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r w14:paraId="1CBAA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 w:hRule="atLeast"/>
          <w:jc w:val="center"/>
        </w:trPr>
        <w:tc>
          <w:tcPr>
            <w:tcW w:w="680" w:type="dxa"/>
            <w:vMerge w:val="continue"/>
            <w:noWrap w:val="0"/>
            <w:vAlign w:val="center"/>
          </w:tcPr>
          <w:p w14:paraId="3DDA545E">
            <w:pPr>
              <w:snapToGrid w:val="0"/>
              <w:spacing w:line="240" w:lineRule="auto"/>
              <w:jc w:val="center"/>
              <w:rPr>
                <w:rFonts w:hint="eastAsia" w:ascii="Times New Roman" w:hAnsi="Times New Roman" w:cs="宋体"/>
                <w:caps w:val="0"/>
                <w:smallCaps w:val="0"/>
                <w:color w:val="000000"/>
                <w:sz w:val="21"/>
                <w:szCs w:val="21"/>
                <w:highlight w:val="none"/>
              </w:rPr>
            </w:pPr>
          </w:p>
        </w:tc>
        <w:tc>
          <w:tcPr>
            <w:tcW w:w="3385" w:type="dxa"/>
            <w:noWrap w:val="0"/>
            <w:vAlign w:val="center"/>
          </w:tcPr>
          <w:p w14:paraId="58CC64DA">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向井下供电的线路不得装设自动重合闸装置。</w:t>
            </w:r>
          </w:p>
        </w:tc>
        <w:tc>
          <w:tcPr>
            <w:tcW w:w="1512" w:type="dxa"/>
            <w:noWrap w:val="0"/>
            <w:vAlign w:val="center"/>
          </w:tcPr>
          <w:p w14:paraId="1F8096D4">
            <w:pPr>
              <w:snapToGrid w:val="0"/>
              <w:spacing w:line="240" w:lineRule="auto"/>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kern w:val="0"/>
                <w:sz w:val="21"/>
                <w:szCs w:val="21"/>
                <w:highlight w:val="none"/>
              </w:rPr>
              <w:t>GB16423-2020/6.7.3.2</w:t>
            </w:r>
          </w:p>
        </w:tc>
        <w:tc>
          <w:tcPr>
            <w:tcW w:w="2926" w:type="dxa"/>
            <w:noWrap w:val="0"/>
            <w:vAlign w:val="center"/>
          </w:tcPr>
          <w:p w14:paraId="4FBC55A9">
            <w:pPr>
              <w:snapToGrid w:val="0"/>
              <w:spacing w:line="240" w:lineRule="auto"/>
              <w:ind w:firstLine="189" w:firstLineChars="90"/>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《可研报告》未设计自动重合闸装置。</w:t>
            </w:r>
          </w:p>
        </w:tc>
        <w:tc>
          <w:tcPr>
            <w:tcW w:w="655" w:type="dxa"/>
            <w:noWrap w:val="0"/>
            <w:vAlign w:val="center"/>
          </w:tcPr>
          <w:p w14:paraId="27E7803E">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r w14:paraId="7F863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680" w:type="dxa"/>
            <w:vMerge w:val="restart"/>
            <w:noWrap w:val="0"/>
            <w:vAlign w:val="center"/>
          </w:tcPr>
          <w:p w14:paraId="61958321">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防雷及应急照明</w:t>
            </w:r>
          </w:p>
        </w:tc>
        <w:tc>
          <w:tcPr>
            <w:tcW w:w="3385" w:type="dxa"/>
            <w:noWrap w:val="0"/>
            <w:vAlign w:val="center"/>
          </w:tcPr>
          <w:p w14:paraId="3CCF6CE1">
            <w:pPr>
              <w:adjustRightInd w:val="0"/>
              <w:snapToGrid w:val="0"/>
              <w:spacing w:line="240" w:lineRule="auto"/>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sz w:val="21"/>
                <w:szCs w:val="21"/>
                <w:highlight w:val="none"/>
              </w:rPr>
              <w:t>地面建（构）筑物防雷应符合GB50057-2010的规定；经由地面架空线路引入井下变（配）电所的供电电缆，应在架空线与电缆连接处装设避雷装置；应急照明应符合GB50414-2007第10.5条规定。</w:t>
            </w:r>
          </w:p>
        </w:tc>
        <w:tc>
          <w:tcPr>
            <w:tcW w:w="1512" w:type="dxa"/>
            <w:noWrap w:val="0"/>
            <w:vAlign w:val="center"/>
          </w:tcPr>
          <w:p w14:paraId="2CE7A92E">
            <w:pPr>
              <w:snapToGrid w:val="0"/>
              <w:spacing w:line="240" w:lineRule="auto"/>
              <w:jc w:val="center"/>
              <w:rPr>
                <w:rFonts w:hint="eastAsia" w:ascii="Times New Roman" w:hAnsi="Times New Roman" w:cs="宋体"/>
                <w:caps w:val="0"/>
                <w:smallCaps w:val="0"/>
                <w:snapToGrid w:val="0"/>
                <w:color w:val="000000"/>
                <w:kern w:val="0"/>
                <w:sz w:val="21"/>
                <w:szCs w:val="21"/>
                <w:highlight w:val="none"/>
              </w:rPr>
            </w:pPr>
            <w:r>
              <w:rPr>
                <w:rFonts w:hint="eastAsia" w:ascii="Times New Roman" w:hAnsi="Times New Roman" w:cs="宋体"/>
                <w:caps w:val="0"/>
                <w:smallCaps w:val="0"/>
                <w:snapToGrid w:val="0"/>
                <w:color w:val="000000"/>
                <w:kern w:val="0"/>
                <w:sz w:val="21"/>
                <w:szCs w:val="21"/>
                <w:highlight w:val="none"/>
              </w:rPr>
              <w:t xml:space="preserve">GB50414-2007/10.5 </w:t>
            </w:r>
          </w:p>
        </w:tc>
        <w:tc>
          <w:tcPr>
            <w:tcW w:w="2926" w:type="dxa"/>
            <w:noWrap w:val="0"/>
            <w:vAlign w:val="center"/>
          </w:tcPr>
          <w:p w14:paraId="036ED2A5">
            <w:pPr>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设计方案中明确了相关内容。</w:t>
            </w:r>
          </w:p>
        </w:tc>
        <w:tc>
          <w:tcPr>
            <w:tcW w:w="655" w:type="dxa"/>
            <w:noWrap w:val="0"/>
            <w:vAlign w:val="center"/>
          </w:tcPr>
          <w:p w14:paraId="29428C2B">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r w14:paraId="72BE1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 w:hRule="atLeast"/>
          <w:jc w:val="center"/>
        </w:trPr>
        <w:tc>
          <w:tcPr>
            <w:tcW w:w="680" w:type="dxa"/>
            <w:vMerge w:val="continue"/>
            <w:noWrap w:val="0"/>
            <w:vAlign w:val="center"/>
          </w:tcPr>
          <w:p w14:paraId="24F3BA0C">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p>
        </w:tc>
        <w:tc>
          <w:tcPr>
            <w:tcW w:w="3385" w:type="dxa"/>
            <w:noWrap w:val="0"/>
            <w:vAlign w:val="center"/>
          </w:tcPr>
          <w:p w14:paraId="7A2E5DFC">
            <w:pPr>
              <w:adjustRightInd w:val="0"/>
              <w:snapToGrid w:val="0"/>
              <w:spacing w:line="240" w:lineRule="auto"/>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kern w:val="0"/>
                <w:sz w:val="21"/>
                <w:szCs w:val="21"/>
                <w:highlight w:val="none"/>
              </w:rPr>
              <w:t>井下所有作业地点、安全通道和通往作业地点的通道均应设照明</w:t>
            </w:r>
            <w:r>
              <w:rPr>
                <w:rFonts w:hint="eastAsia" w:ascii="Times New Roman" w:hAnsi="Times New Roman" w:cs="宋体"/>
                <w:caps w:val="0"/>
                <w:smallCaps w:val="0"/>
                <w:color w:val="000000"/>
                <w:sz w:val="21"/>
                <w:szCs w:val="21"/>
                <w:highlight w:val="none"/>
              </w:rPr>
              <w:t>。</w:t>
            </w:r>
          </w:p>
        </w:tc>
        <w:tc>
          <w:tcPr>
            <w:tcW w:w="1512" w:type="dxa"/>
            <w:noWrap w:val="0"/>
            <w:vAlign w:val="center"/>
          </w:tcPr>
          <w:p w14:paraId="651F2496">
            <w:pPr>
              <w:snapToGrid w:val="0"/>
              <w:spacing w:line="240" w:lineRule="auto"/>
              <w:rPr>
                <w:rFonts w:hint="eastAsia" w:ascii="Times New Roman" w:hAnsi="Times New Roman" w:cs="宋体"/>
                <w:caps w:val="0"/>
                <w:smallCaps w:val="0"/>
                <w:snapToGrid w:val="0"/>
                <w:color w:val="000000"/>
                <w:kern w:val="0"/>
                <w:sz w:val="21"/>
                <w:szCs w:val="21"/>
                <w:highlight w:val="none"/>
              </w:rPr>
            </w:pPr>
            <w:r>
              <w:rPr>
                <w:rFonts w:hint="eastAsia" w:ascii="Times New Roman" w:hAnsi="Times New Roman" w:cs="宋体"/>
                <w:caps w:val="0"/>
                <w:smallCaps w:val="0"/>
                <w:snapToGrid w:val="0"/>
                <w:color w:val="000000"/>
                <w:kern w:val="0"/>
                <w:sz w:val="21"/>
                <w:szCs w:val="21"/>
                <w:highlight w:val="none"/>
              </w:rPr>
              <w:t>GB16423-2020/6.7.5.1</w:t>
            </w:r>
          </w:p>
        </w:tc>
        <w:tc>
          <w:tcPr>
            <w:tcW w:w="2926" w:type="dxa"/>
            <w:noWrap w:val="0"/>
            <w:vAlign w:val="center"/>
          </w:tcPr>
          <w:p w14:paraId="7233FB84">
            <w:pPr>
              <w:adjustRightInd w:val="0"/>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井下运输巷道、井底车场照明电压为220V；采掘工作面、出矿巷道、天井和天井至回采工作面之间电压为36V；行灯电压为36V以下，照明灯具选用矿用荧光灯。</w:t>
            </w:r>
          </w:p>
        </w:tc>
        <w:tc>
          <w:tcPr>
            <w:tcW w:w="655" w:type="dxa"/>
            <w:noWrap w:val="0"/>
            <w:vAlign w:val="center"/>
          </w:tcPr>
          <w:p w14:paraId="78DBCACB">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r w14:paraId="0E716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B0C456B">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电气保护</w:t>
            </w:r>
          </w:p>
          <w:p w14:paraId="0DD032A0">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接地</w:t>
            </w:r>
          </w:p>
        </w:tc>
        <w:tc>
          <w:tcPr>
            <w:tcW w:w="3385" w:type="dxa"/>
            <w:noWrap w:val="0"/>
            <w:vAlign w:val="center"/>
          </w:tcPr>
          <w:p w14:paraId="5B3927E2">
            <w:pPr>
              <w:autoSpaceDE w:val="0"/>
              <w:autoSpaceDN w:val="0"/>
              <w:adjustRightInd w:val="0"/>
              <w:snapToGrid w:val="0"/>
              <w:spacing w:line="240" w:lineRule="auto"/>
              <w:jc w:val="left"/>
              <w:rPr>
                <w:rFonts w:hint="eastAsia" w:ascii="Times New Roman" w:hAnsi="Times New Roman" w:cs="宋体"/>
                <w:caps w:val="0"/>
                <w:smallCaps w:val="0"/>
                <w:color w:val="000000"/>
                <w:kern w:val="0"/>
                <w:sz w:val="21"/>
                <w:szCs w:val="21"/>
                <w:highlight w:val="none"/>
              </w:rPr>
            </w:pPr>
            <w:r>
              <w:rPr>
                <w:rFonts w:hint="eastAsia" w:ascii="Times New Roman" w:hAnsi="Times New Roman" w:cs="宋体"/>
                <w:caps w:val="0"/>
                <w:smallCaps w:val="0"/>
                <w:color w:val="000000"/>
                <w:kern w:val="0"/>
                <w:sz w:val="21"/>
                <w:szCs w:val="21"/>
                <w:highlight w:val="none"/>
              </w:rPr>
              <w:t>井下电气装置、设备的外露可导电部分和构架及电缆的配件、接线盒、金属外皮等应接地</w:t>
            </w:r>
            <w:r>
              <w:rPr>
                <w:rFonts w:hint="eastAsia" w:ascii="Times New Roman" w:hAnsi="Times New Roman" w:cs="宋体"/>
                <w:caps w:val="0"/>
                <w:smallCaps w:val="0"/>
                <w:color w:val="000000"/>
                <w:sz w:val="21"/>
                <w:szCs w:val="21"/>
                <w:highlight w:val="none"/>
              </w:rPr>
              <w:t>。</w:t>
            </w:r>
          </w:p>
        </w:tc>
        <w:tc>
          <w:tcPr>
            <w:tcW w:w="1512" w:type="dxa"/>
            <w:noWrap w:val="0"/>
            <w:vAlign w:val="center"/>
          </w:tcPr>
          <w:p w14:paraId="54B9D028">
            <w:pPr>
              <w:snapToGrid w:val="0"/>
              <w:spacing w:line="240" w:lineRule="auto"/>
              <w:jc w:val="center"/>
              <w:rPr>
                <w:rFonts w:hint="eastAsia" w:ascii="Times New Roman" w:hAnsi="Times New Roman" w:cs="宋体"/>
                <w:caps w:val="0"/>
                <w:smallCaps w:val="0"/>
                <w:snapToGrid w:val="0"/>
                <w:color w:val="000000"/>
                <w:kern w:val="0"/>
                <w:sz w:val="21"/>
                <w:szCs w:val="21"/>
                <w:highlight w:val="none"/>
              </w:rPr>
            </w:pPr>
            <w:r>
              <w:rPr>
                <w:rFonts w:hint="eastAsia" w:ascii="Times New Roman" w:hAnsi="Times New Roman" w:cs="宋体"/>
                <w:caps w:val="0"/>
                <w:smallCaps w:val="0"/>
                <w:snapToGrid w:val="0"/>
                <w:color w:val="000000"/>
                <w:kern w:val="0"/>
                <w:sz w:val="21"/>
                <w:szCs w:val="21"/>
                <w:highlight w:val="none"/>
              </w:rPr>
              <w:t>GB16423-2020/6.7.6.1</w:t>
            </w:r>
          </w:p>
        </w:tc>
        <w:tc>
          <w:tcPr>
            <w:tcW w:w="2926" w:type="dxa"/>
            <w:noWrap w:val="0"/>
            <w:vAlign w:val="center"/>
          </w:tcPr>
          <w:p w14:paraId="47444A39">
            <w:pPr>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kern w:val="0"/>
                <w:sz w:val="21"/>
                <w:szCs w:val="21"/>
                <w:highlight w:val="none"/>
              </w:rPr>
              <w:t>设计方案中明确了井下电气设备配件、接线盒、金属外皮接地保护</w:t>
            </w:r>
            <w:r>
              <w:rPr>
                <w:rFonts w:hint="eastAsia" w:ascii="Times New Roman" w:hAnsi="Times New Roman" w:cs="宋体"/>
                <w:caps w:val="0"/>
                <w:smallCaps w:val="0"/>
                <w:color w:val="000000"/>
                <w:sz w:val="21"/>
                <w:szCs w:val="21"/>
                <w:highlight w:val="none"/>
              </w:rPr>
              <w:t>。</w:t>
            </w:r>
          </w:p>
        </w:tc>
        <w:tc>
          <w:tcPr>
            <w:tcW w:w="655" w:type="dxa"/>
            <w:noWrap w:val="0"/>
            <w:vAlign w:val="center"/>
          </w:tcPr>
          <w:p w14:paraId="671F935E">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r w14:paraId="236E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9D1F559">
            <w:pPr>
              <w:tabs>
                <w:tab w:val="left" w:pos="1050"/>
              </w:tabs>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井下电缆</w:t>
            </w:r>
          </w:p>
        </w:tc>
        <w:tc>
          <w:tcPr>
            <w:tcW w:w="3385" w:type="dxa"/>
            <w:noWrap w:val="0"/>
            <w:vAlign w:val="center"/>
          </w:tcPr>
          <w:p w14:paraId="72EA916F">
            <w:pPr>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井下应采用低烟、低卤或无卤的阻燃电缆。</w:t>
            </w:r>
          </w:p>
        </w:tc>
        <w:tc>
          <w:tcPr>
            <w:tcW w:w="1512" w:type="dxa"/>
            <w:noWrap w:val="0"/>
            <w:vAlign w:val="center"/>
          </w:tcPr>
          <w:p w14:paraId="14B58D4F">
            <w:pPr>
              <w:snapToGrid w:val="0"/>
              <w:spacing w:line="240" w:lineRule="auto"/>
              <w:rPr>
                <w:rFonts w:hint="eastAsia" w:ascii="Times New Roman" w:hAnsi="Times New Roman" w:eastAsia="宋体" w:cs="宋体"/>
                <w:caps w:val="0"/>
                <w:smallCaps w:val="0"/>
                <w:snapToGrid w:val="0"/>
                <w:color w:val="000000"/>
                <w:kern w:val="0"/>
                <w:sz w:val="21"/>
                <w:szCs w:val="21"/>
                <w:highlight w:val="none"/>
                <w:lang w:eastAsia="zh-CN"/>
              </w:rPr>
            </w:pPr>
            <w:r>
              <w:rPr>
                <w:rFonts w:hint="eastAsia" w:ascii="Times New Roman" w:hAnsi="Times New Roman" w:cs="宋体"/>
                <w:caps w:val="0"/>
                <w:smallCaps w:val="0"/>
                <w:color w:val="000000"/>
                <w:sz w:val="21"/>
                <w:szCs w:val="21"/>
                <w:highlight w:val="none"/>
              </w:rPr>
              <w:t>GB16423-2020/6.7.2.</w:t>
            </w:r>
            <w:r>
              <w:rPr>
                <w:rFonts w:hint="eastAsia" w:ascii="Times New Roman" w:hAnsi="Times New Roman" w:cs="宋体"/>
                <w:caps w:val="0"/>
                <w:smallCaps w:val="0"/>
                <w:color w:val="000000"/>
                <w:sz w:val="21"/>
                <w:szCs w:val="21"/>
                <w:highlight w:val="none"/>
                <w:lang w:val="en-US" w:eastAsia="zh-CN"/>
              </w:rPr>
              <w:t>1</w:t>
            </w:r>
          </w:p>
        </w:tc>
        <w:tc>
          <w:tcPr>
            <w:tcW w:w="2926" w:type="dxa"/>
            <w:noWrap w:val="0"/>
            <w:vAlign w:val="center"/>
          </w:tcPr>
          <w:p w14:paraId="025F21F5">
            <w:pPr>
              <w:snapToGrid w:val="0"/>
              <w:spacing w:line="240" w:lineRule="auto"/>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kern w:val="0"/>
                <w:sz w:val="21"/>
                <w:szCs w:val="21"/>
                <w:highlight w:val="none"/>
              </w:rPr>
              <w:t>电缆选用具有矿用安全标识</w:t>
            </w:r>
            <w:r>
              <w:rPr>
                <w:rFonts w:hint="eastAsia" w:ascii="Times New Roman" w:hAnsi="Times New Roman" w:eastAsia="仿宋" w:cs="Times New Roman"/>
                <w:smallCaps w:val="0"/>
                <w:color w:val="auto"/>
                <w:highlight w:val="none"/>
                <w:lang w:val="en-US" w:eastAsia="zh-CN"/>
              </w:rPr>
              <w:t>WD-MYJY</w:t>
            </w:r>
            <w:r>
              <w:rPr>
                <w:rFonts w:hint="eastAsia" w:ascii="Times New Roman" w:hAnsi="Times New Roman" w:eastAsia="仿宋" w:cs="Times New Roman"/>
                <w:smallCaps w:val="0"/>
                <w:color w:val="auto"/>
                <w:highlight w:val="none"/>
                <w:vertAlign w:val="subscript"/>
                <w:lang w:val="en-US" w:eastAsia="zh-CN"/>
              </w:rPr>
              <w:t>43</w:t>
            </w:r>
            <w:r>
              <w:rPr>
                <w:rFonts w:hint="eastAsia" w:ascii="Times New Roman" w:hAnsi="Times New Roman" w:eastAsia="仿宋" w:cs="Times New Roman"/>
                <w:smallCaps w:val="0"/>
                <w:color w:val="auto"/>
                <w:highlight w:val="none"/>
                <w:lang w:val="en-US" w:eastAsia="zh-CN"/>
              </w:rPr>
              <w:t>-8.7/10kV-1(3×50)mm</w:t>
            </w:r>
            <w:r>
              <w:rPr>
                <w:rFonts w:hint="eastAsia" w:ascii="Times New Roman" w:hAnsi="Times New Roman" w:eastAsia="仿宋" w:cs="Times New Roman"/>
                <w:smallCaps w:val="0"/>
                <w:color w:val="auto"/>
                <w:highlight w:val="none"/>
                <w:vertAlign w:val="superscript"/>
                <w:lang w:val="en-US" w:eastAsia="zh-CN"/>
              </w:rPr>
              <w:t>2</w:t>
            </w:r>
            <w:r>
              <w:rPr>
                <w:rFonts w:hint="eastAsia" w:ascii="Times New Roman" w:hAnsi="Times New Roman" w:cs="宋体"/>
                <w:caps w:val="0"/>
                <w:smallCaps w:val="0"/>
                <w:color w:val="000000"/>
                <w:kern w:val="0"/>
                <w:sz w:val="21"/>
                <w:szCs w:val="21"/>
                <w:highlight w:val="none"/>
              </w:rPr>
              <w:t>芯无卤低烟钢带铠装电力阻燃电缆</w:t>
            </w:r>
          </w:p>
        </w:tc>
        <w:tc>
          <w:tcPr>
            <w:tcW w:w="655" w:type="dxa"/>
            <w:noWrap w:val="0"/>
            <w:vAlign w:val="center"/>
          </w:tcPr>
          <w:p w14:paraId="42030425">
            <w:pPr>
              <w:snapToGrid w:val="0"/>
              <w:spacing w:line="240" w:lineRule="auto"/>
              <w:jc w:val="center"/>
              <w:rPr>
                <w:rFonts w:hint="eastAsia" w:ascii="Times New Roman" w:hAnsi="Times New Roman" w:cs="宋体"/>
                <w:caps w:val="0"/>
                <w:smallCaps w:val="0"/>
                <w:color w:val="000000"/>
                <w:sz w:val="21"/>
                <w:szCs w:val="21"/>
                <w:highlight w:val="none"/>
              </w:rPr>
            </w:pPr>
            <w:r>
              <w:rPr>
                <w:rFonts w:hint="eastAsia" w:ascii="Times New Roman" w:hAnsi="Times New Roman" w:cs="宋体"/>
                <w:caps w:val="0"/>
                <w:smallCaps w:val="0"/>
                <w:color w:val="000000"/>
                <w:sz w:val="21"/>
                <w:szCs w:val="21"/>
                <w:highlight w:val="none"/>
              </w:rPr>
              <w:t>符合</w:t>
            </w:r>
          </w:p>
        </w:tc>
      </w:tr>
    </w:tbl>
    <w:p w14:paraId="6A0A534D">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highlight w:val="none"/>
          <w:lang w:val="en-US" w:eastAsia="zh-CN"/>
        </w:rPr>
      </w:pPr>
      <w:r>
        <w:rPr>
          <w:rFonts w:hint="default"/>
          <w:highlight w:val="none"/>
          <w:lang w:val="en-US" w:eastAsia="zh-CN"/>
        </w:rPr>
        <w:t>矿山采用双电源双回路供电系统。设计方案中的矿山供电电源、计算负荷、供电方案、供配电系统、装备水平、主要设备、照明、电器安全与防雷接地及电信等按标准规范要求进行了设计，矿山供配电设施符合相关法律、法规的要求。</w:t>
      </w:r>
    </w:p>
    <w:p w14:paraId="23ECC146">
      <w:pPr>
        <w:pStyle w:val="22"/>
        <w:bidi w:val="0"/>
        <w:rPr>
          <w:rFonts w:hint="default"/>
          <w:highlight w:val="none"/>
          <w:lang w:val="en-US" w:eastAsia="zh-CN"/>
        </w:rPr>
      </w:pPr>
      <w:r>
        <w:rPr>
          <w:rFonts w:hint="default"/>
          <w:highlight w:val="none"/>
          <w:lang w:val="en-US" w:eastAsia="zh-CN"/>
        </w:rPr>
        <w:t>建设单位在施工及以后生产过程中，要严格按设计设置供电线路、配电室及变电所，并定期对电气线路及电气设备进行维护检修，电气作业人员应持有特种作业人员资格证，并且应严格按照电气作业操作规程进行，并杜绝违章作业，同时作业时佩带必要的劳动防护用品，能够保证供电系统的安全可靠。</w:t>
      </w:r>
    </w:p>
    <w:p w14:paraId="641782B2">
      <w:pPr>
        <w:pStyle w:val="30"/>
        <w:bidi w:val="0"/>
        <w:rPr>
          <w:rFonts w:hint="default"/>
          <w:highlight w:val="none"/>
          <w:lang w:val="en-US" w:eastAsia="zh-CN"/>
        </w:rPr>
      </w:pPr>
      <w:r>
        <w:rPr>
          <w:rFonts w:hint="default"/>
          <w:highlight w:val="none"/>
          <w:lang w:val="en-US" w:eastAsia="zh-CN"/>
        </w:rPr>
        <w:t>评价结果小结</w:t>
      </w:r>
    </w:p>
    <w:p w14:paraId="5EF5B458">
      <w:pPr>
        <w:pStyle w:val="22"/>
        <w:rPr>
          <w:rFonts w:hint="default"/>
          <w:highlight w:val="none"/>
          <w:lang w:val="en-US" w:eastAsia="zh-CN"/>
        </w:rPr>
      </w:pPr>
      <w:r>
        <w:rPr>
          <w:rFonts w:hint="default"/>
          <w:highlight w:val="none"/>
          <w:lang w:val="en-US" w:eastAsia="zh-CN"/>
        </w:rPr>
        <w:t>评价结果：如果建设单位施工及生产过程中严格落实可行性研究报告及本评价报告提出的安全对策措施，可以保证矿山电气单元安全可靠。</w:t>
      </w:r>
    </w:p>
    <w:p w14:paraId="4742FD68">
      <w:pPr>
        <w:pStyle w:val="29"/>
        <w:bidi w:val="0"/>
        <w:rPr>
          <w:rFonts w:hint="default"/>
          <w:highlight w:val="none"/>
          <w:lang w:val="en-US" w:eastAsia="zh-CN"/>
        </w:rPr>
      </w:pPr>
      <w:bookmarkStart w:id="29" w:name="_Toc24236"/>
      <w:r>
        <w:rPr>
          <w:rFonts w:hint="default"/>
          <w:highlight w:val="none"/>
          <w:lang w:val="en-US" w:eastAsia="zh-CN"/>
        </w:rPr>
        <w:t>防排水与防灭火单元评价</w:t>
      </w:r>
      <w:bookmarkEnd w:id="29"/>
    </w:p>
    <w:p w14:paraId="42B58D8F">
      <w:pPr>
        <w:pStyle w:val="30"/>
        <w:rPr>
          <w:rFonts w:hint="default"/>
          <w:highlight w:val="none"/>
          <w:lang w:val="en-US" w:eastAsia="zh-CN"/>
        </w:rPr>
      </w:pPr>
      <w:r>
        <w:rPr>
          <w:rFonts w:hint="default"/>
          <w:highlight w:val="none"/>
          <w:lang w:val="en-US" w:eastAsia="zh-CN"/>
        </w:rPr>
        <w:t>危险有害因素辨识</w:t>
      </w:r>
    </w:p>
    <w:p w14:paraId="26BABF04">
      <w:pPr>
        <w:pStyle w:val="22"/>
        <w:rPr>
          <w:rFonts w:hint="default"/>
          <w:highlight w:val="none"/>
          <w:lang w:val="en-US" w:eastAsia="zh-CN"/>
        </w:rPr>
      </w:pPr>
      <w:r>
        <w:rPr>
          <w:rFonts w:hint="default"/>
          <w:highlight w:val="none"/>
          <w:lang w:val="en-US" w:eastAsia="zh-CN"/>
        </w:rPr>
        <w:t>防排水与防灭火单元涉及到的危险、有害因素主要有透水、火灾。</w:t>
      </w:r>
    </w:p>
    <w:p w14:paraId="12C4FA30">
      <w:pPr>
        <w:pStyle w:val="22"/>
        <w:numPr>
          <w:ilvl w:val="0"/>
          <w:numId w:val="71"/>
        </w:numPr>
        <w:bidi w:val="0"/>
        <w:rPr>
          <w:rFonts w:hint="eastAsia"/>
          <w:highlight w:val="none"/>
        </w:rPr>
      </w:pPr>
      <w:r>
        <w:rPr>
          <w:rFonts w:hint="eastAsia"/>
          <w:highlight w:val="none"/>
        </w:rPr>
        <w:t>透水</w:t>
      </w:r>
    </w:p>
    <w:p w14:paraId="5D2E6BE3">
      <w:pPr>
        <w:pStyle w:val="22"/>
        <w:bidi w:val="0"/>
        <w:rPr>
          <w:rFonts w:hint="eastAsia"/>
          <w:highlight w:val="none"/>
        </w:rPr>
      </w:pPr>
      <w:r>
        <w:rPr>
          <w:rFonts w:hint="eastAsia"/>
          <w:highlight w:val="none"/>
        </w:rPr>
        <w:t>矿井在建设和生产过程中，地面水和地下水通过各种通道涌入矿井，当矿井涌水超过正常排水能力时，就造成矿井水灾。矿井水灾（通常称为透水），是非煤矿常见的主要灾害之一。一旦发生透水，不但影响矿井正常生产，而且有时还会造成人员伤亡，淹没矿井和采区，危害十分严重。</w:t>
      </w:r>
    </w:p>
    <w:p w14:paraId="362CF30B">
      <w:pPr>
        <w:pStyle w:val="22"/>
        <w:bidi w:val="0"/>
        <w:rPr>
          <w:highlight w:val="none"/>
        </w:rPr>
      </w:pPr>
      <w:r>
        <w:rPr>
          <w:rFonts w:hint="eastAsia"/>
          <w:highlight w:val="none"/>
        </w:rPr>
        <w:t>水灾的形式有：采掘工作面突水；采掘工作面或采空区透水；地表水或突然大量降雨进入井下。</w:t>
      </w:r>
    </w:p>
    <w:p w14:paraId="0265C420">
      <w:pPr>
        <w:pStyle w:val="22"/>
        <w:bidi w:val="0"/>
        <w:rPr>
          <w:highlight w:val="none"/>
        </w:rPr>
      </w:pPr>
      <w:r>
        <w:rPr>
          <w:rFonts w:hint="eastAsia"/>
          <w:highlight w:val="none"/>
        </w:rPr>
        <w:t>造成水灾的水体有：地表水；采空区和废弃巷道中储存的“人工水体”，即“老窿水”；原岩溶洞、裂隙等构造中的原岩水体。</w:t>
      </w:r>
    </w:p>
    <w:p w14:paraId="6ED8C25F">
      <w:pPr>
        <w:pStyle w:val="22"/>
        <w:bidi w:val="0"/>
        <w:rPr>
          <w:highlight w:val="none"/>
        </w:rPr>
      </w:pPr>
      <w:r>
        <w:rPr>
          <w:rFonts w:hint="eastAsia"/>
          <w:highlight w:val="none"/>
        </w:rPr>
        <w:t>造成水灾的原因有：</w:t>
      </w:r>
    </w:p>
    <w:p w14:paraId="1BA8DB0A">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降雨量突然加大时，造成井下涌水量突然增大。</w:t>
      </w:r>
    </w:p>
    <w:p w14:paraId="381F7E38">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没有采取合理的疏水、导水措施，使采空区、废弃巷道积水。</w:t>
      </w:r>
    </w:p>
    <w:p w14:paraId="67D9CC3C">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巷道、工作面和地面水体内外连通。</w:t>
      </w:r>
    </w:p>
    <w:p w14:paraId="635253AB">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采掘过程中没有探放水或探水工艺不合理。</w:t>
      </w:r>
    </w:p>
    <w:p w14:paraId="24B5FE5D">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采掘过程中突然遇到含水的地质构造。</w:t>
      </w:r>
    </w:p>
    <w:p w14:paraId="046797C0">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发现突水征兆没有及时采取探水、防水措施。</w:t>
      </w:r>
    </w:p>
    <w:p w14:paraId="20CD329A">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排水系统设计不合理。</w:t>
      </w:r>
    </w:p>
    <w:p w14:paraId="0ACF1F40">
      <w:pPr>
        <w:pStyle w:val="22"/>
        <w:numPr>
          <w:ilvl w:val="0"/>
          <w:numId w:val="72"/>
        </w:numPr>
        <w:ind w:left="0" w:leftChars="0" w:firstLine="560" w:firstLineChars="200"/>
        <w:rPr>
          <w:rFonts w:hint="default" w:ascii="Times New Roman" w:hAnsi="Times New Roman" w:eastAsia="宋体"/>
          <w:highlight w:val="none"/>
          <w:lang w:val="en-US" w:eastAsia="zh-CN"/>
        </w:rPr>
      </w:pPr>
      <w:r>
        <w:rPr>
          <w:rFonts w:hint="eastAsia" w:ascii="Times New Roman" w:hAnsi="Times New Roman" w:eastAsia="宋体"/>
          <w:highlight w:val="none"/>
          <w:lang w:val="en-US" w:eastAsia="zh-CN"/>
        </w:rPr>
        <w:t>排水设施施工不合理。</w:t>
      </w:r>
    </w:p>
    <w:p w14:paraId="3565A9AB">
      <w:pPr>
        <w:pStyle w:val="22"/>
        <w:bidi w:val="0"/>
        <w:rPr>
          <w:highlight w:val="none"/>
        </w:rPr>
      </w:pPr>
      <w:r>
        <w:rPr>
          <w:rFonts w:hint="eastAsia"/>
          <w:highlight w:val="none"/>
        </w:rPr>
        <w:t>另外，如果矿山的工业场地选址不合理，在洪水影响范围内，在遭遇洪水的情况，可能造成工业场地被洪水淹没的后果。</w:t>
      </w:r>
    </w:p>
    <w:p w14:paraId="321C8A57">
      <w:pPr>
        <w:pStyle w:val="22"/>
        <w:numPr>
          <w:ilvl w:val="0"/>
          <w:numId w:val="71"/>
        </w:numPr>
        <w:bidi w:val="0"/>
        <w:rPr>
          <w:rFonts w:hint="eastAsia"/>
          <w:highlight w:val="none"/>
        </w:rPr>
      </w:pPr>
      <w:r>
        <w:rPr>
          <w:rFonts w:hint="eastAsia"/>
          <w:highlight w:val="none"/>
        </w:rPr>
        <w:t>火灾</w:t>
      </w:r>
    </w:p>
    <w:p w14:paraId="55441B03">
      <w:pPr>
        <w:pStyle w:val="22"/>
        <w:bidi w:val="0"/>
        <w:rPr>
          <w:highlight w:val="none"/>
        </w:rPr>
      </w:pPr>
      <w:r>
        <w:rPr>
          <w:rFonts w:hint="eastAsia"/>
          <w:highlight w:val="none"/>
        </w:rPr>
        <w:t>火灾按其发生的原因分为：内因火灾，是由于矿岩氧化自燃而引起的；外因火灾，是由于矿岩自燃以外的原因。</w:t>
      </w:r>
    </w:p>
    <w:p w14:paraId="171DFC9D">
      <w:pPr>
        <w:pStyle w:val="22"/>
        <w:bidi w:val="0"/>
        <w:rPr>
          <w:highlight w:val="none"/>
        </w:rPr>
      </w:pPr>
      <w:r>
        <w:rPr>
          <w:rFonts w:hint="eastAsia"/>
          <w:highlight w:val="none"/>
        </w:rPr>
        <w:t>据统计，我国非煤矿山中，外因火灾占火灾事故的</w:t>
      </w:r>
      <w:r>
        <w:rPr>
          <w:highlight w:val="none"/>
        </w:rPr>
        <w:t>80</w:t>
      </w:r>
      <w:r>
        <w:rPr>
          <w:rFonts w:hint="eastAsia"/>
          <w:highlight w:val="none"/>
        </w:rPr>
        <w:t>%～</w:t>
      </w:r>
      <w:r>
        <w:rPr>
          <w:highlight w:val="none"/>
        </w:rPr>
        <w:t>90</w:t>
      </w:r>
      <w:r>
        <w:rPr>
          <w:rFonts w:hint="eastAsia"/>
          <w:highlight w:val="none"/>
        </w:rPr>
        <w:t>%，是火灾的主要形式。</w:t>
      </w:r>
    </w:p>
    <w:p w14:paraId="3800AAE2">
      <w:pPr>
        <w:pStyle w:val="22"/>
        <w:bidi w:val="0"/>
        <w:rPr>
          <w:highlight w:val="none"/>
        </w:rPr>
      </w:pPr>
      <w:r>
        <w:rPr>
          <w:rFonts w:hint="eastAsia"/>
          <w:highlight w:val="none"/>
        </w:rPr>
        <w:t>根据火灾发生的地点不同，可分为：地面火灾，凡是发生在矿井工业场地的厂房、仓库、井架、矿仓、贮矿堆等处的火灾，叫地面火灾；井下火灾，凡是发生在在井下硐室、巷道、井筒、采场、井底车场以及采空区等地点的火灾叫井下火灾。</w:t>
      </w:r>
    </w:p>
    <w:p w14:paraId="63DE94B5">
      <w:pPr>
        <w:pStyle w:val="22"/>
        <w:bidi w:val="0"/>
        <w:rPr>
          <w:highlight w:val="none"/>
        </w:rPr>
      </w:pPr>
      <w:r>
        <w:rPr>
          <w:rFonts w:hint="eastAsia"/>
          <w:highlight w:val="none"/>
        </w:rPr>
        <w:t>本项目的矿山开采的矿岩不具有自燃性，火灾的危险隐患主要来自外因。</w:t>
      </w:r>
    </w:p>
    <w:p w14:paraId="2456C032">
      <w:pPr>
        <w:pStyle w:val="22"/>
        <w:bidi w:val="0"/>
        <w:rPr>
          <w:highlight w:val="none"/>
        </w:rPr>
      </w:pPr>
      <w:r>
        <w:rPr>
          <w:rFonts w:hint="eastAsia"/>
          <w:highlight w:val="none"/>
        </w:rPr>
        <w:t>造成外因火灾的原因主要有：</w:t>
      </w:r>
    </w:p>
    <w:p w14:paraId="37E04407">
      <w:pPr>
        <w:pStyle w:val="22"/>
        <w:numPr>
          <w:ilvl w:val="0"/>
          <w:numId w:val="73"/>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生产和生活用火不慎。</w:t>
      </w:r>
    </w:p>
    <w:p w14:paraId="11D57372">
      <w:pPr>
        <w:pStyle w:val="22"/>
        <w:numPr>
          <w:ilvl w:val="0"/>
          <w:numId w:val="73"/>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设备不良。如设备不符合防火或防爆的要求，电气设备选型、安装、使用维护不当等。</w:t>
      </w:r>
    </w:p>
    <w:p w14:paraId="2E0545D2">
      <w:pPr>
        <w:pStyle w:val="22"/>
        <w:numPr>
          <w:ilvl w:val="0"/>
          <w:numId w:val="73"/>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物料的原因。如可燃物的自燃，各种危险物品的相互作用，机械摩擦及撞击生热等。</w:t>
      </w:r>
    </w:p>
    <w:p w14:paraId="0F5B4146">
      <w:pPr>
        <w:pStyle w:val="22"/>
        <w:numPr>
          <w:ilvl w:val="0"/>
          <w:numId w:val="73"/>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环境的原因。如高温、通风不良、雷击等自然因素。</w:t>
      </w:r>
    </w:p>
    <w:p w14:paraId="397B68F4">
      <w:pPr>
        <w:pStyle w:val="22"/>
        <w:bidi w:val="0"/>
        <w:rPr>
          <w:rFonts w:hint="eastAsia"/>
          <w:highlight w:val="none"/>
        </w:rPr>
      </w:pPr>
      <w:r>
        <w:rPr>
          <w:rFonts w:hint="eastAsia"/>
          <w:highlight w:val="none"/>
        </w:rPr>
        <w:t>建筑结构布局不合理，建筑材料选用不当等因素。</w:t>
      </w:r>
    </w:p>
    <w:p w14:paraId="1737E010">
      <w:pPr>
        <w:pStyle w:val="30"/>
        <w:bidi w:val="0"/>
        <w:rPr>
          <w:rFonts w:hint="default"/>
          <w:highlight w:val="none"/>
          <w:lang w:val="en-US" w:eastAsia="zh-CN"/>
        </w:rPr>
      </w:pPr>
      <w:r>
        <w:rPr>
          <w:rFonts w:hint="default"/>
          <w:highlight w:val="none"/>
          <w:lang w:val="en-US" w:eastAsia="zh-CN"/>
        </w:rPr>
        <w:t>安全分析及符合性评价</w:t>
      </w:r>
    </w:p>
    <w:p w14:paraId="7AE1181F">
      <w:pPr>
        <w:pStyle w:val="22"/>
        <w:rPr>
          <w:rFonts w:hint="eastAsia"/>
          <w:b/>
          <w:bCs/>
          <w:highlight w:val="none"/>
          <w:lang w:val="en-US" w:eastAsia="zh-CN"/>
        </w:rPr>
      </w:pPr>
      <w:r>
        <w:rPr>
          <w:rFonts w:hint="eastAsia"/>
          <w:b/>
          <w:bCs/>
          <w:highlight w:val="none"/>
          <w:lang w:val="en-US" w:eastAsia="zh-CN"/>
        </w:rPr>
        <w:t>一、</w:t>
      </w:r>
      <w:r>
        <w:rPr>
          <w:rFonts w:hint="default"/>
          <w:b/>
          <w:bCs/>
          <w:highlight w:val="none"/>
          <w:lang w:val="en-US" w:eastAsia="zh-CN"/>
        </w:rPr>
        <w:t>防排水子单元</w:t>
      </w:r>
    </w:p>
    <w:p w14:paraId="268ABA39">
      <w:pPr>
        <w:pStyle w:val="22"/>
        <w:numPr>
          <w:ilvl w:val="0"/>
          <w:numId w:val="74"/>
        </w:numPr>
        <w:bidi w:val="0"/>
        <w:rPr>
          <w:rFonts w:hint="default"/>
          <w:highlight w:val="none"/>
          <w:lang w:val="en-US" w:eastAsia="zh-CN"/>
        </w:rPr>
      </w:pPr>
      <w:r>
        <w:rPr>
          <w:rFonts w:hint="default"/>
          <w:highlight w:val="none"/>
          <w:lang w:val="en-US" w:eastAsia="zh-CN"/>
        </w:rPr>
        <w:t>预先危险性分析法</w:t>
      </w:r>
    </w:p>
    <w:p w14:paraId="4CC99BE3">
      <w:pPr>
        <w:pStyle w:val="22"/>
        <w:bidi w:val="0"/>
        <w:rPr>
          <w:rFonts w:hint="default"/>
          <w:highlight w:val="none"/>
          <w:lang w:val="en-US" w:eastAsia="zh-CN"/>
        </w:rPr>
      </w:pPr>
      <w:r>
        <w:rPr>
          <w:rFonts w:hint="default"/>
          <w:highlight w:val="none"/>
          <w:lang w:val="en-US" w:eastAsia="zh-CN"/>
        </w:rPr>
        <w:t>用选定的预先危险性分析法评价如下：</w:t>
      </w:r>
    </w:p>
    <w:p w14:paraId="3596244D">
      <w:pPr>
        <w:pStyle w:val="31"/>
        <w:bidi w:val="0"/>
        <w:rPr>
          <w:rFonts w:hint="eastAsia"/>
          <w:highlight w:val="none"/>
        </w:rPr>
      </w:pPr>
      <w:r>
        <w:rPr>
          <w:rFonts w:hint="eastAsia"/>
          <w:highlight w:val="none"/>
        </w:rPr>
        <w:t>表3.7-1  防排水子单元预先危险性分析表</w:t>
      </w:r>
    </w:p>
    <w:tbl>
      <w:tblPr>
        <w:tblStyle w:val="24"/>
        <w:tblW w:w="858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6"/>
        <w:gridCol w:w="703"/>
        <w:gridCol w:w="2095"/>
        <w:gridCol w:w="680"/>
        <w:gridCol w:w="1260"/>
        <w:gridCol w:w="720"/>
        <w:gridCol w:w="742"/>
        <w:gridCol w:w="1598"/>
      </w:tblGrid>
      <w:tr w14:paraId="342BD6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51425235">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潜在事故</w:t>
            </w:r>
          </w:p>
        </w:tc>
        <w:tc>
          <w:tcPr>
            <w:tcW w:w="703" w:type="dxa"/>
            <w:noWrap w:val="0"/>
            <w:vAlign w:val="center"/>
          </w:tcPr>
          <w:p w14:paraId="46211E90">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危险因素</w:t>
            </w:r>
          </w:p>
        </w:tc>
        <w:tc>
          <w:tcPr>
            <w:tcW w:w="2095" w:type="dxa"/>
            <w:noWrap w:val="0"/>
            <w:vAlign w:val="center"/>
          </w:tcPr>
          <w:p w14:paraId="162B25DE">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触发条件（1）</w:t>
            </w:r>
          </w:p>
        </w:tc>
        <w:tc>
          <w:tcPr>
            <w:tcW w:w="680" w:type="dxa"/>
            <w:noWrap w:val="0"/>
            <w:vAlign w:val="center"/>
          </w:tcPr>
          <w:p w14:paraId="73510BD6">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发生条件</w:t>
            </w:r>
          </w:p>
        </w:tc>
        <w:tc>
          <w:tcPr>
            <w:tcW w:w="1260" w:type="dxa"/>
            <w:noWrap w:val="0"/>
            <w:vAlign w:val="center"/>
          </w:tcPr>
          <w:p w14:paraId="67D2A0F7">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触发条件（2）</w:t>
            </w:r>
          </w:p>
        </w:tc>
        <w:tc>
          <w:tcPr>
            <w:tcW w:w="720" w:type="dxa"/>
            <w:noWrap w:val="0"/>
            <w:vAlign w:val="center"/>
          </w:tcPr>
          <w:p w14:paraId="65821219">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事故后果</w:t>
            </w:r>
          </w:p>
        </w:tc>
        <w:tc>
          <w:tcPr>
            <w:tcW w:w="742" w:type="dxa"/>
            <w:noWrap w:val="0"/>
            <w:vAlign w:val="center"/>
          </w:tcPr>
          <w:p w14:paraId="6E1BD67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危险等级</w:t>
            </w:r>
          </w:p>
        </w:tc>
        <w:tc>
          <w:tcPr>
            <w:tcW w:w="1598" w:type="dxa"/>
            <w:noWrap w:val="0"/>
            <w:vAlign w:val="center"/>
          </w:tcPr>
          <w:p w14:paraId="13BB0C6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防范措施</w:t>
            </w:r>
          </w:p>
        </w:tc>
      </w:tr>
      <w:tr w14:paraId="3929B8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27441898">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矿井水灾</w:t>
            </w:r>
          </w:p>
        </w:tc>
        <w:tc>
          <w:tcPr>
            <w:tcW w:w="703" w:type="dxa"/>
            <w:noWrap w:val="0"/>
            <w:vAlign w:val="center"/>
          </w:tcPr>
          <w:p w14:paraId="4D92CE3B">
            <w:pPr>
              <w:tabs>
                <w:tab w:val="left" w:pos="2177"/>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大量降水；地表水；采空区、废弃的巷道等的积水</w:t>
            </w:r>
          </w:p>
        </w:tc>
        <w:tc>
          <w:tcPr>
            <w:tcW w:w="2095" w:type="dxa"/>
            <w:noWrap w:val="0"/>
            <w:vAlign w:val="center"/>
          </w:tcPr>
          <w:p w14:paraId="774AD536">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雨季暴雨造成水灾</w:t>
            </w:r>
          </w:p>
          <w:p w14:paraId="366FE34D">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爆破、钻孔时揭露水体</w:t>
            </w:r>
          </w:p>
          <w:p w14:paraId="6F33ED03">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采掘过程中没有采取合理的疏水、导水措施</w:t>
            </w:r>
          </w:p>
          <w:p w14:paraId="1ACED797">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降水量突然加大时，造成井下涌水量突然增大等；</w:t>
            </w:r>
          </w:p>
          <w:p w14:paraId="06E70B25">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巷道、工作面和地面水内外连通</w:t>
            </w:r>
          </w:p>
        </w:tc>
        <w:tc>
          <w:tcPr>
            <w:tcW w:w="680" w:type="dxa"/>
            <w:noWrap w:val="0"/>
            <w:vAlign w:val="center"/>
          </w:tcPr>
          <w:p w14:paraId="318F9BB8">
            <w:pPr>
              <w:tabs>
                <w:tab w:val="left" w:pos="900"/>
                <w:tab w:val="left" w:pos="2177"/>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大量降雨、地表水涌入井下；采掘面或采空区透水</w:t>
            </w:r>
          </w:p>
        </w:tc>
        <w:tc>
          <w:tcPr>
            <w:tcW w:w="1260" w:type="dxa"/>
            <w:noWrap w:val="0"/>
            <w:vAlign w:val="center"/>
          </w:tcPr>
          <w:p w14:paraId="7694AAFC">
            <w:pPr>
              <w:numPr>
                <w:ilvl w:val="0"/>
                <w:numId w:val="76"/>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无排水系统</w:t>
            </w:r>
          </w:p>
          <w:p w14:paraId="63DA03AC">
            <w:pPr>
              <w:numPr>
                <w:ilvl w:val="0"/>
                <w:numId w:val="76"/>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排水系统排水量小于积水量；</w:t>
            </w:r>
          </w:p>
          <w:p w14:paraId="37F41E17">
            <w:pPr>
              <w:numPr>
                <w:ilvl w:val="0"/>
                <w:numId w:val="76"/>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发现突水征兆没有及时采取探水措施或没有及时采取防水措施</w:t>
            </w:r>
          </w:p>
        </w:tc>
        <w:tc>
          <w:tcPr>
            <w:tcW w:w="720" w:type="dxa"/>
            <w:noWrap w:val="0"/>
            <w:vAlign w:val="center"/>
          </w:tcPr>
          <w:p w14:paraId="06F0CE49">
            <w:pPr>
              <w:tabs>
                <w:tab w:val="left" w:pos="900"/>
                <w:tab w:val="left" w:pos="2177"/>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生产中断；设备淹没；人员伤亡</w:t>
            </w:r>
          </w:p>
        </w:tc>
        <w:tc>
          <w:tcPr>
            <w:tcW w:w="742" w:type="dxa"/>
            <w:noWrap w:val="0"/>
            <w:vAlign w:val="center"/>
          </w:tcPr>
          <w:p w14:paraId="50E182F2">
            <w:pPr>
              <w:tabs>
                <w:tab w:val="left" w:pos="900"/>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kern w:val="0"/>
                <w:sz w:val="21"/>
                <w:szCs w:val="21"/>
                <w:highlight w:val="none"/>
              </w:rPr>
              <w:t>Ⅲ级</w:t>
            </w:r>
          </w:p>
        </w:tc>
        <w:tc>
          <w:tcPr>
            <w:tcW w:w="1598" w:type="dxa"/>
            <w:noWrap w:val="0"/>
            <w:vAlign w:val="center"/>
          </w:tcPr>
          <w:p w14:paraId="1A790196">
            <w:pPr>
              <w:numPr>
                <w:ilvl w:val="0"/>
                <w:numId w:val="7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合理确定井口位置。井口标高高于当地历史最高洪水水位1m以上</w:t>
            </w:r>
          </w:p>
          <w:p w14:paraId="2043C0B3">
            <w:pPr>
              <w:numPr>
                <w:ilvl w:val="0"/>
                <w:numId w:val="7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填堵通道和消除积水，堵塞地表水进入井下的通道</w:t>
            </w:r>
          </w:p>
          <w:p w14:paraId="650654BC">
            <w:pPr>
              <w:numPr>
                <w:ilvl w:val="0"/>
                <w:numId w:val="77"/>
              </w:numPr>
              <w:tabs>
                <w:tab w:val="left" w:pos="540"/>
                <w:tab w:val="left" w:pos="1080"/>
              </w:tabs>
              <w:adjustRightInd w:val="0"/>
              <w:snapToGrid w:val="0"/>
              <w:spacing w:line="240" w:lineRule="auto"/>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挖沟排洪，将洪水排出矿区外</w:t>
            </w:r>
          </w:p>
        </w:tc>
      </w:tr>
    </w:tbl>
    <w:p w14:paraId="114F3084">
      <w:pPr>
        <w:pStyle w:val="22"/>
        <w:bidi w:val="0"/>
        <w:rPr>
          <w:highlight w:val="none"/>
        </w:rPr>
      </w:pPr>
      <w:r>
        <w:rPr>
          <w:rFonts w:hint="eastAsia"/>
          <w:highlight w:val="none"/>
        </w:rPr>
        <w:t>该项目为地下开采矿山，水灾危险性较大，其危险程度是“危险的”，必须立即采取重点安全防范措施。</w:t>
      </w:r>
    </w:p>
    <w:p w14:paraId="703EF400">
      <w:pPr>
        <w:pStyle w:val="22"/>
        <w:numPr>
          <w:ilvl w:val="0"/>
          <w:numId w:val="74"/>
        </w:numPr>
        <w:bidi w:val="0"/>
        <w:rPr>
          <w:rFonts w:hint="eastAsia"/>
          <w:highlight w:val="none"/>
        </w:rPr>
      </w:pPr>
      <w:r>
        <w:rPr>
          <w:rFonts w:hint="eastAsia"/>
          <w:highlight w:val="none"/>
        </w:rPr>
        <w:t>专家评议法评价</w:t>
      </w:r>
    </w:p>
    <w:p w14:paraId="7D9D92CC">
      <w:pPr>
        <w:pStyle w:val="22"/>
        <w:bidi w:val="0"/>
        <w:rPr>
          <w:highlight w:val="none"/>
        </w:rPr>
      </w:pPr>
      <w:r>
        <w:rPr>
          <w:rFonts w:hint="eastAsia"/>
          <w:highlight w:val="none"/>
          <w:lang w:val="en-US" w:eastAsia="zh-CN"/>
        </w:rPr>
        <w:t>1、</w:t>
      </w:r>
      <w:r>
        <w:rPr>
          <w:rFonts w:hint="eastAsia"/>
          <w:highlight w:val="none"/>
        </w:rPr>
        <w:t>地表防排水</w:t>
      </w:r>
    </w:p>
    <w:p w14:paraId="423332A8">
      <w:pPr>
        <w:pStyle w:val="22"/>
        <w:bidi w:val="0"/>
        <w:rPr>
          <w:rFonts w:hint="eastAsia"/>
          <w:highlight w:val="none"/>
        </w:rPr>
      </w:pPr>
      <w:r>
        <w:rPr>
          <w:rFonts w:hint="eastAsia"/>
          <w:highlight w:val="none"/>
        </w:rPr>
        <w:t>《可研报告》为防止地表水进入井下，采取了以下安全措施：</w:t>
      </w:r>
    </w:p>
    <w:p w14:paraId="1AEBA90D">
      <w:pPr>
        <w:pStyle w:val="22"/>
        <w:numPr>
          <w:ilvl w:val="0"/>
          <w:numId w:val="78"/>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井下排到地面的井下水应引出矿区；</w:t>
      </w:r>
    </w:p>
    <w:p w14:paraId="0201DAA4">
      <w:pPr>
        <w:pStyle w:val="22"/>
        <w:numPr>
          <w:ilvl w:val="0"/>
          <w:numId w:val="78"/>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地面向工业场地汇水区，外围应设截水沟或挡水围堤，将地表水引出矿区；</w:t>
      </w:r>
    </w:p>
    <w:p w14:paraId="206D4358">
      <w:pPr>
        <w:pStyle w:val="22"/>
        <w:numPr>
          <w:ilvl w:val="0"/>
          <w:numId w:val="78"/>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在未来矿山开采过程中，加强井巷施工及生产期间的超前探水手段，防止生产过程中发生突水事故，确保矿山安全生产。</w:t>
      </w:r>
    </w:p>
    <w:p w14:paraId="5CA331FD">
      <w:pPr>
        <w:pStyle w:val="22"/>
        <w:bidi w:val="0"/>
        <w:rPr>
          <w:highlight w:val="none"/>
        </w:rPr>
      </w:pPr>
      <w:r>
        <w:rPr>
          <w:rFonts w:hint="eastAsia"/>
          <w:highlight w:val="none"/>
          <w:lang w:val="en-US" w:eastAsia="zh-CN"/>
        </w:rPr>
        <w:t>2、</w:t>
      </w:r>
      <w:r>
        <w:rPr>
          <w:rFonts w:hint="eastAsia"/>
          <w:highlight w:val="none"/>
        </w:rPr>
        <w:t>井下防排水</w:t>
      </w:r>
    </w:p>
    <w:p w14:paraId="65726443">
      <w:pPr>
        <w:pStyle w:val="22"/>
        <w:bidi w:val="0"/>
        <w:rPr>
          <w:highlight w:val="none"/>
        </w:rPr>
      </w:pPr>
      <w:r>
        <w:rPr>
          <w:rFonts w:hint="eastAsia"/>
          <w:highlight w:val="none"/>
        </w:rPr>
        <w:t>《可研报告》中</w:t>
      </w:r>
      <w:r>
        <w:rPr>
          <w:rFonts w:hint="eastAsia"/>
          <w:highlight w:val="none"/>
          <w:lang w:val="en-US" w:eastAsia="zh-CN"/>
        </w:rPr>
        <w:t>矿山</w:t>
      </w:r>
      <w:r>
        <w:rPr>
          <w:highlight w:val="none"/>
        </w:rPr>
        <w:t>矿床</w:t>
      </w:r>
      <w:r>
        <w:rPr>
          <w:rFonts w:hint="eastAsia"/>
          <w:highlight w:val="none"/>
          <w:lang w:eastAsia="zh-CN"/>
        </w:rPr>
        <w:t>水文地质条件简单</w:t>
      </w:r>
      <w:r>
        <w:rPr>
          <w:highlight w:val="none"/>
        </w:rPr>
        <w:t>，</w:t>
      </w:r>
      <w:r>
        <w:rPr>
          <w:rFonts w:hint="eastAsia"/>
          <w:highlight w:val="none"/>
        </w:rPr>
        <w:t>矿山井下</w:t>
      </w:r>
      <w:r>
        <w:rPr>
          <w:highlight w:val="none"/>
        </w:rPr>
        <w:t>正常</w:t>
      </w:r>
      <w:r>
        <w:rPr>
          <w:rFonts w:hint="eastAsia"/>
          <w:highlight w:val="none"/>
          <w:lang w:val="en-US" w:eastAsia="zh-CN"/>
        </w:rPr>
        <w:t>排</w:t>
      </w:r>
      <w:r>
        <w:rPr>
          <w:highlight w:val="none"/>
        </w:rPr>
        <w:t>水量</w:t>
      </w:r>
      <w:r>
        <w:rPr>
          <w:rFonts w:hint="eastAsia"/>
          <w:highlight w:val="none"/>
          <w:lang w:val="en-US" w:eastAsia="zh-CN"/>
        </w:rPr>
        <w:t>840.67</w:t>
      </w:r>
      <w:r>
        <w:rPr>
          <w:rFonts w:hint="eastAsia"/>
          <w:highlight w:val="none"/>
        </w:rPr>
        <w:t>m³</w:t>
      </w:r>
      <w:r>
        <w:rPr>
          <w:highlight w:val="none"/>
        </w:rPr>
        <w:t>/d，最大</w:t>
      </w:r>
      <w:r>
        <w:rPr>
          <w:rFonts w:hint="eastAsia"/>
          <w:highlight w:val="none"/>
          <w:lang w:val="en-US" w:eastAsia="zh-CN"/>
        </w:rPr>
        <w:t>排</w:t>
      </w:r>
      <w:r>
        <w:rPr>
          <w:highlight w:val="none"/>
        </w:rPr>
        <w:t>水量</w:t>
      </w:r>
      <w:r>
        <w:rPr>
          <w:rFonts w:hint="eastAsia"/>
          <w:highlight w:val="none"/>
          <w:lang w:val="en-US" w:eastAsia="zh-CN"/>
        </w:rPr>
        <w:t>3545.72</w:t>
      </w:r>
      <w:r>
        <w:rPr>
          <w:rFonts w:hint="eastAsia"/>
          <w:highlight w:val="none"/>
        </w:rPr>
        <w:t>m³</w:t>
      </w:r>
      <w:r>
        <w:rPr>
          <w:highlight w:val="none"/>
        </w:rPr>
        <w:t>/d。</w:t>
      </w:r>
    </w:p>
    <w:p w14:paraId="1943FF89">
      <w:pPr>
        <w:pStyle w:val="22"/>
        <w:bidi w:val="0"/>
        <w:rPr>
          <w:rFonts w:hint="eastAsia"/>
          <w:highlight w:val="none"/>
        </w:rPr>
      </w:pPr>
      <w:r>
        <w:rPr>
          <w:rFonts w:hint="default"/>
          <w:highlight w:val="none"/>
          <w:lang w:val="en-US" w:eastAsia="zh-CN"/>
        </w:rPr>
        <w:t>设计采用机械</w:t>
      </w:r>
      <w:r>
        <w:rPr>
          <w:rFonts w:hint="eastAsia"/>
          <w:highlight w:val="none"/>
          <w:lang w:val="en-US" w:eastAsia="zh-CN"/>
        </w:rPr>
        <w:t>集中</w:t>
      </w:r>
      <w:r>
        <w:rPr>
          <w:rFonts w:hint="default"/>
          <w:highlight w:val="none"/>
          <w:lang w:val="en-US" w:eastAsia="zh-CN"/>
        </w:rPr>
        <w:t>排水方式。在-67m中段斜坡道车场附近新建水仓、水泵站。-67m中段以上的积水通过泄水孔下泄至-67m中段水仓内，由水泵站沿回风竖井敷设的管路排至地表高位水池</w:t>
      </w:r>
      <w:r>
        <w:rPr>
          <w:rFonts w:hint="eastAsia"/>
          <w:highlight w:val="none"/>
        </w:rPr>
        <w:t>。</w:t>
      </w:r>
    </w:p>
    <w:p w14:paraId="138B4658">
      <w:pPr>
        <w:pStyle w:val="22"/>
        <w:bidi w:val="0"/>
        <w:rPr>
          <w:rFonts w:hint="default"/>
          <w:highlight w:val="none"/>
          <w:lang w:val="en-US" w:eastAsia="zh-CN"/>
        </w:rPr>
      </w:pPr>
      <w:r>
        <w:rPr>
          <w:rFonts w:hint="default"/>
          <w:highlight w:val="none"/>
          <w:lang w:val="en-US" w:eastAsia="zh-CN"/>
        </w:rPr>
        <w:t>排水系统由水沟、清理斜巷、水仓、配水井、吸水井、排水泵硐室、配电硐室等组成。</w:t>
      </w:r>
    </w:p>
    <w:p w14:paraId="575722FA">
      <w:pPr>
        <w:pStyle w:val="22"/>
        <w:bidi w:val="0"/>
        <w:rPr>
          <w:rFonts w:hint="eastAsia"/>
          <w:highlight w:val="none"/>
        </w:rPr>
      </w:pPr>
      <w:r>
        <w:rPr>
          <w:rFonts w:hint="default"/>
          <w:highlight w:val="none"/>
          <w:lang w:val="en-US" w:eastAsia="zh-CN"/>
        </w:rPr>
        <w:t>水泵房设置两个出口，其中一个通往井底车场；另一个用天井与上中段连通，天井上口应高出泵房地面标高7m以上。泵房地面标高</w:t>
      </w:r>
      <w:r>
        <w:rPr>
          <w:rFonts w:hint="eastAsia"/>
          <w:highlight w:val="none"/>
          <w:lang w:val="en-US" w:eastAsia="zh-CN"/>
        </w:rPr>
        <w:t>高出其入口处巷道底板标高0.5m。</w:t>
      </w:r>
    </w:p>
    <w:p w14:paraId="0EE99459">
      <w:pPr>
        <w:pStyle w:val="22"/>
        <w:bidi w:val="0"/>
        <w:rPr>
          <w:rFonts w:hint="eastAsia"/>
          <w:highlight w:val="none"/>
        </w:rPr>
      </w:pPr>
      <w:r>
        <w:rPr>
          <w:rFonts w:hint="eastAsia"/>
          <w:highlight w:val="none"/>
          <w:lang w:val="en-US" w:eastAsia="zh-CN"/>
        </w:rPr>
        <w:t>本次设计采用巷道型水仓，由两个独立巷道组成，分为主水仓和副水仓。</w:t>
      </w:r>
      <w:r>
        <w:rPr>
          <w:rFonts w:hint="eastAsia"/>
          <w:highlight w:val="none"/>
        </w:rPr>
        <w:t>水仓为两段：前段为沉淀段，后段清水段。水仓容积</w:t>
      </w:r>
      <w:r>
        <w:rPr>
          <w:rFonts w:hint="eastAsia"/>
          <w:highlight w:val="none"/>
          <w:lang w:val="en-US" w:eastAsia="zh-CN"/>
        </w:rPr>
        <w:t>200</w:t>
      </w:r>
      <w:r>
        <w:rPr>
          <w:rFonts w:hint="eastAsia"/>
          <w:highlight w:val="none"/>
        </w:rPr>
        <w:t>m³，其中主水仓容积</w:t>
      </w:r>
      <w:r>
        <w:rPr>
          <w:rFonts w:hint="eastAsia"/>
          <w:highlight w:val="none"/>
          <w:lang w:val="en-US" w:eastAsia="zh-CN"/>
        </w:rPr>
        <w:t>130</w:t>
      </w:r>
      <w:r>
        <w:rPr>
          <w:rFonts w:hint="eastAsia"/>
          <w:highlight w:val="none"/>
        </w:rPr>
        <w:t>m³，副水仓容积</w:t>
      </w:r>
      <w:r>
        <w:rPr>
          <w:rFonts w:hint="eastAsia"/>
          <w:highlight w:val="none"/>
          <w:lang w:val="en-US" w:eastAsia="zh-CN"/>
        </w:rPr>
        <w:t>70</w:t>
      </w:r>
      <w:r>
        <w:rPr>
          <w:rFonts w:hint="eastAsia"/>
          <w:highlight w:val="none"/>
        </w:rPr>
        <w:t>m³</w:t>
      </w:r>
      <w:r>
        <w:rPr>
          <w:rFonts w:hint="eastAsia"/>
          <w:highlight w:val="none"/>
          <w:lang w:val="en-US" w:eastAsia="zh-CN"/>
        </w:rPr>
        <w:t>。</w:t>
      </w:r>
    </w:p>
    <w:p w14:paraId="02FC75B1">
      <w:pPr>
        <w:pStyle w:val="22"/>
        <w:bidi w:val="0"/>
        <w:rPr>
          <w:rFonts w:hint="eastAsia"/>
          <w:highlight w:val="none"/>
        </w:rPr>
      </w:pPr>
      <w:r>
        <w:rPr>
          <w:rFonts w:hint="eastAsia"/>
          <w:highlight w:val="none"/>
        </w:rPr>
        <w:t>根据规程要求，矿井井下排水设备应当满足矿井排水的要求。除正在检修的水泵外，应当有工作水泵和备用水泵。工作水泵的能力，应当能在20h内排出矿井24h的正常涌水量，工作和备用水泵的总能力，在20h内排出矿井24h的最大涌水量。</w:t>
      </w:r>
    </w:p>
    <w:p w14:paraId="7B014141">
      <w:pPr>
        <w:pStyle w:val="22"/>
        <w:bidi w:val="0"/>
        <w:rPr>
          <w:rFonts w:hint="eastAsia"/>
          <w:highlight w:val="none"/>
        </w:rPr>
      </w:pPr>
      <w:r>
        <w:rPr>
          <w:rFonts w:hint="eastAsia"/>
          <w:highlight w:val="none"/>
        </w:rPr>
        <w:t>经计算，</w:t>
      </w:r>
      <w:r>
        <w:rPr>
          <w:rFonts w:hint="eastAsia"/>
          <w:highlight w:val="none"/>
          <w:lang w:val="en-US" w:eastAsia="zh-CN"/>
        </w:rPr>
        <w:t>排水设备工况点，</w:t>
      </w:r>
      <w:r>
        <w:rPr>
          <w:rFonts w:hint="eastAsia"/>
          <w:highlight w:val="none"/>
        </w:rPr>
        <w:t>1台工作，1条</w:t>
      </w:r>
      <w:r>
        <w:rPr>
          <w:rFonts w:hint="eastAsia"/>
          <w:highlight w:val="none"/>
          <w:lang w:val="en-US" w:eastAsia="zh-CN"/>
        </w:rPr>
        <w:t>新</w:t>
      </w:r>
      <w:r>
        <w:rPr>
          <w:rFonts w:hint="eastAsia"/>
          <w:highlight w:val="none"/>
        </w:rPr>
        <w:t>管路工作（能在</w:t>
      </w:r>
      <w:r>
        <w:rPr>
          <w:rFonts w:hint="eastAsia"/>
          <w:highlight w:val="none"/>
          <w:lang w:val="en-US" w:eastAsia="zh-CN"/>
        </w:rPr>
        <w:t>6.83</w:t>
      </w:r>
      <w:r>
        <w:rPr>
          <w:rFonts w:hint="eastAsia"/>
          <w:highlight w:val="none"/>
        </w:rPr>
        <w:t>h内排出一昼夜的正常涌水量），备用1台，检修1台；最大涌水量时，2台同时工作，2条</w:t>
      </w:r>
      <w:r>
        <w:rPr>
          <w:rFonts w:hint="eastAsia"/>
          <w:highlight w:val="none"/>
          <w:lang w:val="en-US" w:eastAsia="zh-CN"/>
        </w:rPr>
        <w:t>新</w:t>
      </w:r>
      <w:r>
        <w:rPr>
          <w:rFonts w:hint="eastAsia"/>
          <w:highlight w:val="none"/>
        </w:rPr>
        <w:t>管路工作（能在</w:t>
      </w:r>
      <w:r>
        <w:rPr>
          <w:rFonts w:hint="eastAsia"/>
          <w:highlight w:val="none"/>
          <w:lang w:val="en-US" w:eastAsia="zh-CN"/>
        </w:rPr>
        <w:t>14.41</w:t>
      </w:r>
      <w:r>
        <w:rPr>
          <w:rFonts w:hint="eastAsia"/>
          <w:highlight w:val="none"/>
        </w:rPr>
        <w:t>h内排出一昼夜的最大涌水量），能满足排水要求。符合《金属非金属矿山安全规程》（GB76423-20</w:t>
      </w:r>
      <w:r>
        <w:rPr>
          <w:rFonts w:hint="eastAsia"/>
          <w:highlight w:val="none"/>
          <w:lang w:val="en-US" w:eastAsia="zh-CN"/>
        </w:rPr>
        <w:t>20</w:t>
      </w:r>
      <w:r>
        <w:rPr>
          <w:rFonts w:hint="eastAsia"/>
          <w:highlight w:val="none"/>
        </w:rPr>
        <w:t>）的规定。</w:t>
      </w:r>
    </w:p>
    <w:p w14:paraId="467FD93D">
      <w:pPr>
        <w:pStyle w:val="22"/>
        <w:bidi w:val="0"/>
        <w:rPr>
          <w:rFonts w:hint="eastAsia"/>
          <w:highlight w:val="none"/>
        </w:rPr>
      </w:pPr>
      <w:r>
        <w:rPr>
          <w:rFonts w:hint="eastAsia"/>
          <w:highlight w:val="none"/>
        </w:rPr>
        <w:t>经计算，</w:t>
      </w:r>
      <w:r>
        <w:rPr>
          <w:rFonts w:hint="eastAsia"/>
          <w:highlight w:val="none"/>
          <w:lang w:val="en-US" w:eastAsia="zh-CN"/>
        </w:rPr>
        <w:t>排水设备，</w:t>
      </w:r>
      <w:r>
        <w:rPr>
          <w:rFonts w:hint="eastAsia"/>
          <w:highlight w:val="none"/>
        </w:rPr>
        <w:t>1台工作，1条</w:t>
      </w:r>
      <w:r>
        <w:rPr>
          <w:rFonts w:hint="eastAsia"/>
          <w:highlight w:val="none"/>
          <w:lang w:val="en-US" w:eastAsia="zh-CN"/>
        </w:rPr>
        <w:t>旧</w:t>
      </w:r>
      <w:r>
        <w:rPr>
          <w:rFonts w:hint="eastAsia"/>
          <w:highlight w:val="none"/>
        </w:rPr>
        <w:t>管路工作（能在</w:t>
      </w:r>
      <w:r>
        <w:rPr>
          <w:rFonts w:hint="eastAsia"/>
          <w:highlight w:val="none"/>
          <w:lang w:val="en-US" w:eastAsia="zh-CN"/>
        </w:rPr>
        <w:t>7.64</w:t>
      </w:r>
      <w:r>
        <w:rPr>
          <w:rFonts w:hint="eastAsia"/>
          <w:highlight w:val="none"/>
        </w:rPr>
        <w:t>h内排出一昼夜的正常涌水量），备用1台，检修1台；最大涌水量时，2台同时工作，2条</w:t>
      </w:r>
      <w:r>
        <w:rPr>
          <w:rFonts w:hint="eastAsia"/>
          <w:highlight w:val="none"/>
          <w:lang w:val="en-US" w:eastAsia="zh-CN"/>
        </w:rPr>
        <w:t>旧</w:t>
      </w:r>
      <w:r>
        <w:rPr>
          <w:rFonts w:hint="eastAsia"/>
          <w:highlight w:val="none"/>
        </w:rPr>
        <w:t>管路工作（能在</w:t>
      </w:r>
      <w:r>
        <w:rPr>
          <w:rFonts w:hint="eastAsia"/>
          <w:highlight w:val="none"/>
          <w:lang w:val="en-US" w:eastAsia="zh-CN"/>
        </w:rPr>
        <w:t>16.12</w:t>
      </w:r>
      <w:r>
        <w:rPr>
          <w:rFonts w:hint="eastAsia"/>
          <w:highlight w:val="none"/>
        </w:rPr>
        <w:t>h内排出一昼夜的最大涌水量），能满足排水要求。符合《金属非金属矿山安全规程》（GB76423-20</w:t>
      </w:r>
      <w:r>
        <w:rPr>
          <w:rFonts w:hint="eastAsia"/>
          <w:highlight w:val="none"/>
          <w:lang w:val="en-US" w:eastAsia="zh-CN"/>
        </w:rPr>
        <w:t>20</w:t>
      </w:r>
      <w:r>
        <w:rPr>
          <w:rFonts w:hint="eastAsia"/>
          <w:highlight w:val="none"/>
        </w:rPr>
        <w:t>）的规定。</w:t>
      </w:r>
    </w:p>
    <w:p w14:paraId="674E7BB7">
      <w:pPr>
        <w:pStyle w:val="22"/>
        <w:bidi w:val="0"/>
        <w:rPr>
          <w:rFonts w:hint="eastAsia"/>
          <w:highlight w:val="none"/>
        </w:rPr>
      </w:pPr>
      <w:r>
        <w:rPr>
          <w:rFonts w:hint="eastAsia"/>
          <w:highlight w:val="none"/>
        </w:rPr>
        <w:t>综上所述，《可研报告》确定的井下排水方式及排水设施符合要求。</w:t>
      </w:r>
    </w:p>
    <w:p w14:paraId="284DECA1">
      <w:pPr>
        <w:pStyle w:val="22"/>
        <w:bidi w:val="0"/>
        <w:rPr>
          <w:rFonts w:hint="eastAsia"/>
          <w:highlight w:val="none"/>
          <w:lang w:val="en-US" w:eastAsia="zh-CN"/>
        </w:rPr>
      </w:pPr>
      <w:r>
        <w:rPr>
          <w:rFonts w:hint="eastAsia"/>
          <w:highlight w:val="none"/>
          <w:lang w:val="en-US" w:eastAsia="zh-CN"/>
        </w:rPr>
        <w:t>3、防透水危害措施安全可靠性评价</w:t>
      </w:r>
    </w:p>
    <w:p w14:paraId="7DEFFC60">
      <w:pPr>
        <w:pStyle w:val="22"/>
        <w:bidi w:val="0"/>
        <w:rPr>
          <w:rFonts w:hint="eastAsia" w:eastAsia="宋体"/>
          <w:highlight w:val="none"/>
          <w:lang w:val="en-US" w:eastAsia="zh-CN"/>
        </w:rPr>
      </w:pPr>
      <w:r>
        <w:rPr>
          <w:rFonts w:hint="eastAsia"/>
          <w:highlight w:val="none"/>
        </w:rPr>
        <w:t>矿山主要矿体位于当地侵蚀基准面以下，矿区基岩裂隙水富水性弱，区内未见较大的地表水体，很少的第四系覆盖，主要充水含水层的补给条件差，采空区内局部见少量积水，以往未发生过突水</w:t>
      </w:r>
      <w:r>
        <w:rPr>
          <w:rFonts w:hint="default"/>
          <w:highlight w:val="none"/>
          <w:lang w:val="en-US" w:eastAsia="zh-CN"/>
        </w:rPr>
        <w:t>。</w:t>
      </w:r>
      <w:r>
        <w:rPr>
          <w:rFonts w:hint="eastAsia"/>
          <w:highlight w:val="none"/>
        </w:rPr>
        <w:t>根据《矿区水文地质工程地质勘查规范》（GB/T12719-2021），矿区水文地质条件为第二类，矿床以裂隙含水层充水为主，水文地质条件简单</w:t>
      </w:r>
      <w:r>
        <w:rPr>
          <w:rFonts w:hint="eastAsia"/>
          <w:highlight w:val="none"/>
          <w:lang w:eastAsia="zh-CN"/>
        </w:rPr>
        <w:t>。</w:t>
      </w:r>
    </w:p>
    <w:p w14:paraId="1F65F74A">
      <w:pPr>
        <w:pStyle w:val="22"/>
        <w:bidi w:val="0"/>
        <w:rPr>
          <w:rFonts w:hint="default"/>
          <w:highlight w:val="none"/>
          <w:lang w:val="en-US" w:eastAsia="zh-CN"/>
        </w:rPr>
      </w:pPr>
      <w:r>
        <w:rPr>
          <w:rFonts w:hint="default"/>
          <w:highlight w:val="none"/>
          <w:lang w:val="en-US" w:eastAsia="zh-CN"/>
        </w:rPr>
        <w:t>矿山生产过程中未发生过涌水、突水等水文地质问题，矿床附近未见构造导水通道及采空区老窿水，发生涌水及突水的可能性小；未来地下生产时需严密监测矿床附近裂隙水的涌出状态，对可能存在的水文地质问题做到提前预警，提前防范。</w:t>
      </w:r>
    </w:p>
    <w:p w14:paraId="00AF3B17">
      <w:pPr>
        <w:pStyle w:val="22"/>
        <w:bidi w:val="0"/>
        <w:rPr>
          <w:rFonts w:hint="default"/>
          <w:highlight w:val="none"/>
          <w:lang w:val="en-US" w:eastAsia="zh-CN"/>
        </w:rPr>
      </w:pPr>
      <w:r>
        <w:rPr>
          <w:rFonts w:hint="default"/>
          <w:highlight w:val="none"/>
          <w:lang w:val="en-US" w:eastAsia="zh-CN"/>
        </w:rPr>
        <w:t>本项目在基建及生产过程中应采取以下的安全措施防止原来开采造成的积水对井下开采造成影响：</w:t>
      </w:r>
    </w:p>
    <w:p w14:paraId="306456FF">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 xml:space="preserve">靠近原有开采位置时，应该进行超前探水工作； </w:t>
      </w:r>
    </w:p>
    <w:p w14:paraId="076A6D66">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施工单位做好现场原始记录，记录内容包括：钻孔方位、倾角、深度、放水量、防水时间等；</w:t>
      </w:r>
    </w:p>
    <w:p w14:paraId="0FA5F7A6">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探放水钻杆在钻进过程中若出现顶钻、憋钻、夹钻及钻孔出水水压较大等现象，先不要拔出钻杆，等水压明显减小后再做相应的处理；</w:t>
      </w:r>
    </w:p>
    <w:p w14:paraId="03386701">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打钻探出水后，应保持钻孔出水畅通，若钻孔堵塞要及时捅孔，保证顺利排放；</w:t>
      </w:r>
    </w:p>
    <w:p w14:paraId="6A65DDD4">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在探放水施工期间若出现紧急情况，现场人员应及时向矿山调度时和相关负责人汇报，立即撤离井下人员；</w:t>
      </w:r>
    </w:p>
    <w:p w14:paraId="55FA1921">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探放水工程施工前，建设单位要组织作业人员阅读探放水设计并学习探放水工程安全技术措施等内容；</w:t>
      </w:r>
    </w:p>
    <w:p w14:paraId="3E51E872">
      <w:pPr>
        <w:pStyle w:val="22"/>
        <w:numPr>
          <w:ilvl w:val="0"/>
          <w:numId w:val="79"/>
        </w:numPr>
        <w:ind w:left="0" w:leftChars="0" w:firstLine="560" w:firstLineChars="20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雨季暴雨时，应撤出井下作业人员。</w:t>
      </w:r>
    </w:p>
    <w:p w14:paraId="494235A1">
      <w:pPr>
        <w:pStyle w:val="22"/>
        <w:bidi w:val="0"/>
        <w:rPr>
          <w:rFonts w:hint="eastAsia"/>
          <w:highlight w:val="none"/>
          <w:lang w:val="en-US" w:eastAsia="zh-CN"/>
        </w:rPr>
      </w:pPr>
      <w:r>
        <w:rPr>
          <w:rFonts w:hint="eastAsia"/>
          <w:highlight w:val="none"/>
          <w:lang w:val="en-US" w:eastAsia="zh-CN"/>
        </w:rPr>
        <w:t>4、评价结果小结</w:t>
      </w:r>
    </w:p>
    <w:p w14:paraId="662A7016">
      <w:pPr>
        <w:pStyle w:val="22"/>
        <w:bidi w:val="0"/>
        <w:rPr>
          <w:rFonts w:hint="eastAsia"/>
          <w:highlight w:val="none"/>
          <w:lang w:val="en-US" w:eastAsia="zh-CN"/>
        </w:rPr>
      </w:pPr>
      <w:r>
        <w:rPr>
          <w:rFonts w:hint="eastAsia"/>
          <w:highlight w:val="none"/>
          <w:lang w:val="en-US" w:eastAsia="zh-CN"/>
        </w:rPr>
        <w:t>通过以上评价，建设单位在以后的施工及生产中，只要严格按照设计布置防排水设施，并落实《可研报告》及本预评价报告提出的安全措施，井下防排水系统是安全可靠的。</w:t>
      </w:r>
    </w:p>
    <w:p w14:paraId="7C5DBD9D">
      <w:pPr>
        <w:pStyle w:val="22"/>
        <w:rPr>
          <w:rFonts w:hint="default" w:ascii="Times New Roman" w:hAnsi="Times New Roman" w:eastAsia="宋体"/>
          <w:b/>
          <w:bCs/>
          <w:highlight w:val="none"/>
          <w:lang w:val="en-US" w:eastAsia="zh-CN"/>
        </w:rPr>
      </w:pPr>
      <w:r>
        <w:rPr>
          <w:rFonts w:hint="eastAsia" w:ascii="Times New Roman" w:hAnsi="Times New Roman" w:eastAsia="宋体"/>
          <w:b/>
          <w:bCs/>
          <w:highlight w:val="none"/>
          <w:lang w:val="en-US" w:eastAsia="zh-CN"/>
        </w:rPr>
        <w:t>二、</w:t>
      </w:r>
      <w:r>
        <w:rPr>
          <w:rFonts w:hint="default" w:ascii="Times New Roman" w:hAnsi="Times New Roman" w:eastAsia="宋体"/>
          <w:b/>
          <w:bCs/>
          <w:highlight w:val="none"/>
          <w:lang w:val="en-US" w:eastAsia="zh-CN"/>
        </w:rPr>
        <w:t>防灭火子单元</w:t>
      </w:r>
    </w:p>
    <w:p w14:paraId="21678294">
      <w:pPr>
        <w:adjustRightInd w:val="0"/>
        <w:snapToGrid w:val="0"/>
        <w:spacing w:line="360" w:lineRule="auto"/>
        <w:ind w:firstLine="560" w:firstLineChars="200"/>
        <w:rPr>
          <w:rFonts w:ascii="Times New Roman" w:hAnsi="Times New Roman"/>
          <w:caps w:val="0"/>
          <w:smallCaps w:val="0"/>
          <w:sz w:val="28"/>
          <w:szCs w:val="28"/>
          <w:highlight w:val="none"/>
        </w:rPr>
      </w:pPr>
      <w:r>
        <w:rPr>
          <w:rFonts w:hint="eastAsia" w:ascii="Times New Roman" w:hAnsi="Times New Roman"/>
          <w:caps w:val="0"/>
          <w:smallCaps w:val="0"/>
          <w:sz w:val="28"/>
          <w:szCs w:val="28"/>
          <w:highlight w:val="none"/>
        </w:rPr>
        <w:t>用选定的预先危险性分析法评价如下：</w:t>
      </w:r>
    </w:p>
    <w:p w14:paraId="37FA9089">
      <w:pPr>
        <w:pStyle w:val="31"/>
        <w:bidi w:val="0"/>
        <w:rPr>
          <w:highlight w:val="none"/>
        </w:rPr>
      </w:pPr>
      <w:r>
        <w:rPr>
          <w:rFonts w:hint="eastAsia"/>
          <w:highlight w:val="none"/>
        </w:rPr>
        <w:t>表</w:t>
      </w:r>
      <w:r>
        <w:rPr>
          <w:rFonts w:hint="eastAsia"/>
          <w:highlight w:val="none"/>
          <w:lang w:val="en-US" w:eastAsia="zh-CN"/>
        </w:rPr>
        <w:t>3.7-2</w:t>
      </w:r>
      <w:r>
        <w:rPr>
          <w:rFonts w:hint="eastAsia"/>
          <w:highlight w:val="none"/>
        </w:rPr>
        <w:t xml:space="preserve"> </w:t>
      </w:r>
      <w:r>
        <w:rPr>
          <w:highlight w:val="none"/>
        </w:rPr>
        <w:t xml:space="preserve"> </w:t>
      </w:r>
      <w:r>
        <w:rPr>
          <w:rFonts w:hint="eastAsia"/>
          <w:highlight w:val="none"/>
        </w:rPr>
        <w:t>防火子单元预先危险性分析表</w:t>
      </w:r>
    </w:p>
    <w:tbl>
      <w:tblPr>
        <w:tblStyle w:val="24"/>
        <w:tblW w:w="856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7"/>
        <w:gridCol w:w="636"/>
        <w:gridCol w:w="1717"/>
        <w:gridCol w:w="942"/>
        <w:gridCol w:w="1560"/>
        <w:gridCol w:w="708"/>
        <w:gridCol w:w="691"/>
        <w:gridCol w:w="1608"/>
      </w:tblGrid>
      <w:tr w14:paraId="60667A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6765D85E">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潜在事故</w:t>
            </w:r>
          </w:p>
        </w:tc>
        <w:tc>
          <w:tcPr>
            <w:tcW w:w="636" w:type="dxa"/>
            <w:noWrap w:val="0"/>
            <w:vAlign w:val="center"/>
          </w:tcPr>
          <w:p w14:paraId="167AA896">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危险因素</w:t>
            </w:r>
          </w:p>
        </w:tc>
        <w:tc>
          <w:tcPr>
            <w:tcW w:w="1717" w:type="dxa"/>
            <w:noWrap w:val="0"/>
            <w:vAlign w:val="center"/>
          </w:tcPr>
          <w:p w14:paraId="25E7B2CE">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触发条件（1）</w:t>
            </w:r>
          </w:p>
        </w:tc>
        <w:tc>
          <w:tcPr>
            <w:tcW w:w="942" w:type="dxa"/>
            <w:noWrap w:val="0"/>
            <w:vAlign w:val="center"/>
          </w:tcPr>
          <w:p w14:paraId="754DA3FF">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发生</w:t>
            </w:r>
          </w:p>
          <w:p w14:paraId="5979A061">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条件</w:t>
            </w:r>
          </w:p>
        </w:tc>
        <w:tc>
          <w:tcPr>
            <w:tcW w:w="1560" w:type="dxa"/>
            <w:noWrap w:val="0"/>
            <w:vAlign w:val="center"/>
          </w:tcPr>
          <w:p w14:paraId="6CFE631A">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触发条件（2）</w:t>
            </w:r>
          </w:p>
        </w:tc>
        <w:tc>
          <w:tcPr>
            <w:tcW w:w="708" w:type="dxa"/>
            <w:noWrap w:val="0"/>
            <w:vAlign w:val="center"/>
          </w:tcPr>
          <w:p w14:paraId="1F65CC62">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事故后果</w:t>
            </w:r>
          </w:p>
        </w:tc>
        <w:tc>
          <w:tcPr>
            <w:tcW w:w="691" w:type="dxa"/>
            <w:noWrap w:val="0"/>
            <w:vAlign w:val="center"/>
          </w:tcPr>
          <w:p w14:paraId="03EF2CA1">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危险等级</w:t>
            </w:r>
          </w:p>
        </w:tc>
        <w:tc>
          <w:tcPr>
            <w:tcW w:w="1608" w:type="dxa"/>
            <w:noWrap w:val="0"/>
            <w:vAlign w:val="center"/>
          </w:tcPr>
          <w:p w14:paraId="3D19A69D">
            <w:pPr>
              <w:tabs>
                <w:tab w:val="left" w:pos="2177"/>
              </w:tabs>
              <w:adjustRightInd w:val="0"/>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防范措施</w:t>
            </w:r>
          </w:p>
        </w:tc>
      </w:tr>
      <w:tr w14:paraId="5CE849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155B4484">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火灾</w:t>
            </w:r>
          </w:p>
        </w:tc>
        <w:tc>
          <w:tcPr>
            <w:tcW w:w="636" w:type="dxa"/>
            <w:noWrap w:val="0"/>
            <w:vAlign w:val="center"/>
          </w:tcPr>
          <w:p w14:paraId="61D7A6F1">
            <w:pPr>
              <w:tabs>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着火源、可燃物、助燃物</w:t>
            </w:r>
          </w:p>
        </w:tc>
        <w:tc>
          <w:tcPr>
            <w:tcW w:w="1717" w:type="dxa"/>
            <w:noWrap w:val="0"/>
            <w:vAlign w:val="center"/>
          </w:tcPr>
          <w:p w14:paraId="3F3E7E88">
            <w:pPr>
              <w:numPr>
                <w:ilvl w:val="0"/>
                <w:numId w:val="80"/>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生产和生活用火不慎</w:t>
            </w:r>
          </w:p>
          <w:p w14:paraId="4E5F3F47">
            <w:pPr>
              <w:numPr>
                <w:ilvl w:val="0"/>
                <w:numId w:val="80"/>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设计不符合防火要求</w:t>
            </w:r>
          </w:p>
          <w:p w14:paraId="36E4F0A5">
            <w:pPr>
              <w:numPr>
                <w:ilvl w:val="0"/>
                <w:numId w:val="80"/>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电气设备设计、安装、使用维护不当等</w:t>
            </w:r>
          </w:p>
          <w:p w14:paraId="3A7C09FB">
            <w:pPr>
              <w:numPr>
                <w:ilvl w:val="0"/>
                <w:numId w:val="80"/>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高温、通风不良等自然因素</w:t>
            </w:r>
          </w:p>
        </w:tc>
        <w:tc>
          <w:tcPr>
            <w:tcW w:w="942" w:type="dxa"/>
            <w:noWrap w:val="0"/>
            <w:vAlign w:val="center"/>
          </w:tcPr>
          <w:p w14:paraId="35E492C4">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存在着火源；可燃物、助燃物集中</w:t>
            </w:r>
          </w:p>
        </w:tc>
        <w:tc>
          <w:tcPr>
            <w:tcW w:w="1560" w:type="dxa"/>
            <w:noWrap w:val="0"/>
            <w:vAlign w:val="center"/>
          </w:tcPr>
          <w:p w14:paraId="3590789A">
            <w:pPr>
              <w:numPr>
                <w:ilvl w:val="0"/>
                <w:numId w:val="81"/>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易燃材料乱放，乱堆</w:t>
            </w:r>
          </w:p>
          <w:p w14:paraId="40CEBAE3">
            <w:pPr>
              <w:numPr>
                <w:ilvl w:val="0"/>
                <w:numId w:val="81"/>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在易燃易爆材料旁吸烟、使用明火等</w:t>
            </w:r>
          </w:p>
          <w:p w14:paraId="64B80A06">
            <w:pPr>
              <w:numPr>
                <w:ilvl w:val="0"/>
                <w:numId w:val="81"/>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没有配备必要的灭火器材</w:t>
            </w:r>
          </w:p>
        </w:tc>
        <w:tc>
          <w:tcPr>
            <w:tcW w:w="708" w:type="dxa"/>
            <w:noWrap w:val="0"/>
            <w:vAlign w:val="center"/>
          </w:tcPr>
          <w:p w14:paraId="6358FC3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造成财产损失，人员伤亡。</w:t>
            </w:r>
          </w:p>
        </w:tc>
        <w:tc>
          <w:tcPr>
            <w:tcW w:w="691" w:type="dxa"/>
            <w:noWrap w:val="0"/>
            <w:vAlign w:val="center"/>
          </w:tcPr>
          <w:p w14:paraId="0D9E3F1D">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Ⅱ～Ⅲ级</w:t>
            </w:r>
          </w:p>
        </w:tc>
        <w:tc>
          <w:tcPr>
            <w:tcW w:w="1608" w:type="dxa"/>
            <w:noWrap w:val="0"/>
            <w:vAlign w:val="center"/>
          </w:tcPr>
          <w:p w14:paraId="70E7AF42">
            <w:pPr>
              <w:numPr>
                <w:ilvl w:val="0"/>
                <w:numId w:val="82"/>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设备加注燃油时严禁明火</w:t>
            </w:r>
          </w:p>
          <w:p w14:paraId="571AD20D">
            <w:pPr>
              <w:numPr>
                <w:ilvl w:val="0"/>
                <w:numId w:val="82"/>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禁止在采掘设备上存放汽油和其他易燃易爆材料，禁止用汽油擦洗设备</w:t>
            </w:r>
          </w:p>
        </w:tc>
      </w:tr>
    </w:tbl>
    <w:p w14:paraId="73B30C79">
      <w:pPr>
        <w:pStyle w:val="22"/>
        <w:bidi w:val="0"/>
        <w:rPr>
          <w:rFonts w:hint="default"/>
          <w:highlight w:val="none"/>
          <w:lang w:val="en-US" w:eastAsia="zh-CN"/>
        </w:rPr>
      </w:pPr>
      <w:r>
        <w:rPr>
          <w:rFonts w:hint="default"/>
          <w:highlight w:val="none"/>
          <w:lang w:val="en-US" w:eastAsia="zh-CN"/>
        </w:rPr>
        <w:t>本项目的矿山开采的矿岩不具有自燃性，火灾的危险隐患主要来自外因，其危险程度为“临界的”，应采取相应的控制措施。建议安全设施设计中，应补充井下消防栓设置内容。</w:t>
      </w:r>
    </w:p>
    <w:p w14:paraId="6CF09732">
      <w:pPr>
        <w:pStyle w:val="30"/>
        <w:bidi w:val="0"/>
        <w:rPr>
          <w:rFonts w:hint="default"/>
          <w:highlight w:val="none"/>
          <w:lang w:val="en-US" w:eastAsia="zh-CN"/>
        </w:rPr>
      </w:pPr>
      <w:r>
        <w:rPr>
          <w:rFonts w:hint="default"/>
          <w:highlight w:val="none"/>
          <w:lang w:val="en-US" w:eastAsia="zh-CN"/>
        </w:rPr>
        <w:t>评价结果小结</w:t>
      </w:r>
    </w:p>
    <w:p w14:paraId="42D2C0D8">
      <w:pPr>
        <w:pStyle w:val="22"/>
        <w:bidi w:val="0"/>
        <w:rPr>
          <w:rFonts w:hint="default"/>
          <w:highlight w:val="none"/>
          <w:lang w:val="en-US" w:eastAsia="zh-CN"/>
        </w:rPr>
      </w:pPr>
      <w:r>
        <w:rPr>
          <w:rFonts w:hint="default"/>
          <w:highlight w:val="none"/>
          <w:lang w:val="en-US" w:eastAsia="zh-CN"/>
        </w:rPr>
        <w:t>建设单位在以后的施工及生产中，只要严格按照设计布置防排水设施，并落实《可研报告》及本预评价报告提出的安全措施，井下防排水系统是安全可靠的。</w:t>
      </w:r>
    </w:p>
    <w:p w14:paraId="4497E4DF">
      <w:pPr>
        <w:pStyle w:val="22"/>
        <w:bidi w:val="0"/>
        <w:rPr>
          <w:rFonts w:hint="eastAsia"/>
          <w:highlight w:val="none"/>
          <w:lang w:val="en-US" w:eastAsia="zh-CN"/>
        </w:rPr>
      </w:pPr>
      <w:r>
        <w:rPr>
          <w:rFonts w:hint="default"/>
          <w:highlight w:val="none"/>
          <w:lang w:val="en-US" w:eastAsia="zh-CN"/>
        </w:rPr>
        <w:t>如果建设单位施工及生产过程中严格落实可行性研究报告及本评价报告提出的防灭火方面的安全对策措施，则防灭火系统是安全可靠的</w:t>
      </w:r>
      <w:r>
        <w:rPr>
          <w:rFonts w:hint="eastAsia"/>
          <w:highlight w:val="none"/>
          <w:lang w:val="en-US" w:eastAsia="zh-CN"/>
        </w:rPr>
        <w:t>。</w:t>
      </w:r>
    </w:p>
    <w:p w14:paraId="42A44EDA">
      <w:pPr>
        <w:pStyle w:val="29"/>
        <w:bidi w:val="0"/>
        <w:rPr>
          <w:rFonts w:hint="default"/>
          <w:highlight w:val="none"/>
          <w:lang w:val="en-US" w:eastAsia="zh-CN"/>
        </w:rPr>
      </w:pPr>
      <w:bookmarkStart w:id="30" w:name="_Toc24520"/>
      <w:r>
        <w:rPr>
          <w:rFonts w:hint="eastAsia"/>
          <w:highlight w:val="none"/>
          <w:lang w:val="en-US" w:eastAsia="zh-CN"/>
        </w:rPr>
        <w:t>废石场单元</w:t>
      </w:r>
      <w:bookmarkEnd w:id="30"/>
    </w:p>
    <w:p w14:paraId="5457CE21">
      <w:pPr>
        <w:pStyle w:val="22"/>
        <w:rPr>
          <w:rFonts w:hint="default" w:eastAsia="宋体"/>
          <w:highlight w:val="none"/>
          <w:lang w:val="en-US" w:eastAsia="zh-CN"/>
        </w:rPr>
      </w:pPr>
      <w:r>
        <w:rPr>
          <w:rFonts w:hint="eastAsia"/>
          <w:highlight w:val="none"/>
          <w:lang w:val="zh-CN"/>
        </w:rPr>
        <w:t>《可研报告》明确根据设计选择的采矿工艺，矿山生产期间产生的废石全部用于充填井下采空区，废石不出井，基建期废石排至地表CK2，设计不设置废石堆场，</w:t>
      </w:r>
      <w:r>
        <w:rPr>
          <w:rFonts w:hint="eastAsia"/>
          <w:highlight w:val="none"/>
          <w:lang w:val="en-US" w:eastAsia="zh-CN"/>
        </w:rPr>
        <w:t>所以不需要对废石场单元进行评价。</w:t>
      </w:r>
    </w:p>
    <w:p w14:paraId="688B11AC">
      <w:pPr>
        <w:pStyle w:val="29"/>
        <w:bidi w:val="0"/>
        <w:rPr>
          <w:rFonts w:hint="default"/>
          <w:highlight w:val="none"/>
          <w:lang w:val="en-US" w:eastAsia="zh-CN"/>
        </w:rPr>
      </w:pPr>
      <w:bookmarkStart w:id="31" w:name="_Toc23357"/>
      <w:r>
        <w:rPr>
          <w:rFonts w:hint="default"/>
          <w:highlight w:val="none"/>
          <w:lang w:val="en-US" w:eastAsia="zh-CN"/>
        </w:rPr>
        <w:t>安全避险“六大系统”子单元</w:t>
      </w:r>
      <w:bookmarkEnd w:id="31"/>
    </w:p>
    <w:p w14:paraId="16230EA7">
      <w:pPr>
        <w:pStyle w:val="22"/>
        <w:bidi w:val="0"/>
        <w:rPr>
          <w:rFonts w:hint="default"/>
          <w:highlight w:val="none"/>
          <w:lang w:val="en-US" w:eastAsia="zh-CN"/>
        </w:rPr>
      </w:pPr>
      <w:r>
        <w:rPr>
          <w:rFonts w:hint="default"/>
          <w:highlight w:val="none"/>
          <w:lang w:val="en-US" w:eastAsia="zh-CN"/>
        </w:rPr>
        <w:t>评价组采用安全检查表法对本项目安全避险“六大系统”单元进行评价。安全检查表中，检查结果为符合要求或不符合要求两种。</w:t>
      </w:r>
    </w:p>
    <w:p w14:paraId="2E1B20F8">
      <w:pPr>
        <w:pStyle w:val="22"/>
        <w:bidi w:val="0"/>
        <w:rPr>
          <w:rFonts w:hint="default"/>
          <w:highlight w:val="none"/>
          <w:lang w:val="en-US" w:eastAsia="zh-CN"/>
        </w:rPr>
      </w:pPr>
      <w:r>
        <w:rPr>
          <w:rFonts w:hint="default"/>
          <w:highlight w:val="none"/>
          <w:lang w:val="en-US" w:eastAsia="zh-CN"/>
        </w:rPr>
        <w:t>对该项目安全避险“六大系统”单元的安全检查表，见表3.9-1。</w:t>
      </w:r>
    </w:p>
    <w:p w14:paraId="3A788AFA">
      <w:pPr>
        <w:pStyle w:val="31"/>
        <w:bidi w:val="0"/>
        <w:rPr>
          <w:rFonts w:hint="eastAsia"/>
          <w:highlight w:val="none"/>
        </w:rPr>
      </w:pPr>
      <w:r>
        <w:rPr>
          <w:rFonts w:hint="eastAsia"/>
          <w:highlight w:val="none"/>
        </w:rPr>
        <w:t>表3.</w:t>
      </w:r>
      <w:r>
        <w:rPr>
          <w:rFonts w:hint="eastAsia"/>
          <w:highlight w:val="none"/>
          <w:lang w:val="en-US" w:eastAsia="zh-CN"/>
        </w:rPr>
        <w:t>9</w:t>
      </w:r>
      <w:r>
        <w:rPr>
          <w:rFonts w:hint="eastAsia"/>
          <w:highlight w:val="none"/>
        </w:rPr>
        <w:t>-1  安全避险“六大系统”单元安全检查表</w:t>
      </w:r>
    </w:p>
    <w:tbl>
      <w:tblPr>
        <w:tblStyle w:val="24"/>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65"/>
        <w:gridCol w:w="2687"/>
        <w:gridCol w:w="2280"/>
        <w:gridCol w:w="2884"/>
        <w:gridCol w:w="785"/>
      </w:tblGrid>
      <w:tr w14:paraId="417D55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837153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序号</w:t>
            </w:r>
          </w:p>
        </w:tc>
        <w:tc>
          <w:tcPr>
            <w:tcW w:w="1428" w:type="pct"/>
            <w:noWrap w:val="0"/>
            <w:vAlign w:val="center"/>
          </w:tcPr>
          <w:p w14:paraId="74CFC25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检查项目和内容</w:t>
            </w:r>
          </w:p>
        </w:tc>
        <w:tc>
          <w:tcPr>
            <w:tcW w:w="1212" w:type="pct"/>
            <w:noWrap w:val="0"/>
            <w:vAlign w:val="center"/>
          </w:tcPr>
          <w:p w14:paraId="343AA1A4">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依据标准</w:t>
            </w:r>
          </w:p>
        </w:tc>
        <w:tc>
          <w:tcPr>
            <w:tcW w:w="1533" w:type="pct"/>
            <w:noWrap w:val="0"/>
            <w:vAlign w:val="center"/>
          </w:tcPr>
          <w:p w14:paraId="46B6E77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事实记录</w:t>
            </w:r>
          </w:p>
        </w:tc>
        <w:tc>
          <w:tcPr>
            <w:tcW w:w="417" w:type="pct"/>
            <w:noWrap w:val="0"/>
            <w:vAlign w:val="center"/>
          </w:tcPr>
          <w:p w14:paraId="4BB63F3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结论</w:t>
            </w:r>
          </w:p>
        </w:tc>
      </w:tr>
      <w:tr w14:paraId="0E87A1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3AC604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w:t>
            </w:r>
          </w:p>
        </w:tc>
        <w:tc>
          <w:tcPr>
            <w:tcW w:w="1428" w:type="pct"/>
            <w:noWrap w:val="0"/>
            <w:vAlign w:val="center"/>
          </w:tcPr>
          <w:p w14:paraId="4992B41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应为入井人员配备额定防护时间不少于30min的自救器，并按入井总人数的10%配备备用自救器。</w:t>
            </w:r>
          </w:p>
        </w:tc>
        <w:tc>
          <w:tcPr>
            <w:tcW w:w="1212" w:type="pct"/>
            <w:noWrap w:val="0"/>
            <w:vAlign w:val="center"/>
          </w:tcPr>
          <w:p w14:paraId="5885036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金属非金属地下矿山紧急避险系统建设规范AQ/T 2033—2023</w:t>
            </w:r>
          </w:p>
        </w:tc>
        <w:tc>
          <w:tcPr>
            <w:tcW w:w="1533" w:type="pct"/>
            <w:noWrap w:val="0"/>
            <w:vAlign w:val="center"/>
          </w:tcPr>
          <w:p w14:paraId="048CA801">
            <w:pPr>
              <w:snapToGrid w:val="0"/>
              <w:spacing w:line="240" w:lineRule="auto"/>
              <w:jc w:val="center"/>
              <w:rPr>
                <w:rFonts w:hint="eastAsia" w:ascii="Times New Roman" w:hAnsi="Times New Roman" w:cs="宋体" w:eastAsiaTheme="minorEastAsia"/>
                <w:caps w:val="0"/>
                <w:smallCaps w:val="0"/>
                <w:sz w:val="21"/>
                <w:szCs w:val="21"/>
                <w:highlight w:val="none"/>
                <w:lang w:val="en-US" w:eastAsia="zh-CN"/>
              </w:rPr>
            </w:pPr>
            <w:r>
              <w:rPr>
                <w:rFonts w:hint="eastAsia" w:ascii="Times New Roman" w:hAnsi="Times New Roman" w:cs="宋体"/>
                <w:caps w:val="0"/>
                <w:smallCaps w:val="0"/>
                <w:sz w:val="21"/>
                <w:szCs w:val="21"/>
                <w:highlight w:val="none"/>
              </w:rPr>
              <w:t>《可研报告》明确自救器配备数量按全矿总下井人数进行配置，该矿山全矿总下井人员数量共计</w:t>
            </w:r>
            <w:r>
              <w:rPr>
                <w:rFonts w:hint="eastAsia" w:ascii="Times New Roman" w:hAnsi="Times New Roman" w:cs="宋体"/>
                <w:caps w:val="0"/>
                <w:smallCaps w:val="0"/>
                <w:sz w:val="21"/>
                <w:szCs w:val="21"/>
                <w:highlight w:val="none"/>
                <w:lang w:val="en-US" w:eastAsia="zh-CN"/>
              </w:rPr>
              <w:t>52</w:t>
            </w:r>
            <w:r>
              <w:rPr>
                <w:rFonts w:hint="eastAsia" w:ascii="Times New Roman" w:hAnsi="Times New Roman" w:cs="宋体"/>
                <w:caps w:val="0"/>
                <w:smallCaps w:val="0"/>
                <w:sz w:val="21"/>
                <w:szCs w:val="21"/>
                <w:highlight w:val="none"/>
              </w:rPr>
              <w:t>人，其中最大班作业人员</w:t>
            </w:r>
            <w:r>
              <w:rPr>
                <w:rFonts w:hint="eastAsia" w:ascii="Times New Roman" w:hAnsi="Times New Roman" w:cs="宋体"/>
                <w:caps w:val="0"/>
                <w:smallCaps w:val="0"/>
                <w:sz w:val="21"/>
                <w:szCs w:val="21"/>
                <w:highlight w:val="none"/>
                <w:lang w:val="en-US" w:eastAsia="zh-CN"/>
              </w:rPr>
              <w:t>27</w:t>
            </w:r>
            <w:r>
              <w:rPr>
                <w:rFonts w:hint="eastAsia" w:ascii="Times New Roman" w:hAnsi="Times New Roman" w:cs="宋体"/>
                <w:caps w:val="0"/>
                <w:smallCaps w:val="0"/>
                <w:sz w:val="21"/>
                <w:szCs w:val="21"/>
                <w:highlight w:val="none"/>
              </w:rPr>
              <w:t>人，矿山企业应当确保入井人员每人配备1台自救器，取</w:t>
            </w:r>
            <w:r>
              <w:rPr>
                <w:rFonts w:hint="eastAsia" w:ascii="Times New Roman" w:hAnsi="Times New Roman" w:cs="宋体"/>
                <w:caps w:val="0"/>
                <w:smallCaps w:val="0"/>
                <w:sz w:val="21"/>
                <w:szCs w:val="21"/>
                <w:highlight w:val="none"/>
                <w:lang w:val="en-US" w:eastAsia="zh-CN"/>
              </w:rPr>
              <w:t>52</w:t>
            </w:r>
            <w:r>
              <w:rPr>
                <w:rFonts w:hint="eastAsia" w:ascii="Times New Roman" w:hAnsi="Times New Roman" w:cs="宋体"/>
                <w:caps w:val="0"/>
                <w:smallCaps w:val="0"/>
                <w:sz w:val="21"/>
                <w:szCs w:val="21"/>
                <w:highlight w:val="none"/>
              </w:rPr>
              <w:t>台；并在井下避灾路线上设置的自救器补给站等紧急避险地点配备1.2倍同时作业最大人数的自救器，取</w:t>
            </w:r>
            <w:r>
              <w:rPr>
                <w:rFonts w:hint="eastAsia" w:ascii="Times New Roman" w:hAnsi="Times New Roman" w:cs="宋体"/>
                <w:caps w:val="0"/>
                <w:smallCaps w:val="0"/>
                <w:sz w:val="21"/>
                <w:szCs w:val="21"/>
                <w:highlight w:val="none"/>
                <w:lang w:val="en-US" w:eastAsia="zh-CN"/>
              </w:rPr>
              <w:t>33</w:t>
            </w:r>
            <w:r>
              <w:rPr>
                <w:rFonts w:hint="eastAsia" w:ascii="Times New Roman" w:hAnsi="Times New Roman" w:cs="宋体"/>
                <w:caps w:val="0"/>
                <w:smallCaps w:val="0"/>
                <w:sz w:val="21"/>
                <w:szCs w:val="21"/>
                <w:highlight w:val="none"/>
              </w:rPr>
              <w:t>台。备用自救器不少于入井人员总数和紧急避险地点自救器总数两者之和的10%</w:t>
            </w:r>
            <w:r>
              <w:rPr>
                <w:rFonts w:hint="eastAsia" w:ascii="Times New Roman" w:hAnsi="Times New Roman" w:cs="宋体"/>
                <w:caps w:val="0"/>
                <w:smallCaps w:val="0"/>
                <w:sz w:val="21"/>
                <w:szCs w:val="21"/>
                <w:highlight w:val="none"/>
                <w:lang w:eastAsia="zh-CN"/>
              </w:rPr>
              <w:t>，备用自救器为9台。综上全矿自救器共配备94台，其中人员带入井下52台，紧急避险地点配备33台，备用9台。</w:t>
            </w:r>
          </w:p>
        </w:tc>
        <w:tc>
          <w:tcPr>
            <w:tcW w:w="417" w:type="pct"/>
            <w:noWrap w:val="0"/>
            <w:vAlign w:val="center"/>
          </w:tcPr>
          <w:p w14:paraId="34E8ED1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22A9D1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C359CE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w:t>
            </w:r>
          </w:p>
        </w:tc>
        <w:tc>
          <w:tcPr>
            <w:tcW w:w="1428" w:type="pct"/>
            <w:noWrap w:val="0"/>
            <w:vAlign w:val="center"/>
          </w:tcPr>
          <w:p w14:paraId="6D9CA18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生产中段在地面最低安全出口以下垂直距离超过500m的矿山，宜在最低采矿生产中段设置普通型紧急避险设施；</w:t>
            </w:r>
          </w:p>
          <w:p w14:paraId="1EB94A2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水文地质条件复杂或有透水风险的地下矿山，宜在最低采矿生产中段设置防水紧急避险设施；</w:t>
            </w:r>
          </w:p>
        </w:tc>
        <w:tc>
          <w:tcPr>
            <w:tcW w:w="1212" w:type="pct"/>
            <w:noWrap w:val="0"/>
            <w:vAlign w:val="center"/>
          </w:tcPr>
          <w:p w14:paraId="0762B3F2">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金属非金属地下矿山紧急避险系统建设规范AQ/T 2033—2023</w:t>
            </w:r>
          </w:p>
        </w:tc>
        <w:tc>
          <w:tcPr>
            <w:tcW w:w="1533" w:type="pct"/>
            <w:noWrap w:val="0"/>
            <w:vAlign w:val="center"/>
          </w:tcPr>
          <w:p w14:paraId="559D3BEA">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该矿山矿山水文地质条件简单；矿山地面最低安全出口为斜坡道，井口标高</w:t>
            </w:r>
            <w:r>
              <w:rPr>
                <w:rFonts w:hint="eastAsia" w:ascii="Times New Roman" w:hAnsi="Times New Roman" w:cs="宋体"/>
                <w:caps w:val="0"/>
                <w:smallCaps w:val="0"/>
                <w:sz w:val="21"/>
                <w:szCs w:val="21"/>
                <w:highlight w:val="none"/>
                <w:lang w:val="en-US" w:eastAsia="zh-CN"/>
              </w:rPr>
              <w:t>272.80</w:t>
            </w:r>
            <w:r>
              <w:rPr>
                <w:rFonts w:hint="eastAsia" w:ascii="Times New Roman" w:hAnsi="Times New Roman" w:cs="宋体"/>
                <w:caps w:val="0"/>
                <w:smallCaps w:val="0"/>
                <w:sz w:val="21"/>
                <w:szCs w:val="21"/>
                <w:highlight w:val="none"/>
              </w:rPr>
              <w:t>m。-</w:t>
            </w:r>
            <w:r>
              <w:rPr>
                <w:rFonts w:hint="eastAsia" w:ascii="Times New Roman" w:hAnsi="Times New Roman" w:cs="宋体"/>
                <w:caps w:val="0"/>
                <w:smallCaps w:val="0"/>
                <w:sz w:val="21"/>
                <w:szCs w:val="21"/>
                <w:highlight w:val="none"/>
                <w:lang w:val="en-US" w:eastAsia="zh-CN"/>
              </w:rPr>
              <w:t>67</w:t>
            </w:r>
            <w:r>
              <w:rPr>
                <w:rFonts w:hint="eastAsia" w:ascii="Times New Roman" w:hAnsi="Times New Roman" w:cs="宋体"/>
                <w:caps w:val="0"/>
                <w:smallCaps w:val="0"/>
                <w:sz w:val="21"/>
                <w:szCs w:val="21"/>
                <w:highlight w:val="none"/>
              </w:rPr>
              <w:t>m中段与最低安全出口垂直距离超过500m，设计在最低采矿生产中段设置普通型紧急避险硐室。</w:t>
            </w:r>
          </w:p>
        </w:tc>
        <w:tc>
          <w:tcPr>
            <w:tcW w:w="417" w:type="pct"/>
            <w:noWrap w:val="0"/>
            <w:vAlign w:val="center"/>
          </w:tcPr>
          <w:p w14:paraId="4B62BA0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305CA9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4820D4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3</w:t>
            </w:r>
          </w:p>
        </w:tc>
        <w:tc>
          <w:tcPr>
            <w:tcW w:w="1428" w:type="pct"/>
            <w:noWrap w:val="0"/>
            <w:vAlign w:val="center"/>
          </w:tcPr>
          <w:p w14:paraId="6284766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压风管道应采用钢质材料或其他具有同等强度的阻燃材料，并采取防腐蚀措施。</w:t>
            </w:r>
          </w:p>
        </w:tc>
        <w:tc>
          <w:tcPr>
            <w:tcW w:w="1212" w:type="pct"/>
            <w:noWrap w:val="0"/>
            <w:vAlign w:val="center"/>
          </w:tcPr>
          <w:p w14:paraId="365F48B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金属非金属地下矿山压风自救系统建设规范AQ/T 2034—2023</w:t>
            </w:r>
          </w:p>
        </w:tc>
        <w:tc>
          <w:tcPr>
            <w:tcW w:w="1533" w:type="pct"/>
            <w:noWrap w:val="0"/>
            <w:vAlign w:val="center"/>
          </w:tcPr>
          <w:p w14:paraId="3628C5E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设计压风自救系统采用高压阻燃软管。</w:t>
            </w:r>
          </w:p>
        </w:tc>
        <w:tc>
          <w:tcPr>
            <w:tcW w:w="417" w:type="pct"/>
            <w:noWrap w:val="0"/>
            <w:vAlign w:val="center"/>
          </w:tcPr>
          <w:p w14:paraId="12AE29CB">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121DA0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24939A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4</w:t>
            </w:r>
          </w:p>
        </w:tc>
        <w:tc>
          <w:tcPr>
            <w:tcW w:w="1428" w:type="pct"/>
            <w:noWrap w:val="0"/>
            <w:vAlign w:val="center"/>
          </w:tcPr>
          <w:p w14:paraId="28AF7EA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压风管道敷设应牢固平直，并延伸到井下采掘作业场所、紧急避险设施、爆破时撤离人员集中地点等主要地点。</w:t>
            </w:r>
          </w:p>
        </w:tc>
        <w:tc>
          <w:tcPr>
            <w:tcW w:w="1212" w:type="pct"/>
            <w:noWrap w:val="0"/>
            <w:vAlign w:val="center"/>
          </w:tcPr>
          <w:p w14:paraId="207CF87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金属非金属地下矿山压风自救系统建设规范AQ/T 2034—2023</w:t>
            </w:r>
          </w:p>
        </w:tc>
        <w:tc>
          <w:tcPr>
            <w:tcW w:w="1533" w:type="pct"/>
            <w:noWrap w:val="0"/>
            <w:vAlign w:val="center"/>
          </w:tcPr>
          <w:p w14:paraId="0F02D1E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设计压风自救系统管道敷设按照规范要求设置</w:t>
            </w:r>
          </w:p>
        </w:tc>
        <w:tc>
          <w:tcPr>
            <w:tcW w:w="417" w:type="pct"/>
            <w:noWrap w:val="0"/>
            <w:vAlign w:val="center"/>
          </w:tcPr>
          <w:p w14:paraId="48F290D7">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3C1349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2E17A7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5</w:t>
            </w:r>
          </w:p>
        </w:tc>
        <w:tc>
          <w:tcPr>
            <w:tcW w:w="1428" w:type="pct"/>
            <w:noWrap w:val="0"/>
            <w:vAlign w:val="center"/>
          </w:tcPr>
          <w:p w14:paraId="17D5D6F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各主要生产中段和分段进风巷道的压风管路上设置的供气阀门，中段和分段间隔应不大于200m。</w:t>
            </w:r>
          </w:p>
        </w:tc>
        <w:tc>
          <w:tcPr>
            <w:tcW w:w="1212" w:type="pct"/>
            <w:noWrap w:val="0"/>
            <w:vAlign w:val="center"/>
          </w:tcPr>
          <w:p w14:paraId="4230986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金属非金属地下矿山压风自救系统建设规范AQ/T 2034—2023</w:t>
            </w:r>
          </w:p>
        </w:tc>
        <w:tc>
          <w:tcPr>
            <w:tcW w:w="1533" w:type="pct"/>
            <w:noWrap w:val="0"/>
            <w:vAlign w:val="center"/>
          </w:tcPr>
          <w:p w14:paraId="1B474D0C">
            <w:pPr>
              <w:snapToGrid w:val="0"/>
              <w:spacing w:line="240" w:lineRule="auto"/>
              <w:jc w:val="center"/>
              <w:rPr>
                <w:rFonts w:hint="default" w:ascii="Times New Roman" w:hAnsi="Times New Roman" w:cs="宋体" w:eastAsiaTheme="minorEastAsia"/>
                <w:caps w:val="0"/>
                <w:smallCaps w:val="0"/>
                <w:sz w:val="21"/>
                <w:szCs w:val="21"/>
                <w:highlight w:val="none"/>
                <w:lang w:val="en-US" w:eastAsia="zh-CN"/>
              </w:rPr>
            </w:pPr>
            <w:r>
              <w:rPr>
                <w:rFonts w:hint="eastAsia" w:ascii="Times New Roman" w:hAnsi="Times New Roman" w:cs="宋体"/>
                <w:caps w:val="0"/>
                <w:smallCaps w:val="0"/>
                <w:sz w:val="21"/>
                <w:szCs w:val="21"/>
                <w:highlight w:val="none"/>
              </w:rPr>
              <w:t>设计压风自救系统管路上设置的供气阀门</w:t>
            </w:r>
            <w:r>
              <w:rPr>
                <w:rFonts w:hint="eastAsia" w:ascii="Times New Roman" w:hAnsi="Times New Roman" w:cs="宋体"/>
                <w:caps w:val="0"/>
                <w:smallCaps w:val="0"/>
                <w:sz w:val="21"/>
                <w:szCs w:val="21"/>
                <w:highlight w:val="none"/>
                <w:lang w:val="en-US" w:eastAsia="zh-CN"/>
              </w:rPr>
              <w:t>符合规范要求设置</w:t>
            </w:r>
          </w:p>
        </w:tc>
        <w:tc>
          <w:tcPr>
            <w:tcW w:w="417" w:type="pct"/>
            <w:noWrap w:val="0"/>
            <w:vAlign w:val="center"/>
          </w:tcPr>
          <w:p w14:paraId="34A399A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26C416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0F1EF0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6</w:t>
            </w:r>
          </w:p>
        </w:tc>
        <w:tc>
          <w:tcPr>
            <w:tcW w:w="1428" w:type="pct"/>
            <w:noWrap w:val="0"/>
            <w:vAlign w:val="center"/>
          </w:tcPr>
          <w:p w14:paraId="38834B0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主压风管道中应安装油水分离器</w:t>
            </w:r>
          </w:p>
        </w:tc>
        <w:tc>
          <w:tcPr>
            <w:tcW w:w="1212" w:type="pct"/>
            <w:noWrap w:val="0"/>
            <w:vAlign w:val="center"/>
          </w:tcPr>
          <w:p w14:paraId="4FF6660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金属非金属地下矿山压风自救系统建设规范AQ/T 2034—2023</w:t>
            </w:r>
          </w:p>
        </w:tc>
        <w:tc>
          <w:tcPr>
            <w:tcW w:w="1533" w:type="pct"/>
            <w:noWrap w:val="0"/>
            <w:vAlign w:val="center"/>
          </w:tcPr>
          <w:p w14:paraId="06CD553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设计主压风管道按照规范要求安装油水分离器</w:t>
            </w:r>
          </w:p>
        </w:tc>
        <w:tc>
          <w:tcPr>
            <w:tcW w:w="417" w:type="pct"/>
            <w:noWrap w:val="0"/>
            <w:vAlign w:val="center"/>
          </w:tcPr>
          <w:p w14:paraId="25BD691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6F3636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2F592E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7</w:t>
            </w:r>
          </w:p>
        </w:tc>
        <w:tc>
          <w:tcPr>
            <w:tcW w:w="1428" w:type="pct"/>
            <w:noWrap w:val="0"/>
            <w:vAlign w:val="center"/>
          </w:tcPr>
          <w:p w14:paraId="44CB8B8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生产用水不符合生活饮用水要求时，供水施救系统中还应建设辅助水池用于储备生活饮用水，容量应不小于20m</w:t>
            </w:r>
            <w:r>
              <w:rPr>
                <w:rFonts w:hint="eastAsia" w:ascii="Times New Roman" w:hAnsi="Times New Roman" w:cs="宋体"/>
                <w:caps w:val="0"/>
                <w:smallCaps w:val="0"/>
                <w:sz w:val="21"/>
                <w:szCs w:val="21"/>
                <w:highlight w:val="none"/>
                <w:vertAlign w:val="superscript"/>
              </w:rPr>
              <w:t>2</w:t>
            </w:r>
            <w:r>
              <w:rPr>
                <w:rFonts w:hint="eastAsia" w:ascii="Times New Roman" w:hAnsi="Times New Roman" w:cs="宋体"/>
                <w:caps w:val="0"/>
                <w:smallCaps w:val="0"/>
                <w:sz w:val="21"/>
                <w:szCs w:val="21"/>
                <w:highlight w:val="none"/>
              </w:rPr>
              <w:t>。辅助水池应采取封闭保护措施,防止异物污染,每年应对辅助水池进行一次全面清洗、消毒</w:t>
            </w:r>
            <w:r>
              <w:rPr>
                <w:rFonts w:hint="eastAsia" w:ascii="Times New Roman" w:hAnsi="Times New Roman" w:cs="宋体"/>
                <w:caps w:val="0"/>
                <w:smallCaps w:val="0"/>
                <w:sz w:val="21"/>
                <w:szCs w:val="21"/>
                <w:highlight w:val="none"/>
                <w:lang w:eastAsia="zh-CN"/>
              </w:rPr>
              <w:t>，</w:t>
            </w:r>
            <w:r>
              <w:rPr>
                <w:rFonts w:hint="eastAsia" w:ascii="Times New Roman" w:hAnsi="Times New Roman" w:cs="宋体"/>
                <w:caps w:val="0"/>
                <w:smallCaps w:val="0"/>
                <w:sz w:val="21"/>
                <w:szCs w:val="21"/>
                <w:highlight w:val="none"/>
              </w:rPr>
              <w:t>并对水质进行检验。</w:t>
            </w:r>
          </w:p>
        </w:tc>
        <w:tc>
          <w:tcPr>
            <w:tcW w:w="1212" w:type="pct"/>
            <w:noWrap w:val="0"/>
            <w:vAlign w:val="center"/>
          </w:tcPr>
          <w:p w14:paraId="03596614">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金属非金属地下矿山供水施救系统建设规范AQ/T 2035—2023</w:t>
            </w:r>
          </w:p>
        </w:tc>
        <w:tc>
          <w:tcPr>
            <w:tcW w:w="1533" w:type="pct"/>
            <w:noWrap w:val="0"/>
            <w:vAlign w:val="center"/>
          </w:tcPr>
          <w:p w14:paraId="274F51A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《可研报告》明确水源由矿区深水井提供，采用恒压供水至生活高位水池，再从高位水池接配水管网。</w:t>
            </w:r>
          </w:p>
        </w:tc>
        <w:tc>
          <w:tcPr>
            <w:tcW w:w="417" w:type="pct"/>
            <w:noWrap w:val="0"/>
            <w:vAlign w:val="center"/>
          </w:tcPr>
          <w:p w14:paraId="36FB72CD">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7E0CE1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14349D2">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8</w:t>
            </w:r>
          </w:p>
        </w:tc>
        <w:tc>
          <w:tcPr>
            <w:tcW w:w="1428" w:type="pct"/>
            <w:noWrap w:val="0"/>
            <w:vAlign w:val="center"/>
          </w:tcPr>
          <w:p w14:paraId="0517600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供水管道敷设应牢固平直，并延伸到井下采掘作业场所、紧急避险设施、爆破时撤离人员集中地点等主要地点。</w:t>
            </w:r>
          </w:p>
        </w:tc>
        <w:tc>
          <w:tcPr>
            <w:tcW w:w="1212" w:type="pct"/>
            <w:noWrap w:val="0"/>
            <w:vAlign w:val="center"/>
          </w:tcPr>
          <w:p w14:paraId="6FDA966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金属非金属地下矿山供水施救系统建设规范AQ/T 2035—2023</w:t>
            </w:r>
          </w:p>
        </w:tc>
        <w:tc>
          <w:tcPr>
            <w:tcW w:w="1533" w:type="pct"/>
            <w:noWrap w:val="0"/>
            <w:vAlign w:val="center"/>
          </w:tcPr>
          <w:p w14:paraId="22DED83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设计管道为无缝钢管、其敷设按照规范要求布置</w:t>
            </w:r>
          </w:p>
        </w:tc>
        <w:tc>
          <w:tcPr>
            <w:tcW w:w="417" w:type="pct"/>
            <w:noWrap w:val="0"/>
            <w:vAlign w:val="center"/>
          </w:tcPr>
          <w:p w14:paraId="7AC7D90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016507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8F58E1">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9</w:t>
            </w:r>
          </w:p>
        </w:tc>
        <w:tc>
          <w:tcPr>
            <w:tcW w:w="1428" w:type="pct"/>
            <w:noWrap w:val="0"/>
            <w:vAlign w:val="center"/>
          </w:tcPr>
          <w:p w14:paraId="6524E9E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各主要生产中段和分段进风巷道的供水管道上安设的供水阀门</w:t>
            </w:r>
            <w:r>
              <w:rPr>
                <w:rFonts w:hint="eastAsia" w:ascii="Times New Roman" w:hAnsi="Times New Roman" w:cs="宋体"/>
                <w:caps w:val="0"/>
                <w:smallCaps w:val="0"/>
                <w:sz w:val="21"/>
                <w:szCs w:val="21"/>
                <w:highlight w:val="none"/>
                <w:lang w:eastAsia="zh-CN"/>
              </w:rPr>
              <w:t>，</w:t>
            </w:r>
            <w:r>
              <w:rPr>
                <w:rFonts w:hint="eastAsia" w:ascii="Times New Roman" w:hAnsi="Times New Roman" w:cs="宋体"/>
                <w:caps w:val="0"/>
                <w:smallCaps w:val="0"/>
                <w:sz w:val="21"/>
                <w:szCs w:val="21"/>
                <w:highlight w:val="none"/>
              </w:rPr>
              <w:t>中段和分段间隔应不大于200m。</w:t>
            </w:r>
          </w:p>
        </w:tc>
        <w:tc>
          <w:tcPr>
            <w:tcW w:w="1212" w:type="pct"/>
            <w:noWrap w:val="0"/>
            <w:vAlign w:val="center"/>
          </w:tcPr>
          <w:p w14:paraId="16113FC9">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金属非金属地下矿山供水施救系统建设规范AQ/T 2035—2023</w:t>
            </w:r>
          </w:p>
        </w:tc>
        <w:tc>
          <w:tcPr>
            <w:tcW w:w="1533" w:type="pct"/>
            <w:noWrap w:val="0"/>
            <w:vAlign w:val="center"/>
          </w:tcPr>
          <w:p w14:paraId="1A6E0E4A">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设计要生产中段和分段进风巷道的供水管道按照规范设置三通和阀门</w:t>
            </w:r>
          </w:p>
        </w:tc>
        <w:tc>
          <w:tcPr>
            <w:tcW w:w="417" w:type="pct"/>
            <w:noWrap w:val="0"/>
            <w:vAlign w:val="center"/>
          </w:tcPr>
          <w:p w14:paraId="5CF2C3B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0D07E1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5725A9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10</w:t>
            </w:r>
          </w:p>
        </w:tc>
        <w:tc>
          <w:tcPr>
            <w:tcW w:w="1428" w:type="pct"/>
            <w:noWrap w:val="0"/>
            <w:vAlign w:val="center"/>
          </w:tcPr>
          <w:p w14:paraId="674F1D5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供水管道应接人紧急避险设施内,并安设阀门及过滤装置,水量和水压应满足额定数量人员避灾时的需要。</w:t>
            </w:r>
          </w:p>
        </w:tc>
        <w:tc>
          <w:tcPr>
            <w:tcW w:w="1212" w:type="pct"/>
            <w:noWrap w:val="0"/>
            <w:vAlign w:val="center"/>
          </w:tcPr>
          <w:p w14:paraId="75710D3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金属非金属地下矿山供水施救系统建设规范AQ/T 2035—2023</w:t>
            </w:r>
          </w:p>
        </w:tc>
        <w:tc>
          <w:tcPr>
            <w:tcW w:w="1533" w:type="pct"/>
            <w:noWrap w:val="0"/>
            <w:vAlign w:val="center"/>
          </w:tcPr>
          <w:p w14:paraId="0FC5B54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按照规范要求按照阀门和过滤装置，水量和水压满足需要</w:t>
            </w:r>
          </w:p>
        </w:tc>
        <w:tc>
          <w:tcPr>
            <w:tcW w:w="417" w:type="pct"/>
            <w:noWrap w:val="0"/>
            <w:vAlign w:val="center"/>
          </w:tcPr>
          <w:p w14:paraId="18CD910B">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4CBE28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4A3D24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11</w:t>
            </w:r>
          </w:p>
        </w:tc>
        <w:tc>
          <w:tcPr>
            <w:tcW w:w="1428" w:type="pct"/>
            <w:noWrap w:val="0"/>
            <w:vAlign w:val="center"/>
          </w:tcPr>
          <w:p w14:paraId="2B59B85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井下最多同时作业人数不少于30人的金属非金属地下矿山应建立完善人员定位系统；井下最多同时作业人数少于30人的矿山应建立完善人员出入井信息管理制度，准确掌握井下各个区域作业人员的数量。</w:t>
            </w:r>
          </w:p>
        </w:tc>
        <w:tc>
          <w:tcPr>
            <w:tcW w:w="1212" w:type="pct"/>
            <w:noWrap w:val="0"/>
            <w:vAlign w:val="center"/>
          </w:tcPr>
          <w:p w14:paraId="5AEDF2E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金属非金属地下矿山人员定位系统建设规范AQ2032-2011</w:t>
            </w:r>
          </w:p>
        </w:tc>
        <w:tc>
          <w:tcPr>
            <w:tcW w:w="1533" w:type="pct"/>
            <w:noWrap w:val="0"/>
            <w:vAlign w:val="center"/>
          </w:tcPr>
          <w:p w14:paraId="1F825FF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设计该项目单班下井最大人数为</w:t>
            </w:r>
            <w:r>
              <w:rPr>
                <w:rFonts w:hint="eastAsia" w:ascii="Times New Roman" w:hAnsi="Times New Roman" w:cs="宋体"/>
                <w:caps w:val="0"/>
                <w:smallCaps w:val="0"/>
                <w:sz w:val="21"/>
                <w:szCs w:val="21"/>
                <w:highlight w:val="none"/>
                <w:lang w:val="en-US" w:eastAsia="zh-CN"/>
              </w:rPr>
              <w:t>27</w:t>
            </w:r>
            <w:r>
              <w:rPr>
                <w:rFonts w:hint="eastAsia" w:ascii="Times New Roman" w:hAnsi="Times New Roman" w:cs="宋体"/>
                <w:caps w:val="0"/>
                <w:smallCaps w:val="0"/>
                <w:sz w:val="21"/>
                <w:szCs w:val="21"/>
                <w:highlight w:val="none"/>
              </w:rPr>
              <w:t>人，建立人员定位系统，随身携带人员定位卡</w:t>
            </w:r>
          </w:p>
        </w:tc>
        <w:tc>
          <w:tcPr>
            <w:tcW w:w="417" w:type="pct"/>
            <w:noWrap w:val="0"/>
            <w:vAlign w:val="center"/>
          </w:tcPr>
          <w:p w14:paraId="778697F2">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2554DF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7A647D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12</w:t>
            </w:r>
          </w:p>
        </w:tc>
        <w:tc>
          <w:tcPr>
            <w:tcW w:w="1428" w:type="pct"/>
            <w:noWrap w:val="0"/>
            <w:vAlign w:val="center"/>
          </w:tcPr>
          <w:p w14:paraId="6E9AF34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安装通信联络终端设备的地点应包括：井底车场、马头门、井下变电所、井下各中段采区、主要泵房、主要通风机房、井下紧急避险设施、爆破时撤离人员集中地点、提升机房、装卸矿点等。</w:t>
            </w:r>
          </w:p>
        </w:tc>
        <w:tc>
          <w:tcPr>
            <w:tcW w:w="1212" w:type="pct"/>
            <w:noWrap w:val="0"/>
            <w:vAlign w:val="center"/>
          </w:tcPr>
          <w:p w14:paraId="66D2919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金属非金属地下矿山通信联络系统建设规范AQ2036-2011</w:t>
            </w:r>
          </w:p>
        </w:tc>
        <w:tc>
          <w:tcPr>
            <w:tcW w:w="1533" w:type="pct"/>
            <w:noWrap w:val="0"/>
            <w:vAlign w:val="center"/>
          </w:tcPr>
          <w:p w14:paraId="3B050492">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设计通信联络终端设备按照规范要求设置</w:t>
            </w:r>
          </w:p>
        </w:tc>
        <w:tc>
          <w:tcPr>
            <w:tcW w:w="417" w:type="pct"/>
            <w:noWrap w:val="0"/>
            <w:vAlign w:val="center"/>
          </w:tcPr>
          <w:p w14:paraId="32C4CC3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30147C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87" w:hRule="atLeast"/>
          <w:tblHeader/>
          <w:jc w:val="center"/>
        </w:trPr>
        <w:tc>
          <w:tcPr>
            <w:tcW w:w="407" w:type="pct"/>
            <w:noWrap w:val="0"/>
            <w:vAlign w:val="center"/>
          </w:tcPr>
          <w:p w14:paraId="6A0802A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13</w:t>
            </w:r>
          </w:p>
        </w:tc>
        <w:tc>
          <w:tcPr>
            <w:tcW w:w="1428" w:type="pct"/>
            <w:noWrap w:val="0"/>
            <w:vAlign w:val="center"/>
          </w:tcPr>
          <w:p w14:paraId="29969A1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通信线缆的敷设应符合GB16423-2006中6.5.2的相关规定。</w:t>
            </w:r>
          </w:p>
        </w:tc>
        <w:tc>
          <w:tcPr>
            <w:tcW w:w="1212" w:type="pct"/>
            <w:noWrap w:val="0"/>
            <w:vAlign w:val="center"/>
          </w:tcPr>
          <w:p w14:paraId="38B2007B">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金属非金属地下矿山通信联络系统建设规范AQ2036-2011</w:t>
            </w:r>
          </w:p>
        </w:tc>
        <w:tc>
          <w:tcPr>
            <w:tcW w:w="1533" w:type="pct"/>
            <w:noWrap w:val="0"/>
            <w:vAlign w:val="center"/>
          </w:tcPr>
          <w:p w14:paraId="6790F43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《可研报告》明确通信线缆设置两条。</w:t>
            </w:r>
          </w:p>
        </w:tc>
        <w:tc>
          <w:tcPr>
            <w:tcW w:w="417" w:type="pct"/>
            <w:noWrap w:val="0"/>
            <w:vAlign w:val="center"/>
          </w:tcPr>
          <w:p w14:paraId="7851825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56EAAA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F805AB1">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14</w:t>
            </w:r>
          </w:p>
        </w:tc>
        <w:tc>
          <w:tcPr>
            <w:tcW w:w="1428" w:type="pct"/>
            <w:noWrap w:val="0"/>
            <w:vAlign w:val="center"/>
          </w:tcPr>
          <w:p w14:paraId="0CFC5139">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终端设备应设置在便于使用且围岩稳固、支护良好、无淋水的位置。</w:t>
            </w:r>
          </w:p>
        </w:tc>
        <w:tc>
          <w:tcPr>
            <w:tcW w:w="1212" w:type="pct"/>
            <w:noWrap w:val="0"/>
            <w:vAlign w:val="center"/>
          </w:tcPr>
          <w:p w14:paraId="7FC6796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金属非金属地下矿山通信联络系统建设规范AQ2036-2011</w:t>
            </w:r>
          </w:p>
        </w:tc>
        <w:tc>
          <w:tcPr>
            <w:tcW w:w="1533" w:type="pct"/>
            <w:noWrap w:val="0"/>
            <w:vAlign w:val="center"/>
          </w:tcPr>
          <w:p w14:paraId="4F5CEF34">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设计终端设备设置在便于使用且围岩稳固、支护良好、无淋水的位置</w:t>
            </w:r>
          </w:p>
        </w:tc>
        <w:tc>
          <w:tcPr>
            <w:tcW w:w="417" w:type="pct"/>
            <w:noWrap w:val="0"/>
            <w:vAlign w:val="center"/>
          </w:tcPr>
          <w:p w14:paraId="1F4E625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227BB6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73E652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15</w:t>
            </w:r>
          </w:p>
        </w:tc>
        <w:tc>
          <w:tcPr>
            <w:tcW w:w="1428" w:type="pct"/>
            <w:noWrap w:val="0"/>
            <w:vAlign w:val="center"/>
          </w:tcPr>
          <w:p w14:paraId="659DE9D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地下矿山应配置足够的便携式气体检测报警仪。便携式气体检测报警仪应能测量一氧化碳、氧气、二氧化氮浓度，并具有报警参数设置和声光报警功能。</w:t>
            </w:r>
          </w:p>
        </w:tc>
        <w:tc>
          <w:tcPr>
            <w:tcW w:w="1212" w:type="pct"/>
            <w:noWrap w:val="0"/>
            <w:vAlign w:val="center"/>
          </w:tcPr>
          <w:p w14:paraId="1B1831C4">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0C0B8A4B">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设计地下矿山按照规范配备携式气体检测报警仪，可以测量一氧化碳、氧气、二氧化氮浓度，并具有报警参数设置和声光报警功能。</w:t>
            </w:r>
          </w:p>
        </w:tc>
        <w:tc>
          <w:tcPr>
            <w:tcW w:w="417" w:type="pct"/>
            <w:noWrap w:val="0"/>
            <w:vAlign w:val="center"/>
          </w:tcPr>
          <w:p w14:paraId="6BE3329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1B06A6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8D75ED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16</w:t>
            </w:r>
          </w:p>
        </w:tc>
        <w:tc>
          <w:tcPr>
            <w:tcW w:w="1428" w:type="pct"/>
            <w:noWrap w:val="0"/>
            <w:vAlign w:val="center"/>
          </w:tcPr>
          <w:p w14:paraId="71970AF1">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进入独头掘进工作面前，应开动局部通风设备通风，确保空气质量满足作业要求；人员进入采掘工作面时，应携带便携式气体检测报警仪从进风侧进入，一旦报警应立即撤离。</w:t>
            </w:r>
          </w:p>
        </w:tc>
        <w:tc>
          <w:tcPr>
            <w:tcW w:w="1212" w:type="pct"/>
            <w:noWrap w:val="0"/>
            <w:vAlign w:val="center"/>
          </w:tcPr>
          <w:p w14:paraId="7991341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66623D4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《可研报告》有相关要求</w:t>
            </w:r>
          </w:p>
        </w:tc>
        <w:tc>
          <w:tcPr>
            <w:tcW w:w="417" w:type="pct"/>
            <w:noWrap w:val="0"/>
            <w:vAlign w:val="center"/>
          </w:tcPr>
          <w:p w14:paraId="7C74923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4AC450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1209740">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17</w:t>
            </w:r>
          </w:p>
        </w:tc>
        <w:tc>
          <w:tcPr>
            <w:tcW w:w="1428" w:type="pct"/>
            <w:noWrap w:val="0"/>
            <w:vAlign w:val="center"/>
          </w:tcPr>
          <w:p w14:paraId="2A1262D4">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一氧化碳报警浓度不应高于24ppm，二氧化氮报警浓度不应高于2.5ppm</w:t>
            </w:r>
          </w:p>
        </w:tc>
        <w:tc>
          <w:tcPr>
            <w:tcW w:w="1212" w:type="pct"/>
            <w:noWrap w:val="0"/>
            <w:vAlign w:val="center"/>
          </w:tcPr>
          <w:p w14:paraId="201F662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47BE91B2">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《可研报告》设计报警浓度按照规范要求</w:t>
            </w:r>
          </w:p>
        </w:tc>
        <w:tc>
          <w:tcPr>
            <w:tcW w:w="417" w:type="pct"/>
            <w:noWrap w:val="0"/>
            <w:vAlign w:val="center"/>
          </w:tcPr>
          <w:p w14:paraId="49EDACA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022882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4E3AA8D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18</w:t>
            </w:r>
          </w:p>
        </w:tc>
        <w:tc>
          <w:tcPr>
            <w:tcW w:w="1428" w:type="pct"/>
            <w:noWrap w:val="0"/>
            <w:vAlign w:val="center"/>
          </w:tcPr>
          <w:p w14:paraId="2CFEB69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井下总回风巷、各个生产中段和分段的回风巷应设置风速传感器。</w:t>
            </w:r>
          </w:p>
        </w:tc>
        <w:tc>
          <w:tcPr>
            <w:tcW w:w="1212" w:type="pct"/>
            <w:noWrap w:val="0"/>
            <w:vAlign w:val="center"/>
          </w:tcPr>
          <w:p w14:paraId="2CDB110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49ACF61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《可研报告》设计按照规范要求设置风速传感器</w:t>
            </w:r>
          </w:p>
        </w:tc>
        <w:tc>
          <w:tcPr>
            <w:tcW w:w="417" w:type="pct"/>
            <w:noWrap w:val="0"/>
            <w:vAlign w:val="center"/>
          </w:tcPr>
          <w:p w14:paraId="17492A0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0F85A9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0BBA5E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19</w:t>
            </w:r>
          </w:p>
        </w:tc>
        <w:tc>
          <w:tcPr>
            <w:tcW w:w="1428" w:type="pct"/>
            <w:noWrap w:val="0"/>
            <w:vAlign w:val="center"/>
          </w:tcPr>
          <w:p w14:paraId="7D36CF2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主要通风机应设置风压传感器，传感器的设置应符合AQ2013.3中主要通风机风压的测点布置要求。</w:t>
            </w:r>
          </w:p>
        </w:tc>
        <w:tc>
          <w:tcPr>
            <w:tcW w:w="1212" w:type="pct"/>
            <w:noWrap w:val="0"/>
            <w:vAlign w:val="center"/>
          </w:tcPr>
          <w:p w14:paraId="1C3744E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0B1F02B7">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《可研报告》设计风压传感器按照规范要求设置</w:t>
            </w:r>
          </w:p>
        </w:tc>
        <w:tc>
          <w:tcPr>
            <w:tcW w:w="417" w:type="pct"/>
            <w:noWrap w:val="0"/>
            <w:vAlign w:val="center"/>
          </w:tcPr>
          <w:p w14:paraId="4BC09F0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4CC7D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CF4EF0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20</w:t>
            </w:r>
          </w:p>
        </w:tc>
        <w:tc>
          <w:tcPr>
            <w:tcW w:w="1428" w:type="pct"/>
            <w:noWrap w:val="0"/>
            <w:vAlign w:val="center"/>
          </w:tcPr>
          <w:p w14:paraId="61F08C4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主要通风机、辅助通风机、局部通风机应安装开停传感器</w:t>
            </w:r>
          </w:p>
        </w:tc>
        <w:tc>
          <w:tcPr>
            <w:tcW w:w="1212" w:type="pct"/>
            <w:noWrap w:val="0"/>
            <w:vAlign w:val="center"/>
          </w:tcPr>
          <w:p w14:paraId="52DBFECA">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2F1A048F">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《可研报告》设计停开传感器按照规范要求设置</w:t>
            </w:r>
          </w:p>
        </w:tc>
        <w:tc>
          <w:tcPr>
            <w:tcW w:w="417" w:type="pct"/>
            <w:noWrap w:val="0"/>
            <w:vAlign w:val="center"/>
          </w:tcPr>
          <w:p w14:paraId="426B7329">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7205650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8B0094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21</w:t>
            </w:r>
          </w:p>
        </w:tc>
        <w:tc>
          <w:tcPr>
            <w:tcW w:w="1428" w:type="pct"/>
            <w:noWrap w:val="0"/>
            <w:vAlign w:val="center"/>
          </w:tcPr>
          <w:p w14:paraId="57CA69DC">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提升人员的井口信号房、提升机房，以及井口、马头门等人员进出场所，应设视频监控。</w:t>
            </w:r>
          </w:p>
        </w:tc>
        <w:tc>
          <w:tcPr>
            <w:tcW w:w="1212" w:type="pct"/>
            <w:noWrap w:val="0"/>
            <w:vAlign w:val="center"/>
          </w:tcPr>
          <w:p w14:paraId="6824BAF9">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5CC8FBB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《可研报告》设计各井口、石门、采场和水泵房场所设置视频监控</w:t>
            </w:r>
          </w:p>
        </w:tc>
        <w:tc>
          <w:tcPr>
            <w:tcW w:w="417" w:type="pct"/>
            <w:noWrap w:val="0"/>
            <w:vAlign w:val="center"/>
          </w:tcPr>
          <w:p w14:paraId="4AFE8C48">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r w14:paraId="70375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9D7626">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22</w:t>
            </w:r>
          </w:p>
        </w:tc>
        <w:tc>
          <w:tcPr>
            <w:tcW w:w="1428" w:type="pct"/>
            <w:noWrap w:val="0"/>
            <w:vAlign w:val="center"/>
          </w:tcPr>
          <w:p w14:paraId="55882D5E">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井口提升机房应设有视频监控显示终端，用于显示井口信号房、井口、马头门（调车场）等场所的视频监控图像。</w:t>
            </w:r>
          </w:p>
        </w:tc>
        <w:tc>
          <w:tcPr>
            <w:tcW w:w="1212" w:type="pct"/>
            <w:noWrap w:val="0"/>
            <w:vAlign w:val="center"/>
          </w:tcPr>
          <w:p w14:paraId="4DFDD9E1">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金属非金属地下矿山监测监控系统建设规范AQ2031-2011</w:t>
            </w:r>
          </w:p>
        </w:tc>
        <w:tc>
          <w:tcPr>
            <w:tcW w:w="1533" w:type="pct"/>
            <w:noWrap w:val="0"/>
            <w:vAlign w:val="center"/>
          </w:tcPr>
          <w:p w14:paraId="2D7DFB45">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《可研报告》设计视频监控显示终端能够显示规范要求位置的图像</w:t>
            </w:r>
          </w:p>
        </w:tc>
        <w:tc>
          <w:tcPr>
            <w:tcW w:w="417" w:type="pct"/>
            <w:noWrap w:val="0"/>
            <w:vAlign w:val="center"/>
          </w:tcPr>
          <w:p w14:paraId="046D3DC3">
            <w:pPr>
              <w:snapToGrid w:val="0"/>
              <w:spacing w:line="240" w:lineRule="auto"/>
              <w:jc w:val="center"/>
              <w:rPr>
                <w:rFonts w:hint="eastAsia" w:ascii="Times New Roman" w:hAnsi="Times New Roman" w:cs="宋体"/>
                <w:caps w:val="0"/>
                <w:smallCaps w:val="0"/>
                <w:sz w:val="21"/>
                <w:szCs w:val="21"/>
                <w:highlight w:val="none"/>
              </w:rPr>
            </w:pPr>
            <w:r>
              <w:rPr>
                <w:rFonts w:hint="eastAsia" w:ascii="Times New Roman" w:hAnsi="Times New Roman" w:cs="宋体"/>
                <w:caps w:val="0"/>
                <w:smallCaps w:val="0"/>
                <w:sz w:val="21"/>
                <w:szCs w:val="21"/>
                <w:highlight w:val="none"/>
              </w:rPr>
              <w:t>符合要求</w:t>
            </w:r>
          </w:p>
        </w:tc>
      </w:tr>
    </w:tbl>
    <w:p w14:paraId="5051EEA7">
      <w:pPr>
        <w:pStyle w:val="22"/>
        <w:bidi w:val="0"/>
        <w:rPr>
          <w:rFonts w:hint="default"/>
          <w:highlight w:val="none"/>
          <w:lang w:val="en-US" w:eastAsia="zh-CN"/>
        </w:rPr>
      </w:pPr>
      <w:r>
        <w:rPr>
          <w:rFonts w:hint="default"/>
          <w:highlight w:val="none"/>
          <w:lang w:val="en-US" w:eastAsia="zh-CN"/>
        </w:rPr>
        <w:t>通过上述检查表分析可知，《可研报告》对安全避险“六大系统”相关内容进行了必要的设计，其设计内容符合《金属非金属地下矿山监测监控系统建设规范》等上表所列标准的要求。</w:t>
      </w:r>
    </w:p>
    <w:p w14:paraId="01126DD5">
      <w:pPr>
        <w:pStyle w:val="22"/>
        <w:bidi w:val="0"/>
        <w:rPr>
          <w:rFonts w:hint="default"/>
          <w:highlight w:val="none"/>
          <w:lang w:val="en-US" w:eastAsia="zh-CN"/>
        </w:rPr>
      </w:pPr>
      <w:r>
        <w:rPr>
          <w:rFonts w:hint="default"/>
          <w:highlight w:val="none"/>
          <w:lang w:val="en-US" w:eastAsia="zh-CN"/>
        </w:rPr>
        <w:t>因此，该项目安全避险“六大系统”单元符合安全要求。</w:t>
      </w:r>
    </w:p>
    <w:p w14:paraId="089C87EC">
      <w:pPr>
        <w:pStyle w:val="29"/>
        <w:bidi w:val="0"/>
        <w:rPr>
          <w:rFonts w:hint="default"/>
          <w:highlight w:val="none"/>
          <w:lang w:val="en-US" w:eastAsia="zh-CN"/>
        </w:rPr>
      </w:pPr>
      <w:bookmarkStart w:id="32" w:name="_Toc23284"/>
      <w:r>
        <w:rPr>
          <w:rFonts w:hint="eastAsia"/>
          <w:highlight w:val="none"/>
          <w:lang w:val="en-US" w:eastAsia="zh-CN"/>
        </w:rPr>
        <w:t>安全管理子单元</w:t>
      </w:r>
      <w:bookmarkEnd w:id="32"/>
    </w:p>
    <w:p w14:paraId="58FC71D8">
      <w:pPr>
        <w:pStyle w:val="22"/>
        <w:bidi w:val="0"/>
        <w:rPr>
          <w:rFonts w:hint="default"/>
          <w:highlight w:val="none"/>
          <w:lang w:val="en-US" w:eastAsia="zh-CN"/>
        </w:rPr>
      </w:pPr>
      <w:r>
        <w:rPr>
          <w:rFonts w:hint="default"/>
          <w:highlight w:val="none"/>
          <w:lang w:val="en-US" w:eastAsia="zh-CN"/>
        </w:rPr>
        <w:t>本《预评价》采用安全检查表法对安全管理子单元进行定性定量评价。</w:t>
      </w:r>
    </w:p>
    <w:p w14:paraId="6D6BE6B2">
      <w:pPr>
        <w:pStyle w:val="31"/>
        <w:bidi w:val="0"/>
        <w:rPr>
          <w:rFonts w:hint="eastAsia"/>
          <w:highlight w:val="none"/>
        </w:rPr>
      </w:pPr>
      <w:r>
        <w:rPr>
          <w:rFonts w:hint="eastAsia"/>
          <w:highlight w:val="none"/>
        </w:rPr>
        <w:t>表3.1</w:t>
      </w:r>
      <w:r>
        <w:rPr>
          <w:rFonts w:hint="eastAsia"/>
          <w:highlight w:val="none"/>
          <w:lang w:val="en-US" w:eastAsia="zh-CN"/>
        </w:rPr>
        <w:t>0</w:t>
      </w:r>
      <w:r>
        <w:rPr>
          <w:rFonts w:hint="eastAsia"/>
          <w:highlight w:val="none"/>
        </w:rPr>
        <w:t xml:space="preserve">-1  </w:t>
      </w:r>
      <w:r>
        <w:rPr>
          <w:rFonts w:hint="eastAsia"/>
          <w:highlight w:val="none"/>
          <w:lang w:val="en-US" w:eastAsia="zh-CN"/>
        </w:rPr>
        <w:t>安全管理子</w:t>
      </w:r>
      <w:r>
        <w:rPr>
          <w:rFonts w:hint="eastAsia"/>
          <w:highlight w:val="none"/>
        </w:rPr>
        <w:t>单元安全检查表</w:t>
      </w:r>
    </w:p>
    <w:tbl>
      <w:tblPr>
        <w:tblStyle w:val="24"/>
        <w:tblW w:w="880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410"/>
        <w:gridCol w:w="1417"/>
        <w:gridCol w:w="1276"/>
        <w:gridCol w:w="2552"/>
        <w:gridCol w:w="1149"/>
      </w:tblGrid>
      <w:tr w14:paraId="7ED0DD3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1" w:hRule="atLeast"/>
          <w:tblHeader/>
          <w:jc w:val="center"/>
        </w:trPr>
        <w:tc>
          <w:tcPr>
            <w:tcW w:w="2410" w:type="dxa"/>
            <w:tcBorders>
              <w:tl2br w:val="nil"/>
              <w:tr2bl w:val="nil"/>
            </w:tcBorders>
            <w:noWrap w:val="0"/>
            <w:vAlign w:val="center"/>
          </w:tcPr>
          <w:p w14:paraId="6A415502">
            <w:pPr>
              <w:pStyle w:val="32"/>
              <w:bidi w:val="0"/>
              <w:rPr>
                <w:rFonts w:hint="eastAsia"/>
                <w:sz w:val="21"/>
                <w:szCs w:val="21"/>
                <w:highlight w:val="none"/>
              </w:rPr>
            </w:pPr>
            <w:r>
              <w:rPr>
                <w:rFonts w:hint="eastAsia"/>
                <w:sz w:val="21"/>
                <w:szCs w:val="21"/>
                <w:highlight w:val="none"/>
              </w:rPr>
              <w:t>检查内容</w:t>
            </w:r>
          </w:p>
        </w:tc>
        <w:tc>
          <w:tcPr>
            <w:tcW w:w="1417" w:type="dxa"/>
            <w:tcBorders>
              <w:tl2br w:val="nil"/>
              <w:tr2bl w:val="nil"/>
            </w:tcBorders>
            <w:noWrap w:val="0"/>
            <w:vAlign w:val="center"/>
          </w:tcPr>
          <w:p w14:paraId="0598AD6E">
            <w:pPr>
              <w:pStyle w:val="32"/>
              <w:bidi w:val="0"/>
              <w:rPr>
                <w:rFonts w:hint="eastAsia"/>
                <w:sz w:val="21"/>
                <w:szCs w:val="21"/>
                <w:highlight w:val="none"/>
              </w:rPr>
            </w:pPr>
            <w:r>
              <w:rPr>
                <w:rFonts w:hint="eastAsia"/>
                <w:sz w:val="21"/>
                <w:szCs w:val="21"/>
                <w:highlight w:val="none"/>
              </w:rPr>
              <w:t>检查依据</w:t>
            </w:r>
          </w:p>
        </w:tc>
        <w:tc>
          <w:tcPr>
            <w:tcW w:w="1276" w:type="dxa"/>
            <w:tcBorders>
              <w:tl2br w:val="nil"/>
              <w:tr2bl w:val="nil"/>
            </w:tcBorders>
            <w:noWrap w:val="0"/>
            <w:vAlign w:val="center"/>
          </w:tcPr>
          <w:p w14:paraId="2F8E993F">
            <w:pPr>
              <w:pStyle w:val="32"/>
              <w:bidi w:val="0"/>
              <w:rPr>
                <w:rFonts w:hint="eastAsia"/>
                <w:sz w:val="21"/>
                <w:szCs w:val="21"/>
                <w:highlight w:val="none"/>
              </w:rPr>
            </w:pPr>
            <w:r>
              <w:rPr>
                <w:rFonts w:hint="eastAsia"/>
                <w:sz w:val="21"/>
                <w:szCs w:val="21"/>
                <w:highlight w:val="none"/>
              </w:rPr>
              <w:t>检查方法</w:t>
            </w:r>
          </w:p>
        </w:tc>
        <w:tc>
          <w:tcPr>
            <w:tcW w:w="2552" w:type="dxa"/>
            <w:tcBorders>
              <w:tl2br w:val="nil"/>
              <w:tr2bl w:val="nil"/>
            </w:tcBorders>
            <w:noWrap w:val="0"/>
            <w:vAlign w:val="center"/>
          </w:tcPr>
          <w:p w14:paraId="05F7A8F8">
            <w:pPr>
              <w:pStyle w:val="32"/>
              <w:bidi w:val="0"/>
              <w:rPr>
                <w:rFonts w:hint="eastAsia"/>
                <w:sz w:val="21"/>
                <w:szCs w:val="21"/>
                <w:highlight w:val="none"/>
              </w:rPr>
            </w:pPr>
            <w:r>
              <w:rPr>
                <w:rFonts w:hint="eastAsia"/>
                <w:sz w:val="21"/>
                <w:szCs w:val="21"/>
                <w:highlight w:val="none"/>
              </w:rPr>
              <w:t>事实记录</w:t>
            </w:r>
          </w:p>
        </w:tc>
        <w:tc>
          <w:tcPr>
            <w:tcW w:w="1149" w:type="dxa"/>
            <w:tcBorders>
              <w:tl2br w:val="nil"/>
              <w:tr2bl w:val="nil"/>
            </w:tcBorders>
            <w:noWrap w:val="0"/>
            <w:vAlign w:val="center"/>
          </w:tcPr>
          <w:p w14:paraId="52685361">
            <w:pPr>
              <w:pStyle w:val="32"/>
              <w:bidi w:val="0"/>
              <w:rPr>
                <w:rFonts w:hint="eastAsia"/>
                <w:sz w:val="21"/>
                <w:szCs w:val="21"/>
                <w:highlight w:val="none"/>
              </w:rPr>
            </w:pPr>
            <w:r>
              <w:rPr>
                <w:rFonts w:hint="eastAsia"/>
                <w:sz w:val="21"/>
                <w:szCs w:val="21"/>
                <w:highlight w:val="none"/>
              </w:rPr>
              <w:t>检查结果</w:t>
            </w:r>
          </w:p>
        </w:tc>
      </w:tr>
      <w:tr w14:paraId="310A42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1FB4D550">
            <w:pPr>
              <w:pStyle w:val="32"/>
              <w:bidi w:val="0"/>
              <w:rPr>
                <w:rFonts w:hint="eastAsia"/>
                <w:sz w:val="21"/>
                <w:szCs w:val="21"/>
                <w:highlight w:val="none"/>
              </w:rPr>
            </w:pPr>
            <w:r>
              <w:rPr>
                <w:rFonts w:hint="eastAsia"/>
                <w:sz w:val="21"/>
                <w:szCs w:val="21"/>
                <w:highlight w:val="none"/>
              </w:rPr>
              <w:t>1.主要负责人持有安全管理资质证及有效性。</w:t>
            </w:r>
          </w:p>
        </w:tc>
        <w:tc>
          <w:tcPr>
            <w:tcW w:w="1417" w:type="dxa"/>
            <w:tcBorders>
              <w:tl2br w:val="nil"/>
              <w:tr2bl w:val="nil"/>
            </w:tcBorders>
            <w:noWrap w:val="0"/>
            <w:vAlign w:val="center"/>
          </w:tcPr>
          <w:p w14:paraId="7244F31B">
            <w:pPr>
              <w:pStyle w:val="32"/>
              <w:bidi w:val="0"/>
              <w:rPr>
                <w:rFonts w:hint="eastAsia"/>
                <w:sz w:val="21"/>
                <w:szCs w:val="21"/>
                <w:highlight w:val="none"/>
              </w:rPr>
            </w:pPr>
            <w:r>
              <w:rPr>
                <w:rFonts w:hint="eastAsia"/>
                <w:sz w:val="21"/>
                <w:szCs w:val="21"/>
                <w:highlight w:val="none"/>
              </w:rPr>
              <w:t>《矿山安全法》第26条、《许可证实施办法》、《GB16423-2020》之4.2</w:t>
            </w:r>
          </w:p>
        </w:tc>
        <w:tc>
          <w:tcPr>
            <w:tcW w:w="1276" w:type="dxa"/>
            <w:tcBorders>
              <w:tl2br w:val="nil"/>
              <w:tr2bl w:val="nil"/>
            </w:tcBorders>
            <w:noWrap w:val="0"/>
            <w:vAlign w:val="center"/>
          </w:tcPr>
          <w:p w14:paraId="6C03BC37">
            <w:pPr>
              <w:pStyle w:val="32"/>
              <w:bidi w:val="0"/>
              <w:rPr>
                <w:rFonts w:hint="eastAsia"/>
                <w:sz w:val="21"/>
                <w:szCs w:val="21"/>
                <w:highlight w:val="none"/>
              </w:rPr>
            </w:pPr>
            <w:r>
              <w:rPr>
                <w:rFonts w:hint="eastAsia"/>
                <w:sz w:val="21"/>
                <w:szCs w:val="21"/>
                <w:highlight w:val="none"/>
              </w:rPr>
              <w:t>检查、查阅</w:t>
            </w:r>
          </w:p>
        </w:tc>
        <w:tc>
          <w:tcPr>
            <w:tcW w:w="2552" w:type="dxa"/>
            <w:tcBorders>
              <w:tl2br w:val="nil"/>
              <w:tr2bl w:val="nil"/>
            </w:tcBorders>
            <w:noWrap w:val="0"/>
            <w:vAlign w:val="center"/>
          </w:tcPr>
          <w:p w14:paraId="57A6914E">
            <w:pPr>
              <w:pStyle w:val="32"/>
              <w:bidi w:val="0"/>
              <w:rPr>
                <w:rFonts w:hint="eastAsia"/>
                <w:sz w:val="21"/>
                <w:szCs w:val="21"/>
                <w:highlight w:val="none"/>
              </w:rPr>
            </w:pPr>
            <w:r>
              <w:rPr>
                <w:rFonts w:hint="eastAsia"/>
                <w:sz w:val="21"/>
                <w:szCs w:val="21"/>
                <w:highlight w:val="none"/>
              </w:rPr>
              <w:t>主要负责人具有主要负责人资格证书。</w:t>
            </w:r>
          </w:p>
        </w:tc>
        <w:tc>
          <w:tcPr>
            <w:tcW w:w="1149" w:type="dxa"/>
            <w:tcBorders>
              <w:tl2br w:val="nil"/>
              <w:tr2bl w:val="nil"/>
            </w:tcBorders>
            <w:noWrap w:val="0"/>
            <w:vAlign w:val="center"/>
          </w:tcPr>
          <w:p w14:paraId="22B43E23">
            <w:pPr>
              <w:pStyle w:val="32"/>
              <w:bidi w:val="0"/>
              <w:rPr>
                <w:rFonts w:hint="eastAsia"/>
                <w:sz w:val="21"/>
                <w:szCs w:val="21"/>
                <w:highlight w:val="none"/>
              </w:rPr>
            </w:pPr>
            <w:r>
              <w:rPr>
                <w:rFonts w:hint="eastAsia"/>
                <w:sz w:val="21"/>
                <w:szCs w:val="21"/>
                <w:highlight w:val="none"/>
              </w:rPr>
              <w:t>符合要求</w:t>
            </w:r>
          </w:p>
        </w:tc>
      </w:tr>
      <w:tr w14:paraId="7D9DBE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2410" w:type="dxa"/>
            <w:tcBorders>
              <w:tl2br w:val="nil"/>
              <w:tr2bl w:val="nil"/>
            </w:tcBorders>
            <w:noWrap w:val="0"/>
            <w:vAlign w:val="center"/>
          </w:tcPr>
          <w:p w14:paraId="05FDACE1">
            <w:pPr>
              <w:pStyle w:val="32"/>
              <w:bidi w:val="0"/>
              <w:rPr>
                <w:rFonts w:hint="eastAsia"/>
                <w:sz w:val="21"/>
                <w:szCs w:val="21"/>
                <w:highlight w:val="none"/>
              </w:rPr>
            </w:pPr>
            <w:r>
              <w:rPr>
                <w:rFonts w:hint="eastAsia"/>
                <w:sz w:val="21"/>
                <w:szCs w:val="21"/>
                <w:highlight w:val="none"/>
              </w:rPr>
              <w:t>2.企业应成立安全生产组织机构，配备专职的安全生产管理人员。</w:t>
            </w:r>
          </w:p>
        </w:tc>
        <w:tc>
          <w:tcPr>
            <w:tcW w:w="1417" w:type="dxa"/>
            <w:tcBorders>
              <w:tl2br w:val="nil"/>
              <w:tr2bl w:val="nil"/>
            </w:tcBorders>
            <w:noWrap w:val="0"/>
            <w:vAlign w:val="center"/>
          </w:tcPr>
          <w:p w14:paraId="1C8E2FEE">
            <w:pPr>
              <w:pStyle w:val="32"/>
              <w:bidi w:val="0"/>
              <w:rPr>
                <w:rFonts w:hint="eastAsia"/>
                <w:sz w:val="21"/>
                <w:szCs w:val="21"/>
                <w:highlight w:val="none"/>
              </w:rPr>
            </w:pPr>
            <w:r>
              <w:rPr>
                <w:rFonts w:hint="eastAsia"/>
                <w:sz w:val="21"/>
                <w:szCs w:val="21"/>
                <w:highlight w:val="none"/>
              </w:rPr>
              <w:t>《安全生产法》第19条、《许可证实施办法》</w:t>
            </w:r>
          </w:p>
        </w:tc>
        <w:tc>
          <w:tcPr>
            <w:tcW w:w="1276" w:type="dxa"/>
            <w:tcBorders>
              <w:tl2br w:val="nil"/>
              <w:tr2bl w:val="nil"/>
            </w:tcBorders>
            <w:noWrap w:val="0"/>
            <w:vAlign w:val="center"/>
          </w:tcPr>
          <w:p w14:paraId="61B7E558">
            <w:pPr>
              <w:pStyle w:val="32"/>
              <w:bidi w:val="0"/>
              <w:rPr>
                <w:rFonts w:hint="eastAsia"/>
                <w:sz w:val="21"/>
                <w:szCs w:val="21"/>
                <w:highlight w:val="none"/>
              </w:rPr>
            </w:pPr>
            <w:r>
              <w:rPr>
                <w:rFonts w:hint="eastAsia"/>
                <w:sz w:val="21"/>
                <w:szCs w:val="21"/>
                <w:highlight w:val="none"/>
              </w:rPr>
              <w:t>查阅</w:t>
            </w:r>
          </w:p>
        </w:tc>
        <w:tc>
          <w:tcPr>
            <w:tcW w:w="2552" w:type="dxa"/>
            <w:tcBorders>
              <w:tl2br w:val="nil"/>
              <w:tr2bl w:val="nil"/>
            </w:tcBorders>
            <w:noWrap w:val="0"/>
            <w:vAlign w:val="center"/>
          </w:tcPr>
          <w:p w14:paraId="660B22B4">
            <w:pPr>
              <w:pStyle w:val="32"/>
              <w:bidi w:val="0"/>
              <w:rPr>
                <w:rFonts w:hint="eastAsia"/>
                <w:sz w:val="21"/>
                <w:szCs w:val="21"/>
                <w:highlight w:val="none"/>
              </w:rPr>
            </w:pPr>
            <w:r>
              <w:rPr>
                <w:rFonts w:hint="eastAsia"/>
                <w:sz w:val="21"/>
                <w:szCs w:val="21"/>
                <w:highlight w:val="none"/>
              </w:rPr>
              <w:t>矿山总部成立了</w:t>
            </w:r>
            <w:r>
              <w:rPr>
                <w:rFonts w:hint="eastAsia"/>
                <w:sz w:val="21"/>
                <w:szCs w:val="21"/>
                <w:highlight w:val="none"/>
                <w:lang w:val="en-US" w:eastAsia="zh-CN"/>
              </w:rPr>
              <w:t>安全科</w:t>
            </w:r>
            <w:r>
              <w:rPr>
                <w:rFonts w:hint="eastAsia"/>
                <w:sz w:val="21"/>
                <w:szCs w:val="21"/>
                <w:highlight w:val="none"/>
              </w:rPr>
              <w:t>，配备了专职的安全生产管理人员，安全管理人员经过培训，并有资格证书，证书位于有效期内。</w:t>
            </w:r>
          </w:p>
        </w:tc>
        <w:tc>
          <w:tcPr>
            <w:tcW w:w="1149" w:type="dxa"/>
            <w:tcBorders>
              <w:tl2br w:val="nil"/>
              <w:tr2bl w:val="nil"/>
            </w:tcBorders>
            <w:noWrap w:val="0"/>
            <w:vAlign w:val="center"/>
          </w:tcPr>
          <w:p w14:paraId="1FD2DCB2">
            <w:pPr>
              <w:pStyle w:val="32"/>
              <w:bidi w:val="0"/>
              <w:rPr>
                <w:rFonts w:hint="eastAsia"/>
                <w:sz w:val="21"/>
                <w:szCs w:val="21"/>
                <w:highlight w:val="none"/>
              </w:rPr>
            </w:pPr>
            <w:r>
              <w:rPr>
                <w:rFonts w:hint="eastAsia"/>
                <w:sz w:val="21"/>
                <w:szCs w:val="21"/>
                <w:highlight w:val="none"/>
              </w:rPr>
              <w:t>符合要求</w:t>
            </w:r>
          </w:p>
        </w:tc>
      </w:tr>
      <w:tr w14:paraId="7615C3C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81" w:hRule="atLeast"/>
          <w:jc w:val="center"/>
        </w:trPr>
        <w:tc>
          <w:tcPr>
            <w:tcW w:w="2410" w:type="dxa"/>
            <w:tcBorders>
              <w:tl2br w:val="nil"/>
              <w:tr2bl w:val="nil"/>
            </w:tcBorders>
            <w:noWrap w:val="0"/>
            <w:vAlign w:val="center"/>
          </w:tcPr>
          <w:p w14:paraId="0D989560">
            <w:pPr>
              <w:pStyle w:val="32"/>
              <w:bidi w:val="0"/>
              <w:rPr>
                <w:rFonts w:hint="eastAsia"/>
                <w:sz w:val="21"/>
                <w:szCs w:val="21"/>
                <w:highlight w:val="none"/>
              </w:rPr>
            </w:pPr>
            <w:r>
              <w:rPr>
                <w:rFonts w:hint="eastAsia"/>
                <w:sz w:val="21"/>
                <w:szCs w:val="21"/>
                <w:highlight w:val="none"/>
              </w:rPr>
              <w:t>3.特种作业人员参加岗位专业技能培训以及取得特种作业人员岗位操作证书及有效情况。</w:t>
            </w:r>
          </w:p>
        </w:tc>
        <w:tc>
          <w:tcPr>
            <w:tcW w:w="1417" w:type="dxa"/>
            <w:tcBorders>
              <w:tl2br w:val="nil"/>
              <w:tr2bl w:val="nil"/>
            </w:tcBorders>
            <w:noWrap w:val="0"/>
            <w:vAlign w:val="center"/>
          </w:tcPr>
          <w:p w14:paraId="30CBACAE">
            <w:pPr>
              <w:pStyle w:val="32"/>
              <w:bidi w:val="0"/>
              <w:rPr>
                <w:rFonts w:hint="eastAsia"/>
                <w:sz w:val="21"/>
                <w:szCs w:val="21"/>
                <w:highlight w:val="none"/>
              </w:rPr>
            </w:pPr>
            <w:r>
              <w:rPr>
                <w:rFonts w:hint="eastAsia"/>
                <w:sz w:val="21"/>
                <w:szCs w:val="21"/>
                <w:highlight w:val="none"/>
              </w:rPr>
              <w:t>《许可证实施办法》</w:t>
            </w:r>
          </w:p>
        </w:tc>
        <w:tc>
          <w:tcPr>
            <w:tcW w:w="1276" w:type="dxa"/>
            <w:tcBorders>
              <w:tl2br w:val="nil"/>
              <w:tr2bl w:val="nil"/>
            </w:tcBorders>
            <w:noWrap w:val="0"/>
            <w:vAlign w:val="center"/>
          </w:tcPr>
          <w:p w14:paraId="0A14F81D">
            <w:pPr>
              <w:pStyle w:val="32"/>
              <w:bidi w:val="0"/>
              <w:rPr>
                <w:rFonts w:hint="eastAsia"/>
                <w:sz w:val="21"/>
                <w:szCs w:val="21"/>
                <w:highlight w:val="none"/>
              </w:rPr>
            </w:pPr>
            <w:r>
              <w:rPr>
                <w:rFonts w:hint="eastAsia"/>
                <w:sz w:val="21"/>
                <w:szCs w:val="21"/>
                <w:highlight w:val="none"/>
              </w:rPr>
              <w:t>查阅</w:t>
            </w:r>
          </w:p>
        </w:tc>
        <w:tc>
          <w:tcPr>
            <w:tcW w:w="2552" w:type="dxa"/>
            <w:tcBorders>
              <w:tl2br w:val="nil"/>
              <w:tr2bl w:val="nil"/>
            </w:tcBorders>
            <w:noWrap w:val="0"/>
            <w:vAlign w:val="center"/>
          </w:tcPr>
          <w:p w14:paraId="78CCEED9">
            <w:pPr>
              <w:pStyle w:val="32"/>
              <w:bidi w:val="0"/>
              <w:rPr>
                <w:rFonts w:hint="eastAsia"/>
                <w:sz w:val="21"/>
                <w:szCs w:val="21"/>
                <w:highlight w:val="none"/>
              </w:rPr>
            </w:pPr>
            <w:r>
              <w:rPr>
                <w:rFonts w:hint="eastAsia"/>
                <w:sz w:val="21"/>
                <w:szCs w:val="21"/>
                <w:highlight w:val="none"/>
              </w:rPr>
              <w:t>矿山有电工、</w:t>
            </w:r>
            <w:r>
              <w:rPr>
                <w:rFonts w:hint="eastAsia"/>
                <w:sz w:val="21"/>
                <w:szCs w:val="21"/>
                <w:highlight w:val="none"/>
                <w:lang w:val="en-US" w:eastAsia="zh-CN"/>
              </w:rPr>
              <w:t>支柱工等</w:t>
            </w:r>
            <w:r>
              <w:rPr>
                <w:rFonts w:hint="eastAsia"/>
                <w:sz w:val="21"/>
                <w:szCs w:val="21"/>
                <w:highlight w:val="none"/>
              </w:rPr>
              <w:t>特种作业人员等资格证书，且有效。</w:t>
            </w:r>
          </w:p>
        </w:tc>
        <w:tc>
          <w:tcPr>
            <w:tcW w:w="1149" w:type="dxa"/>
            <w:tcBorders>
              <w:tl2br w:val="nil"/>
              <w:tr2bl w:val="nil"/>
            </w:tcBorders>
            <w:noWrap w:val="0"/>
            <w:vAlign w:val="center"/>
          </w:tcPr>
          <w:p w14:paraId="2510BCF5">
            <w:pPr>
              <w:pStyle w:val="32"/>
              <w:bidi w:val="0"/>
              <w:rPr>
                <w:rFonts w:hint="eastAsia"/>
                <w:sz w:val="21"/>
                <w:szCs w:val="21"/>
                <w:highlight w:val="none"/>
              </w:rPr>
            </w:pPr>
            <w:r>
              <w:rPr>
                <w:rFonts w:hint="eastAsia"/>
                <w:sz w:val="21"/>
                <w:szCs w:val="21"/>
                <w:highlight w:val="none"/>
              </w:rPr>
              <w:t>符合要求</w:t>
            </w:r>
          </w:p>
        </w:tc>
      </w:tr>
      <w:tr w14:paraId="218233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46" w:hRule="atLeast"/>
          <w:jc w:val="center"/>
        </w:trPr>
        <w:tc>
          <w:tcPr>
            <w:tcW w:w="2410" w:type="dxa"/>
            <w:tcBorders>
              <w:tl2br w:val="nil"/>
              <w:tr2bl w:val="nil"/>
            </w:tcBorders>
            <w:noWrap w:val="0"/>
            <w:vAlign w:val="center"/>
          </w:tcPr>
          <w:p w14:paraId="13536509">
            <w:pPr>
              <w:pStyle w:val="32"/>
              <w:bidi w:val="0"/>
              <w:rPr>
                <w:rFonts w:hint="eastAsia"/>
                <w:sz w:val="21"/>
                <w:szCs w:val="21"/>
                <w:highlight w:val="none"/>
              </w:rPr>
            </w:pPr>
            <w:r>
              <w:rPr>
                <w:rFonts w:hint="eastAsia"/>
                <w:sz w:val="21"/>
                <w:szCs w:val="21"/>
                <w:highlight w:val="none"/>
              </w:rPr>
              <w:t>4.建立、健全主要负责人、分管负责人、安全生产管理人员、职能部门、岗位安全生产责任制。</w:t>
            </w:r>
          </w:p>
        </w:tc>
        <w:tc>
          <w:tcPr>
            <w:tcW w:w="1417" w:type="dxa"/>
            <w:tcBorders>
              <w:tl2br w:val="nil"/>
              <w:tr2bl w:val="nil"/>
            </w:tcBorders>
            <w:noWrap w:val="0"/>
            <w:vAlign w:val="center"/>
          </w:tcPr>
          <w:p w14:paraId="6AF5FA43">
            <w:pPr>
              <w:pStyle w:val="32"/>
              <w:bidi w:val="0"/>
              <w:rPr>
                <w:rFonts w:hint="eastAsia"/>
                <w:sz w:val="21"/>
                <w:szCs w:val="21"/>
                <w:highlight w:val="none"/>
              </w:rPr>
            </w:pPr>
            <w:r>
              <w:rPr>
                <w:rFonts w:hint="eastAsia"/>
                <w:sz w:val="21"/>
                <w:szCs w:val="21"/>
                <w:highlight w:val="none"/>
              </w:rPr>
              <w:t>《GB16423-2020》、《许可证实施办法》</w:t>
            </w:r>
          </w:p>
        </w:tc>
        <w:tc>
          <w:tcPr>
            <w:tcW w:w="1276" w:type="dxa"/>
            <w:tcBorders>
              <w:tl2br w:val="nil"/>
              <w:tr2bl w:val="nil"/>
            </w:tcBorders>
            <w:noWrap w:val="0"/>
            <w:vAlign w:val="center"/>
          </w:tcPr>
          <w:p w14:paraId="20D7FFF6">
            <w:pPr>
              <w:pStyle w:val="32"/>
              <w:bidi w:val="0"/>
              <w:rPr>
                <w:rFonts w:hint="eastAsia"/>
                <w:sz w:val="21"/>
                <w:szCs w:val="21"/>
                <w:highlight w:val="none"/>
              </w:rPr>
            </w:pPr>
            <w:r>
              <w:rPr>
                <w:rFonts w:hint="eastAsia"/>
                <w:sz w:val="21"/>
                <w:szCs w:val="21"/>
                <w:highlight w:val="none"/>
              </w:rPr>
              <w:t>查阅</w:t>
            </w:r>
          </w:p>
        </w:tc>
        <w:tc>
          <w:tcPr>
            <w:tcW w:w="2552" w:type="dxa"/>
            <w:tcBorders>
              <w:tl2br w:val="nil"/>
              <w:tr2bl w:val="nil"/>
            </w:tcBorders>
            <w:noWrap w:val="0"/>
            <w:vAlign w:val="center"/>
          </w:tcPr>
          <w:p w14:paraId="43085463">
            <w:pPr>
              <w:pStyle w:val="32"/>
              <w:bidi w:val="0"/>
              <w:rPr>
                <w:rFonts w:hint="eastAsia"/>
                <w:sz w:val="21"/>
                <w:szCs w:val="21"/>
                <w:highlight w:val="none"/>
              </w:rPr>
            </w:pPr>
            <w:r>
              <w:rPr>
                <w:rFonts w:hint="eastAsia"/>
                <w:sz w:val="21"/>
                <w:szCs w:val="21"/>
                <w:highlight w:val="none"/>
              </w:rPr>
              <w:t>建立并健全了全员责任制，其中包含主要负责人、安全生产管理人员、各职能部门、各岗位安全生产责任制。</w:t>
            </w:r>
          </w:p>
        </w:tc>
        <w:tc>
          <w:tcPr>
            <w:tcW w:w="1149" w:type="dxa"/>
            <w:tcBorders>
              <w:tl2br w:val="nil"/>
              <w:tr2bl w:val="nil"/>
            </w:tcBorders>
            <w:noWrap w:val="0"/>
            <w:vAlign w:val="center"/>
          </w:tcPr>
          <w:p w14:paraId="0E6E7586">
            <w:pPr>
              <w:pStyle w:val="32"/>
              <w:bidi w:val="0"/>
              <w:rPr>
                <w:rFonts w:hint="eastAsia"/>
                <w:sz w:val="21"/>
                <w:szCs w:val="21"/>
                <w:highlight w:val="none"/>
              </w:rPr>
            </w:pPr>
            <w:r>
              <w:rPr>
                <w:rFonts w:hint="eastAsia"/>
                <w:sz w:val="21"/>
                <w:szCs w:val="21"/>
                <w:highlight w:val="none"/>
              </w:rPr>
              <w:t>符合要求</w:t>
            </w:r>
          </w:p>
        </w:tc>
      </w:tr>
      <w:tr w14:paraId="55D8BB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69A9F93B">
            <w:pPr>
              <w:pStyle w:val="32"/>
              <w:bidi w:val="0"/>
              <w:rPr>
                <w:rFonts w:hint="eastAsia"/>
                <w:sz w:val="21"/>
                <w:szCs w:val="21"/>
                <w:highlight w:val="none"/>
              </w:rPr>
            </w:pPr>
            <w:r>
              <w:rPr>
                <w:rFonts w:hint="eastAsia"/>
                <w:sz w:val="21"/>
                <w:szCs w:val="21"/>
                <w:highlight w:val="none"/>
              </w:rPr>
              <w:t>5.制定安全检查制度、职业危害预防制度、安全教育培训制度、生产安全事故管理制度、重大危险源监控和重大隐患整改制度、设备安全管理制度、安全生产档案管理制度、安全生产奖惩制度等规章制度。</w:t>
            </w:r>
          </w:p>
        </w:tc>
        <w:tc>
          <w:tcPr>
            <w:tcW w:w="1417" w:type="dxa"/>
            <w:tcBorders>
              <w:tl2br w:val="nil"/>
              <w:tr2bl w:val="nil"/>
            </w:tcBorders>
            <w:noWrap w:val="0"/>
            <w:vAlign w:val="center"/>
          </w:tcPr>
          <w:p w14:paraId="34AAA227">
            <w:pPr>
              <w:pStyle w:val="32"/>
              <w:bidi w:val="0"/>
              <w:rPr>
                <w:rFonts w:hint="eastAsia"/>
                <w:sz w:val="21"/>
                <w:szCs w:val="21"/>
                <w:highlight w:val="none"/>
              </w:rPr>
            </w:pPr>
            <w:r>
              <w:rPr>
                <w:rFonts w:hint="eastAsia"/>
                <w:sz w:val="21"/>
                <w:szCs w:val="21"/>
                <w:highlight w:val="none"/>
              </w:rPr>
              <w:t>《矿山安全生产法实施条例》</w:t>
            </w:r>
          </w:p>
          <w:p w14:paraId="54547729">
            <w:pPr>
              <w:pStyle w:val="32"/>
              <w:bidi w:val="0"/>
              <w:rPr>
                <w:rFonts w:hint="eastAsia"/>
                <w:sz w:val="21"/>
                <w:szCs w:val="21"/>
                <w:highlight w:val="none"/>
              </w:rPr>
            </w:pPr>
            <w:r>
              <w:rPr>
                <w:rFonts w:hint="eastAsia"/>
                <w:sz w:val="21"/>
                <w:szCs w:val="21"/>
                <w:highlight w:val="none"/>
              </w:rPr>
              <w:t>《GB16423-2020》、《许可证实施办法》第二章第五条第一款</w:t>
            </w:r>
          </w:p>
        </w:tc>
        <w:tc>
          <w:tcPr>
            <w:tcW w:w="1276" w:type="dxa"/>
            <w:tcBorders>
              <w:tl2br w:val="nil"/>
              <w:tr2bl w:val="nil"/>
            </w:tcBorders>
            <w:noWrap w:val="0"/>
            <w:vAlign w:val="center"/>
          </w:tcPr>
          <w:p w14:paraId="6C3157E6">
            <w:pPr>
              <w:pStyle w:val="32"/>
              <w:bidi w:val="0"/>
              <w:ind w:left="0" w:leftChars="0" w:right="0" w:rightChars="0" w:firstLine="0" w:firstLineChars="0"/>
              <w:jc w:val="center"/>
              <w:rPr>
                <w:rFonts w:hint="eastAsia"/>
                <w:sz w:val="21"/>
                <w:szCs w:val="21"/>
                <w:highlight w:val="none"/>
              </w:rPr>
            </w:pPr>
            <w:r>
              <w:rPr>
                <w:rFonts w:hint="eastAsia"/>
                <w:sz w:val="21"/>
                <w:szCs w:val="21"/>
                <w:highlight w:val="none"/>
              </w:rPr>
              <w:t>查阅制度</w:t>
            </w:r>
          </w:p>
        </w:tc>
        <w:tc>
          <w:tcPr>
            <w:tcW w:w="2552" w:type="dxa"/>
            <w:tcBorders>
              <w:tl2br w:val="nil"/>
              <w:tr2bl w:val="nil"/>
            </w:tcBorders>
            <w:noWrap w:val="0"/>
            <w:vAlign w:val="center"/>
          </w:tcPr>
          <w:p w14:paraId="1200BD36">
            <w:pPr>
              <w:pStyle w:val="32"/>
              <w:bidi w:val="0"/>
              <w:rPr>
                <w:rFonts w:hint="eastAsia"/>
                <w:sz w:val="21"/>
                <w:szCs w:val="21"/>
                <w:highlight w:val="none"/>
              </w:rPr>
            </w:pPr>
            <w:r>
              <w:rPr>
                <w:rFonts w:hint="eastAsia"/>
                <w:sz w:val="21"/>
                <w:szCs w:val="21"/>
                <w:highlight w:val="none"/>
              </w:rPr>
              <w:t>制定了安全检查制度、井下动火作业制度、带班下井制度、隐患整改制度、职业危害预防制度、安全教育培训制度、生产安全事故管理制度、设备安全管理制度、安全生产档案管理制度、安全生产奖惩制度等规章制度。</w:t>
            </w:r>
          </w:p>
        </w:tc>
        <w:tc>
          <w:tcPr>
            <w:tcW w:w="1149" w:type="dxa"/>
            <w:tcBorders>
              <w:tl2br w:val="nil"/>
              <w:tr2bl w:val="nil"/>
            </w:tcBorders>
            <w:noWrap w:val="0"/>
            <w:vAlign w:val="center"/>
          </w:tcPr>
          <w:p w14:paraId="26A4B8E2">
            <w:pPr>
              <w:pStyle w:val="32"/>
              <w:bidi w:val="0"/>
              <w:rPr>
                <w:rFonts w:hint="eastAsia"/>
                <w:sz w:val="21"/>
                <w:szCs w:val="21"/>
                <w:highlight w:val="none"/>
              </w:rPr>
            </w:pPr>
            <w:r>
              <w:rPr>
                <w:rFonts w:hint="eastAsia"/>
                <w:sz w:val="21"/>
                <w:szCs w:val="21"/>
                <w:highlight w:val="none"/>
              </w:rPr>
              <w:t>符合要求</w:t>
            </w:r>
          </w:p>
        </w:tc>
      </w:tr>
      <w:tr w14:paraId="2414F1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2410" w:type="dxa"/>
            <w:tcBorders>
              <w:tl2br w:val="nil"/>
              <w:tr2bl w:val="nil"/>
            </w:tcBorders>
            <w:noWrap w:val="0"/>
            <w:vAlign w:val="center"/>
          </w:tcPr>
          <w:p w14:paraId="3A4CD2CB">
            <w:pPr>
              <w:pStyle w:val="32"/>
              <w:bidi w:val="0"/>
              <w:rPr>
                <w:rFonts w:hint="eastAsia"/>
                <w:sz w:val="21"/>
                <w:szCs w:val="21"/>
                <w:highlight w:val="none"/>
              </w:rPr>
            </w:pPr>
            <w:r>
              <w:rPr>
                <w:rFonts w:hint="eastAsia"/>
                <w:sz w:val="21"/>
                <w:szCs w:val="21"/>
                <w:highlight w:val="none"/>
              </w:rPr>
              <w:t>6.制定作业安全规程和各工种操作规程。</w:t>
            </w:r>
          </w:p>
        </w:tc>
        <w:tc>
          <w:tcPr>
            <w:tcW w:w="1417" w:type="dxa"/>
            <w:tcBorders>
              <w:tl2br w:val="nil"/>
              <w:tr2bl w:val="nil"/>
            </w:tcBorders>
            <w:noWrap w:val="0"/>
            <w:vAlign w:val="center"/>
          </w:tcPr>
          <w:p w14:paraId="563BDBE3">
            <w:pPr>
              <w:pStyle w:val="32"/>
              <w:bidi w:val="0"/>
              <w:rPr>
                <w:rFonts w:hint="eastAsia"/>
                <w:sz w:val="21"/>
                <w:szCs w:val="21"/>
                <w:highlight w:val="none"/>
              </w:rPr>
            </w:pPr>
            <w:r>
              <w:rPr>
                <w:rFonts w:hint="eastAsia"/>
                <w:sz w:val="21"/>
                <w:szCs w:val="21"/>
                <w:highlight w:val="none"/>
              </w:rPr>
              <w:t>《矿山安全生产法实施条例》</w:t>
            </w:r>
          </w:p>
        </w:tc>
        <w:tc>
          <w:tcPr>
            <w:tcW w:w="1276" w:type="dxa"/>
            <w:tcBorders>
              <w:tl2br w:val="nil"/>
              <w:tr2bl w:val="nil"/>
            </w:tcBorders>
            <w:noWrap w:val="0"/>
            <w:vAlign w:val="center"/>
          </w:tcPr>
          <w:p w14:paraId="0CE8A2AA">
            <w:pPr>
              <w:pStyle w:val="32"/>
              <w:bidi w:val="0"/>
              <w:ind w:left="0" w:leftChars="0" w:right="0" w:rightChars="0" w:firstLine="0" w:firstLineChars="0"/>
              <w:jc w:val="center"/>
              <w:rPr>
                <w:rFonts w:hint="eastAsia"/>
                <w:sz w:val="21"/>
                <w:szCs w:val="21"/>
                <w:highlight w:val="none"/>
              </w:rPr>
            </w:pPr>
            <w:r>
              <w:rPr>
                <w:rFonts w:hint="eastAsia"/>
                <w:sz w:val="21"/>
                <w:szCs w:val="21"/>
                <w:highlight w:val="none"/>
              </w:rPr>
              <w:t>查阅</w:t>
            </w:r>
          </w:p>
        </w:tc>
        <w:tc>
          <w:tcPr>
            <w:tcW w:w="2552" w:type="dxa"/>
            <w:tcBorders>
              <w:tl2br w:val="nil"/>
              <w:tr2bl w:val="nil"/>
            </w:tcBorders>
            <w:noWrap w:val="0"/>
            <w:vAlign w:val="center"/>
          </w:tcPr>
          <w:p w14:paraId="4BB158C4">
            <w:pPr>
              <w:pStyle w:val="32"/>
              <w:bidi w:val="0"/>
              <w:rPr>
                <w:rFonts w:hint="eastAsia"/>
                <w:sz w:val="21"/>
                <w:szCs w:val="21"/>
                <w:highlight w:val="none"/>
              </w:rPr>
            </w:pPr>
            <w:r>
              <w:rPr>
                <w:rFonts w:hint="eastAsia"/>
                <w:sz w:val="21"/>
                <w:szCs w:val="21"/>
                <w:highlight w:val="none"/>
              </w:rPr>
              <w:t>制定了各工种操作规程，且齐全。</w:t>
            </w:r>
          </w:p>
        </w:tc>
        <w:tc>
          <w:tcPr>
            <w:tcW w:w="1149" w:type="dxa"/>
            <w:tcBorders>
              <w:tl2br w:val="nil"/>
              <w:tr2bl w:val="nil"/>
            </w:tcBorders>
            <w:noWrap w:val="0"/>
            <w:vAlign w:val="center"/>
          </w:tcPr>
          <w:p w14:paraId="710AFCAE">
            <w:pPr>
              <w:pStyle w:val="32"/>
              <w:bidi w:val="0"/>
              <w:rPr>
                <w:rFonts w:hint="eastAsia"/>
                <w:sz w:val="21"/>
                <w:szCs w:val="21"/>
                <w:highlight w:val="none"/>
              </w:rPr>
            </w:pPr>
            <w:r>
              <w:rPr>
                <w:rFonts w:hint="eastAsia"/>
                <w:sz w:val="21"/>
                <w:szCs w:val="21"/>
                <w:highlight w:val="none"/>
              </w:rPr>
              <w:t>符合要求</w:t>
            </w:r>
          </w:p>
        </w:tc>
      </w:tr>
      <w:tr w14:paraId="7BEF83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16" w:hRule="atLeast"/>
          <w:jc w:val="center"/>
        </w:trPr>
        <w:tc>
          <w:tcPr>
            <w:tcW w:w="2410" w:type="dxa"/>
            <w:tcBorders>
              <w:tl2br w:val="nil"/>
              <w:tr2bl w:val="nil"/>
            </w:tcBorders>
            <w:noWrap w:val="0"/>
            <w:vAlign w:val="center"/>
          </w:tcPr>
          <w:p w14:paraId="15C06407">
            <w:pPr>
              <w:pStyle w:val="32"/>
              <w:bidi w:val="0"/>
              <w:rPr>
                <w:rFonts w:hint="eastAsia"/>
                <w:sz w:val="21"/>
                <w:szCs w:val="21"/>
                <w:highlight w:val="none"/>
              </w:rPr>
            </w:pPr>
            <w:r>
              <w:rPr>
                <w:rFonts w:hint="eastAsia"/>
                <w:sz w:val="21"/>
                <w:szCs w:val="21"/>
                <w:highlight w:val="none"/>
              </w:rPr>
              <w:t>7.其他从业人员按照规定接受安全生产教育和培训，并经考试合格。</w:t>
            </w:r>
          </w:p>
        </w:tc>
        <w:tc>
          <w:tcPr>
            <w:tcW w:w="1417" w:type="dxa"/>
            <w:tcBorders>
              <w:tl2br w:val="nil"/>
              <w:tr2bl w:val="nil"/>
            </w:tcBorders>
            <w:noWrap w:val="0"/>
            <w:vAlign w:val="center"/>
          </w:tcPr>
          <w:p w14:paraId="13CD976B">
            <w:pPr>
              <w:pStyle w:val="32"/>
              <w:bidi w:val="0"/>
              <w:rPr>
                <w:rFonts w:hint="eastAsia"/>
                <w:sz w:val="21"/>
                <w:szCs w:val="21"/>
                <w:highlight w:val="none"/>
              </w:rPr>
            </w:pPr>
            <w:r>
              <w:rPr>
                <w:rFonts w:hint="eastAsia"/>
                <w:sz w:val="21"/>
                <w:szCs w:val="21"/>
                <w:highlight w:val="none"/>
              </w:rPr>
              <w:t>《矿山安全生产法实施条例》第35条、</w:t>
            </w:r>
          </w:p>
        </w:tc>
        <w:tc>
          <w:tcPr>
            <w:tcW w:w="1276" w:type="dxa"/>
            <w:tcBorders>
              <w:tl2br w:val="nil"/>
              <w:tr2bl w:val="nil"/>
            </w:tcBorders>
            <w:noWrap w:val="0"/>
            <w:vAlign w:val="center"/>
          </w:tcPr>
          <w:p w14:paraId="7EB204F1">
            <w:pPr>
              <w:pStyle w:val="32"/>
              <w:bidi w:val="0"/>
              <w:rPr>
                <w:rFonts w:hint="eastAsia"/>
                <w:sz w:val="21"/>
                <w:szCs w:val="21"/>
                <w:highlight w:val="none"/>
              </w:rPr>
            </w:pPr>
            <w:r>
              <w:rPr>
                <w:rFonts w:hint="eastAsia"/>
                <w:sz w:val="21"/>
                <w:szCs w:val="21"/>
                <w:highlight w:val="none"/>
              </w:rPr>
              <w:t>查阅教育记录、询问</w:t>
            </w:r>
          </w:p>
        </w:tc>
        <w:tc>
          <w:tcPr>
            <w:tcW w:w="2552" w:type="dxa"/>
            <w:tcBorders>
              <w:tl2br w:val="nil"/>
              <w:tr2bl w:val="nil"/>
            </w:tcBorders>
            <w:noWrap w:val="0"/>
            <w:vAlign w:val="center"/>
          </w:tcPr>
          <w:p w14:paraId="3A101B21">
            <w:pPr>
              <w:pStyle w:val="32"/>
              <w:bidi w:val="0"/>
              <w:rPr>
                <w:rFonts w:hint="eastAsia"/>
                <w:sz w:val="21"/>
                <w:szCs w:val="21"/>
                <w:highlight w:val="none"/>
              </w:rPr>
            </w:pPr>
            <w:r>
              <w:rPr>
                <w:rFonts w:hint="eastAsia"/>
                <w:sz w:val="21"/>
                <w:szCs w:val="21"/>
                <w:highlight w:val="none"/>
              </w:rPr>
              <w:t>对作业人员进行了教育和培训，且考试成绩合格。</w:t>
            </w:r>
          </w:p>
        </w:tc>
        <w:tc>
          <w:tcPr>
            <w:tcW w:w="1149" w:type="dxa"/>
            <w:tcBorders>
              <w:tl2br w:val="nil"/>
              <w:tr2bl w:val="nil"/>
            </w:tcBorders>
            <w:noWrap w:val="0"/>
            <w:vAlign w:val="center"/>
          </w:tcPr>
          <w:p w14:paraId="7DD22825">
            <w:pPr>
              <w:pStyle w:val="32"/>
              <w:bidi w:val="0"/>
              <w:rPr>
                <w:rFonts w:hint="eastAsia"/>
                <w:sz w:val="21"/>
                <w:szCs w:val="21"/>
                <w:highlight w:val="none"/>
              </w:rPr>
            </w:pPr>
            <w:r>
              <w:rPr>
                <w:rFonts w:hint="eastAsia"/>
                <w:sz w:val="21"/>
                <w:szCs w:val="21"/>
                <w:highlight w:val="none"/>
              </w:rPr>
              <w:t>符合要求</w:t>
            </w:r>
          </w:p>
        </w:tc>
      </w:tr>
      <w:tr w14:paraId="510B4D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51" w:hRule="atLeast"/>
          <w:jc w:val="center"/>
        </w:trPr>
        <w:tc>
          <w:tcPr>
            <w:tcW w:w="2410" w:type="dxa"/>
            <w:tcBorders>
              <w:tl2br w:val="nil"/>
              <w:tr2bl w:val="nil"/>
            </w:tcBorders>
            <w:noWrap w:val="0"/>
            <w:vAlign w:val="center"/>
          </w:tcPr>
          <w:p w14:paraId="7BC7D8B2">
            <w:pPr>
              <w:pStyle w:val="32"/>
              <w:bidi w:val="0"/>
              <w:rPr>
                <w:rFonts w:hint="eastAsia"/>
                <w:sz w:val="21"/>
                <w:szCs w:val="21"/>
                <w:highlight w:val="none"/>
              </w:rPr>
            </w:pPr>
            <w:r>
              <w:rPr>
                <w:rFonts w:hint="eastAsia"/>
                <w:sz w:val="21"/>
                <w:szCs w:val="21"/>
                <w:highlight w:val="none"/>
              </w:rPr>
              <w:t>8.安全生产投入符合安全生产要求，按照有关规定提取安全技术措施专项经费。</w:t>
            </w:r>
          </w:p>
        </w:tc>
        <w:tc>
          <w:tcPr>
            <w:tcW w:w="1417" w:type="dxa"/>
            <w:tcBorders>
              <w:tl2br w:val="nil"/>
              <w:tr2bl w:val="nil"/>
            </w:tcBorders>
            <w:noWrap w:val="0"/>
            <w:vAlign w:val="center"/>
          </w:tcPr>
          <w:p w14:paraId="2ABED956">
            <w:pPr>
              <w:pStyle w:val="32"/>
              <w:bidi w:val="0"/>
              <w:rPr>
                <w:rFonts w:hint="eastAsia"/>
                <w:sz w:val="21"/>
                <w:szCs w:val="21"/>
                <w:highlight w:val="none"/>
              </w:rPr>
            </w:pPr>
            <w:r>
              <w:rPr>
                <w:rFonts w:hint="eastAsia"/>
                <w:sz w:val="21"/>
                <w:szCs w:val="21"/>
                <w:highlight w:val="none"/>
              </w:rPr>
              <w:t>《许可证实施办法》第二章第五条第二款</w:t>
            </w:r>
          </w:p>
        </w:tc>
        <w:tc>
          <w:tcPr>
            <w:tcW w:w="1276" w:type="dxa"/>
            <w:tcBorders>
              <w:tl2br w:val="nil"/>
              <w:tr2bl w:val="nil"/>
            </w:tcBorders>
            <w:noWrap w:val="0"/>
            <w:vAlign w:val="center"/>
          </w:tcPr>
          <w:p w14:paraId="7F138764">
            <w:pPr>
              <w:pStyle w:val="32"/>
              <w:bidi w:val="0"/>
              <w:rPr>
                <w:rFonts w:hint="eastAsia"/>
                <w:sz w:val="21"/>
                <w:szCs w:val="21"/>
                <w:highlight w:val="none"/>
              </w:rPr>
            </w:pPr>
            <w:r>
              <w:rPr>
                <w:rFonts w:hint="eastAsia"/>
                <w:sz w:val="21"/>
                <w:szCs w:val="21"/>
                <w:highlight w:val="none"/>
              </w:rPr>
              <w:t>查阅账单、询问</w:t>
            </w:r>
          </w:p>
        </w:tc>
        <w:tc>
          <w:tcPr>
            <w:tcW w:w="2552" w:type="dxa"/>
            <w:tcBorders>
              <w:tl2br w:val="nil"/>
              <w:tr2bl w:val="nil"/>
            </w:tcBorders>
            <w:noWrap w:val="0"/>
            <w:vAlign w:val="center"/>
          </w:tcPr>
          <w:p w14:paraId="320D6CDC">
            <w:pPr>
              <w:pStyle w:val="32"/>
              <w:bidi w:val="0"/>
              <w:rPr>
                <w:rFonts w:hint="eastAsia"/>
                <w:sz w:val="21"/>
                <w:szCs w:val="21"/>
                <w:highlight w:val="none"/>
              </w:rPr>
            </w:pPr>
            <w:r>
              <w:rPr>
                <w:rFonts w:hint="eastAsia"/>
                <w:sz w:val="21"/>
                <w:szCs w:val="21"/>
                <w:highlight w:val="none"/>
              </w:rPr>
              <w:t>制订了</w:t>
            </w:r>
            <w:r>
              <w:rPr>
                <w:rFonts w:hint="eastAsia"/>
                <w:sz w:val="21"/>
                <w:szCs w:val="21"/>
                <w:highlight w:val="none"/>
                <w:lang w:val="en-US" w:eastAsia="zh-CN"/>
              </w:rPr>
              <w:t>2026</w:t>
            </w:r>
            <w:r>
              <w:rPr>
                <w:rFonts w:hint="eastAsia"/>
                <w:sz w:val="21"/>
                <w:szCs w:val="21"/>
                <w:highlight w:val="none"/>
              </w:rPr>
              <w:t>年提取及使用安全技术措施专项经费计划，并按要求进行了提取。留有</w:t>
            </w:r>
            <w:r>
              <w:rPr>
                <w:rFonts w:hint="eastAsia"/>
                <w:sz w:val="21"/>
                <w:szCs w:val="21"/>
                <w:highlight w:val="none"/>
                <w:lang w:val="en-US" w:eastAsia="zh-CN"/>
              </w:rPr>
              <w:t>2025</w:t>
            </w:r>
            <w:r>
              <w:rPr>
                <w:rFonts w:hint="eastAsia"/>
                <w:sz w:val="21"/>
                <w:szCs w:val="21"/>
                <w:highlight w:val="none"/>
              </w:rPr>
              <w:t>年度使用明细。</w:t>
            </w:r>
          </w:p>
        </w:tc>
        <w:tc>
          <w:tcPr>
            <w:tcW w:w="1149" w:type="dxa"/>
            <w:tcBorders>
              <w:tl2br w:val="nil"/>
              <w:tr2bl w:val="nil"/>
            </w:tcBorders>
            <w:noWrap w:val="0"/>
            <w:vAlign w:val="center"/>
          </w:tcPr>
          <w:p w14:paraId="201C0FA8">
            <w:pPr>
              <w:pStyle w:val="32"/>
              <w:bidi w:val="0"/>
              <w:rPr>
                <w:rFonts w:hint="eastAsia"/>
                <w:sz w:val="21"/>
                <w:szCs w:val="21"/>
                <w:highlight w:val="none"/>
              </w:rPr>
            </w:pPr>
            <w:r>
              <w:rPr>
                <w:rFonts w:hint="eastAsia"/>
                <w:sz w:val="21"/>
                <w:szCs w:val="21"/>
                <w:highlight w:val="none"/>
              </w:rPr>
              <w:t>符合要求</w:t>
            </w:r>
          </w:p>
        </w:tc>
      </w:tr>
      <w:tr w14:paraId="3A3E17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2FE316EA">
            <w:pPr>
              <w:pStyle w:val="32"/>
              <w:bidi w:val="0"/>
              <w:rPr>
                <w:rFonts w:hint="eastAsia"/>
                <w:sz w:val="21"/>
                <w:szCs w:val="21"/>
                <w:highlight w:val="none"/>
              </w:rPr>
            </w:pPr>
            <w:r>
              <w:rPr>
                <w:rFonts w:hint="eastAsia"/>
                <w:sz w:val="21"/>
                <w:szCs w:val="21"/>
                <w:highlight w:val="none"/>
              </w:rPr>
              <w:t>9.作业单位必须依法参加工伤社会保险，为从业人员缴纳工伤保险费。</w:t>
            </w:r>
          </w:p>
        </w:tc>
        <w:tc>
          <w:tcPr>
            <w:tcW w:w="1417" w:type="dxa"/>
            <w:tcBorders>
              <w:tl2br w:val="nil"/>
              <w:tr2bl w:val="nil"/>
            </w:tcBorders>
            <w:noWrap w:val="0"/>
            <w:vAlign w:val="center"/>
          </w:tcPr>
          <w:p w14:paraId="5A0D6687">
            <w:pPr>
              <w:pStyle w:val="32"/>
              <w:bidi w:val="0"/>
              <w:rPr>
                <w:rFonts w:hint="eastAsia"/>
                <w:sz w:val="21"/>
                <w:szCs w:val="21"/>
                <w:highlight w:val="none"/>
              </w:rPr>
            </w:pPr>
            <w:r>
              <w:rPr>
                <w:rFonts w:hint="eastAsia"/>
                <w:sz w:val="21"/>
                <w:szCs w:val="21"/>
                <w:highlight w:val="none"/>
              </w:rPr>
              <w:t>《安全生产法》、</w:t>
            </w:r>
          </w:p>
          <w:p w14:paraId="0C3CAF23">
            <w:pPr>
              <w:pStyle w:val="32"/>
              <w:bidi w:val="0"/>
              <w:rPr>
                <w:rFonts w:hint="eastAsia"/>
                <w:sz w:val="21"/>
                <w:szCs w:val="21"/>
                <w:highlight w:val="none"/>
              </w:rPr>
            </w:pPr>
            <w:r>
              <w:rPr>
                <w:rFonts w:hint="eastAsia"/>
                <w:sz w:val="21"/>
                <w:szCs w:val="21"/>
                <w:highlight w:val="none"/>
              </w:rPr>
              <w:t>《许可证实施办法》第二章第五条第七款</w:t>
            </w:r>
          </w:p>
        </w:tc>
        <w:tc>
          <w:tcPr>
            <w:tcW w:w="1276" w:type="dxa"/>
            <w:tcBorders>
              <w:tl2br w:val="nil"/>
              <w:tr2bl w:val="nil"/>
            </w:tcBorders>
            <w:noWrap w:val="0"/>
            <w:vAlign w:val="center"/>
          </w:tcPr>
          <w:p w14:paraId="2D299877">
            <w:pPr>
              <w:pStyle w:val="32"/>
              <w:bidi w:val="0"/>
              <w:rPr>
                <w:rFonts w:hint="eastAsia"/>
                <w:sz w:val="21"/>
                <w:szCs w:val="21"/>
                <w:highlight w:val="none"/>
              </w:rPr>
            </w:pPr>
            <w:r>
              <w:rPr>
                <w:rFonts w:hint="eastAsia"/>
                <w:sz w:val="21"/>
                <w:szCs w:val="21"/>
                <w:highlight w:val="none"/>
              </w:rPr>
              <w:t>查看保险单</w:t>
            </w:r>
          </w:p>
        </w:tc>
        <w:tc>
          <w:tcPr>
            <w:tcW w:w="2552" w:type="dxa"/>
            <w:tcBorders>
              <w:tl2br w:val="nil"/>
              <w:tr2bl w:val="nil"/>
            </w:tcBorders>
            <w:noWrap w:val="0"/>
            <w:vAlign w:val="center"/>
          </w:tcPr>
          <w:p w14:paraId="2DF7A4DC">
            <w:pPr>
              <w:pStyle w:val="32"/>
              <w:bidi w:val="0"/>
              <w:rPr>
                <w:rFonts w:hint="eastAsia"/>
                <w:sz w:val="21"/>
                <w:szCs w:val="21"/>
                <w:highlight w:val="none"/>
              </w:rPr>
            </w:pPr>
            <w:r>
              <w:rPr>
                <w:rFonts w:hint="eastAsia"/>
                <w:sz w:val="21"/>
                <w:szCs w:val="21"/>
                <w:highlight w:val="none"/>
              </w:rPr>
              <w:t>依法参加了工伤保险和安全生产责任保险，为从业人员缴纳安全生产责任保险费，保额满足要求。</w:t>
            </w:r>
          </w:p>
        </w:tc>
        <w:tc>
          <w:tcPr>
            <w:tcW w:w="1149" w:type="dxa"/>
            <w:tcBorders>
              <w:tl2br w:val="nil"/>
              <w:tr2bl w:val="nil"/>
            </w:tcBorders>
            <w:noWrap w:val="0"/>
            <w:vAlign w:val="center"/>
          </w:tcPr>
          <w:p w14:paraId="0B3BE90A">
            <w:pPr>
              <w:pStyle w:val="32"/>
              <w:bidi w:val="0"/>
              <w:rPr>
                <w:rFonts w:hint="eastAsia"/>
                <w:sz w:val="21"/>
                <w:szCs w:val="21"/>
                <w:highlight w:val="none"/>
              </w:rPr>
            </w:pPr>
            <w:r>
              <w:rPr>
                <w:rFonts w:hint="eastAsia"/>
                <w:sz w:val="21"/>
                <w:szCs w:val="21"/>
                <w:highlight w:val="none"/>
              </w:rPr>
              <w:t>符合要求</w:t>
            </w:r>
          </w:p>
        </w:tc>
      </w:tr>
      <w:tr w14:paraId="5798DBE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0E3CAD8F">
            <w:pPr>
              <w:pStyle w:val="32"/>
              <w:bidi w:val="0"/>
              <w:rPr>
                <w:rFonts w:hint="eastAsia"/>
                <w:sz w:val="21"/>
                <w:szCs w:val="21"/>
                <w:highlight w:val="none"/>
                <w:lang w:val="en-US" w:eastAsia="zh-CN"/>
              </w:rPr>
            </w:pPr>
            <w:r>
              <w:rPr>
                <w:rFonts w:hint="eastAsia"/>
                <w:sz w:val="21"/>
                <w:szCs w:val="21"/>
                <w:highlight w:val="none"/>
                <w:lang w:val="en-US" w:eastAsia="zh-CN"/>
              </w:rPr>
              <w:t>10</w:t>
            </w:r>
            <w:r>
              <w:rPr>
                <w:rFonts w:hint="eastAsia"/>
                <w:sz w:val="21"/>
                <w:szCs w:val="21"/>
                <w:highlight w:val="none"/>
              </w:rPr>
              <w:t>.应急预案应到当地的安全生产监督管理部门进行评审备案。</w:t>
            </w:r>
          </w:p>
        </w:tc>
        <w:tc>
          <w:tcPr>
            <w:tcW w:w="1417" w:type="dxa"/>
            <w:tcBorders>
              <w:tl2br w:val="nil"/>
              <w:tr2bl w:val="nil"/>
            </w:tcBorders>
            <w:noWrap w:val="0"/>
            <w:vAlign w:val="center"/>
          </w:tcPr>
          <w:p w14:paraId="770ED5B4">
            <w:pPr>
              <w:pStyle w:val="32"/>
              <w:bidi w:val="0"/>
              <w:rPr>
                <w:rFonts w:hint="eastAsia"/>
                <w:sz w:val="21"/>
                <w:szCs w:val="21"/>
                <w:highlight w:val="none"/>
                <w:lang w:val="en-US" w:eastAsia="zh-CN"/>
              </w:rPr>
            </w:pPr>
            <w:r>
              <w:rPr>
                <w:rFonts w:hint="eastAsia"/>
                <w:sz w:val="21"/>
                <w:szCs w:val="21"/>
                <w:highlight w:val="none"/>
              </w:rPr>
              <w:t>《生产安全事故应急预案管理办法》第18条</w:t>
            </w:r>
          </w:p>
        </w:tc>
        <w:tc>
          <w:tcPr>
            <w:tcW w:w="1276" w:type="dxa"/>
            <w:tcBorders>
              <w:tl2br w:val="nil"/>
              <w:tr2bl w:val="nil"/>
            </w:tcBorders>
            <w:noWrap w:val="0"/>
            <w:vAlign w:val="center"/>
          </w:tcPr>
          <w:p w14:paraId="57EE2B6C">
            <w:pPr>
              <w:pStyle w:val="32"/>
              <w:bidi w:val="0"/>
              <w:rPr>
                <w:rFonts w:hint="eastAsia"/>
                <w:sz w:val="21"/>
                <w:szCs w:val="21"/>
                <w:highlight w:val="none"/>
                <w:lang w:val="en-US" w:eastAsia="zh-CN"/>
              </w:rPr>
            </w:pPr>
            <w:r>
              <w:rPr>
                <w:rFonts w:hint="eastAsia"/>
                <w:sz w:val="21"/>
                <w:szCs w:val="21"/>
                <w:highlight w:val="none"/>
              </w:rPr>
              <w:t>查阅</w:t>
            </w:r>
          </w:p>
        </w:tc>
        <w:tc>
          <w:tcPr>
            <w:tcW w:w="2552" w:type="dxa"/>
            <w:tcBorders>
              <w:tl2br w:val="nil"/>
              <w:tr2bl w:val="nil"/>
            </w:tcBorders>
            <w:noWrap w:val="0"/>
            <w:vAlign w:val="center"/>
          </w:tcPr>
          <w:p w14:paraId="45084F25">
            <w:pPr>
              <w:pStyle w:val="32"/>
              <w:bidi w:val="0"/>
              <w:rPr>
                <w:rFonts w:hint="eastAsia" w:eastAsia="宋体"/>
                <w:sz w:val="21"/>
                <w:szCs w:val="21"/>
                <w:highlight w:val="none"/>
                <w:lang w:val="en-US" w:eastAsia="zh-CN"/>
              </w:rPr>
            </w:pPr>
            <w:r>
              <w:rPr>
                <w:rFonts w:hint="eastAsia"/>
                <w:sz w:val="21"/>
                <w:szCs w:val="21"/>
                <w:highlight w:val="none"/>
                <w:lang w:val="en-US" w:eastAsia="zh-CN"/>
              </w:rPr>
              <w:t>矿山编制了生产安全事故综合应急预案，并于当地</w:t>
            </w:r>
            <w:r>
              <w:rPr>
                <w:rFonts w:hint="eastAsia"/>
                <w:sz w:val="21"/>
                <w:szCs w:val="21"/>
                <w:highlight w:val="none"/>
              </w:rPr>
              <w:t>应急管理局进行了备案</w:t>
            </w:r>
            <w:r>
              <w:rPr>
                <w:rFonts w:hint="eastAsia"/>
                <w:sz w:val="21"/>
                <w:szCs w:val="21"/>
                <w:highlight w:val="none"/>
                <w:lang w:eastAsia="zh-CN"/>
              </w:rPr>
              <w:t>。</w:t>
            </w:r>
          </w:p>
        </w:tc>
        <w:tc>
          <w:tcPr>
            <w:tcW w:w="1149" w:type="dxa"/>
            <w:tcBorders>
              <w:tl2br w:val="nil"/>
              <w:tr2bl w:val="nil"/>
            </w:tcBorders>
            <w:noWrap w:val="0"/>
            <w:vAlign w:val="center"/>
          </w:tcPr>
          <w:p w14:paraId="5EA0A519">
            <w:pPr>
              <w:pStyle w:val="32"/>
              <w:bidi w:val="0"/>
              <w:rPr>
                <w:rFonts w:hint="eastAsia"/>
                <w:sz w:val="21"/>
                <w:szCs w:val="21"/>
                <w:highlight w:val="none"/>
                <w:lang w:val="en-US" w:eastAsia="zh-CN"/>
              </w:rPr>
            </w:pPr>
            <w:r>
              <w:rPr>
                <w:rFonts w:hint="eastAsia"/>
                <w:sz w:val="21"/>
                <w:szCs w:val="21"/>
                <w:highlight w:val="none"/>
              </w:rPr>
              <w:t>符合要求</w:t>
            </w:r>
          </w:p>
        </w:tc>
      </w:tr>
    </w:tbl>
    <w:p w14:paraId="200B484D">
      <w:pPr>
        <w:pStyle w:val="22"/>
        <w:bidi w:val="0"/>
        <w:rPr>
          <w:rFonts w:hint="eastAsia"/>
          <w:highlight w:val="none"/>
          <w:lang w:val="zh-CN"/>
        </w:rPr>
      </w:pPr>
      <w:r>
        <w:rPr>
          <w:rFonts w:hint="eastAsia"/>
          <w:highlight w:val="none"/>
          <w:lang w:val="zh-CN"/>
        </w:rPr>
        <w:t>建设单位在以后的生产中，只要落实本报告在安全管理方面提出的措施，建立安全管理机构、安全管理制度、应急救援预案，并要对安全管理人员和特种作业人员进行培训，生产中要落实矿领导带班下井制度等各项制度，以确保安全生产管理有效的运用于施工及生产的各个环节，就能够最大限度的确保本项目的安全生产。</w:t>
      </w:r>
    </w:p>
    <w:p w14:paraId="1FBCD6CD">
      <w:pPr>
        <w:pStyle w:val="29"/>
        <w:bidi w:val="0"/>
        <w:rPr>
          <w:rFonts w:hint="eastAsia"/>
          <w:highlight w:val="none"/>
          <w:lang w:val="zh-CN"/>
        </w:rPr>
      </w:pPr>
      <w:bookmarkStart w:id="33" w:name="_Toc31294"/>
      <w:r>
        <w:rPr>
          <w:rFonts w:hint="eastAsia"/>
          <w:highlight w:val="none"/>
          <w:lang w:val="zh-CN"/>
        </w:rPr>
        <w:t>重大危险源辨识单元</w:t>
      </w:r>
      <w:bookmarkEnd w:id="33"/>
    </w:p>
    <w:p w14:paraId="6CB3ADF8">
      <w:pPr>
        <w:pStyle w:val="22"/>
        <w:bidi w:val="0"/>
        <w:rPr>
          <w:rFonts w:hint="eastAsia"/>
          <w:highlight w:val="none"/>
          <w:lang w:val="zh-CN"/>
        </w:rPr>
      </w:pPr>
      <w:r>
        <w:rPr>
          <w:rFonts w:hint="eastAsia"/>
          <w:highlight w:val="none"/>
          <w:lang w:val="zh-CN"/>
        </w:rPr>
        <w:t>根据《国家安全监管总局关于宣布失效一批安全生产文件的通知》（安监总办〔2016〕13号），其中的第100条“国家安全生产监督管理局《关于开展重大危险源监督管理工作的指导意见》（安监管协调字〔2004〕56号”）已失效，地下矿山不需进行重大危险源辨识。</w:t>
      </w:r>
    </w:p>
    <w:p w14:paraId="4CF7A055">
      <w:pPr>
        <w:pStyle w:val="22"/>
        <w:bidi w:val="0"/>
        <w:rPr>
          <w:rFonts w:hint="eastAsia"/>
          <w:highlight w:val="none"/>
          <w:lang w:val="zh-CN"/>
        </w:rPr>
      </w:pPr>
      <w:r>
        <w:rPr>
          <w:rFonts w:hint="eastAsia"/>
          <w:highlight w:val="none"/>
          <w:lang w:val="zh-CN"/>
        </w:rPr>
        <w:t>根据《危险化学品重大危险源辨识》（GB18218-2018）进行辨识，该矿山不涉及危险化学品，因此，本溪市辉宏矿业有限公司不涉及重大危险源。</w:t>
      </w:r>
    </w:p>
    <w:p w14:paraId="55489D51">
      <w:pPr>
        <w:pStyle w:val="22"/>
        <w:bidi w:val="0"/>
        <w:rPr>
          <w:rFonts w:hint="default"/>
          <w:highlight w:val="none"/>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13DEAE56">
      <w:pPr>
        <w:pStyle w:val="28"/>
        <w:bidi w:val="0"/>
        <w:rPr>
          <w:rFonts w:hint="default"/>
          <w:highlight w:val="none"/>
          <w:lang w:val="en-US" w:eastAsia="zh-CN"/>
        </w:rPr>
      </w:pPr>
      <w:bookmarkStart w:id="34" w:name="_Toc8959"/>
      <w:r>
        <w:rPr>
          <w:rFonts w:hint="default"/>
          <w:highlight w:val="none"/>
          <w:lang w:val="en-US" w:eastAsia="zh-CN"/>
        </w:rPr>
        <w:t>安全对策措施建议</w:t>
      </w:r>
      <w:bookmarkEnd w:id="34"/>
    </w:p>
    <w:p w14:paraId="7E9FD9CB">
      <w:pPr>
        <w:pStyle w:val="29"/>
        <w:rPr>
          <w:rFonts w:hint="default"/>
          <w:highlight w:val="none"/>
          <w:lang w:val="en-US" w:eastAsia="zh-CN"/>
        </w:rPr>
      </w:pPr>
      <w:bookmarkStart w:id="35" w:name="_Toc12043"/>
      <w:r>
        <w:rPr>
          <w:rFonts w:hint="default"/>
          <w:highlight w:val="none"/>
          <w:lang w:val="en-US" w:eastAsia="zh-CN"/>
        </w:rPr>
        <w:t>本预评价补充的安全对策措施</w:t>
      </w:r>
      <w:bookmarkEnd w:id="35"/>
    </w:p>
    <w:p w14:paraId="3D173FF7">
      <w:pPr>
        <w:pStyle w:val="22"/>
        <w:bidi w:val="0"/>
        <w:rPr>
          <w:rFonts w:hint="default"/>
          <w:highlight w:val="none"/>
          <w:lang w:val="en-US" w:eastAsia="zh-CN"/>
        </w:rPr>
      </w:pPr>
      <w:r>
        <w:rPr>
          <w:rFonts w:hint="default"/>
          <w:highlight w:val="none"/>
          <w:lang w:val="en-US" w:eastAsia="zh-CN"/>
        </w:rPr>
        <w:t>《可研报告》提出的安全对策措施合理可行，但还存在一些不足，本安全预评价报告依据国家的相关安全标准、规范的要求，本着应具有针对性，可操作性和经济合理性原则，补充以下安全对策措施：</w:t>
      </w:r>
    </w:p>
    <w:p w14:paraId="189EC6A7">
      <w:pPr>
        <w:pStyle w:val="30"/>
        <w:bidi w:val="0"/>
        <w:rPr>
          <w:rFonts w:hint="eastAsia"/>
          <w:highlight w:val="none"/>
        </w:rPr>
      </w:pPr>
      <w:bookmarkStart w:id="36" w:name="_Toc294674107"/>
      <w:bookmarkStart w:id="37" w:name="_Toc4865"/>
      <w:bookmarkStart w:id="38" w:name="_Toc12196"/>
      <w:bookmarkStart w:id="39" w:name="_Toc406688059"/>
      <w:bookmarkStart w:id="40" w:name="_Toc28317"/>
      <w:r>
        <w:rPr>
          <w:rFonts w:hint="eastAsia"/>
          <w:highlight w:val="none"/>
        </w:rPr>
        <w:t>总平面布置单元</w:t>
      </w:r>
      <w:bookmarkEnd w:id="36"/>
      <w:bookmarkEnd w:id="37"/>
      <w:bookmarkEnd w:id="38"/>
      <w:bookmarkEnd w:id="39"/>
      <w:bookmarkEnd w:id="40"/>
    </w:p>
    <w:p w14:paraId="2EE5F7D1">
      <w:pPr>
        <w:pStyle w:val="22"/>
        <w:numPr>
          <w:ilvl w:val="0"/>
          <w:numId w:val="83"/>
        </w:numPr>
        <w:bidi w:val="0"/>
        <w:rPr>
          <w:rFonts w:hint="eastAsia"/>
          <w:highlight w:val="none"/>
        </w:rPr>
      </w:pPr>
      <w:r>
        <w:rPr>
          <w:rFonts w:hint="eastAsia"/>
          <w:highlight w:val="none"/>
        </w:rPr>
        <w:t>厂址应满足工业企业近期所必需的场地面积和适宜的地形坡度。根据工业企业远期发展规划的需要，适当留有发展的余地；</w:t>
      </w:r>
    </w:p>
    <w:p w14:paraId="2521DB5E">
      <w:pPr>
        <w:pStyle w:val="22"/>
        <w:numPr>
          <w:ilvl w:val="0"/>
          <w:numId w:val="83"/>
        </w:numPr>
        <w:bidi w:val="0"/>
        <w:rPr>
          <w:rFonts w:hint="eastAsia"/>
          <w:highlight w:val="none"/>
        </w:rPr>
      </w:pPr>
      <w:r>
        <w:rPr>
          <w:rFonts w:hint="eastAsia"/>
          <w:highlight w:val="none"/>
        </w:rPr>
        <w:t>在符合生产流程、操作要求和使用功能的前提下，建筑物、构筑物等设施，应联合多层布置；</w:t>
      </w:r>
    </w:p>
    <w:p w14:paraId="0C3943C5">
      <w:pPr>
        <w:pStyle w:val="22"/>
        <w:numPr>
          <w:ilvl w:val="0"/>
          <w:numId w:val="83"/>
        </w:numPr>
        <w:bidi w:val="0"/>
        <w:rPr>
          <w:rFonts w:hint="eastAsia"/>
          <w:highlight w:val="none"/>
        </w:rPr>
      </w:pPr>
      <w:r>
        <w:rPr>
          <w:rFonts w:hint="eastAsia"/>
          <w:highlight w:val="none"/>
        </w:rPr>
        <w:t>按功能分区，合理地确定通道宽度；</w:t>
      </w:r>
    </w:p>
    <w:p w14:paraId="47D1C863">
      <w:pPr>
        <w:pStyle w:val="22"/>
        <w:numPr>
          <w:ilvl w:val="0"/>
          <w:numId w:val="83"/>
        </w:numPr>
        <w:bidi w:val="0"/>
        <w:rPr>
          <w:rFonts w:hint="eastAsia"/>
          <w:highlight w:val="none"/>
        </w:rPr>
      </w:pPr>
      <w:r>
        <w:rPr>
          <w:rFonts w:hint="eastAsia"/>
          <w:highlight w:val="none"/>
        </w:rPr>
        <w:t>厂区、功能分区及建筑物、构筑物的外形宜规整；功能分区内各项设施的布置，应紧凑、合理。</w:t>
      </w:r>
    </w:p>
    <w:p w14:paraId="4B8F4A68">
      <w:pPr>
        <w:pStyle w:val="30"/>
        <w:bidi w:val="0"/>
        <w:rPr>
          <w:rFonts w:hint="default"/>
          <w:highlight w:val="none"/>
          <w:lang w:val="en-US" w:eastAsia="zh-CN"/>
        </w:rPr>
      </w:pPr>
      <w:r>
        <w:rPr>
          <w:rFonts w:hint="default"/>
          <w:highlight w:val="none"/>
          <w:lang w:val="en-US" w:eastAsia="zh-CN"/>
        </w:rPr>
        <w:t>开拓系统单元</w:t>
      </w:r>
    </w:p>
    <w:p w14:paraId="11C1C783">
      <w:pPr>
        <w:pStyle w:val="22"/>
        <w:numPr>
          <w:ilvl w:val="0"/>
          <w:numId w:val="84"/>
        </w:numPr>
        <w:bidi w:val="0"/>
        <w:rPr>
          <w:rFonts w:hint="eastAsia"/>
          <w:highlight w:val="none"/>
        </w:rPr>
      </w:pPr>
      <w:bookmarkStart w:id="41" w:name="_Toc290502867"/>
      <w:bookmarkStart w:id="42" w:name="_Toc262313574"/>
      <w:r>
        <w:rPr>
          <w:rFonts w:hint="eastAsia"/>
          <w:highlight w:val="none"/>
        </w:rPr>
        <w:t>井巷施工必须有施工组织设计。施工前，必须组织施工人员学习施工组织设计。施工中，必须按施工组织设计的规定作业。</w:t>
      </w:r>
    </w:p>
    <w:p w14:paraId="38F30FEF">
      <w:pPr>
        <w:pStyle w:val="22"/>
        <w:numPr>
          <w:ilvl w:val="0"/>
          <w:numId w:val="84"/>
        </w:numPr>
        <w:bidi w:val="0"/>
        <w:rPr>
          <w:highlight w:val="none"/>
        </w:rPr>
      </w:pPr>
      <w:r>
        <w:rPr>
          <w:rFonts w:hint="eastAsia"/>
          <w:highlight w:val="none"/>
        </w:rPr>
        <w:t>在不稳固的岩层中掘进时应进行支护；在松软、破碎或流砂地层中掘进时应在永久性支护与掘进工作面之间进行临时支护或者特殊支护。</w:t>
      </w:r>
    </w:p>
    <w:p w14:paraId="60958190">
      <w:pPr>
        <w:pStyle w:val="22"/>
        <w:numPr>
          <w:ilvl w:val="0"/>
          <w:numId w:val="84"/>
        </w:numPr>
        <w:bidi w:val="0"/>
        <w:rPr>
          <w:highlight w:val="none"/>
        </w:rPr>
      </w:pPr>
      <w:r>
        <w:rPr>
          <w:rFonts w:hint="eastAsia"/>
          <w:highlight w:val="none"/>
        </w:rPr>
        <w:t>天井施工必须防止物件下坠的措施。施工时井上下必须设置良好的联络信号。</w:t>
      </w:r>
      <w:bookmarkEnd w:id="41"/>
      <w:bookmarkEnd w:id="42"/>
    </w:p>
    <w:p w14:paraId="3BB6B4F7">
      <w:pPr>
        <w:pStyle w:val="22"/>
        <w:numPr>
          <w:ilvl w:val="0"/>
          <w:numId w:val="84"/>
        </w:numPr>
        <w:bidi w:val="0"/>
        <w:rPr>
          <w:rFonts w:hint="eastAsia"/>
          <w:highlight w:val="none"/>
        </w:rPr>
      </w:pPr>
      <w:r>
        <w:rPr>
          <w:rFonts w:hint="eastAsia"/>
          <w:highlight w:val="none"/>
        </w:rPr>
        <w:t>对井巷工程施工，必须遵守以下原则：按照设计的标准，保证井巷工程的断面形状、尺寸符合设计要求，并要对地质变化带进行必要的支护，确保其安全可靠。</w:t>
      </w:r>
    </w:p>
    <w:p w14:paraId="4174E7E9">
      <w:pPr>
        <w:pStyle w:val="22"/>
        <w:numPr>
          <w:ilvl w:val="0"/>
          <w:numId w:val="84"/>
        </w:numPr>
        <w:bidi w:val="0"/>
        <w:rPr>
          <w:rFonts w:hint="eastAsia"/>
          <w:highlight w:val="none"/>
        </w:rPr>
      </w:pPr>
      <w:r>
        <w:rPr>
          <w:rFonts w:hint="eastAsia"/>
          <w:highlight w:val="none"/>
        </w:rPr>
        <w:t>行人的水平运输巷道应设人行道，其有效净高应不小于1.9m。</w:t>
      </w:r>
    </w:p>
    <w:p w14:paraId="3D0A8B17">
      <w:pPr>
        <w:pStyle w:val="22"/>
        <w:numPr>
          <w:ilvl w:val="0"/>
          <w:numId w:val="84"/>
        </w:numPr>
        <w:bidi w:val="0"/>
        <w:rPr>
          <w:rFonts w:hint="eastAsia"/>
          <w:highlight w:val="none"/>
        </w:rPr>
      </w:pPr>
      <w:r>
        <w:rPr>
          <w:rFonts w:hint="eastAsia"/>
          <w:highlight w:val="none"/>
        </w:rPr>
        <w:t>需要支护的井巷，支护方法、支护与工作面间的距离，应在施工设计中规定；中途停止掘进时，支护应及时跟至工作面。</w:t>
      </w:r>
    </w:p>
    <w:p w14:paraId="12DA0309">
      <w:pPr>
        <w:pStyle w:val="22"/>
        <w:numPr>
          <w:ilvl w:val="0"/>
          <w:numId w:val="84"/>
        </w:numPr>
        <w:bidi w:val="0"/>
        <w:rPr>
          <w:rFonts w:hint="eastAsia"/>
          <w:highlight w:val="none"/>
        </w:rPr>
      </w:pPr>
      <w:r>
        <w:rPr>
          <w:rFonts w:hint="eastAsia"/>
          <w:highlight w:val="none"/>
        </w:rPr>
        <w:t>对所有支护的井巷，均应进行定期检查。</w:t>
      </w:r>
    </w:p>
    <w:p w14:paraId="06F06EA5">
      <w:pPr>
        <w:pStyle w:val="22"/>
        <w:numPr>
          <w:ilvl w:val="0"/>
          <w:numId w:val="84"/>
        </w:numPr>
        <w:bidi w:val="0"/>
        <w:rPr>
          <w:rFonts w:hint="eastAsia"/>
          <w:highlight w:val="none"/>
        </w:rPr>
      </w:pPr>
      <w:r>
        <w:rPr>
          <w:rFonts w:hint="eastAsia"/>
          <w:highlight w:val="none"/>
        </w:rPr>
        <w:t>井巷的分道口应有路标，注明其所在地点及通往地面出口的方向。所有井下作业人员，均应熟悉安全出口。</w:t>
      </w:r>
    </w:p>
    <w:p w14:paraId="5193EFE1">
      <w:pPr>
        <w:pStyle w:val="22"/>
        <w:numPr>
          <w:ilvl w:val="0"/>
          <w:numId w:val="84"/>
        </w:numPr>
        <w:bidi w:val="0"/>
        <w:rPr>
          <w:rFonts w:hint="eastAsia"/>
          <w:highlight w:val="none"/>
        </w:rPr>
      </w:pPr>
      <w:r>
        <w:rPr>
          <w:rFonts w:hint="eastAsia"/>
          <w:highlight w:val="none"/>
        </w:rPr>
        <w:t>天井、溜井、地井和漏斗口，应设有标志、照明、护栏或格筛、盖板。</w:t>
      </w:r>
    </w:p>
    <w:p w14:paraId="77E501B9">
      <w:pPr>
        <w:pStyle w:val="22"/>
        <w:numPr>
          <w:ilvl w:val="0"/>
          <w:numId w:val="84"/>
        </w:numPr>
        <w:bidi w:val="0"/>
        <w:rPr>
          <w:rFonts w:hint="eastAsia"/>
          <w:highlight w:val="none"/>
        </w:rPr>
      </w:pPr>
      <w:r>
        <w:rPr>
          <w:rFonts w:hint="eastAsia"/>
          <w:highlight w:val="none"/>
        </w:rPr>
        <w:t>在天井、溜井和漏斗口上方作业，以及在相对于坠落基准面2m及以上的其他地点作业，作业人员应系安全带，或者在作业点下方设防坠保护平台或安全网。作业时，应设专人监护。</w:t>
      </w:r>
    </w:p>
    <w:p w14:paraId="2AE4B59B">
      <w:pPr>
        <w:pStyle w:val="30"/>
        <w:bidi w:val="0"/>
        <w:rPr>
          <w:rFonts w:hint="default"/>
          <w:highlight w:val="none"/>
          <w:lang w:val="en-US" w:eastAsia="zh-CN"/>
        </w:rPr>
      </w:pPr>
      <w:r>
        <w:rPr>
          <w:rFonts w:hint="default"/>
          <w:highlight w:val="none"/>
          <w:lang w:val="en-US" w:eastAsia="zh-CN"/>
        </w:rPr>
        <w:t>提升运输单元</w:t>
      </w:r>
    </w:p>
    <w:p w14:paraId="4AC10C24">
      <w:pPr>
        <w:pStyle w:val="22"/>
        <w:numPr>
          <w:ilvl w:val="0"/>
          <w:numId w:val="85"/>
        </w:numPr>
        <w:bidi w:val="0"/>
        <w:rPr>
          <w:rFonts w:hint="eastAsia"/>
          <w:highlight w:val="none"/>
        </w:rPr>
      </w:pPr>
      <w:r>
        <w:rPr>
          <w:rFonts w:hint="eastAsia"/>
          <w:highlight w:val="none"/>
        </w:rPr>
        <w:t>井下运输过程中应采取控制车速、明确信号及加强管理等有效措施，以解决因部分巷道狭窄人车同行带来的安全隐患，避免发生安全事故。</w:t>
      </w:r>
    </w:p>
    <w:p w14:paraId="6A6E05CE">
      <w:pPr>
        <w:pStyle w:val="22"/>
        <w:numPr>
          <w:ilvl w:val="0"/>
          <w:numId w:val="85"/>
        </w:numPr>
        <w:bidi w:val="0"/>
        <w:rPr>
          <w:rFonts w:hint="eastAsia"/>
          <w:highlight w:val="none"/>
        </w:rPr>
      </w:pPr>
      <w:r>
        <w:rPr>
          <w:rFonts w:hint="eastAsia"/>
          <w:highlight w:val="none"/>
        </w:rPr>
        <w:t>井下</w:t>
      </w:r>
      <w:r>
        <w:rPr>
          <w:rFonts w:hint="eastAsia"/>
          <w:highlight w:val="none"/>
          <w:lang w:val="en-US" w:eastAsia="zh-CN"/>
        </w:rPr>
        <w:t>无</w:t>
      </w:r>
      <w:r>
        <w:rPr>
          <w:rFonts w:hint="eastAsia"/>
          <w:highlight w:val="none"/>
        </w:rPr>
        <w:t>轨移动设备，作业时应保证刹车系统、灯光系统、报警系统齐全有效。</w:t>
      </w:r>
    </w:p>
    <w:p w14:paraId="0F2D3006">
      <w:pPr>
        <w:pStyle w:val="22"/>
        <w:numPr>
          <w:ilvl w:val="0"/>
          <w:numId w:val="85"/>
        </w:numPr>
        <w:bidi w:val="0"/>
        <w:rPr>
          <w:rFonts w:hint="eastAsia"/>
          <w:highlight w:val="none"/>
        </w:rPr>
      </w:pPr>
      <w:r>
        <w:rPr>
          <w:rFonts w:hint="eastAsia"/>
          <w:highlight w:val="none"/>
        </w:rPr>
        <w:t>利旧的原中段巷道尺寸不够处应进行扩刷断面符合设计要求</w:t>
      </w:r>
      <w:r>
        <w:rPr>
          <w:rFonts w:hint="eastAsia"/>
          <w:highlight w:val="none"/>
          <w:lang w:eastAsia="zh-CN"/>
        </w:rPr>
        <w:t>。</w:t>
      </w:r>
    </w:p>
    <w:p w14:paraId="3826E68E">
      <w:pPr>
        <w:pStyle w:val="22"/>
        <w:numPr>
          <w:ilvl w:val="0"/>
          <w:numId w:val="85"/>
        </w:numPr>
        <w:bidi w:val="0"/>
        <w:rPr>
          <w:rFonts w:hint="eastAsia"/>
          <w:highlight w:val="none"/>
        </w:rPr>
      </w:pPr>
      <w:r>
        <w:rPr>
          <w:rFonts w:hint="eastAsia"/>
          <w:highlight w:val="none"/>
        </w:rPr>
        <w:t>按照设备要求定期进行检查和维护保养。</w:t>
      </w:r>
    </w:p>
    <w:p w14:paraId="103DC268">
      <w:pPr>
        <w:pStyle w:val="22"/>
        <w:numPr>
          <w:ilvl w:val="0"/>
          <w:numId w:val="85"/>
        </w:numPr>
        <w:bidi w:val="0"/>
        <w:rPr>
          <w:rFonts w:hint="eastAsia"/>
          <w:highlight w:val="none"/>
        </w:rPr>
      </w:pPr>
      <w:r>
        <w:rPr>
          <w:rFonts w:hint="eastAsia"/>
          <w:highlight w:val="none"/>
        </w:rPr>
        <w:t>井下专用运人车应有行车制动系统、驻车制动系统和应急制动系统</w:t>
      </w:r>
      <w:r>
        <w:rPr>
          <w:rFonts w:hint="eastAsia"/>
          <w:highlight w:val="none"/>
          <w:lang w:eastAsia="zh-CN"/>
        </w:rPr>
        <w:t>。</w:t>
      </w:r>
    </w:p>
    <w:p w14:paraId="6C74F011">
      <w:pPr>
        <w:pStyle w:val="22"/>
        <w:numPr>
          <w:ilvl w:val="0"/>
          <w:numId w:val="85"/>
        </w:numPr>
        <w:bidi w:val="0"/>
        <w:rPr>
          <w:rFonts w:hint="eastAsia"/>
          <w:highlight w:val="none"/>
        </w:rPr>
      </w:pPr>
      <w:r>
        <w:rPr>
          <w:rFonts w:hint="eastAsia"/>
          <w:highlight w:val="none"/>
          <w:lang w:val="en-US" w:eastAsia="zh-CN"/>
        </w:rPr>
        <w:t>建议矿山修筑运输道路，有利于提高道路承载能力、维持道路平整、抑尘防滑，从而减小因路面颠簸、湿滑、扬尘造成的车辆事故及职业病危害。</w:t>
      </w:r>
    </w:p>
    <w:p w14:paraId="24C70C40">
      <w:pPr>
        <w:pStyle w:val="30"/>
        <w:bidi w:val="0"/>
        <w:rPr>
          <w:rFonts w:hint="eastAsia"/>
          <w:highlight w:val="none"/>
        </w:rPr>
      </w:pPr>
      <w:bookmarkStart w:id="43" w:name="_Toc6933"/>
      <w:bookmarkStart w:id="44" w:name="_Toc24006"/>
      <w:bookmarkStart w:id="45" w:name="_Toc7075"/>
      <w:r>
        <w:rPr>
          <w:rFonts w:hint="eastAsia"/>
          <w:highlight w:val="none"/>
        </w:rPr>
        <w:t>采掘单元</w:t>
      </w:r>
      <w:bookmarkEnd w:id="43"/>
      <w:bookmarkEnd w:id="44"/>
      <w:bookmarkEnd w:id="45"/>
    </w:p>
    <w:p w14:paraId="403CB22A">
      <w:pPr>
        <w:pStyle w:val="22"/>
        <w:numPr>
          <w:ilvl w:val="0"/>
          <w:numId w:val="86"/>
        </w:numPr>
        <w:bidi w:val="0"/>
        <w:rPr>
          <w:rFonts w:hint="eastAsia"/>
          <w:highlight w:val="none"/>
        </w:rPr>
      </w:pPr>
      <w:r>
        <w:rPr>
          <w:rFonts w:hint="eastAsia"/>
          <w:highlight w:val="none"/>
        </w:rPr>
        <w:t>除作为回采、运输和通风的巷道外，不得在采场顶柱内开掘其他巷道。</w:t>
      </w:r>
    </w:p>
    <w:p w14:paraId="244F892D">
      <w:pPr>
        <w:pStyle w:val="22"/>
        <w:numPr>
          <w:ilvl w:val="0"/>
          <w:numId w:val="86"/>
        </w:numPr>
        <w:bidi w:val="0"/>
        <w:rPr>
          <w:rFonts w:hint="eastAsia"/>
          <w:highlight w:val="none"/>
        </w:rPr>
      </w:pPr>
      <w:r>
        <w:rPr>
          <w:rFonts w:hint="eastAsia"/>
          <w:highlight w:val="none"/>
        </w:rPr>
        <w:t>上下中段的矿房和矿柱宜相对应，规格也宜相同。</w:t>
      </w:r>
    </w:p>
    <w:p w14:paraId="5F6131A4">
      <w:pPr>
        <w:pStyle w:val="22"/>
        <w:numPr>
          <w:ilvl w:val="0"/>
          <w:numId w:val="86"/>
        </w:numPr>
        <w:bidi w:val="0"/>
        <w:rPr>
          <w:rFonts w:hint="eastAsia"/>
          <w:highlight w:val="none"/>
        </w:rPr>
      </w:pPr>
      <w:r>
        <w:rPr>
          <w:rFonts w:hint="eastAsia"/>
          <w:highlight w:val="none"/>
        </w:rPr>
        <w:t>严禁建设单位在建设和生产中越过设计矿区范围进行建设和生产。矿山应严格按设计及规范要求对采空区进行处理，做好采空区的监控、治理措施，确保采矿生产的安全，严禁对中段保安矿柱进行回采，以防止上部中段开采结束后出现矿岩陷落等安全隐患，禁止任何人员在安全保障措施不完备的情况下进入采空区。</w:t>
      </w:r>
    </w:p>
    <w:p w14:paraId="201FCCB0">
      <w:pPr>
        <w:pStyle w:val="30"/>
        <w:bidi w:val="0"/>
        <w:rPr>
          <w:rFonts w:hint="eastAsia"/>
          <w:highlight w:val="none"/>
        </w:rPr>
      </w:pPr>
      <w:r>
        <w:rPr>
          <w:rFonts w:hint="default"/>
          <w:highlight w:val="none"/>
          <w:lang w:val="en-US" w:eastAsia="zh-CN"/>
        </w:rPr>
        <w:t>通风防尘</w:t>
      </w:r>
    </w:p>
    <w:p w14:paraId="4727AAEA">
      <w:pPr>
        <w:pStyle w:val="22"/>
        <w:numPr>
          <w:ilvl w:val="0"/>
          <w:numId w:val="87"/>
        </w:numPr>
        <w:bidi w:val="0"/>
        <w:rPr>
          <w:rFonts w:hint="eastAsia"/>
          <w:highlight w:val="none"/>
        </w:rPr>
      </w:pPr>
      <w:r>
        <w:rPr>
          <w:rFonts w:hint="eastAsia"/>
          <w:highlight w:val="none"/>
        </w:rPr>
        <w:t>进风井巷空气温度应不低于2℃；低于2℃时应有空气加热设施。不应采用明火直接加热进入矿井的空气。</w:t>
      </w:r>
    </w:p>
    <w:p w14:paraId="3A883AD6">
      <w:pPr>
        <w:pStyle w:val="22"/>
        <w:numPr>
          <w:ilvl w:val="0"/>
          <w:numId w:val="87"/>
        </w:numPr>
        <w:bidi w:val="0"/>
        <w:rPr>
          <w:rFonts w:hint="eastAsia"/>
          <w:highlight w:val="none"/>
        </w:rPr>
      </w:pPr>
      <w:r>
        <w:rPr>
          <w:rFonts w:hint="eastAsia"/>
          <w:highlight w:val="none"/>
        </w:rPr>
        <w:t>应根据生产变化，及时调整矿井通风系统，并绘制全矿通风系统图。通风系统图应标明风流的方向和风量、与通风系统分离的区域、所有风机和通风构筑物的位置等。</w:t>
      </w:r>
    </w:p>
    <w:p w14:paraId="216FBC2D">
      <w:pPr>
        <w:pStyle w:val="22"/>
        <w:numPr>
          <w:ilvl w:val="0"/>
          <w:numId w:val="87"/>
        </w:numPr>
        <w:bidi w:val="0"/>
        <w:rPr>
          <w:rFonts w:hint="eastAsia"/>
          <w:highlight w:val="none"/>
        </w:rPr>
      </w:pPr>
      <w:r>
        <w:rPr>
          <w:rFonts w:hint="eastAsia"/>
          <w:highlight w:val="none"/>
        </w:rPr>
        <w:t>采场形成通风系统之前，不应进行回采作业。</w:t>
      </w:r>
    </w:p>
    <w:p w14:paraId="6AFC83F6">
      <w:pPr>
        <w:pStyle w:val="22"/>
        <w:numPr>
          <w:ilvl w:val="0"/>
          <w:numId w:val="87"/>
        </w:numPr>
        <w:bidi w:val="0"/>
        <w:rPr>
          <w:rFonts w:hint="eastAsia"/>
          <w:highlight w:val="none"/>
        </w:rPr>
      </w:pPr>
      <w:r>
        <w:rPr>
          <w:rFonts w:hint="eastAsia"/>
          <w:highlight w:val="none"/>
        </w:rPr>
        <w:t>采空区应及时密闭。采场开采结束后及时充填，充填后应封闭所有与采空区相通的影响正常通风的巷道；</w:t>
      </w:r>
    </w:p>
    <w:p w14:paraId="7D7476AA">
      <w:pPr>
        <w:pStyle w:val="22"/>
        <w:numPr>
          <w:ilvl w:val="0"/>
          <w:numId w:val="87"/>
        </w:numPr>
        <w:bidi w:val="0"/>
        <w:rPr>
          <w:rFonts w:hint="eastAsia"/>
          <w:highlight w:val="none"/>
        </w:rPr>
      </w:pPr>
      <w:r>
        <w:rPr>
          <w:rFonts w:hint="eastAsia"/>
          <w:highlight w:val="none"/>
        </w:rPr>
        <w:t>采用局扇通风的方式，保证分段联络道应有足够的新鲜风流。</w:t>
      </w:r>
    </w:p>
    <w:p w14:paraId="5763BDB7">
      <w:pPr>
        <w:pStyle w:val="30"/>
        <w:bidi w:val="0"/>
        <w:rPr>
          <w:rFonts w:hint="default"/>
          <w:highlight w:val="none"/>
          <w:lang w:val="en-US" w:eastAsia="zh-CN"/>
        </w:rPr>
      </w:pPr>
      <w:r>
        <w:rPr>
          <w:rFonts w:hint="default"/>
          <w:highlight w:val="none"/>
          <w:lang w:val="en-US" w:eastAsia="zh-CN"/>
        </w:rPr>
        <w:t>矿山电气</w:t>
      </w:r>
    </w:p>
    <w:p w14:paraId="25798A2A">
      <w:pPr>
        <w:pStyle w:val="22"/>
        <w:numPr>
          <w:ilvl w:val="0"/>
          <w:numId w:val="88"/>
        </w:numPr>
        <w:bidi w:val="0"/>
        <w:rPr>
          <w:rFonts w:hint="eastAsia"/>
          <w:highlight w:val="none"/>
        </w:rPr>
      </w:pPr>
      <w:r>
        <w:rPr>
          <w:rFonts w:hint="eastAsia"/>
          <w:highlight w:val="none"/>
        </w:rPr>
        <w:t>矿山应使用取得矿用产品安全标志的电缆。</w:t>
      </w:r>
    </w:p>
    <w:p w14:paraId="7187AC31">
      <w:pPr>
        <w:pStyle w:val="22"/>
        <w:numPr>
          <w:ilvl w:val="0"/>
          <w:numId w:val="88"/>
        </w:numPr>
        <w:bidi w:val="0"/>
        <w:rPr>
          <w:rFonts w:hint="eastAsia"/>
          <w:highlight w:val="none"/>
        </w:rPr>
      </w:pPr>
      <w:r>
        <w:rPr>
          <w:rFonts w:hint="eastAsia"/>
          <w:highlight w:val="none"/>
        </w:rPr>
        <w:t>严格执行空压机安全操作的规程。开机前要认真进行检查，确认无误后方可起动；运转时要按时进行巡回检查，发现问题，及时进行处理。</w:t>
      </w:r>
    </w:p>
    <w:p w14:paraId="207DCA65">
      <w:pPr>
        <w:pStyle w:val="22"/>
        <w:numPr>
          <w:ilvl w:val="0"/>
          <w:numId w:val="88"/>
        </w:numPr>
        <w:bidi w:val="0"/>
        <w:rPr>
          <w:rFonts w:hint="eastAsia"/>
          <w:highlight w:val="none"/>
        </w:rPr>
      </w:pPr>
      <w:r>
        <w:rPr>
          <w:rFonts w:hint="eastAsia"/>
          <w:highlight w:val="none"/>
        </w:rPr>
        <w:t>冷却水不得中断，出水温度不应超过40℃，并应有断水保护或断水信号。</w:t>
      </w:r>
    </w:p>
    <w:p w14:paraId="4E0E04B5">
      <w:pPr>
        <w:pStyle w:val="22"/>
        <w:numPr>
          <w:ilvl w:val="0"/>
          <w:numId w:val="88"/>
        </w:numPr>
        <w:bidi w:val="0"/>
        <w:rPr>
          <w:rFonts w:hint="eastAsia"/>
          <w:highlight w:val="none"/>
        </w:rPr>
      </w:pPr>
      <w:r>
        <w:rPr>
          <w:rFonts w:hint="eastAsia"/>
          <w:highlight w:val="none"/>
        </w:rPr>
        <w:t>气缸要使用专用的压缩机油，其闪点不得低于215℃。</w:t>
      </w:r>
    </w:p>
    <w:p w14:paraId="1705478B">
      <w:pPr>
        <w:pStyle w:val="22"/>
        <w:numPr>
          <w:ilvl w:val="0"/>
          <w:numId w:val="88"/>
        </w:numPr>
        <w:bidi w:val="0"/>
        <w:rPr>
          <w:rFonts w:hint="eastAsia"/>
          <w:highlight w:val="none"/>
        </w:rPr>
      </w:pPr>
      <w:r>
        <w:rPr>
          <w:rFonts w:hint="eastAsia"/>
          <w:highlight w:val="none"/>
        </w:rPr>
        <w:t>安全阀和压力调节器必须动作可靠，压力表指示准确。安全阀动作压力不得超过额定值的10%。定期检验安全阀，防止安全阀失灵。</w:t>
      </w:r>
    </w:p>
    <w:p w14:paraId="44937815">
      <w:pPr>
        <w:pStyle w:val="22"/>
        <w:numPr>
          <w:ilvl w:val="0"/>
          <w:numId w:val="88"/>
        </w:numPr>
        <w:bidi w:val="0"/>
        <w:rPr>
          <w:rFonts w:hint="eastAsia"/>
          <w:highlight w:val="none"/>
        </w:rPr>
      </w:pPr>
      <w:r>
        <w:rPr>
          <w:rFonts w:hint="eastAsia"/>
          <w:highlight w:val="none"/>
        </w:rPr>
        <w:t>风阀要加强维护、定期清洗积炭，消除漏气。</w:t>
      </w:r>
    </w:p>
    <w:p w14:paraId="327587E1">
      <w:pPr>
        <w:pStyle w:val="22"/>
        <w:numPr>
          <w:ilvl w:val="0"/>
          <w:numId w:val="88"/>
        </w:numPr>
        <w:bidi w:val="0"/>
        <w:rPr>
          <w:rFonts w:hint="eastAsia"/>
          <w:highlight w:val="none"/>
        </w:rPr>
      </w:pPr>
      <w:r>
        <w:rPr>
          <w:rFonts w:hint="eastAsia"/>
          <w:highlight w:val="none"/>
        </w:rPr>
        <w:t>绝缘损坏的橡套电缆，应经修理、试验合格，方准使用。在长度150m范围内，橡套电缆接头应不超过10个，否则应予以报废。</w:t>
      </w:r>
    </w:p>
    <w:p w14:paraId="3A33C66E">
      <w:pPr>
        <w:pStyle w:val="22"/>
        <w:numPr>
          <w:ilvl w:val="0"/>
          <w:numId w:val="88"/>
        </w:numPr>
        <w:bidi w:val="0"/>
        <w:rPr>
          <w:rFonts w:hint="eastAsia"/>
          <w:highlight w:val="none"/>
        </w:rPr>
      </w:pPr>
      <w:r>
        <w:rPr>
          <w:rFonts w:hint="eastAsia"/>
          <w:highlight w:val="none"/>
        </w:rPr>
        <w:t>在停电线路上工作时，应先采取验电和挂接地线等安全措施。工作完毕，应及时将地线拆除后再通电。</w:t>
      </w:r>
    </w:p>
    <w:p w14:paraId="69E513EE">
      <w:pPr>
        <w:pStyle w:val="22"/>
        <w:numPr>
          <w:ilvl w:val="0"/>
          <w:numId w:val="88"/>
        </w:numPr>
        <w:bidi w:val="0"/>
        <w:rPr>
          <w:rFonts w:hint="eastAsia"/>
          <w:highlight w:val="none"/>
        </w:rPr>
      </w:pPr>
      <w:r>
        <w:rPr>
          <w:rFonts w:hint="eastAsia"/>
          <w:highlight w:val="none"/>
        </w:rPr>
        <w:t>电气设备和装置的金属框架或外壳、电缆和金属包皮、互感器的二次绕组，应按有关规定进行保护接地。</w:t>
      </w:r>
    </w:p>
    <w:p w14:paraId="3269B986">
      <w:pPr>
        <w:pStyle w:val="22"/>
        <w:numPr>
          <w:ilvl w:val="0"/>
          <w:numId w:val="88"/>
        </w:numPr>
        <w:bidi w:val="0"/>
        <w:rPr>
          <w:rFonts w:hint="eastAsia"/>
          <w:highlight w:val="none"/>
        </w:rPr>
      </w:pPr>
      <w:r>
        <w:rPr>
          <w:rFonts w:hint="eastAsia"/>
          <w:highlight w:val="none"/>
        </w:rPr>
        <w:t>接地线应采用并联方式，不应将各电气设备的接地线串联接地。</w:t>
      </w:r>
    </w:p>
    <w:p w14:paraId="76C677F3">
      <w:pPr>
        <w:pStyle w:val="22"/>
        <w:numPr>
          <w:ilvl w:val="0"/>
          <w:numId w:val="88"/>
        </w:numPr>
        <w:bidi w:val="0"/>
        <w:rPr>
          <w:rFonts w:hint="eastAsia"/>
          <w:highlight w:val="none"/>
        </w:rPr>
      </w:pPr>
      <w:r>
        <w:rPr>
          <w:rFonts w:hint="eastAsia"/>
          <w:highlight w:val="none"/>
        </w:rPr>
        <w:t>接地电阻应每年测定一次，测定工作宜在该地区地下水位最低，最干燥的季节进行。</w:t>
      </w:r>
    </w:p>
    <w:p w14:paraId="130392DF">
      <w:pPr>
        <w:pStyle w:val="22"/>
        <w:numPr>
          <w:ilvl w:val="0"/>
          <w:numId w:val="88"/>
        </w:numPr>
        <w:bidi w:val="0"/>
        <w:rPr>
          <w:rFonts w:hint="eastAsia"/>
          <w:highlight w:val="none"/>
        </w:rPr>
      </w:pPr>
      <w:r>
        <w:rPr>
          <w:rFonts w:hint="eastAsia"/>
          <w:highlight w:val="none"/>
        </w:rPr>
        <w:t>直流线路零线的重复接地，应用人工接地体，不应与地下管网有金属联系。</w:t>
      </w:r>
    </w:p>
    <w:p w14:paraId="17C5C62E">
      <w:pPr>
        <w:pStyle w:val="22"/>
        <w:numPr>
          <w:ilvl w:val="0"/>
          <w:numId w:val="88"/>
        </w:numPr>
        <w:bidi w:val="0"/>
        <w:rPr>
          <w:rFonts w:hint="eastAsia"/>
          <w:highlight w:val="none"/>
        </w:rPr>
      </w:pPr>
      <w:r>
        <w:rPr>
          <w:rFonts w:hint="eastAsia"/>
          <w:highlight w:val="none"/>
        </w:rPr>
        <w:t>接地电阻应每年测定一次。</w:t>
      </w:r>
    </w:p>
    <w:p w14:paraId="0D6F6DE2">
      <w:pPr>
        <w:pStyle w:val="22"/>
        <w:numPr>
          <w:ilvl w:val="0"/>
          <w:numId w:val="88"/>
        </w:numPr>
        <w:bidi w:val="0"/>
        <w:rPr>
          <w:rFonts w:hint="eastAsia"/>
          <w:highlight w:val="none"/>
        </w:rPr>
      </w:pPr>
      <w:r>
        <w:rPr>
          <w:rFonts w:hint="eastAsia"/>
          <w:highlight w:val="none"/>
        </w:rPr>
        <w:t>机械设备裸露的传动部位、转动部位，要按规定配备必要的防护装置。</w:t>
      </w:r>
    </w:p>
    <w:p w14:paraId="468498D6">
      <w:pPr>
        <w:pStyle w:val="22"/>
        <w:numPr>
          <w:ilvl w:val="0"/>
          <w:numId w:val="88"/>
        </w:numPr>
        <w:bidi w:val="0"/>
        <w:rPr>
          <w:rFonts w:hint="eastAsia"/>
          <w:highlight w:val="none"/>
        </w:rPr>
      </w:pPr>
      <w:r>
        <w:rPr>
          <w:rFonts w:hint="eastAsia"/>
          <w:highlight w:val="none"/>
        </w:rPr>
        <w:t>设备在检修前必须切断电源，并挂上“有人工作，禁止送电”的标志牌，在机内或机下工作时，应有防止机器转动的措施。</w:t>
      </w:r>
    </w:p>
    <w:p w14:paraId="1D89C26B">
      <w:pPr>
        <w:pStyle w:val="22"/>
        <w:numPr>
          <w:ilvl w:val="0"/>
          <w:numId w:val="88"/>
        </w:numPr>
        <w:bidi w:val="0"/>
        <w:rPr>
          <w:rFonts w:hint="eastAsia"/>
          <w:highlight w:val="none"/>
        </w:rPr>
      </w:pPr>
      <w:r>
        <w:rPr>
          <w:rFonts w:hint="eastAsia"/>
          <w:highlight w:val="none"/>
        </w:rPr>
        <w:t>设备安装和检修完后，必须经过认真的检查，确认无误后，方可开机运转。</w:t>
      </w:r>
    </w:p>
    <w:p w14:paraId="73FB9095">
      <w:pPr>
        <w:pStyle w:val="30"/>
        <w:bidi w:val="0"/>
        <w:rPr>
          <w:rFonts w:hint="eastAsia"/>
          <w:highlight w:val="none"/>
        </w:rPr>
      </w:pPr>
      <w:r>
        <w:rPr>
          <w:rFonts w:hint="eastAsia"/>
          <w:highlight w:val="none"/>
        </w:rPr>
        <w:t>防排水与防灭火单元</w:t>
      </w:r>
    </w:p>
    <w:p w14:paraId="3246E723">
      <w:pPr>
        <w:pStyle w:val="22"/>
        <w:numPr>
          <w:ilvl w:val="0"/>
          <w:numId w:val="89"/>
        </w:numPr>
        <w:bidi w:val="0"/>
        <w:rPr>
          <w:rFonts w:hint="eastAsia"/>
          <w:highlight w:val="none"/>
        </w:rPr>
      </w:pPr>
      <w:r>
        <w:rPr>
          <w:rFonts w:hint="eastAsia"/>
          <w:highlight w:val="none"/>
        </w:rPr>
        <w:t>每年雨季前，应由主管矿长组织一次防水检查，并编制防水计划。其工程应在雨季前竣工。</w:t>
      </w:r>
    </w:p>
    <w:p w14:paraId="3763632C">
      <w:pPr>
        <w:pStyle w:val="22"/>
        <w:numPr>
          <w:ilvl w:val="0"/>
          <w:numId w:val="89"/>
        </w:numPr>
        <w:bidi w:val="0"/>
        <w:rPr>
          <w:rFonts w:hint="eastAsia"/>
          <w:highlight w:val="none"/>
        </w:rPr>
      </w:pPr>
      <w:r>
        <w:rPr>
          <w:rFonts w:hint="eastAsia"/>
          <w:highlight w:val="none"/>
        </w:rPr>
        <w:t>采掘过程中，应该采取超前探放水措施。</w:t>
      </w:r>
    </w:p>
    <w:p w14:paraId="16A8868A">
      <w:pPr>
        <w:pStyle w:val="22"/>
        <w:numPr>
          <w:ilvl w:val="0"/>
          <w:numId w:val="89"/>
        </w:numPr>
        <w:bidi w:val="0"/>
        <w:rPr>
          <w:rFonts w:hint="eastAsia"/>
          <w:highlight w:val="none"/>
        </w:rPr>
      </w:pPr>
      <w:r>
        <w:rPr>
          <w:rFonts w:hint="eastAsia"/>
          <w:highlight w:val="none"/>
        </w:rPr>
        <w:t>探水前应做好下列准备工作：检查钻孔近坑道的稳定性；清理巷道、准备水沟或其它水路；在工作地点或附近安装电话；巷道及其出口要有照明和便于人员通行的道路。</w:t>
      </w:r>
    </w:p>
    <w:p w14:paraId="09BC8990">
      <w:pPr>
        <w:pStyle w:val="22"/>
        <w:numPr>
          <w:ilvl w:val="0"/>
          <w:numId w:val="89"/>
        </w:numPr>
        <w:bidi w:val="0"/>
        <w:rPr>
          <w:rFonts w:hint="eastAsia"/>
          <w:highlight w:val="none"/>
        </w:rPr>
      </w:pPr>
      <w:r>
        <w:rPr>
          <w:rFonts w:hint="eastAsia"/>
          <w:highlight w:val="none"/>
        </w:rPr>
        <w:t>打探水眼时，如发现岩石变软（变软），或沿钻杆向外流水超过正常打钻供水量等现象时，必须停止打钻。</w:t>
      </w:r>
    </w:p>
    <w:p w14:paraId="61452DC0">
      <w:pPr>
        <w:pStyle w:val="22"/>
        <w:numPr>
          <w:ilvl w:val="0"/>
          <w:numId w:val="89"/>
        </w:numPr>
        <w:bidi w:val="0"/>
        <w:rPr>
          <w:rFonts w:hint="eastAsia"/>
          <w:highlight w:val="none"/>
        </w:rPr>
      </w:pPr>
      <w:r>
        <w:rPr>
          <w:rFonts w:hint="eastAsia"/>
          <w:highlight w:val="none"/>
        </w:rPr>
        <w:t>探水、防水工作应由有经验的工人根据专门设计进行。</w:t>
      </w:r>
    </w:p>
    <w:p w14:paraId="6E3FD321">
      <w:pPr>
        <w:pStyle w:val="22"/>
        <w:numPr>
          <w:ilvl w:val="0"/>
          <w:numId w:val="89"/>
        </w:numPr>
        <w:bidi w:val="0"/>
        <w:rPr>
          <w:rFonts w:hint="eastAsia"/>
          <w:highlight w:val="none"/>
        </w:rPr>
      </w:pPr>
      <w:r>
        <w:rPr>
          <w:rFonts w:hint="eastAsia"/>
          <w:highlight w:val="none"/>
        </w:rPr>
        <w:t>必须使泵房水泵保持完好状态，发生故障及时修理，时刻保证水泵能够正常工作，以20小时的矿井最大涌水，确保矿井安全。</w:t>
      </w:r>
    </w:p>
    <w:p w14:paraId="078AE227">
      <w:pPr>
        <w:pStyle w:val="22"/>
        <w:numPr>
          <w:ilvl w:val="0"/>
          <w:numId w:val="89"/>
        </w:numPr>
        <w:bidi w:val="0"/>
        <w:rPr>
          <w:rFonts w:hint="eastAsia"/>
          <w:highlight w:val="none"/>
        </w:rPr>
      </w:pPr>
      <w:r>
        <w:rPr>
          <w:rFonts w:hint="eastAsia"/>
          <w:highlight w:val="none"/>
        </w:rPr>
        <w:t>井下水泵房附近应备足沙袋、枕木等堵水材料。如产生突然涌水用来做挡水墙。</w:t>
      </w:r>
    </w:p>
    <w:p w14:paraId="4673D604">
      <w:pPr>
        <w:pStyle w:val="22"/>
        <w:numPr>
          <w:ilvl w:val="0"/>
          <w:numId w:val="89"/>
        </w:numPr>
        <w:bidi w:val="0"/>
        <w:rPr>
          <w:rFonts w:hint="eastAsia"/>
          <w:highlight w:val="none"/>
        </w:rPr>
      </w:pPr>
      <w:r>
        <w:rPr>
          <w:rFonts w:hint="eastAsia"/>
          <w:highlight w:val="none"/>
        </w:rPr>
        <w:t>每年雨季期间应及时与当地气象部门联系，如遇下雨天应停止生产，及时撤出井下人员。雨停后要派专人进行井下积水勘察，发现积水及时排出。</w:t>
      </w:r>
      <w:bookmarkStart w:id="46" w:name="_Toc262313581"/>
    </w:p>
    <w:bookmarkEnd w:id="46"/>
    <w:p w14:paraId="20A76729">
      <w:pPr>
        <w:pStyle w:val="30"/>
        <w:bidi w:val="0"/>
        <w:rPr>
          <w:rFonts w:hint="default"/>
          <w:highlight w:val="none"/>
          <w:lang w:val="en-US" w:eastAsia="zh-CN"/>
        </w:rPr>
      </w:pPr>
      <w:r>
        <w:rPr>
          <w:rFonts w:hint="default"/>
          <w:highlight w:val="none"/>
          <w:lang w:val="en-US" w:eastAsia="zh-CN"/>
        </w:rPr>
        <w:t>安全管理单元</w:t>
      </w:r>
    </w:p>
    <w:p w14:paraId="77FD10CE">
      <w:pPr>
        <w:pStyle w:val="22"/>
        <w:numPr>
          <w:ilvl w:val="0"/>
          <w:numId w:val="90"/>
        </w:numPr>
        <w:bidi w:val="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地下矿山应保存下列图纸，并根据实际情况的变化</w:t>
      </w:r>
      <w:r>
        <w:rPr>
          <w:rFonts w:hint="eastAsia" w:ascii="Times New Roman" w:hAnsi="Times New Roman"/>
          <w:caps w:val="0"/>
          <w:smallCaps w:val="0"/>
          <w:sz w:val="28"/>
          <w:szCs w:val="28"/>
          <w:highlight w:val="none"/>
        </w:rPr>
        <w:t>每</w:t>
      </w:r>
      <w:r>
        <w:rPr>
          <w:rFonts w:hint="eastAsia" w:ascii="Times New Roman" w:hAnsi="Times New Roman"/>
          <w:caps w:val="0"/>
          <w:smallCaps w:val="0"/>
          <w:sz w:val="28"/>
          <w:szCs w:val="28"/>
          <w:highlight w:val="none"/>
          <w:lang w:val="zh-CN"/>
        </w:rPr>
        <w:t>3个月更新</w:t>
      </w:r>
      <w:r>
        <w:rPr>
          <w:rFonts w:hint="eastAsia" w:ascii="Times New Roman" w:hAnsi="Times New Roman"/>
          <w:caps w:val="0"/>
          <w:smallCaps w:val="0"/>
          <w:sz w:val="28"/>
          <w:szCs w:val="28"/>
          <w:highlight w:val="none"/>
        </w:rPr>
        <w:t>一次</w:t>
      </w:r>
      <w:r>
        <w:rPr>
          <w:rFonts w:hint="eastAsia" w:ascii="Times New Roman" w:hAnsi="Times New Roman"/>
          <w:caps w:val="0"/>
          <w:smallCaps w:val="0"/>
          <w:sz w:val="28"/>
          <w:szCs w:val="28"/>
          <w:highlight w:val="none"/>
          <w:lang w:val="zh-CN"/>
        </w:rPr>
        <w:t>，</w:t>
      </w:r>
      <w:r>
        <w:rPr>
          <w:rFonts w:hint="eastAsia" w:ascii="Times New Roman" w:hAnsi="Times New Roman"/>
          <w:caps w:val="0"/>
          <w:smallCaps w:val="0"/>
          <w:sz w:val="28"/>
          <w:szCs w:val="28"/>
          <w:highlight w:val="none"/>
        </w:rPr>
        <w:t>基建矿山每1个月更新一次</w:t>
      </w:r>
      <w:r>
        <w:rPr>
          <w:rFonts w:hint="eastAsia" w:ascii="Times New Roman" w:hAnsi="Times New Roman"/>
          <w:caps w:val="0"/>
          <w:smallCaps w:val="0"/>
          <w:sz w:val="28"/>
          <w:szCs w:val="28"/>
          <w:highlight w:val="none"/>
          <w:lang w:val="zh-CN"/>
        </w:rPr>
        <w:t>：</w:t>
      </w:r>
    </w:p>
    <w:p w14:paraId="7B269E5D">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——矿区地形地质图、水文地质图（含平面和剖面）；</w:t>
      </w:r>
    </w:p>
    <w:p w14:paraId="6923168D">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——开拓系统图； </w:t>
      </w:r>
    </w:p>
    <w:p w14:paraId="418DD617">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——中段平面图； </w:t>
      </w:r>
    </w:p>
    <w:p w14:paraId="6D78134E">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——通风系统图；</w:t>
      </w:r>
    </w:p>
    <w:p w14:paraId="40078740">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——井上、井下对照图； </w:t>
      </w:r>
    </w:p>
    <w:p w14:paraId="58786A32">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——压风、供水、排水系统图； </w:t>
      </w:r>
    </w:p>
    <w:p w14:paraId="7A56C730">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——通信系统图； </w:t>
      </w:r>
    </w:p>
    <w:p w14:paraId="5F95EAE7">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——供配电系统图； </w:t>
      </w:r>
    </w:p>
    <w:p w14:paraId="3801C1E4">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——井下避灾路线图； </w:t>
      </w:r>
    </w:p>
    <w:p w14:paraId="24C0BF16">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——相邻采区或矿山与本矿山空间位置关系图。 </w:t>
      </w:r>
    </w:p>
    <w:p w14:paraId="458BE0DC">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图中应正确标记： </w:t>
      </w:r>
    </w:p>
    <w:p w14:paraId="34B6F032">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——已掘进巷道和计划掘进巷道的位置、名称、规格； </w:t>
      </w:r>
    </w:p>
    <w:p w14:paraId="714E2D1E">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——采空区和已充填采空区、废弃井巷和计划开采的采场的位置、名称与尺寸；</w:t>
      </w:r>
    </w:p>
    <w:p w14:paraId="53DA0087">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——通风、防尘、防火、防水、排水等主要设备和设施的位置； </w:t>
      </w:r>
    </w:p>
    <w:p w14:paraId="481B1BCB">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——风流方向，人员安全撤离的路线和安全出口； </w:t>
      </w:r>
    </w:p>
    <w:p w14:paraId="113F73A5">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 xml:space="preserve">——井下通信设备位置； </w:t>
      </w:r>
    </w:p>
    <w:p w14:paraId="4328B394">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——采空区及废弃井巷的处理方式、进度、现状及地表塌陷区的位置。</w:t>
      </w:r>
    </w:p>
    <w:p w14:paraId="43C1A601">
      <w:pPr>
        <w:pStyle w:val="22"/>
        <w:numPr>
          <w:ilvl w:val="0"/>
          <w:numId w:val="90"/>
        </w:numPr>
        <w:bidi w:val="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zh-CN"/>
        </w:rPr>
        <w:t>任何人不应酒后进入矿山作业场所，不应将酒类饮料带入矿 山作业场所；紧急医疗除外。</w:t>
      </w:r>
    </w:p>
    <w:p w14:paraId="249DDD59">
      <w:pPr>
        <w:pStyle w:val="22"/>
        <w:numPr>
          <w:ilvl w:val="0"/>
          <w:numId w:val="90"/>
        </w:numPr>
        <w:bidi w:val="0"/>
        <w:rPr>
          <w:rFonts w:hint="eastAsia"/>
          <w:highlight w:val="none"/>
          <w:lang w:val="zh-CN"/>
        </w:rPr>
      </w:pPr>
      <w:r>
        <w:rPr>
          <w:rFonts w:hint="eastAsia"/>
          <w:highlight w:val="none"/>
          <w:lang w:val="zh-CN"/>
        </w:rPr>
        <w:t>矿山井下禁止吸烟。</w:t>
      </w:r>
    </w:p>
    <w:p w14:paraId="7B42461B">
      <w:pPr>
        <w:pStyle w:val="22"/>
        <w:numPr>
          <w:ilvl w:val="0"/>
          <w:numId w:val="90"/>
        </w:numPr>
        <w:bidi w:val="0"/>
        <w:rPr>
          <w:rFonts w:hint="eastAsia"/>
          <w:highlight w:val="none"/>
          <w:lang w:val="zh-CN"/>
        </w:rPr>
      </w:pPr>
      <w:r>
        <w:rPr>
          <w:rFonts w:hint="eastAsia"/>
          <w:highlight w:val="none"/>
          <w:lang w:val="zh-CN"/>
        </w:rPr>
        <w:t>矿山企业的要害岗位、重要设备和设施周围及危险区域，应设置醒目的安全警示标志，并在生产使用期间保持完好。</w:t>
      </w:r>
    </w:p>
    <w:p w14:paraId="106E68D8">
      <w:pPr>
        <w:pStyle w:val="22"/>
        <w:numPr>
          <w:ilvl w:val="0"/>
          <w:numId w:val="90"/>
        </w:numPr>
        <w:bidi w:val="0"/>
        <w:rPr>
          <w:rFonts w:hint="eastAsia"/>
          <w:highlight w:val="none"/>
          <w:lang w:val="zh-CN"/>
        </w:rPr>
      </w:pPr>
      <w:r>
        <w:rPr>
          <w:rFonts w:hint="eastAsia"/>
          <w:highlight w:val="none"/>
          <w:lang w:val="zh-CN"/>
        </w:rPr>
        <w:t>矿山企业应对安全设施进行定期检查、维护和保养，记录结果并存档，记录应由相关人员签字确认；安全设施在用期间，不得拆除或者破坏。</w:t>
      </w:r>
    </w:p>
    <w:p w14:paraId="61024F59">
      <w:pPr>
        <w:pStyle w:val="22"/>
        <w:numPr>
          <w:ilvl w:val="0"/>
          <w:numId w:val="90"/>
        </w:numPr>
        <w:bidi w:val="0"/>
        <w:rPr>
          <w:rFonts w:hint="eastAsia"/>
          <w:highlight w:val="none"/>
          <w:lang w:val="zh-CN"/>
        </w:rPr>
      </w:pPr>
      <w:r>
        <w:rPr>
          <w:rFonts w:hint="eastAsia"/>
          <w:highlight w:val="none"/>
          <w:lang w:val="zh-CN"/>
        </w:rPr>
        <w:t>矿山设备不应在有明火或其他不安全因素的地点加油或加气。</w:t>
      </w:r>
    </w:p>
    <w:p w14:paraId="71B5786B">
      <w:pPr>
        <w:pStyle w:val="22"/>
        <w:numPr>
          <w:ilvl w:val="0"/>
          <w:numId w:val="90"/>
        </w:numPr>
        <w:bidi w:val="0"/>
        <w:rPr>
          <w:rFonts w:hint="eastAsia"/>
          <w:highlight w:val="none"/>
          <w:lang w:val="zh-CN"/>
        </w:rPr>
      </w:pPr>
      <w:r>
        <w:rPr>
          <w:rFonts w:hint="eastAsia"/>
          <w:highlight w:val="none"/>
          <w:lang w:val="zh-CN"/>
        </w:rPr>
        <w:t>矿山开拓工程及采场均必须设两个以上独立出口，以确保井下发生事故时作业人员能够安全撤出。安全出口井巷必须确保长期畅通，照明充足，中段运输平巷应长期确保人行道安全畅通。并应在通往第二安全出口巷道、岔口处悬挂明显的路标和安全警示标志。</w:t>
      </w:r>
    </w:p>
    <w:p w14:paraId="1067D383">
      <w:pPr>
        <w:pStyle w:val="22"/>
        <w:numPr>
          <w:ilvl w:val="0"/>
          <w:numId w:val="90"/>
        </w:numPr>
        <w:bidi w:val="0"/>
        <w:rPr>
          <w:rFonts w:hint="eastAsia"/>
          <w:highlight w:val="none"/>
          <w:lang w:val="zh-CN"/>
        </w:rPr>
      </w:pPr>
      <w:r>
        <w:rPr>
          <w:rFonts w:hint="eastAsia"/>
          <w:highlight w:val="none"/>
          <w:lang w:val="zh-CN"/>
        </w:rPr>
        <w:t>严格按照《关于发布金属非金属矿山禁止使用的设备及工艺目录（第一批）的通知》（安监总管一〔2013〕101号）的要求采用阻燃风筒和阻燃电缆，新掘、维修主要井巷禁止使用木支护。</w:t>
      </w:r>
    </w:p>
    <w:p w14:paraId="124BF91B">
      <w:pPr>
        <w:pStyle w:val="22"/>
        <w:numPr>
          <w:ilvl w:val="0"/>
          <w:numId w:val="90"/>
        </w:numPr>
        <w:bidi w:val="0"/>
        <w:rPr>
          <w:rFonts w:hint="eastAsia"/>
          <w:highlight w:val="none"/>
          <w:lang w:val="zh-CN"/>
        </w:rPr>
      </w:pPr>
      <w:r>
        <w:rPr>
          <w:rFonts w:hint="eastAsia"/>
          <w:highlight w:val="none"/>
          <w:lang w:val="zh-CN"/>
        </w:rPr>
        <w:t>必须在水平巷道的个别地段沿地面敷设电缆时，应用铁质或非可燃性材料覆盖。不应用木材覆盖电缆沟，不应在排水沟中敷设电缆。</w:t>
      </w:r>
    </w:p>
    <w:p w14:paraId="32B48B4D">
      <w:pPr>
        <w:pStyle w:val="22"/>
        <w:numPr>
          <w:ilvl w:val="0"/>
          <w:numId w:val="90"/>
        </w:numPr>
        <w:bidi w:val="0"/>
        <w:rPr>
          <w:rFonts w:hint="eastAsia"/>
          <w:highlight w:val="none"/>
          <w:lang w:val="zh-CN"/>
        </w:rPr>
      </w:pPr>
      <w:r>
        <w:rPr>
          <w:rFonts w:hint="eastAsia"/>
          <w:highlight w:val="none"/>
          <w:lang w:val="zh-CN"/>
        </w:rPr>
        <w:t>机械设备防护安全距离、机构设备防护罩和防护屏的安全要求以及设备安全卫生要求等应符合相关标准规范要求。</w:t>
      </w:r>
    </w:p>
    <w:p w14:paraId="238CB447">
      <w:pPr>
        <w:pStyle w:val="22"/>
        <w:numPr>
          <w:ilvl w:val="0"/>
          <w:numId w:val="90"/>
        </w:numPr>
        <w:bidi w:val="0"/>
        <w:rPr>
          <w:rFonts w:hint="eastAsia"/>
          <w:highlight w:val="none"/>
          <w:lang w:val="zh-CN"/>
        </w:rPr>
      </w:pPr>
      <w:r>
        <w:rPr>
          <w:rFonts w:hint="eastAsia"/>
          <w:highlight w:val="none"/>
          <w:lang w:val="zh-CN"/>
        </w:rPr>
        <w:t>企业按规定提取安全生产费用，安全生产经费不得挪作他用，确保安全设施的资金保障。地下矿山安全生产经费主要用在以下方面：</w:t>
      </w:r>
    </w:p>
    <w:p w14:paraId="064DBB10">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①</w:t>
      </w:r>
      <w:r>
        <w:rPr>
          <w:rFonts w:hint="eastAsia" w:ascii="Times New Roman" w:hAnsi="Times New Roman"/>
          <w:caps w:val="0"/>
          <w:smallCaps w:val="0"/>
          <w:sz w:val="28"/>
          <w:szCs w:val="28"/>
          <w:highlight w:val="none"/>
          <w:lang w:val="zh-CN"/>
        </w:rPr>
        <w:t>应急救援技术装备、设施配置和维护保养和应急演练支出；</w:t>
      </w:r>
    </w:p>
    <w:p w14:paraId="1A055F7A">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②</w:t>
      </w:r>
      <w:r>
        <w:rPr>
          <w:rFonts w:hint="eastAsia" w:ascii="Times New Roman" w:hAnsi="Times New Roman"/>
          <w:caps w:val="0"/>
          <w:smallCaps w:val="0"/>
          <w:sz w:val="28"/>
          <w:szCs w:val="28"/>
          <w:highlight w:val="none"/>
          <w:lang w:val="zh-CN"/>
        </w:rPr>
        <w:t>用于完善、改造和维护安全防护设施设备和重大安全隐患治理支出，主要包括矿山综合防尘、防灭火、防治水、井下空气监测、通风系统、支护、机电设备、供配电系统、运输系统以及实施地压监测监控等支出；</w:t>
      </w:r>
    </w:p>
    <w:p w14:paraId="78EAB211">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③</w:t>
      </w:r>
      <w:r>
        <w:rPr>
          <w:rFonts w:hint="eastAsia" w:ascii="Times New Roman" w:hAnsi="Times New Roman"/>
          <w:caps w:val="0"/>
          <w:smallCaps w:val="0"/>
          <w:sz w:val="28"/>
          <w:szCs w:val="28"/>
          <w:highlight w:val="none"/>
          <w:lang w:val="zh-CN"/>
        </w:rPr>
        <w:t>安全生产检查、评价、安全生产宣传、教育、培训等支出；</w:t>
      </w:r>
    </w:p>
    <w:p w14:paraId="7DD812C6">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④</w:t>
      </w:r>
      <w:r>
        <w:rPr>
          <w:rFonts w:hint="eastAsia" w:ascii="Times New Roman" w:hAnsi="Times New Roman"/>
          <w:caps w:val="0"/>
          <w:smallCaps w:val="0"/>
          <w:sz w:val="28"/>
          <w:szCs w:val="28"/>
          <w:highlight w:val="none"/>
          <w:lang w:val="zh-CN"/>
        </w:rPr>
        <w:t>按规定购置各种安全设备、器材、仪器；</w:t>
      </w:r>
    </w:p>
    <w:p w14:paraId="5DD6EF36">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⑤</w:t>
      </w:r>
      <w:r>
        <w:rPr>
          <w:rFonts w:hint="eastAsia" w:ascii="Times New Roman" w:hAnsi="Times New Roman"/>
          <w:caps w:val="0"/>
          <w:smallCaps w:val="0"/>
          <w:sz w:val="28"/>
          <w:szCs w:val="28"/>
          <w:highlight w:val="none"/>
          <w:lang w:val="zh-CN"/>
        </w:rPr>
        <w:t>配备和更新现场作业人员安全防护用品支出；</w:t>
      </w:r>
    </w:p>
    <w:p w14:paraId="0C5D717B">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⑥</w:t>
      </w:r>
      <w:r>
        <w:rPr>
          <w:rFonts w:hint="eastAsia" w:ascii="Times New Roman" w:hAnsi="Times New Roman"/>
          <w:caps w:val="0"/>
          <w:smallCaps w:val="0"/>
          <w:sz w:val="28"/>
          <w:szCs w:val="28"/>
          <w:highlight w:val="none"/>
          <w:lang w:val="zh-CN"/>
        </w:rPr>
        <w:t>安排职工进行安全生产教育和培训；</w:t>
      </w:r>
    </w:p>
    <w:p w14:paraId="1AEEAC5D">
      <w:pPr>
        <w:adjustRightInd w:val="0"/>
        <w:snapToGrid w:val="0"/>
        <w:spacing w:line="360" w:lineRule="auto"/>
        <w:ind w:firstLine="560" w:firstLineChars="200"/>
        <w:rPr>
          <w:rFonts w:hint="eastAsia" w:ascii="Times New Roman" w:hAnsi="Times New Roman"/>
          <w:caps w:val="0"/>
          <w:smallCaps w:val="0"/>
          <w:sz w:val="28"/>
          <w:szCs w:val="28"/>
          <w:highlight w:val="none"/>
          <w:lang w:val="zh-CN"/>
        </w:rPr>
      </w:pPr>
      <w:r>
        <w:rPr>
          <w:rFonts w:hint="eastAsia" w:ascii="Times New Roman" w:hAnsi="Times New Roman"/>
          <w:caps w:val="0"/>
          <w:smallCaps w:val="0"/>
          <w:sz w:val="28"/>
          <w:szCs w:val="28"/>
          <w:highlight w:val="none"/>
          <w:lang w:val="en-US" w:eastAsia="zh-CN"/>
        </w:rPr>
        <w:t>⑦</w:t>
      </w:r>
      <w:r>
        <w:rPr>
          <w:rFonts w:hint="eastAsia" w:ascii="Times New Roman" w:hAnsi="Times New Roman"/>
          <w:caps w:val="0"/>
          <w:smallCaps w:val="0"/>
          <w:sz w:val="28"/>
          <w:szCs w:val="28"/>
          <w:highlight w:val="none"/>
          <w:lang w:val="zh-CN"/>
        </w:rPr>
        <w:t>其它安全专项资金投入。</w:t>
      </w:r>
    </w:p>
    <w:p w14:paraId="68DF247E">
      <w:pPr>
        <w:pStyle w:val="22"/>
        <w:numPr>
          <w:ilvl w:val="0"/>
          <w:numId w:val="90"/>
        </w:numPr>
        <w:bidi w:val="0"/>
        <w:rPr>
          <w:rFonts w:hint="eastAsia"/>
          <w:highlight w:val="none"/>
          <w:lang w:val="zh-CN"/>
        </w:rPr>
      </w:pPr>
      <w:r>
        <w:rPr>
          <w:rFonts w:hint="eastAsia"/>
          <w:highlight w:val="none"/>
          <w:lang w:val="zh-CN"/>
        </w:rPr>
        <w:t>根据国家有关规定，为从业人员配备符合国家标准或者行业标准的劳动防护用品，建立防护品更换、报废制度，并保证职工能正确使用。</w:t>
      </w:r>
    </w:p>
    <w:p w14:paraId="7B6BA182">
      <w:pPr>
        <w:pStyle w:val="22"/>
        <w:numPr>
          <w:ilvl w:val="0"/>
          <w:numId w:val="90"/>
        </w:numPr>
        <w:bidi w:val="0"/>
        <w:rPr>
          <w:rFonts w:hint="eastAsia"/>
          <w:highlight w:val="none"/>
          <w:lang w:val="zh-CN"/>
        </w:rPr>
      </w:pPr>
      <w:r>
        <w:rPr>
          <w:rFonts w:hint="eastAsia"/>
          <w:highlight w:val="none"/>
          <w:lang w:val="zh-CN"/>
        </w:rPr>
        <w:t>依法参加工伤保险</w:t>
      </w:r>
      <w:r>
        <w:rPr>
          <w:rFonts w:hint="eastAsia"/>
          <w:highlight w:val="none"/>
          <w:lang w:val="sq-AL"/>
        </w:rPr>
        <w:t>和</w:t>
      </w:r>
      <w:r>
        <w:rPr>
          <w:rFonts w:hint="eastAsia"/>
          <w:highlight w:val="none"/>
          <w:lang w:val="zh-CN"/>
        </w:rPr>
        <w:t>安全生产责任险，为从业人员缴纳保险费。</w:t>
      </w:r>
    </w:p>
    <w:p w14:paraId="379E288A">
      <w:pPr>
        <w:pStyle w:val="22"/>
        <w:numPr>
          <w:ilvl w:val="0"/>
          <w:numId w:val="90"/>
        </w:numPr>
        <w:bidi w:val="0"/>
        <w:rPr>
          <w:rFonts w:hint="eastAsia"/>
          <w:highlight w:val="none"/>
          <w:lang w:val="zh-CN"/>
        </w:rPr>
      </w:pPr>
      <w:r>
        <w:rPr>
          <w:rFonts w:hint="eastAsia"/>
          <w:highlight w:val="none"/>
          <w:lang w:val="zh-CN"/>
        </w:rPr>
        <w:t>加强建设人员的安全教育、提高安全意识，避免高处坠落、设备、管道撞击伤人事故的发生。</w:t>
      </w:r>
    </w:p>
    <w:p w14:paraId="1D186FAE">
      <w:pPr>
        <w:pStyle w:val="22"/>
        <w:numPr>
          <w:ilvl w:val="0"/>
          <w:numId w:val="90"/>
        </w:numPr>
        <w:bidi w:val="0"/>
        <w:rPr>
          <w:rFonts w:hint="eastAsia"/>
          <w:highlight w:val="none"/>
          <w:lang w:val="zh-CN"/>
        </w:rPr>
      </w:pPr>
      <w:r>
        <w:rPr>
          <w:rFonts w:hint="eastAsia"/>
          <w:highlight w:val="none"/>
          <w:lang w:val="zh-CN"/>
        </w:rPr>
        <w:t>建议按《安全标志及其使用导则》（GB2894-2008）要求设置矿山安全标志，安全标志的符号、图形、含义、补充文字、配置规范等应符合《安全色》（GB2893）和《安全标志及其使用导则》（GB2894）中的有关规定。</w:t>
      </w:r>
    </w:p>
    <w:p w14:paraId="30947DC3">
      <w:pPr>
        <w:pStyle w:val="22"/>
        <w:numPr>
          <w:ilvl w:val="0"/>
          <w:numId w:val="90"/>
        </w:numPr>
        <w:bidi w:val="0"/>
        <w:rPr>
          <w:rFonts w:hint="eastAsia"/>
          <w:highlight w:val="none"/>
          <w:lang w:val="zh-CN"/>
        </w:rPr>
      </w:pPr>
      <w:r>
        <w:rPr>
          <w:rFonts w:hint="eastAsia"/>
          <w:highlight w:val="none"/>
          <w:lang w:val="zh-CN"/>
        </w:rPr>
        <w:t>充分利用红（禁止、危险）、黄（警告、注意）、蓝（指令、遵守）、绿（通行、安全）四种传递安全信息的安全色，使人员能够迅速发现或分辨安全标志、及时受到提醒，防止事故、危害的发生。</w:t>
      </w:r>
    </w:p>
    <w:p w14:paraId="2DA53C1D">
      <w:pPr>
        <w:pStyle w:val="22"/>
        <w:numPr>
          <w:ilvl w:val="0"/>
          <w:numId w:val="90"/>
        </w:numPr>
        <w:bidi w:val="0"/>
        <w:rPr>
          <w:rFonts w:hint="eastAsia"/>
          <w:highlight w:val="none"/>
          <w:lang w:val="zh-CN"/>
        </w:rPr>
      </w:pPr>
      <w:r>
        <w:rPr>
          <w:rFonts w:hint="eastAsia"/>
          <w:highlight w:val="none"/>
          <w:lang w:val="zh-CN"/>
        </w:rPr>
        <w:t>严格执行领导带班下井制度，制定领导带班下井月度计划，领导带班下井月度计划应当在本单位办公楼及矿井井口予以公示。</w:t>
      </w:r>
    </w:p>
    <w:p w14:paraId="640DF9E6">
      <w:pPr>
        <w:pStyle w:val="22"/>
        <w:numPr>
          <w:ilvl w:val="0"/>
          <w:numId w:val="90"/>
        </w:numPr>
        <w:bidi w:val="0"/>
        <w:rPr>
          <w:rFonts w:hint="eastAsia"/>
          <w:highlight w:val="none"/>
          <w:lang w:val="zh-CN"/>
        </w:rPr>
      </w:pPr>
      <w:r>
        <w:rPr>
          <w:rFonts w:hint="eastAsia"/>
          <w:highlight w:val="none"/>
          <w:lang w:val="zh-CN"/>
        </w:rPr>
        <w:t>加强作业人员的安全教育、培训，提高作业人员的素质和安全技能及识别、预防、处理事故的能力，提高安全意识。</w:t>
      </w:r>
    </w:p>
    <w:p w14:paraId="32DFAA64">
      <w:pPr>
        <w:pStyle w:val="22"/>
        <w:numPr>
          <w:ilvl w:val="0"/>
          <w:numId w:val="90"/>
        </w:numPr>
        <w:bidi w:val="0"/>
        <w:rPr>
          <w:rFonts w:hint="eastAsia"/>
          <w:highlight w:val="none"/>
          <w:lang w:val="zh-CN"/>
        </w:rPr>
      </w:pPr>
      <w:r>
        <w:rPr>
          <w:rFonts w:hint="eastAsia"/>
          <w:highlight w:val="none"/>
          <w:lang w:val="zh-CN"/>
        </w:rPr>
        <w:t>建立健全矿山安全管理档案，对勘察、设计、施工、监理、及试运行等相关资料进行整理和归档。</w:t>
      </w:r>
    </w:p>
    <w:p w14:paraId="6BDB9166">
      <w:pPr>
        <w:pStyle w:val="22"/>
        <w:numPr>
          <w:ilvl w:val="0"/>
          <w:numId w:val="90"/>
        </w:numPr>
        <w:bidi w:val="0"/>
        <w:rPr>
          <w:rFonts w:hint="eastAsia"/>
          <w:highlight w:val="none"/>
          <w:lang w:val="sq-AL"/>
        </w:rPr>
      </w:pPr>
      <w:r>
        <w:rPr>
          <w:rFonts w:hint="eastAsia"/>
          <w:highlight w:val="none"/>
          <w:lang w:val="zh-CN"/>
        </w:rPr>
        <w:t>外包工程队伍原则上不超过3家。</w:t>
      </w:r>
    </w:p>
    <w:p w14:paraId="70F1939F">
      <w:pPr>
        <w:pStyle w:val="29"/>
        <w:bidi w:val="0"/>
        <w:rPr>
          <w:rFonts w:hint="eastAsia" w:ascii="Times New Roman" w:hAnsi="Times New Roman" w:eastAsia="黑体"/>
          <w:caps w:val="0"/>
          <w:smallCaps w:val="0"/>
          <w:sz w:val="30"/>
          <w:highlight w:val="none"/>
        </w:rPr>
      </w:pPr>
      <w:bookmarkStart w:id="47" w:name="_Toc294674111"/>
      <w:bookmarkStart w:id="48" w:name="_Toc32323"/>
      <w:bookmarkStart w:id="49" w:name="_Toc26991"/>
      <w:r>
        <w:rPr>
          <w:rFonts w:hint="eastAsia" w:ascii="Times New Roman" w:hAnsi="Times New Roman" w:eastAsia="黑体"/>
          <w:caps w:val="0"/>
          <w:smallCaps w:val="0"/>
          <w:sz w:val="30"/>
          <w:highlight w:val="none"/>
        </w:rPr>
        <w:t>安全设施设计原则</w:t>
      </w:r>
      <w:bookmarkEnd w:id="47"/>
      <w:bookmarkEnd w:id="48"/>
      <w:bookmarkEnd w:id="49"/>
    </w:p>
    <w:p w14:paraId="75BC79BF">
      <w:pPr>
        <w:pStyle w:val="22"/>
        <w:numPr>
          <w:ilvl w:val="0"/>
          <w:numId w:val="91"/>
        </w:numPr>
        <w:bidi w:val="0"/>
        <w:rPr>
          <w:rFonts w:hint="eastAsia"/>
          <w:highlight w:val="none"/>
          <w:lang w:val="zh-CN"/>
        </w:rPr>
      </w:pPr>
      <w:r>
        <w:rPr>
          <w:rFonts w:hint="eastAsia"/>
          <w:highlight w:val="none"/>
          <w:lang w:val="zh-CN"/>
        </w:rPr>
        <w:t>《安全设施设计》阶段</w:t>
      </w:r>
      <w:r>
        <w:rPr>
          <w:rFonts w:hint="eastAsia"/>
          <w:highlight w:val="none"/>
          <w:lang w:val="en-US" w:eastAsia="zh-CN"/>
        </w:rPr>
        <w:t>应</w:t>
      </w:r>
      <w:r>
        <w:rPr>
          <w:rFonts w:hint="eastAsia"/>
          <w:highlight w:val="none"/>
          <w:lang w:val="zh-CN"/>
        </w:rPr>
        <w:t>补充</w:t>
      </w:r>
      <w:r>
        <w:rPr>
          <w:rFonts w:hint="eastAsia"/>
          <w:highlight w:val="none"/>
          <w:lang w:val="en-US" w:eastAsia="zh-CN"/>
        </w:rPr>
        <w:t>明确中段巷道设计尺寸，并说明巷道尺寸是否满足运输设备。</w:t>
      </w:r>
    </w:p>
    <w:p w14:paraId="6748D296">
      <w:pPr>
        <w:pStyle w:val="22"/>
        <w:numPr>
          <w:ilvl w:val="0"/>
          <w:numId w:val="91"/>
        </w:numPr>
        <w:bidi w:val="0"/>
        <w:rPr>
          <w:rFonts w:hint="eastAsia"/>
          <w:highlight w:val="none"/>
          <w:lang w:val="zh-CN"/>
        </w:rPr>
      </w:pPr>
      <w:r>
        <w:rPr>
          <w:rFonts w:hint="eastAsia"/>
          <w:highlight w:val="none"/>
          <w:lang w:val="zh-CN"/>
        </w:rPr>
        <w:t>《安全设施设计》阶段</w:t>
      </w:r>
      <w:r>
        <w:rPr>
          <w:rFonts w:hint="eastAsia"/>
          <w:highlight w:val="none"/>
          <w:lang w:val="en-US" w:eastAsia="zh-CN"/>
        </w:rPr>
        <w:t>应</w:t>
      </w:r>
      <w:r>
        <w:rPr>
          <w:rFonts w:hint="eastAsia"/>
          <w:highlight w:val="none"/>
          <w:lang w:val="zh-CN"/>
        </w:rPr>
        <w:t>补充</w:t>
      </w:r>
      <w:r>
        <w:rPr>
          <w:rFonts w:hint="eastAsia"/>
          <w:highlight w:val="none"/>
          <w:lang w:val="en-US" w:eastAsia="zh-CN"/>
        </w:rPr>
        <w:t>通风构筑物设置位置。</w:t>
      </w:r>
    </w:p>
    <w:p w14:paraId="7C77E864">
      <w:pPr>
        <w:pStyle w:val="22"/>
        <w:numPr>
          <w:ilvl w:val="0"/>
          <w:numId w:val="91"/>
        </w:numPr>
        <w:bidi w:val="0"/>
        <w:rPr>
          <w:rFonts w:hint="eastAsia"/>
          <w:highlight w:val="none"/>
          <w:lang w:val="zh-CN"/>
        </w:rPr>
      </w:pPr>
      <w:r>
        <w:rPr>
          <w:rFonts w:hint="eastAsia"/>
          <w:highlight w:val="none"/>
          <w:lang w:val="en-US" w:eastAsia="zh-CN"/>
        </w:rPr>
        <w:t>《安全设施设计》阶段应补充井巷工程及硐室支护方式。</w:t>
      </w:r>
    </w:p>
    <w:p w14:paraId="6AEA4AAA">
      <w:pPr>
        <w:pStyle w:val="22"/>
        <w:numPr>
          <w:ilvl w:val="0"/>
          <w:numId w:val="91"/>
        </w:numPr>
        <w:bidi w:val="0"/>
        <w:rPr>
          <w:rFonts w:hint="eastAsia"/>
          <w:highlight w:val="none"/>
          <w:lang w:val="zh-CN"/>
        </w:rPr>
      </w:pPr>
      <w:r>
        <w:rPr>
          <w:rFonts w:hint="eastAsia"/>
          <w:highlight w:val="none"/>
          <w:lang w:val="en-US" w:eastAsia="zh-CN"/>
        </w:rPr>
        <w:t>《安全设施设计》阶段应补充</w:t>
      </w:r>
      <w:r>
        <w:rPr>
          <w:rFonts w:hint="eastAsia"/>
          <w:highlight w:val="none"/>
          <w:lang w:val="zh-CN"/>
        </w:rPr>
        <w:t>对通往采空区的原有井巷工程的处理措施，</w:t>
      </w:r>
      <w:r>
        <w:rPr>
          <w:rFonts w:hint="eastAsia"/>
          <w:highlight w:val="none"/>
          <w:lang w:val="en-US" w:eastAsia="zh-CN"/>
        </w:rPr>
        <w:t>及原有采空区排水措施。</w:t>
      </w:r>
    </w:p>
    <w:p w14:paraId="27BFBB02">
      <w:pPr>
        <w:pStyle w:val="22"/>
        <w:numPr>
          <w:ilvl w:val="0"/>
          <w:numId w:val="91"/>
        </w:numPr>
        <w:bidi w:val="0"/>
        <w:rPr>
          <w:rFonts w:hint="default"/>
          <w:highlight w:val="none"/>
          <w:lang w:val="en-US" w:eastAsia="zh-CN"/>
        </w:rPr>
      </w:pPr>
      <w:r>
        <w:rPr>
          <w:rFonts w:hint="eastAsia"/>
          <w:highlight w:val="none"/>
          <w:lang w:val="zh-CN"/>
        </w:rPr>
        <w:t>《安全设施设计》阶段</w:t>
      </w:r>
      <w:r>
        <w:rPr>
          <w:rFonts w:hint="eastAsia"/>
          <w:highlight w:val="none"/>
          <w:lang w:val="en-US" w:eastAsia="zh-CN"/>
        </w:rPr>
        <w:t>在视频监测摄像设备安装位置中，应明确在采场中设置摄像设备。</w:t>
      </w:r>
    </w:p>
    <w:p w14:paraId="6AEB9446">
      <w:pPr>
        <w:pStyle w:val="28"/>
        <w:bidi w:val="0"/>
        <w:rPr>
          <w:rFonts w:hint="default"/>
          <w:highlight w:val="none"/>
          <w:lang w:val="en-US" w:eastAsia="zh-CN"/>
        </w:rPr>
      </w:pPr>
      <w:bookmarkStart w:id="50" w:name="_Toc2653"/>
      <w:r>
        <w:rPr>
          <w:rFonts w:hint="default"/>
          <w:highlight w:val="none"/>
          <w:lang w:val="en-US" w:eastAsia="zh-CN"/>
        </w:rPr>
        <w:t>评价结论</w:t>
      </w:r>
      <w:bookmarkEnd w:id="50"/>
    </w:p>
    <w:p w14:paraId="584485AC">
      <w:pPr>
        <w:pStyle w:val="22"/>
        <w:bidi w:val="0"/>
        <w:rPr>
          <w:rFonts w:hint="default"/>
          <w:highlight w:val="none"/>
          <w:lang w:val="en-US" w:eastAsia="zh-CN"/>
        </w:rPr>
      </w:pPr>
      <w:r>
        <w:rPr>
          <w:rFonts w:hint="default"/>
          <w:highlight w:val="none"/>
          <w:lang w:val="en-US" w:eastAsia="zh-CN"/>
        </w:rPr>
        <w:t>按照《安全评价通则》、《安全预评价导则》的要求，依据国家及行业的相关法律、法规、规范、标准和规程，评价组对</w:t>
      </w:r>
      <w:r>
        <w:rPr>
          <w:rFonts w:hint="eastAsia"/>
          <w:highlight w:val="none"/>
          <w:lang w:val="en-US" w:eastAsia="zh-CN"/>
        </w:rPr>
        <w:t>本溪市辉宏矿业有限公司徐堡村矿区铁矿地下开采建设项目</w:t>
      </w:r>
      <w:r>
        <w:rPr>
          <w:rFonts w:hint="default"/>
          <w:highlight w:val="none"/>
          <w:lang w:val="en-US" w:eastAsia="zh-CN"/>
        </w:rPr>
        <w:t>进行了安全预评价。本报告利用安全检查表法、预先危险性分析法、专家评议法等定性定量评价方法对项目建成后可能存在的有害因素进行分析和评价，提出了相应的对策措施，进而形成如下评价结论。</w:t>
      </w:r>
    </w:p>
    <w:p w14:paraId="573E54D7">
      <w:pPr>
        <w:pStyle w:val="22"/>
        <w:bidi w:val="0"/>
        <w:rPr>
          <w:rFonts w:hint="default"/>
          <w:b/>
          <w:bCs/>
          <w:highlight w:val="none"/>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ascii="Times New Roman" w:hAnsi="Times New Roman" w:eastAsia="宋体" w:cs="Times New Roman"/>
          <w:highlight w:val="none"/>
          <w:lang w:val="en-US" w:eastAsia="zh-CN"/>
        </w:rPr>
        <w:t>本溪市辉宏矿业有限公司徐堡村矿区铁矿地下开采建设项目</w:t>
      </w:r>
      <w:r>
        <w:rPr>
          <w:rFonts w:hint="default"/>
          <w:highlight w:val="none"/>
          <w:lang w:val="en-US" w:eastAsia="zh-CN"/>
        </w:rPr>
        <w:t>安全预评价在评价时的条件下符合国家有关法律、法规、标准、规章、规范的要求，可行性研究报告提出的安全对策措施较完善，拟采取的预防危险因素和有害因素的各项技术措施和防范设施可行。</w:t>
      </w:r>
      <w:r>
        <w:rPr>
          <w:rFonts w:hint="default"/>
          <w:b/>
          <w:bCs/>
          <w:highlight w:val="none"/>
          <w:lang w:val="en-US" w:eastAsia="zh-CN"/>
        </w:rPr>
        <w:t>建设单位如能按照可行性研究报告和本预评价报告提出的安全对策措施和建议实施，能够将该建设项目潜在的危险有害因素控制在可接受范围之内，该建设项目在安全上是可行的。</w:t>
      </w:r>
    </w:p>
    <w:p w14:paraId="73006D71">
      <w:pPr>
        <w:pStyle w:val="28"/>
        <w:bidi w:val="0"/>
        <w:rPr>
          <w:rFonts w:hint="eastAsia"/>
          <w:highlight w:val="none"/>
        </w:rPr>
      </w:pPr>
      <w:bookmarkStart w:id="51" w:name="_Toc13362"/>
      <w:bookmarkStart w:id="52" w:name="_Toc15118"/>
      <w:r>
        <w:rPr>
          <w:rFonts w:hint="eastAsia"/>
          <w:highlight w:val="none"/>
        </w:rPr>
        <w:t>附件</w:t>
      </w:r>
      <w:bookmarkEnd w:id="51"/>
      <w:bookmarkEnd w:id="52"/>
    </w:p>
    <w:p w14:paraId="42F56359">
      <w:pPr>
        <w:pStyle w:val="22"/>
        <w:bidi w:val="0"/>
        <w:rPr>
          <w:rFonts w:hint="eastAsia"/>
          <w:highlight w:val="none"/>
          <w:lang w:val="en-US" w:eastAsia="zh-CN"/>
        </w:rPr>
      </w:pPr>
      <w:r>
        <w:rPr>
          <w:rFonts w:hint="eastAsia"/>
          <w:highlight w:val="none"/>
          <w:lang w:val="en-US" w:eastAsia="zh-CN"/>
        </w:rPr>
        <w:t>（1）采矿许可证（副本）证号：XXXXXXXXXXXXX；</w:t>
      </w:r>
    </w:p>
    <w:p w14:paraId="25BADD06">
      <w:pPr>
        <w:pStyle w:val="22"/>
        <w:bidi w:val="0"/>
        <w:rPr>
          <w:rFonts w:hint="eastAsia"/>
          <w:highlight w:val="none"/>
          <w:lang w:val="en-US" w:eastAsia="zh-CN"/>
        </w:rPr>
      </w:pPr>
      <w:r>
        <w:rPr>
          <w:rFonts w:hint="eastAsia"/>
          <w:highlight w:val="none"/>
          <w:lang w:val="en-US" w:eastAsia="zh-CN"/>
        </w:rPr>
        <w:t>（2）营业执照（副本）统一社会信用代码XXXXXXXXXXXXX；</w:t>
      </w:r>
    </w:p>
    <w:p w14:paraId="15CC42BD">
      <w:pPr>
        <w:pStyle w:val="22"/>
        <w:bidi w:val="0"/>
        <w:rPr>
          <w:rFonts w:hint="eastAsia"/>
          <w:lang w:val="en-US" w:eastAsia="zh-CN"/>
        </w:rPr>
      </w:pPr>
      <w:r>
        <w:rPr>
          <w:rFonts w:hint="eastAsia"/>
          <w:lang w:val="en-US" w:eastAsia="zh-CN"/>
        </w:rPr>
        <w:t>（3）</w:t>
      </w:r>
      <w:r>
        <w:rPr>
          <w:rFonts w:hint="eastAsia"/>
        </w:rPr>
        <w:t>《省发展改革委关于本溪市辉宏矿业有限公司铁矿地下开采建设项目核准的批复》</w:t>
      </w:r>
      <w:r>
        <w:rPr>
          <w:rFonts w:hint="eastAsia"/>
          <w:lang w:eastAsia="zh-CN"/>
        </w:rPr>
        <w:t>（</w:t>
      </w:r>
      <w:r>
        <w:rPr>
          <w:rFonts w:hint="eastAsia"/>
        </w:rPr>
        <w:t>辽发改工业[202</w:t>
      </w:r>
      <w:r>
        <w:rPr>
          <w:rFonts w:hint="eastAsia"/>
          <w:lang w:val="en-US" w:eastAsia="zh-CN"/>
        </w:rPr>
        <w:t>6</w:t>
      </w:r>
      <w:r>
        <w:rPr>
          <w:rFonts w:hint="eastAsia"/>
        </w:rPr>
        <w:t>]</w:t>
      </w:r>
      <w:r>
        <w:rPr>
          <w:rFonts w:hint="eastAsia"/>
          <w:lang w:val="en-US" w:eastAsia="zh-CN"/>
        </w:rPr>
        <w:t>66</w:t>
      </w:r>
      <w:r>
        <w:rPr>
          <w:rFonts w:hint="eastAsia"/>
        </w:rPr>
        <w:t>号</w:t>
      </w:r>
      <w:r>
        <w:rPr>
          <w:rFonts w:hint="eastAsia"/>
          <w:lang w:eastAsia="zh-CN"/>
        </w:rPr>
        <w:t>）</w:t>
      </w:r>
      <w:r>
        <w:rPr>
          <w:rFonts w:hint="eastAsia"/>
          <w:lang w:val="en-US" w:eastAsia="zh-CN"/>
        </w:rPr>
        <w:t>；</w:t>
      </w:r>
    </w:p>
    <w:p w14:paraId="0CBD3D1F">
      <w:pPr>
        <w:pStyle w:val="22"/>
        <w:bidi w:val="0"/>
        <w:rPr>
          <w:rFonts w:hint="eastAsia"/>
          <w:highlight w:val="none"/>
          <w:lang w:val="en-US" w:eastAsia="zh-CN"/>
        </w:rPr>
      </w:pPr>
      <w:r>
        <w:rPr>
          <w:rFonts w:hint="eastAsia"/>
          <w:highlight w:val="none"/>
          <w:lang w:val="en-US" w:eastAsia="zh-CN"/>
        </w:rPr>
        <w:t>（4）《关于〈辽宁省本溪县草河城镇徐堡村矿区铁矿资源储量核实报告〉矿产资源储量评审备案的复函》辽宁省自然资源厅，辽自然资储备字[2025]14号，2025年3月31日；</w:t>
      </w:r>
    </w:p>
    <w:p w14:paraId="3B48CE03">
      <w:pPr>
        <w:pStyle w:val="22"/>
        <w:bidi w:val="0"/>
        <w:rPr>
          <w:rFonts w:hint="eastAsia"/>
          <w:highlight w:val="none"/>
          <w:lang w:val="en-US" w:eastAsia="zh-CN"/>
        </w:rPr>
      </w:pPr>
      <w:r>
        <w:rPr>
          <w:rFonts w:hint="eastAsia"/>
          <w:highlight w:val="none"/>
          <w:lang w:val="en-US" w:eastAsia="zh-CN"/>
        </w:rPr>
        <w:t>（5）《&lt;辽宁省本溪县草河城镇徐堡村矿区铁矿资源储量核实报告&gt;评审意见书》辽宁省自然资源事务服务中心，辽储评（储）字[2025]14号，2025年3月28日；</w:t>
      </w:r>
    </w:p>
    <w:p w14:paraId="55F968FE">
      <w:pPr>
        <w:pStyle w:val="22"/>
        <w:bidi w:val="0"/>
        <w:rPr>
          <w:rFonts w:hint="eastAsia"/>
          <w:highlight w:val="none"/>
          <w:lang w:val="en-US" w:eastAsia="zh-CN"/>
        </w:rPr>
      </w:pPr>
      <w:r>
        <w:rPr>
          <w:rFonts w:hint="eastAsia"/>
          <w:highlight w:val="none"/>
          <w:lang w:val="en-US" w:eastAsia="zh-CN"/>
        </w:rPr>
        <w:t>（6）《&lt;本溪市辉宏矿业有限公司铁矿矿产资源开发利用方案&gt;审查意见书》辽宁省自然资源事务服务中心，辽自然资事矿（开）审字[2025]C028号，2025年6月26日；</w:t>
      </w:r>
    </w:p>
    <w:p w14:paraId="539B21EB">
      <w:pPr>
        <w:pStyle w:val="22"/>
        <w:bidi w:val="0"/>
        <w:rPr>
          <w:rFonts w:hint="default"/>
          <w:highlight w:val="none"/>
          <w:lang w:val="en-US" w:eastAsia="zh-CN"/>
        </w:rPr>
      </w:pPr>
      <w:r>
        <w:rPr>
          <w:rFonts w:hint="eastAsia"/>
          <w:highlight w:val="none"/>
          <w:lang w:val="en-US" w:eastAsia="zh-CN"/>
        </w:rPr>
        <w:t>（7）废石外购协议；</w:t>
      </w:r>
    </w:p>
    <w:p w14:paraId="3CC0268A">
      <w:pPr>
        <w:pStyle w:val="22"/>
        <w:bidi w:val="0"/>
        <w:rPr>
          <w:rFonts w:hint="eastAsia"/>
          <w:highlight w:val="none"/>
          <w:lang w:val="zh-CN" w:eastAsia="zh-CN"/>
        </w:rPr>
      </w:pPr>
      <w:r>
        <w:rPr>
          <w:rFonts w:hint="eastAsia"/>
          <w:highlight w:val="none"/>
          <w:lang w:val="en-US" w:eastAsia="zh-CN"/>
        </w:rPr>
        <w:t>（8）历史最高洪水位证明。</w:t>
      </w:r>
    </w:p>
    <w:p w14:paraId="425B1922">
      <w:pPr>
        <w:rPr>
          <w:rFonts w:hint="default"/>
          <w:highlight w:val="none"/>
          <w:lang w:val="en-US" w:eastAsia="zh-CN"/>
        </w:rPr>
      </w:pPr>
      <w:r>
        <w:rPr>
          <w:rFonts w:hint="default"/>
          <w:highlight w:val="none"/>
          <w:lang w:val="en-US" w:eastAsia="zh-CN"/>
        </w:rPr>
        <w:br w:type="page"/>
      </w:r>
    </w:p>
    <w:p w14:paraId="2406CE48">
      <w:pPr>
        <w:pStyle w:val="28"/>
        <w:bidi w:val="0"/>
        <w:rPr>
          <w:rFonts w:hint="default"/>
          <w:highlight w:val="none"/>
          <w:lang w:val="en-US" w:eastAsia="zh-CN"/>
        </w:rPr>
      </w:pPr>
      <w:bookmarkStart w:id="53" w:name="_Toc23043"/>
      <w:r>
        <w:rPr>
          <w:rFonts w:hint="eastAsia"/>
          <w:highlight w:val="none"/>
          <w:lang w:val="en-US" w:eastAsia="zh-CN"/>
        </w:rPr>
        <w:t>附图</w:t>
      </w:r>
      <w:bookmarkEnd w:id="53"/>
    </w:p>
    <w:p w14:paraId="1C9C1DF6">
      <w:pPr>
        <w:pStyle w:val="22"/>
        <w:numPr>
          <w:ilvl w:val="0"/>
          <w:numId w:val="92"/>
        </w:numPr>
        <w:bidi w:val="0"/>
        <w:rPr>
          <w:rFonts w:hint="eastAsia"/>
          <w:highlight w:val="none"/>
          <w:lang w:val="en-US" w:eastAsia="zh-CN"/>
        </w:rPr>
      </w:pPr>
      <w:r>
        <w:rPr>
          <w:rFonts w:hint="eastAsia"/>
          <w:highlight w:val="none"/>
          <w:lang w:val="en-US" w:eastAsia="zh-CN"/>
        </w:rPr>
        <w:t>图纸目录</w:t>
      </w:r>
    </w:p>
    <w:p w14:paraId="6AD23C78">
      <w:pPr>
        <w:pStyle w:val="22"/>
        <w:numPr>
          <w:ilvl w:val="0"/>
          <w:numId w:val="92"/>
        </w:numPr>
        <w:bidi w:val="0"/>
        <w:rPr>
          <w:rFonts w:hint="eastAsia"/>
          <w:highlight w:val="none"/>
          <w:lang w:val="en-US" w:eastAsia="zh-CN"/>
        </w:rPr>
      </w:pPr>
      <w:r>
        <w:rPr>
          <w:rFonts w:hint="eastAsia"/>
          <w:highlight w:val="none"/>
          <w:lang w:val="en-US" w:eastAsia="zh-CN"/>
        </w:rPr>
        <w:t>地形地质图</w:t>
      </w:r>
    </w:p>
    <w:p w14:paraId="36D8A53C">
      <w:pPr>
        <w:pStyle w:val="22"/>
        <w:numPr>
          <w:ilvl w:val="0"/>
          <w:numId w:val="92"/>
        </w:numPr>
        <w:bidi w:val="0"/>
        <w:rPr>
          <w:rFonts w:hint="eastAsia"/>
          <w:highlight w:val="none"/>
          <w:lang w:val="en-US" w:eastAsia="zh-CN"/>
        </w:rPr>
      </w:pPr>
      <w:r>
        <w:rPr>
          <w:rFonts w:hint="eastAsia"/>
          <w:highlight w:val="none"/>
          <w:lang w:val="en-US" w:eastAsia="zh-CN"/>
        </w:rPr>
        <w:t>地质剖面图</w:t>
      </w:r>
    </w:p>
    <w:p w14:paraId="7C28D42B">
      <w:pPr>
        <w:pStyle w:val="22"/>
        <w:numPr>
          <w:ilvl w:val="0"/>
          <w:numId w:val="92"/>
        </w:numPr>
        <w:bidi w:val="0"/>
        <w:rPr>
          <w:rFonts w:hint="eastAsia"/>
          <w:highlight w:val="none"/>
          <w:lang w:val="en-US" w:eastAsia="zh-CN"/>
        </w:rPr>
      </w:pPr>
      <w:r>
        <w:rPr>
          <w:rFonts w:hint="eastAsia"/>
          <w:highlight w:val="none"/>
          <w:lang w:val="en-US" w:eastAsia="zh-CN"/>
        </w:rPr>
        <w:t>总平面布置图</w:t>
      </w:r>
    </w:p>
    <w:p w14:paraId="39F46FF9">
      <w:pPr>
        <w:pStyle w:val="22"/>
        <w:numPr>
          <w:ilvl w:val="0"/>
          <w:numId w:val="92"/>
        </w:numPr>
        <w:bidi w:val="0"/>
        <w:rPr>
          <w:rFonts w:hint="eastAsia"/>
          <w:highlight w:val="none"/>
          <w:lang w:val="en-US" w:eastAsia="zh-CN"/>
        </w:rPr>
      </w:pPr>
      <w:r>
        <w:rPr>
          <w:rFonts w:hint="eastAsia"/>
          <w:highlight w:val="none"/>
          <w:lang w:val="en-US" w:eastAsia="zh-CN"/>
        </w:rPr>
        <w:t>井上下工程对照图</w:t>
      </w:r>
    </w:p>
    <w:p w14:paraId="65E35A13">
      <w:pPr>
        <w:pStyle w:val="22"/>
        <w:numPr>
          <w:ilvl w:val="0"/>
          <w:numId w:val="92"/>
        </w:numPr>
        <w:bidi w:val="0"/>
        <w:rPr>
          <w:rFonts w:hint="eastAsia"/>
          <w:highlight w:val="none"/>
          <w:lang w:val="en-US" w:eastAsia="zh-CN"/>
        </w:rPr>
      </w:pPr>
      <w:r>
        <w:rPr>
          <w:rFonts w:hint="eastAsia"/>
          <w:highlight w:val="none"/>
          <w:lang w:val="en-US" w:eastAsia="zh-CN"/>
        </w:rPr>
        <w:t>138m中段平面图</w:t>
      </w:r>
    </w:p>
    <w:p w14:paraId="66578236">
      <w:pPr>
        <w:pStyle w:val="22"/>
        <w:numPr>
          <w:ilvl w:val="0"/>
          <w:numId w:val="92"/>
        </w:numPr>
        <w:bidi w:val="0"/>
        <w:rPr>
          <w:rFonts w:hint="eastAsia"/>
          <w:highlight w:val="none"/>
          <w:lang w:val="en-US" w:eastAsia="zh-CN"/>
        </w:rPr>
      </w:pPr>
      <w:r>
        <w:rPr>
          <w:rFonts w:hint="eastAsia"/>
          <w:highlight w:val="none"/>
          <w:lang w:val="en-US" w:eastAsia="zh-CN"/>
        </w:rPr>
        <w:t>108m中段平面图</w:t>
      </w:r>
    </w:p>
    <w:p w14:paraId="296FF0AD">
      <w:pPr>
        <w:pStyle w:val="22"/>
        <w:numPr>
          <w:ilvl w:val="0"/>
          <w:numId w:val="92"/>
        </w:numPr>
        <w:bidi w:val="0"/>
        <w:rPr>
          <w:rFonts w:hint="eastAsia"/>
          <w:highlight w:val="none"/>
          <w:lang w:val="en-US" w:eastAsia="zh-CN"/>
        </w:rPr>
      </w:pPr>
      <w:r>
        <w:rPr>
          <w:rFonts w:hint="eastAsia"/>
          <w:highlight w:val="none"/>
          <w:lang w:val="en-US" w:eastAsia="zh-CN"/>
        </w:rPr>
        <w:t>63m中段平面图</w:t>
      </w:r>
    </w:p>
    <w:p w14:paraId="0E978C66">
      <w:pPr>
        <w:pStyle w:val="22"/>
        <w:numPr>
          <w:ilvl w:val="0"/>
          <w:numId w:val="92"/>
        </w:numPr>
        <w:bidi w:val="0"/>
        <w:rPr>
          <w:rFonts w:hint="eastAsia"/>
          <w:highlight w:val="none"/>
          <w:lang w:val="en-US" w:eastAsia="zh-CN"/>
        </w:rPr>
      </w:pPr>
      <w:r>
        <w:rPr>
          <w:rFonts w:hint="eastAsia"/>
          <w:highlight w:val="none"/>
          <w:lang w:val="en-US" w:eastAsia="zh-CN"/>
        </w:rPr>
        <w:t>18m中段平面图</w:t>
      </w:r>
    </w:p>
    <w:p w14:paraId="7825DB81">
      <w:pPr>
        <w:pStyle w:val="22"/>
        <w:numPr>
          <w:ilvl w:val="0"/>
          <w:numId w:val="92"/>
        </w:numPr>
        <w:bidi w:val="0"/>
        <w:rPr>
          <w:rFonts w:hint="eastAsia"/>
          <w:highlight w:val="none"/>
          <w:lang w:val="en-US" w:eastAsia="zh-CN"/>
        </w:rPr>
      </w:pPr>
      <w:r>
        <w:rPr>
          <w:rFonts w:hint="eastAsia"/>
          <w:highlight w:val="none"/>
          <w:lang w:val="en-US" w:eastAsia="zh-CN"/>
        </w:rPr>
        <w:t>-27m中段平面图</w:t>
      </w:r>
    </w:p>
    <w:p w14:paraId="7ACA858A">
      <w:pPr>
        <w:pStyle w:val="22"/>
        <w:numPr>
          <w:ilvl w:val="0"/>
          <w:numId w:val="92"/>
        </w:numPr>
        <w:bidi w:val="0"/>
        <w:rPr>
          <w:rFonts w:hint="eastAsia"/>
          <w:highlight w:val="none"/>
          <w:lang w:val="en-US" w:eastAsia="zh-CN"/>
        </w:rPr>
      </w:pPr>
      <w:r>
        <w:rPr>
          <w:rFonts w:hint="eastAsia"/>
          <w:highlight w:val="none"/>
          <w:lang w:val="en-US" w:eastAsia="zh-CN"/>
        </w:rPr>
        <w:t>-67m中段平面图</w:t>
      </w:r>
    </w:p>
    <w:p w14:paraId="06FF9234">
      <w:pPr>
        <w:pStyle w:val="22"/>
        <w:numPr>
          <w:ilvl w:val="0"/>
          <w:numId w:val="92"/>
        </w:numPr>
        <w:bidi w:val="0"/>
        <w:rPr>
          <w:rFonts w:hint="eastAsia"/>
          <w:highlight w:val="none"/>
          <w:lang w:val="en-US" w:eastAsia="zh-CN"/>
        </w:rPr>
      </w:pPr>
      <w:r>
        <w:rPr>
          <w:rFonts w:hint="eastAsia"/>
          <w:highlight w:val="none"/>
          <w:lang w:val="en-US" w:eastAsia="zh-CN"/>
        </w:rPr>
        <w:t>开拓系统纵投影图</w:t>
      </w:r>
    </w:p>
    <w:p w14:paraId="22CF1561">
      <w:pPr>
        <w:pStyle w:val="22"/>
        <w:numPr>
          <w:ilvl w:val="0"/>
          <w:numId w:val="92"/>
        </w:numPr>
        <w:bidi w:val="0"/>
        <w:rPr>
          <w:rFonts w:hint="eastAsia"/>
          <w:highlight w:val="none"/>
          <w:lang w:val="en-US" w:eastAsia="zh-CN"/>
        </w:rPr>
      </w:pPr>
      <w:r>
        <w:rPr>
          <w:rFonts w:hint="eastAsia"/>
          <w:highlight w:val="none"/>
          <w:lang w:val="en-US" w:eastAsia="zh-CN"/>
        </w:rPr>
        <w:t>通风系统图</w:t>
      </w:r>
    </w:p>
    <w:p w14:paraId="3CCA39F4">
      <w:pPr>
        <w:pStyle w:val="22"/>
        <w:numPr>
          <w:ilvl w:val="0"/>
          <w:numId w:val="92"/>
        </w:numPr>
        <w:bidi w:val="0"/>
        <w:rPr>
          <w:rFonts w:hint="eastAsia"/>
          <w:highlight w:val="none"/>
          <w:lang w:val="en-US" w:eastAsia="zh-CN"/>
        </w:rPr>
      </w:pPr>
      <w:r>
        <w:rPr>
          <w:rFonts w:hint="eastAsia"/>
          <w:highlight w:val="none"/>
          <w:lang w:val="en-US" w:eastAsia="zh-CN"/>
        </w:rPr>
        <w:t>排水系统图</w:t>
      </w:r>
    </w:p>
    <w:p w14:paraId="6B431DFD">
      <w:pPr>
        <w:pStyle w:val="22"/>
        <w:numPr>
          <w:ilvl w:val="0"/>
          <w:numId w:val="92"/>
        </w:numPr>
        <w:bidi w:val="0"/>
        <w:rPr>
          <w:rFonts w:hint="eastAsia"/>
          <w:highlight w:val="none"/>
          <w:lang w:val="en-US" w:eastAsia="zh-CN"/>
        </w:rPr>
      </w:pPr>
      <w:r>
        <w:rPr>
          <w:rFonts w:hint="eastAsia"/>
          <w:highlight w:val="none"/>
          <w:lang w:val="en-US" w:eastAsia="zh-CN"/>
        </w:rPr>
        <w:t>监测监控系统图</w:t>
      </w:r>
    </w:p>
    <w:p w14:paraId="57EB4A6B">
      <w:pPr>
        <w:pStyle w:val="22"/>
        <w:numPr>
          <w:ilvl w:val="0"/>
          <w:numId w:val="92"/>
        </w:numPr>
        <w:bidi w:val="0"/>
        <w:rPr>
          <w:rFonts w:hint="eastAsia"/>
          <w:highlight w:val="none"/>
          <w:lang w:val="en-US" w:eastAsia="zh-CN"/>
        </w:rPr>
      </w:pPr>
      <w:r>
        <w:rPr>
          <w:rFonts w:hint="eastAsia"/>
          <w:highlight w:val="none"/>
          <w:lang w:val="en-US" w:eastAsia="zh-CN"/>
        </w:rPr>
        <w:t>人员定位系统图</w:t>
      </w:r>
    </w:p>
    <w:p w14:paraId="77027815">
      <w:pPr>
        <w:pStyle w:val="22"/>
        <w:numPr>
          <w:ilvl w:val="0"/>
          <w:numId w:val="92"/>
        </w:numPr>
        <w:bidi w:val="0"/>
        <w:rPr>
          <w:rFonts w:hint="eastAsia"/>
          <w:highlight w:val="none"/>
          <w:lang w:val="en-US" w:eastAsia="zh-CN"/>
        </w:rPr>
      </w:pPr>
      <w:r>
        <w:rPr>
          <w:rFonts w:hint="eastAsia"/>
          <w:highlight w:val="none"/>
          <w:lang w:val="en-US" w:eastAsia="zh-CN"/>
        </w:rPr>
        <w:t>通信联络系统图</w:t>
      </w:r>
    </w:p>
    <w:p w14:paraId="40B8E84A">
      <w:pPr>
        <w:pStyle w:val="22"/>
        <w:numPr>
          <w:ilvl w:val="0"/>
          <w:numId w:val="92"/>
        </w:numPr>
        <w:bidi w:val="0"/>
        <w:rPr>
          <w:rFonts w:hint="eastAsia"/>
          <w:highlight w:val="none"/>
          <w:lang w:val="en-US" w:eastAsia="zh-CN"/>
        </w:rPr>
      </w:pPr>
      <w:r>
        <w:rPr>
          <w:rFonts w:hint="eastAsia"/>
          <w:highlight w:val="none"/>
          <w:lang w:val="en-US" w:eastAsia="zh-CN"/>
        </w:rPr>
        <w:t>压风自救系统图</w:t>
      </w:r>
    </w:p>
    <w:p w14:paraId="32208CC3">
      <w:pPr>
        <w:pStyle w:val="22"/>
        <w:numPr>
          <w:ilvl w:val="0"/>
          <w:numId w:val="92"/>
        </w:numPr>
        <w:bidi w:val="0"/>
        <w:rPr>
          <w:rFonts w:hint="eastAsia"/>
          <w:highlight w:val="none"/>
          <w:lang w:val="en-US" w:eastAsia="zh-CN"/>
        </w:rPr>
      </w:pPr>
      <w:r>
        <w:rPr>
          <w:rFonts w:hint="eastAsia"/>
          <w:highlight w:val="none"/>
          <w:lang w:val="en-US" w:eastAsia="zh-CN"/>
        </w:rPr>
        <w:t>供水施救系统图</w:t>
      </w:r>
    </w:p>
    <w:p w14:paraId="490FC99E">
      <w:pPr>
        <w:pStyle w:val="22"/>
        <w:numPr>
          <w:ilvl w:val="0"/>
          <w:numId w:val="92"/>
        </w:numPr>
        <w:bidi w:val="0"/>
        <w:rPr>
          <w:rFonts w:hint="eastAsia"/>
          <w:highlight w:val="none"/>
          <w:lang w:val="en-US" w:eastAsia="zh-CN"/>
        </w:rPr>
      </w:pPr>
      <w:r>
        <w:rPr>
          <w:rFonts w:hint="eastAsia"/>
          <w:highlight w:val="none"/>
          <w:lang w:val="en-US" w:eastAsia="zh-CN"/>
        </w:rPr>
        <w:t>紧急避险线路图（避灾线路图）</w:t>
      </w:r>
    </w:p>
    <w:p w14:paraId="07B5F156">
      <w:pPr>
        <w:pStyle w:val="22"/>
        <w:numPr>
          <w:ilvl w:val="0"/>
          <w:numId w:val="92"/>
        </w:numPr>
        <w:bidi w:val="0"/>
        <w:rPr>
          <w:rFonts w:hint="eastAsia"/>
          <w:highlight w:val="none"/>
          <w:lang w:val="en-US" w:eastAsia="zh-CN"/>
        </w:rPr>
      </w:pPr>
      <w:r>
        <w:rPr>
          <w:rFonts w:hint="eastAsia"/>
          <w:highlight w:val="none"/>
          <w:lang w:val="en-US" w:eastAsia="zh-CN"/>
        </w:rPr>
        <w:t>浅孔留矿嗣后充填采矿方法图</w:t>
      </w:r>
    </w:p>
    <w:p w14:paraId="6049515A">
      <w:pPr>
        <w:pStyle w:val="22"/>
        <w:numPr>
          <w:ilvl w:val="0"/>
          <w:numId w:val="92"/>
        </w:numPr>
        <w:bidi w:val="0"/>
        <w:rPr>
          <w:rFonts w:hint="eastAsia"/>
          <w:highlight w:val="none"/>
          <w:lang w:val="en-US" w:eastAsia="zh-CN"/>
        </w:rPr>
      </w:pPr>
      <w:r>
        <w:rPr>
          <w:rFonts w:hint="eastAsia"/>
          <w:highlight w:val="none"/>
          <w:lang w:val="en-US" w:eastAsia="zh-CN"/>
        </w:rPr>
        <w:t>沿走向分段空场嗣后充填采矿方法图</w:t>
      </w:r>
    </w:p>
    <w:p w14:paraId="0E973BDD">
      <w:pPr>
        <w:pStyle w:val="22"/>
        <w:numPr>
          <w:ilvl w:val="0"/>
          <w:numId w:val="92"/>
        </w:numPr>
        <w:bidi w:val="0"/>
        <w:rPr>
          <w:rFonts w:hint="eastAsia"/>
          <w:highlight w:val="none"/>
          <w:lang w:val="en-US" w:eastAsia="zh-CN"/>
        </w:rPr>
      </w:pPr>
      <w:r>
        <w:rPr>
          <w:rFonts w:hint="eastAsia"/>
          <w:highlight w:val="none"/>
          <w:lang w:val="en-US" w:eastAsia="zh-CN"/>
        </w:rPr>
        <w:t>垂直走向分段空场嗣后充填采矿方法图</w:t>
      </w:r>
    </w:p>
    <w:p w14:paraId="2C5552BC">
      <w:pPr>
        <w:pStyle w:val="22"/>
        <w:numPr>
          <w:ilvl w:val="0"/>
          <w:numId w:val="92"/>
        </w:numPr>
        <w:bidi w:val="0"/>
        <w:rPr>
          <w:rFonts w:hint="eastAsia"/>
          <w:highlight w:val="none"/>
          <w:lang w:val="en-US" w:eastAsia="zh-CN"/>
        </w:rPr>
      </w:pPr>
      <w:r>
        <w:rPr>
          <w:rFonts w:hint="eastAsia"/>
          <w:highlight w:val="none"/>
          <w:lang w:val="en-US" w:eastAsia="zh-CN"/>
        </w:rPr>
        <w:t>基建进度计划表</w:t>
      </w:r>
    </w:p>
    <w:p w14:paraId="13DB2392">
      <w:pPr>
        <w:pStyle w:val="22"/>
        <w:numPr>
          <w:ilvl w:val="0"/>
          <w:numId w:val="92"/>
        </w:numPr>
        <w:bidi w:val="0"/>
        <w:rPr>
          <w:rFonts w:hint="eastAsia"/>
          <w:highlight w:val="none"/>
          <w:lang w:val="en-US" w:eastAsia="zh-CN"/>
        </w:rPr>
      </w:pPr>
      <w:r>
        <w:rPr>
          <w:rFonts w:hint="eastAsia"/>
          <w:highlight w:val="none"/>
          <w:lang w:val="en-US" w:eastAsia="zh-CN"/>
        </w:rPr>
        <w:t>井巷工程断面图</w:t>
      </w:r>
    </w:p>
    <w:p w14:paraId="5D204038">
      <w:pPr>
        <w:pStyle w:val="22"/>
        <w:numPr>
          <w:ilvl w:val="0"/>
          <w:numId w:val="92"/>
        </w:numPr>
        <w:bidi w:val="0"/>
        <w:rPr>
          <w:rFonts w:hint="eastAsia"/>
          <w:highlight w:val="none"/>
          <w:lang w:val="en-US" w:eastAsia="zh-CN"/>
        </w:rPr>
      </w:pPr>
      <w:r>
        <w:rPr>
          <w:rFonts w:hint="eastAsia"/>
          <w:highlight w:val="none"/>
          <w:lang w:val="en-US" w:eastAsia="zh-CN"/>
        </w:rPr>
        <w:t>供电系统图</w:t>
      </w:r>
    </w:p>
    <w:p w14:paraId="2B2D0E4A">
      <w:pPr>
        <w:pStyle w:val="22"/>
        <w:numPr>
          <w:ilvl w:val="0"/>
          <w:numId w:val="92"/>
        </w:numPr>
        <w:bidi w:val="0"/>
        <w:rPr>
          <w:rFonts w:hint="default"/>
          <w:highlight w:val="none"/>
          <w:lang w:val="en-US" w:eastAsia="zh-CN"/>
        </w:rPr>
      </w:pPr>
      <w:r>
        <w:rPr>
          <w:rFonts w:hint="eastAsia"/>
          <w:highlight w:val="none"/>
          <w:lang w:val="en-US" w:eastAsia="zh-CN"/>
        </w:rPr>
        <w:t>周边环境图</w:t>
      </w:r>
    </w:p>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swiss"/>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Plotter">
    <w:altName w:val="Lucida Console"/>
    <w:panose1 w:val="00000000000000000000"/>
    <w:charset w:val="00"/>
    <w:family w:val="modern"/>
    <w:pitch w:val="default"/>
    <w:sig w:usb0="00000000" w:usb1="00000000" w:usb2="00000000" w:usb3="00000000" w:csb0="00000001" w:csb1="00000000"/>
  </w:font>
  <w:font w:name="Lucida Console">
    <w:panose1 w:val="020B0609040504020204"/>
    <w:charset w:val="00"/>
    <w:family w:val="auto"/>
    <w:pitch w:val="default"/>
    <w:sig w:usb0="8000028F" w:usb1="00001800" w:usb2="00000000" w:usb3="00000000" w:csb0="0000001F" w:csb1="D7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19"/>
      <w:widowControl w:val="0"/>
      <w:pBdr>
        <w:top w:val="single" w:color="auto" w:sz="4" w:space="1"/>
        <w:left w:val="none" w:color="auto" w:sz="0" w:space="4"/>
        <w:bottom w:val="none" w:color="auto" w:sz="0" w:space="1"/>
        <w:right w:val="none" w:color="auto" w:sz="0" w:space="4"/>
        <w:between w:val="none" w:color="auto" w:sz="0" w:space="0"/>
      </w:pBdr>
      <w:snapToGrid w:val="0"/>
      <w:jc w:val="left"/>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1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19"/>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20"/>
      <w:pBdr>
        <w:bottom w:val="single" w:color="auto" w:sz="4" w:space="1"/>
      </w:pBd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本溪市辉宏矿业有限公司徐堡村矿区铁矿地下开采建设项目</w:t>
    </w:r>
    <w:r>
      <w:rPr>
        <w:rFonts w:hint="default" w:ascii="Times New Roman" w:hAnsi="Times New Roman" w:eastAsia="宋体" w:cs="Times New Roman"/>
        <w:lang w:val="en-US" w:eastAsia="zh-CN"/>
      </w:rPr>
      <w:t>安全预评价报告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A55B2E"/>
    <w:multiLevelType w:val="singleLevel"/>
    <w:tmpl w:val="81A55B2E"/>
    <w:lvl w:ilvl="0" w:tentative="0">
      <w:start w:val="1"/>
      <w:numFmt w:val="decimal"/>
      <w:suff w:val="nothing"/>
      <w:lvlText w:val="（%1）"/>
      <w:lvlJc w:val="left"/>
    </w:lvl>
  </w:abstractNum>
  <w:abstractNum w:abstractNumId="1">
    <w:nsid w:val="82884E14"/>
    <w:multiLevelType w:val="multilevel"/>
    <w:tmpl w:val="82884E1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868A7C63"/>
    <w:multiLevelType w:val="singleLevel"/>
    <w:tmpl w:val="868A7C63"/>
    <w:lvl w:ilvl="0" w:tentative="0">
      <w:start w:val="1"/>
      <w:numFmt w:val="decimal"/>
      <w:suff w:val="nothing"/>
      <w:lvlText w:val="（%1）"/>
      <w:lvlJc w:val="left"/>
    </w:lvl>
  </w:abstractNum>
  <w:abstractNum w:abstractNumId="3">
    <w:nsid w:val="8BEA4602"/>
    <w:multiLevelType w:val="singleLevel"/>
    <w:tmpl w:val="8BEA4602"/>
    <w:lvl w:ilvl="0" w:tentative="0">
      <w:start w:val="1"/>
      <w:numFmt w:val="decimalEnclosedCircleChinese"/>
      <w:suff w:val="nothing"/>
      <w:lvlText w:val="%1"/>
      <w:lvlJc w:val="left"/>
      <w:pPr>
        <w:ind w:left="0" w:firstLine="40"/>
      </w:pPr>
      <w:rPr>
        <w:rFonts w:hint="eastAsia"/>
      </w:rPr>
    </w:lvl>
  </w:abstractNum>
  <w:abstractNum w:abstractNumId="4">
    <w:nsid w:val="9112F9E2"/>
    <w:multiLevelType w:val="multilevel"/>
    <w:tmpl w:val="9112F9E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95A2DC15"/>
    <w:multiLevelType w:val="multilevel"/>
    <w:tmpl w:val="95A2DC15"/>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98142EFB"/>
    <w:multiLevelType w:val="multilevel"/>
    <w:tmpl w:val="98142EFB"/>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9919609D"/>
    <w:multiLevelType w:val="multilevel"/>
    <w:tmpl w:val="9919609D"/>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9CB44456"/>
    <w:multiLevelType w:val="singleLevel"/>
    <w:tmpl w:val="9CB44456"/>
    <w:lvl w:ilvl="0" w:tentative="0">
      <w:start w:val="1"/>
      <w:numFmt w:val="decimal"/>
      <w:suff w:val="nothing"/>
      <w:lvlText w:val="（%1）"/>
      <w:lvlJc w:val="left"/>
    </w:lvl>
  </w:abstractNum>
  <w:abstractNum w:abstractNumId="9">
    <w:nsid w:val="9F75E966"/>
    <w:multiLevelType w:val="singleLevel"/>
    <w:tmpl w:val="9F75E966"/>
    <w:lvl w:ilvl="0" w:tentative="0">
      <w:start w:val="1"/>
      <w:numFmt w:val="decimalEnclosedCircleChinese"/>
      <w:suff w:val="nothing"/>
      <w:lvlText w:val="%1"/>
      <w:lvlJc w:val="left"/>
      <w:pPr>
        <w:ind w:left="0" w:firstLine="40"/>
      </w:pPr>
      <w:rPr>
        <w:rFonts w:hint="eastAsia"/>
      </w:rPr>
    </w:lvl>
  </w:abstractNum>
  <w:abstractNum w:abstractNumId="10">
    <w:nsid w:val="A4DA50B0"/>
    <w:multiLevelType w:val="multilevel"/>
    <w:tmpl w:val="A4DA50B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A7620859"/>
    <w:multiLevelType w:val="multilevel"/>
    <w:tmpl w:val="A762085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A9882291"/>
    <w:multiLevelType w:val="multilevel"/>
    <w:tmpl w:val="A988229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B01985F0"/>
    <w:multiLevelType w:val="multilevel"/>
    <w:tmpl w:val="B01985F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BADEE957"/>
    <w:multiLevelType w:val="multilevel"/>
    <w:tmpl w:val="BADEE957"/>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C12E2EA4"/>
    <w:multiLevelType w:val="multilevel"/>
    <w:tmpl w:val="C12E2EA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C451C83C"/>
    <w:multiLevelType w:val="singleLevel"/>
    <w:tmpl w:val="C451C83C"/>
    <w:lvl w:ilvl="0" w:tentative="0">
      <w:start w:val="1"/>
      <w:numFmt w:val="decimal"/>
      <w:suff w:val="nothing"/>
      <w:lvlText w:val="（%1）"/>
      <w:lvlJc w:val="left"/>
      <w:pPr>
        <w:ind w:left="0" w:firstLine="420"/>
      </w:pPr>
      <w:rPr>
        <w:rFonts w:hint="default"/>
      </w:rPr>
    </w:lvl>
  </w:abstractNum>
  <w:abstractNum w:abstractNumId="17">
    <w:nsid w:val="CF54299D"/>
    <w:multiLevelType w:val="multilevel"/>
    <w:tmpl w:val="CF54299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D0E09533"/>
    <w:multiLevelType w:val="singleLevel"/>
    <w:tmpl w:val="D0E09533"/>
    <w:lvl w:ilvl="0" w:tentative="0">
      <w:start w:val="1"/>
      <w:numFmt w:val="decimalEnclosedCircleChinese"/>
      <w:suff w:val="nothing"/>
      <w:lvlText w:val="%1"/>
      <w:lvlJc w:val="left"/>
      <w:pPr>
        <w:ind w:left="0" w:firstLine="40"/>
      </w:pPr>
      <w:rPr>
        <w:rFonts w:hint="eastAsia"/>
      </w:rPr>
    </w:lvl>
  </w:abstractNum>
  <w:abstractNum w:abstractNumId="19">
    <w:nsid w:val="D5356302"/>
    <w:multiLevelType w:val="multilevel"/>
    <w:tmpl w:val="D5356302"/>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DA00F7A9"/>
    <w:multiLevelType w:val="multilevel"/>
    <w:tmpl w:val="DA00F7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DA2CFF6C"/>
    <w:multiLevelType w:val="multilevel"/>
    <w:tmpl w:val="DA2CFF6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DE1CF2BF"/>
    <w:multiLevelType w:val="multilevel"/>
    <w:tmpl w:val="DE1CF2BF"/>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E2F85F9C"/>
    <w:multiLevelType w:val="multilevel"/>
    <w:tmpl w:val="E2F85F9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5"/>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5">
    <w:nsid w:val="EBF29231"/>
    <w:multiLevelType w:val="singleLevel"/>
    <w:tmpl w:val="EBF29231"/>
    <w:lvl w:ilvl="0" w:tentative="0">
      <w:start w:val="1"/>
      <w:numFmt w:val="decimalEnclosedCircleChinese"/>
      <w:suff w:val="nothing"/>
      <w:lvlText w:val="%1"/>
      <w:lvlJc w:val="left"/>
      <w:pPr>
        <w:ind w:left="0" w:firstLine="40"/>
      </w:pPr>
      <w:rPr>
        <w:rFonts w:hint="eastAsia"/>
      </w:rPr>
    </w:lvl>
  </w:abstractNum>
  <w:abstractNum w:abstractNumId="26">
    <w:nsid w:val="ECE5ED75"/>
    <w:multiLevelType w:val="singleLevel"/>
    <w:tmpl w:val="ECE5ED75"/>
    <w:lvl w:ilvl="0" w:tentative="0">
      <w:start w:val="1"/>
      <w:numFmt w:val="decimal"/>
      <w:suff w:val="nothing"/>
      <w:lvlText w:val="（%1）"/>
      <w:lvlJc w:val="left"/>
    </w:lvl>
  </w:abstractNum>
  <w:abstractNum w:abstractNumId="27">
    <w:nsid w:val="EE236B43"/>
    <w:multiLevelType w:val="singleLevel"/>
    <w:tmpl w:val="EE236B43"/>
    <w:lvl w:ilvl="0" w:tentative="0">
      <w:start w:val="1"/>
      <w:numFmt w:val="decimalEnclosedCircleChinese"/>
      <w:suff w:val="nothing"/>
      <w:lvlText w:val="%1"/>
      <w:lvlJc w:val="left"/>
      <w:pPr>
        <w:ind w:left="0" w:firstLine="40"/>
      </w:pPr>
      <w:rPr>
        <w:rFonts w:hint="eastAsia"/>
      </w:rPr>
    </w:lvl>
  </w:abstractNum>
  <w:abstractNum w:abstractNumId="28">
    <w:nsid w:val="EF2450CA"/>
    <w:multiLevelType w:val="multilevel"/>
    <w:tmpl w:val="EF2450C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F7A90633"/>
    <w:multiLevelType w:val="multilevel"/>
    <w:tmpl w:val="F7A90633"/>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0">
    <w:nsid w:val="F96BEFEE"/>
    <w:multiLevelType w:val="multilevel"/>
    <w:tmpl w:val="F96BEFEE"/>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1">
    <w:nsid w:val="FAE5398F"/>
    <w:multiLevelType w:val="singleLevel"/>
    <w:tmpl w:val="FAE5398F"/>
    <w:lvl w:ilvl="0" w:tentative="0">
      <w:start w:val="1"/>
      <w:numFmt w:val="decimalEnclosedCircleChinese"/>
      <w:suff w:val="nothing"/>
      <w:lvlText w:val="%1"/>
      <w:lvlJc w:val="left"/>
      <w:pPr>
        <w:ind w:left="0" w:firstLine="40"/>
      </w:pPr>
      <w:rPr>
        <w:rFonts w:hint="eastAsia"/>
      </w:rPr>
    </w:lvl>
  </w:abstractNum>
  <w:abstractNum w:abstractNumId="32">
    <w:nsid w:val="019D64FE"/>
    <w:multiLevelType w:val="singleLevel"/>
    <w:tmpl w:val="019D64FE"/>
    <w:lvl w:ilvl="0" w:tentative="0">
      <w:start w:val="1"/>
      <w:numFmt w:val="decimalEnclosedCircleChinese"/>
      <w:suff w:val="nothing"/>
      <w:lvlText w:val="%1"/>
      <w:lvlJc w:val="left"/>
      <w:pPr>
        <w:ind w:left="0" w:firstLine="40"/>
      </w:pPr>
      <w:rPr>
        <w:rFonts w:hint="eastAsia"/>
      </w:rPr>
    </w:lvl>
  </w:abstractNum>
  <w:abstractNum w:abstractNumId="33">
    <w:nsid w:val="024690FA"/>
    <w:multiLevelType w:val="multilevel"/>
    <w:tmpl w:val="024690F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07B4E747"/>
    <w:multiLevelType w:val="multilevel"/>
    <w:tmpl w:val="07B4E747"/>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5">
    <w:nsid w:val="09DA0FEC"/>
    <w:multiLevelType w:val="multilevel"/>
    <w:tmpl w:val="09DA0FEC"/>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6">
    <w:nsid w:val="0B1D0E89"/>
    <w:multiLevelType w:val="multilevel"/>
    <w:tmpl w:val="0B1D0E89"/>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7">
    <w:nsid w:val="13C10EF8"/>
    <w:multiLevelType w:val="multilevel"/>
    <w:tmpl w:val="13C10EF8"/>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8">
    <w:nsid w:val="14D41E90"/>
    <w:multiLevelType w:val="singleLevel"/>
    <w:tmpl w:val="14D41E90"/>
    <w:lvl w:ilvl="0" w:tentative="0">
      <w:start w:val="1"/>
      <w:numFmt w:val="decimal"/>
      <w:lvlText w:val="%1."/>
      <w:lvlJc w:val="left"/>
      <w:pPr>
        <w:tabs>
          <w:tab w:val="left" w:pos="312"/>
        </w:tabs>
      </w:pPr>
    </w:lvl>
  </w:abstractNum>
  <w:abstractNum w:abstractNumId="39">
    <w:nsid w:val="153E1172"/>
    <w:multiLevelType w:val="multilevel"/>
    <w:tmpl w:val="153E1172"/>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0">
    <w:nsid w:val="15ECE23E"/>
    <w:multiLevelType w:val="singleLevel"/>
    <w:tmpl w:val="15ECE23E"/>
    <w:lvl w:ilvl="0" w:tentative="0">
      <w:start w:val="1"/>
      <w:numFmt w:val="decimalEnclosedCircleChinese"/>
      <w:suff w:val="nothing"/>
      <w:lvlText w:val="%1"/>
      <w:lvlJc w:val="left"/>
      <w:pPr>
        <w:ind w:left="0" w:firstLine="40"/>
      </w:pPr>
      <w:rPr>
        <w:rFonts w:hint="eastAsia"/>
      </w:rPr>
    </w:lvl>
  </w:abstractNum>
  <w:abstractNum w:abstractNumId="41">
    <w:nsid w:val="176E795B"/>
    <w:multiLevelType w:val="multilevel"/>
    <w:tmpl w:val="176E795B"/>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2">
    <w:nsid w:val="18D83C37"/>
    <w:multiLevelType w:val="multilevel"/>
    <w:tmpl w:val="18D83C3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3">
    <w:nsid w:val="257798C1"/>
    <w:multiLevelType w:val="singleLevel"/>
    <w:tmpl w:val="257798C1"/>
    <w:lvl w:ilvl="0" w:tentative="0">
      <w:start w:val="1"/>
      <w:numFmt w:val="decimal"/>
      <w:suff w:val="nothing"/>
      <w:lvlText w:val="（%1）"/>
      <w:lvlJc w:val="left"/>
    </w:lvl>
  </w:abstractNum>
  <w:abstractNum w:abstractNumId="44">
    <w:nsid w:val="25ED20EA"/>
    <w:multiLevelType w:val="multilevel"/>
    <w:tmpl w:val="25ED20E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5">
    <w:nsid w:val="28C37A35"/>
    <w:multiLevelType w:val="multilevel"/>
    <w:tmpl w:val="28C37A35"/>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6">
    <w:nsid w:val="2ACD463F"/>
    <w:multiLevelType w:val="multilevel"/>
    <w:tmpl w:val="2ACD463F"/>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7">
    <w:nsid w:val="2CA6D885"/>
    <w:multiLevelType w:val="singleLevel"/>
    <w:tmpl w:val="2CA6D885"/>
    <w:lvl w:ilvl="0" w:tentative="0">
      <w:start w:val="1"/>
      <w:numFmt w:val="decimalEnclosedCircleChinese"/>
      <w:suff w:val="nothing"/>
      <w:lvlText w:val="%1"/>
      <w:lvlJc w:val="left"/>
      <w:pPr>
        <w:ind w:left="0" w:firstLine="40"/>
      </w:pPr>
      <w:rPr>
        <w:rFonts w:hint="eastAsia"/>
      </w:rPr>
    </w:lvl>
  </w:abstractNum>
  <w:abstractNum w:abstractNumId="48">
    <w:nsid w:val="2EE95A13"/>
    <w:multiLevelType w:val="multilevel"/>
    <w:tmpl w:val="2EE95A1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9">
    <w:nsid w:val="30E85E93"/>
    <w:multiLevelType w:val="multilevel"/>
    <w:tmpl w:val="30E85E93"/>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0">
    <w:nsid w:val="337E988B"/>
    <w:multiLevelType w:val="multilevel"/>
    <w:tmpl w:val="337E988B"/>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1">
    <w:nsid w:val="34596782"/>
    <w:multiLevelType w:val="multilevel"/>
    <w:tmpl w:val="3459678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2">
    <w:nsid w:val="36115B1D"/>
    <w:multiLevelType w:val="multilevel"/>
    <w:tmpl w:val="36115B1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3">
    <w:nsid w:val="37D03788"/>
    <w:multiLevelType w:val="singleLevel"/>
    <w:tmpl w:val="37D03788"/>
    <w:lvl w:ilvl="0" w:tentative="0">
      <w:start w:val="1"/>
      <w:numFmt w:val="decimal"/>
      <w:suff w:val="nothing"/>
      <w:lvlText w:val="（%1）"/>
      <w:lvlJc w:val="left"/>
    </w:lvl>
  </w:abstractNum>
  <w:abstractNum w:abstractNumId="54">
    <w:nsid w:val="3A5E6E5D"/>
    <w:multiLevelType w:val="multilevel"/>
    <w:tmpl w:val="3A5E6E5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5">
    <w:nsid w:val="3BC012AF"/>
    <w:multiLevelType w:val="singleLevel"/>
    <w:tmpl w:val="3BC012AF"/>
    <w:lvl w:ilvl="0" w:tentative="0">
      <w:start w:val="1"/>
      <w:numFmt w:val="decimalEnclosedCircleChinese"/>
      <w:suff w:val="nothing"/>
      <w:lvlText w:val="%1"/>
      <w:lvlJc w:val="left"/>
      <w:pPr>
        <w:ind w:left="0" w:firstLine="40"/>
      </w:pPr>
      <w:rPr>
        <w:rFonts w:hint="eastAsia"/>
      </w:rPr>
    </w:lvl>
  </w:abstractNum>
  <w:abstractNum w:abstractNumId="56">
    <w:nsid w:val="3C6C2E4D"/>
    <w:multiLevelType w:val="multilevel"/>
    <w:tmpl w:val="3C6C2E4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7">
    <w:nsid w:val="3D2878C7"/>
    <w:multiLevelType w:val="multilevel"/>
    <w:tmpl w:val="3D2878C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8">
    <w:nsid w:val="3E5196C2"/>
    <w:multiLevelType w:val="singleLevel"/>
    <w:tmpl w:val="3E5196C2"/>
    <w:lvl w:ilvl="0" w:tentative="0">
      <w:start w:val="1"/>
      <w:numFmt w:val="decimalEnclosedCircleChinese"/>
      <w:suff w:val="nothing"/>
      <w:lvlText w:val="%1"/>
      <w:lvlJc w:val="left"/>
      <w:pPr>
        <w:ind w:left="0" w:firstLine="40"/>
      </w:pPr>
      <w:rPr>
        <w:rFonts w:hint="eastAsia"/>
      </w:rPr>
    </w:lvl>
  </w:abstractNum>
  <w:abstractNum w:abstractNumId="59">
    <w:nsid w:val="3EB0D2DB"/>
    <w:multiLevelType w:val="singleLevel"/>
    <w:tmpl w:val="3EB0D2DB"/>
    <w:lvl w:ilvl="0" w:tentative="0">
      <w:start w:val="1"/>
      <w:numFmt w:val="decimal"/>
      <w:suff w:val="nothing"/>
      <w:lvlText w:val="（%1）"/>
      <w:lvlJc w:val="left"/>
    </w:lvl>
  </w:abstractNum>
  <w:abstractNum w:abstractNumId="60">
    <w:nsid w:val="40D4806D"/>
    <w:multiLevelType w:val="multilevel"/>
    <w:tmpl w:val="40D4806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1">
    <w:nsid w:val="433447A7"/>
    <w:multiLevelType w:val="singleLevel"/>
    <w:tmpl w:val="433447A7"/>
    <w:lvl w:ilvl="0" w:tentative="0">
      <w:start w:val="1"/>
      <w:numFmt w:val="decimalEnclosedCircleChinese"/>
      <w:suff w:val="nothing"/>
      <w:lvlText w:val="%1"/>
      <w:lvlJc w:val="left"/>
      <w:pPr>
        <w:ind w:left="0" w:firstLine="40"/>
      </w:pPr>
      <w:rPr>
        <w:rFonts w:hint="eastAsia"/>
      </w:rPr>
    </w:lvl>
  </w:abstractNum>
  <w:abstractNum w:abstractNumId="62">
    <w:nsid w:val="43CD6AD7"/>
    <w:multiLevelType w:val="multilevel"/>
    <w:tmpl w:val="43CD6AD7"/>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3">
    <w:nsid w:val="44E532D6"/>
    <w:multiLevelType w:val="multilevel"/>
    <w:tmpl w:val="44E532D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4">
    <w:nsid w:val="4BAC3BD1"/>
    <w:multiLevelType w:val="multilevel"/>
    <w:tmpl w:val="4BAC3BD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5">
    <w:nsid w:val="4BC03C94"/>
    <w:multiLevelType w:val="multilevel"/>
    <w:tmpl w:val="4BC03C94"/>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6">
    <w:nsid w:val="50F2B440"/>
    <w:multiLevelType w:val="singleLevel"/>
    <w:tmpl w:val="50F2B440"/>
    <w:lvl w:ilvl="0" w:tentative="0">
      <w:start w:val="1"/>
      <w:numFmt w:val="decimalEnclosedCircleChinese"/>
      <w:suff w:val="nothing"/>
      <w:lvlText w:val="%1"/>
      <w:lvlJc w:val="left"/>
      <w:pPr>
        <w:ind w:left="0" w:firstLine="40"/>
      </w:pPr>
      <w:rPr>
        <w:rFonts w:hint="eastAsia"/>
      </w:rPr>
    </w:lvl>
  </w:abstractNum>
  <w:abstractNum w:abstractNumId="67">
    <w:nsid w:val="522B0D22"/>
    <w:multiLevelType w:val="multilevel"/>
    <w:tmpl w:val="522B0D2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8">
    <w:nsid w:val="552E9823"/>
    <w:multiLevelType w:val="singleLevel"/>
    <w:tmpl w:val="552E9823"/>
    <w:lvl w:ilvl="0" w:tentative="0">
      <w:start w:val="1"/>
      <w:numFmt w:val="decimal"/>
      <w:suff w:val="nothing"/>
      <w:lvlText w:val="（%1）"/>
      <w:lvlJc w:val="left"/>
    </w:lvl>
  </w:abstractNum>
  <w:abstractNum w:abstractNumId="69">
    <w:nsid w:val="57F111F1"/>
    <w:multiLevelType w:val="multilevel"/>
    <w:tmpl w:val="57F111F1"/>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0">
    <w:nsid w:val="58A7A0A9"/>
    <w:multiLevelType w:val="multilevel"/>
    <w:tmpl w:val="58A7A0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1">
    <w:nsid w:val="58F86A50"/>
    <w:multiLevelType w:val="singleLevel"/>
    <w:tmpl w:val="58F86A50"/>
    <w:lvl w:ilvl="0" w:tentative="0">
      <w:start w:val="1"/>
      <w:numFmt w:val="decimal"/>
      <w:suff w:val="nothing"/>
      <w:lvlText w:val="（%1）"/>
      <w:lvlJc w:val="left"/>
    </w:lvl>
  </w:abstractNum>
  <w:abstractNum w:abstractNumId="72">
    <w:nsid w:val="59CD62CC"/>
    <w:multiLevelType w:val="multilevel"/>
    <w:tmpl w:val="59CD62CC"/>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3">
    <w:nsid w:val="5BA0E63D"/>
    <w:multiLevelType w:val="singleLevel"/>
    <w:tmpl w:val="5BA0E63D"/>
    <w:lvl w:ilvl="0" w:tentative="0">
      <w:start w:val="1"/>
      <w:numFmt w:val="decimalEnclosedCircleChinese"/>
      <w:suff w:val="nothing"/>
      <w:lvlText w:val="%1"/>
      <w:lvlJc w:val="left"/>
      <w:pPr>
        <w:ind w:left="0" w:firstLine="40"/>
      </w:pPr>
      <w:rPr>
        <w:rFonts w:hint="eastAsia"/>
      </w:rPr>
    </w:lvl>
  </w:abstractNum>
  <w:abstractNum w:abstractNumId="74">
    <w:nsid w:val="5DDE0AC3"/>
    <w:multiLevelType w:val="singleLevel"/>
    <w:tmpl w:val="5DDE0AC3"/>
    <w:lvl w:ilvl="0" w:tentative="0">
      <w:start w:val="1"/>
      <w:numFmt w:val="decimal"/>
      <w:suff w:val="nothing"/>
      <w:lvlText w:val="（%1）"/>
      <w:lvlJc w:val="left"/>
    </w:lvl>
  </w:abstractNum>
  <w:abstractNum w:abstractNumId="75">
    <w:nsid w:val="5E79A901"/>
    <w:multiLevelType w:val="multilevel"/>
    <w:tmpl w:val="5E79A901"/>
    <w:lvl w:ilvl="0" w:tentative="0">
      <w:start w:val="1"/>
      <w:numFmt w:val="decimal"/>
      <w:pStyle w:val="28"/>
      <w:suff w:val="space"/>
      <w:lvlText w:val="%1"/>
      <w:lvlJc w:val="center"/>
      <w:pPr>
        <w:tabs>
          <w:tab w:val="left" w:pos="0"/>
        </w:tabs>
        <w:ind w:left="0" w:leftChars="0" w:firstLine="0" w:firstLineChars="0"/>
      </w:pPr>
      <w:rPr>
        <w:rFonts w:hint="default"/>
      </w:rPr>
    </w:lvl>
    <w:lvl w:ilvl="1" w:tentative="0">
      <w:start w:val="1"/>
      <w:numFmt w:val="decimal"/>
      <w:pStyle w:val="29"/>
      <w:suff w:val="space"/>
      <w:lvlText w:val="%1.%2"/>
      <w:lvlJc w:val="center"/>
      <w:pPr>
        <w:tabs>
          <w:tab w:val="left" w:pos="420"/>
        </w:tabs>
        <w:ind w:left="0" w:leftChars="0" w:firstLine="0" w:firstLineChars="0"/>
      </w:pPr>
      <w:rPr>
        <w:rFonts w:hint="default"/>
      </w:rPr>
    </w:lvl>
    <w:lvl w:ilvl="2" w:tentative="0">
      <w:start w:val="1"/>
      <w:numFmt w:val="decimal"/>
      <w:pStyle w:val="30"/>
      <w:suff w:val="nothing"/>
      <w:lvlText w:val="%1.%2.%3"/>
      <w:lvlJc w:val="left"/>
      <w:pPr>
        <w:tabs>
          <w:tab w:val="left" w:pos="0"/>
        </w:tabs>
        <w:ind w:left="720" w:hanging="720"/>
      </w:pPr>
      <w:rPr>
        <w:rFonts w:hint="default"/>
      </w:rPr>
    </w:lvl>
    <w:lvl w:ilvl="3" w:tentative="0">
      <w:start w:val="1"/>
      <w:numFmt w:val="decimal"/>
      <w:pStyle w:val="6"/>
      <w:lvlText w:val="%1.%2.%3.%4."/>
      <w:lvlJc w:val="left"/>
      <w:pPr>
        <w:ind w:left="864" w:hanging="864"/>
      </w:pPr>
      <w:rPr>
        <w:rFonts w:hint="default"/>
      </w:rPr>
    </w:lvl>
    <w:lvl w:ilvl="4" w:tentative="0">
      <w:start w:val="1"/>
      <w:numFmt w:val="decimal"/>
      <w:pStyle w:val="7"/>
      <w:lvlText w:val="%1.%2.%3.%4.%5."/>
      <w:lvlJc w:val="left"/>
      <w:pPr>
        <w:ind w:left="1008" w:hanging="1008"/>
      </w:pPr>
      <w:rPr>
        <w:rFonts w:hint="default"/>
      </w:rPr>
    </w:lvl>
    <w:lvl w:ilvl="5" w:tentative="0">
      <w:start w:val="1"/>
      <w:numFmt w:val="decimal"/>
      <w:pStyle w:val="8"/>
      <w:lvlText w:val="%1.%2.%3.%4.%5.%6."/>
      <w:lvlJc w:val="left"/>
      <w:pPr>
        <w:ind w:left="1151" w:hanging="1151"/>
      </w:pPr>
      <w:rPr>
        <w:rFonts w:hint="default"/>
      </w:rPr>
    </w:lvl>
    <w:lvl w:ilvl="6" w:tentative="0">
      <w:start w:val="1"/>
      <w:numFmt w:val="decimal"/>
      <w:pStyle w:val="9"/>
      <w:lvlText w:val="%1.%2.%3.%4.%5.%6.%7."/>
      <w:lvlJc w:val="left"/>
      <w:pPr>
        <w:ind w:left="1296" w:hanging="1296"/>
      </w:pPr>
      <w:rPr>
        <w:rFonts w:hint="default"/>
      </w:rPr>
    </w:lvl>
    <w:lvl w:ilvl="7" w:tentative="0">
      <w:start w:val="1"/>
      <w:numFmt w:val="decimal"/>
      <w:pStyle w:val="10"/>
      <w:lvlText w:val="%1.%2.%3.%4.%5.%6.%7.%8."/>
      <w:lvlJc w:val="left"/>
      <w:pPr>
        <w:ind w:left="1440" w:hanging="1440"/>
      </w:pPr>
      <w:rPr>
        <w:rFonts w:hint="default"/>
      </w:rPr>
    </w:lvl>
    <w:lvl w:ilvl="8" w:tentative="0">
      <w:start w:val="1"/>
      <w:numFmt w:val="decimal"/>
      <w:pStyle w:val="11"/>
      <w:lvlText w:val="%1.%2.%3.%4.%5.%6.%7.%8.%9."/>
      <w:lvlJc w:val="left"/>
      <w:pPr>
        <w:ind w:left="1583" w:hanging="1583"/>
      </w:pPr>
      <w:rPr>
        <w:rFonts w:hint="default"/>
      </w:rPr>
    </w:lvl>
  </w:abstractNum>
  <w:abstractNum w:abstractNumId="76">
    <w:nsid w:val="5F0DAC40"/>
    <w:multiLevelType w:val="singleLevel"/>
    <w:tmpl w:val="5F0DAC40"/>
    <w:lvl w:ilvl="0" w:tentative="0">
      <w:start w:val="1"/>
      <w:numFmt w:val="decimalEnclosedCircleChinese"/>
      <w:suff w:val="nothing"/>
      <w:lvlText w:val="%1"/>
      <w:lvlJc w:val="left"/>
      <w:pPr>
        <w:ind w:left="0" w:firstLine="40"/>
      </w:pPr>
      <w:rPr>
        <w:rFonts w:hint="eastAsia"/>
      </w:rPr>
    </w:lvl>
  </w:abstractNum>
  <w:abstractNum w:abstractNumId="77">
    <w:nsid w:val="605EEA3F"/>
    <w:multiLevelType w:val="singleLevel"/>
    <w:tmpl w:val="605EEA3F"/>
    <w:lvl w:ilvl="0" w:tentative="0">
      <w:start w:val="1"/>
      <w:numFmt w:val="decimalEnclosedCircleChinese"/>
      <w:suff w:val="nothing"/>
      <w:lvlText w:val="%1"/>
      <w:lvlJc w:val="left"/>
      <w:pPr>
        <w:ind w:left="0" w:firstLine="40"/>
      </w:pPr>
      <w:rPr>
        <w:rFonts w:hint="eastAsia"/>
      </w:rPr>
    </w:lvl>
  </w:abstractNum>
  <w:abstractNum w:abstractNumId="78">
    <w:nsid w:val="66BF1FBF"/>
    <w:multiLevelType w:val="singleLevel"/>
    <w:tmpl w:val="66BF1FBF"/>
    <w:lvl w:ilvl="0" w:tentative="0">
      <w:start w:val="1"/>
      <w:numFmt w:val="decimalEnclosedCircleChinese"/>
      <w:suff w:val="nothing"/>
      <w:lvlText w:val="%1"/>
      <w:lvlJc w:val="left"/>
      <w:pPr>
        <w:ind w:left="0" w:firstLine="40"/>
      </w:pPr>
      <w:rPr>
        <w:rFonts w:hint="eastAsia"/>
      </w:rPr>
    </w:lvl>
  </w:abstractNum>
  <w:abstractNum w:abstractNumId="79">
    <w:nsid w:val="6A5042B0"/>
    <w:multiLevelType w:val="multilevel"/>
    <w:tmpl w:val="6A5042B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0">
    <w:nsid w:val="6AC83A66"/>
    <w:multiLevelType w:val="multilevel"/>
    <w:tmpl w:val="6AC83A6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1">
    <w:nsid w:val="6EA809F5"/>
    <w:multiLevelType w:val="singleLevel"/>
    <w:tmpl w:val="6EA809F5"/>
    <w:lvl w:ilvl="0" w:tentative="0">
      <w:start w:val="1"/>
      <w:numFmt w:val="decimalEnclosedCircleChinese"/>
      <w:suff w:val="nothing"/>
      <w:lvlText w:val="%1"/>
      <w:lvlJc w:val="left"/>
      <w:pPr>
        <w:ind w:left="0" w:firstLine="40"/>
      </w:pPr>
      <w:rPr>
        <w:rFonts w:hint="eastAsia"/>
      </w:rPr>
    </w:lvl>
  </w:abstractNum>
  <w:abstractNum w:abstractNumId="82">
    <w:nsid w:val="6EDA0228"/>
    <w:multiLevelType w:val="multilevel"/>
    <w:tmpl w:val="6EDA0228"/>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3">
    <w:nsid w:val="6F030740"/>
    <w:multiLevelType w:val="multilevel"/>
    <w:tmpl w:val="6F03074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4">
    <w:nsid w:val="70344FA2"/>
    <w:multiLevelType w:val="multilevel"/>
    <w:tmpl w:val="70344FA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5">
    <w:nsid w:val="703A3793"/>
    <w:multiLevelType w:val="multilevel"/>
    <w:tmpl w:val="703A379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6">
    <w:nsid w:val="7551923E"/>
    <w:multiLevelType w:val="singleLevel"/>
    <w:tmpl w:val="7551923E"/>
    <w:lvl w:ilvl="0" w:tentative="0">
      <w:start w:val="1"/>
      <w:numFmt w:val="decimalEnclosedCircleChinese"/>
      <w:suff w:val="nothing"/>
      <w:lvlText w:val="%1"/>
      <w:lvlJc w:val="left"/>
      <w:pPr>
        <w:ind w:left="0" w:firstLine="40"/>
      </w:pPr>
      <w:rPr>
        <w:rFonts w:hint="eastAsia"/>
      </w:rPr>
    </w:lvl>
  </w:abstractNum>
  <w:abstractNum w:abstractNumId="87">
    <w:nsid w:val="757C56CA"/>
    <w:multiLevelType w:val="multilevel"/>
    <w:tmpl w:val="757C56CA"/>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8">
    <w:nsid w:val="7662DD51"/>
    <w:multiLevelType w:val="multilevel"/>
    <w:tmpl w:val="7662DD5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9">
    <w:nsid w:val="7B6B78B0"/>
    <w:multiLevelType w:val="multilevel"/>
    <w:tmpl w:val="7B6B78B0"/>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0">
    <w:nsid w:val="7D791606"/>
    <w:multiLevelType w:val="singleLevel"/>
    <w:tmpl w:val="7D791606"/>
    <w:lvl w:ilvl="0" w:tentative="0">
      <w:start w:val="1"/>
      <w:numFmt w:val="decimalEnclosedCircleChinese"/>
      <w:suff w:val="nothing"/>
      <w:lvlText w:val="%1"/>
      <w:lvlJc w:val="left"/>
      <w:pPr>
        <w:ind w:left="0" w:firstLine="40"/>
      </w:pPr>
      <w:rPr>
        <w:rFonts w:hint="eastAsia"/>
      </w:rPr>
    </w:lvl>
  </w:abstractNum>
  <w:abstractNum w:abstractNumId="91">
    <w:nsid w:val="7DD10F57"/>
    <w:multiLevelType w:val="multilevel"/>
    <w:tmpl w:val="7DD10F57"/>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4"/>
  </w:num>
  <w:num w:numId="2">
    <w:abstractNumId w:val="75"/>
  </w:num>
  <w:num w:numId="3">
    <w:abstractNumId w:val="19"/>
  </w:num>
  <w:num w:numId="4">
    <w:abstractNumId w:val="50"/>
  </w:num>
  <w:num w:numId="5">
    <w:abstractNumId w:val="7"/>
  </w:num>
  <w:num w:numId="6">
    <w:abstractNumId w:val="34"/>
  </w:num>
  <w:num w:numId="7">
    <w:abstractNumId w:val="14"/>
  </w:num>
  <w:num w:numId="8">
    <w:abstractNumId w:val="6"/>
  </w:num>
  <w:num w:numId="9">
    <w:abstractNumId w:val="16"/>
  </w:num>
  <w:num w:numId="10">
    <w:abstractNumId w:val="29"/>
  </w:num>
  <w:num w:numId="11">
    <w:abstractNumId w:val="10"/>
  </w:num>
  <w:num w:numId="12">
    <w:abstractNumId w:val="15"/>
  </w:num>
  <w:num w:numId="13">
    <w:abstractNumId w:val="88"/>
  </w:num>
  <w:num w:numId="14">
    <w:abstractNumId w:val="80"/>
  </w:num>
  <w:num w:numId="15">
    <w:abstractNumId w:val="62"/>
  </w:num>
  <w:num w:numId="16">
    <w:abstractNumId w:val="63"/>
  </w:num>
  <w:num w:numId="17">
    <w:abstractNumId w:val="60"/>
  </w:num>
  <w:num w:numId="18">
    <w:abstractNumId w:val="20"/>
  </w:num>
  <w:num w:numId="19">
    <w:abstractNumId w:val="13"/>
  </w:num>
  <w:num w:numId="20">
    <w:abstractNumId w:val="17"/>
  </w:num>
  <w:num w:numId="21">
    <w:abstractNumId w:val="30"/>
  </w:num>
  <w:num w:numId="22">
    <w:abstractNumId w:val="67"/>
  </w:num>
  <w:num w:numId="23">
    <w:abstractNumId w:val="4"/>
  </w:num>
  <w:num w:numId="24">
    <w:abstractNumId w:val="33"/>
  </w:num>
  <w:num w:numId="25">
    <w:abstractNumId w:val="41"/>
  </w:num>
  <w:num w:numId="26">
    <w:abstractNumId w:val="22"/>
  </w:num>
  <w:num w:numId="27">
    <w:abstractNumId w:val="5"/>
  </w:num>
  <w:num w:numId="28">
    <w:abstractNumId w:val="28"/>
  </w:num>
  <w:num w:numId="29">
    <w:abstractNumId w:val="70"/>
  </w:num>
  <w:num w:numId="30">
    <w:abstractNumId w:val="64"/>
  </w:num>
  <w:num w:numId="31">
    <w:abstractNumId w:val="27"/>
  </w:num>
  <w:num w:numId="32">
    <w:abstractNumId w:val="47"/>
  </w:num>
  <w:num w:numId="33">
    <w:abstractNumId w:val="40"/>
  </w:num>
  <w:num w:numId="34">
    <w:abstractNumId w:val="66"/>
  </w:num>
  <w:num w:numId="35">
    <w:abstractNumId w:val="18"/>
  </w:num>
  <w:num w:numId="36">
    <w:abstractNumId w:val="81"/>
  </w:num>
  <w:num w:numId="37">
    <w:abstractNumId w:val="90"/>
  </w:num>
  <w:num w:numId="38">
    <w:abstractNumId w:val="31"/>
  </w:num>
  <w:num w:numId="39">
    <w:abstractNumId w:val="25"/>
  </w:num>
  <w:num w:numId="40">
    <w:abstractNumId w:val="55"/>
  </w:num>
  <w:num w:numId="41">
    <w:abstractNumId w:val="73"/>
  </w:num>
  <w:num w:numId="42">
    <w:abstractNumId w:val="3"/>
  </w:num>
  <w:num w:numId="43">
    <w:abstractNumId w:val="11"/>
  </w:num>
  <w:num w:numId="44">
    <w:abstractNumId w:val="51"/>
  </w:num>
  <w:num w:numId="45">
    <w:abstractNumId w:val="72"/>
  </w:num>
  <w:num w:numId="46">
    <w:abstractNumId w:val="89"/>
  </w:num>
  <w:num w:numId="47">
    <w:abstractNumId w:val="37"/>
  </w:num>
  <w:num w:numId="48">
    <w:abstractNumId w:val="69"/>
  </w:num>
  <w:num w:numId="49">
    <w:abstractNumId w:val="42"/>
  </w:num>
  <w:num w:numId="50">
    <w:abstractNumId w:val="79"/>
  </w:num>
  <w:num w:numId="51">
    <w:abstractNumId w:val="56"/>
  </w:num>
  <w:num w:numId="52">
    <w:abstractNumId w:val="44"/>
  </w:num>
  <w:num w:numId="53">
    <w:abstractNumId w:val="86"/>
  </w:num>
  <w:num w:numId="54">
    <w:abstractNumId w:val="1"/>
  </w:num>
  <w:num w:numId="55">
    <w:abstractNumId w:val="48"/>
  </w:num>
  <w:num w:numId="56">
    <w:abstractNumId w:val="91"/>
  </w:num>
  <w:num w:numId="57">
    <w:abstractNumId w:val="85"/>
  </w:num>
  <w:num w:numId="58">
    <w:abstractNumId w:val="54"/>
  </w:num>
  <w:num w:numId="59">
    <w:abstractNumId w:val="45"/>
  </w:num>
  <w:num w:numId="60">
    <w:abstractNumId w:val="78"/>
  </w:num>
  <w:num w:numId="61">
    <w:abstractNumId w:val="76"/>
  </w:num>
  <w:num w:numId="62">
    <w:abstractNumId w:val="9"/>
  </w:num>
  <w:num w:numId="63">
    <w:abstractNumId w:val="23"/>
  </w:num>
  <w:num w:numId="64">
    <w:abstractNumId w:val="52"/>
  </w:num>
  <w:num w:numId="65">
    <w:abstractNumId w:val="87"/>
  </w:num>
  <w:num w:numId="66">
    <w:abstractNumId w:val="82"/>
  </w:num>
  <w:num w:numId="67">
    <w:abstractNumId w:val="39"/>
  </w:num>
  <w:num w:numId="68">
    <w:abstractNumId w:val="49"/>
  </w:num>
  <w:num w:numId="69">
    <w:abstractNumId w:val="83"/>
  </w:num>
  <w:num w:numId="70">
    <w:abstractNumId w:val="38"/>
  </w:num>
  <w:num w:numId="71">
    <w:abstractNumId w:val="21"/>
  </w:num>
  <w:num w:numId="72">
    <w:abstractNumId w:val="77"/>
  </w:num>
  <w:num w:numId="73">
    <w:abstractNumId w:val="58"/>
  </w:num>
  <w:num w:numId="74">
    <w:abstractNumId w:val="12"/>
  </w:num>
  <w:num w:numId="75">
    <w:abstractNumId w:val="65"/>
  </w:num>
  <w:num w:numId="76">
    <w:abstractNumId w:val="84"/>
  </w:num>
  <w:num w:numId="77">
    <w:abstractNumId w:val="36"/>
  </w:num>
  <w:num w:numId="78">
    <w:abstractNumId w:val="61"/>
  </w:num>
  <w:num w:numId="79">
    <w:abstractNumId w:val="32"/>
  </w:num>
  <w:num w:numId="80">
    <w:abstractNumId w:val="46"/>
  </w:num>
  <w:num w:numId="81">
    <w:abstractNumId w:val="57"/>
  </w:num>
  <w:num w:numId="82">
    <w:abstractNumId w:val="35"/>
  </w:num>
  <w:num w:numId="83">
    <w:abstractNumId w:val="26"/>
  </w:num>
  <w:num w:numId="84">
    <w:abstractNumId w:val="74"/>
  </w:num>
  <w:num w:numId="85">
    <w:abstractNumId w:val="43"/>
  </w:num>
  <w:num w:numId="86">
    <w:abstractNumId w:val="2"/>
  </w:num>
  <w:num w:numId="87">
    <w:abstractNumId w:val="59"/>
  </w:num>
  <w:num w:numId="88">
    <w:abstractNumId w:val="8"/>
  </w:num>
  <w:num w:numId="89">
    <w:abstractNumId w:val="0"/>
  </w:num>
  <w:num w:numId="90">
    <w:abstractNumId w:val="53"/>
  </w:num>
  <w:num w:numId="91">
    <w:abstractNumId w:val="68"/>
  </w:num>
  <w:num w:numId="92">
    <w:abstractNumId w:val="7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mirrorMargin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4OGUzYTM5YjlkYzliZGNjMWZlNTUxMmJkYmIzZDYifQ=="/>
  </w:docVars>
  <w:rsids>
    <w:rsidRoot w:val="00000000"/>
    <w:rsid w:val="00052A18"/>
    <w:rsid w:val="000C024B"/>
    <w:rsid w:val="00164F47"/>
    <w:rsid w:val="001A64C4"/>
    <w:rsid w:val="0026130D"/>
    <w:rsid w:val="00285085"/>
    <w:rsid w:val="00333A2A"/>
    <w:rsid w:val="003357D8"/>
    <w:rsid w:val="00346B8D"/>
    <w:rsid w:val="004874D5"/>
    <w:rsid w:val="004C7EA1"/>
    <w:rsid w:val="004D4AEB"/>
    <w:rsid w:val="00574260"/>
    <w:rsid w:val="005F45CD"/>
    <w:rsid w:val="00627E6B"/>
    <w:rsid w:val="0067722F"/>
    <w:rsid w:val="006F69AF"/>
    <w:rsid w:val="00702588"/>
    <w:rsid w:val="007535B9"/>
    <w:rsid w:val="00771B68"/>
    <w:rsid w:val="00854A7B"/>
    <w:rsid w:val="008878D1"/>
    <w:rsid w:val="00960C8B"/>
    <w:rsid w:val="009D3880"/>
    <w:rsid w:val="00AD10E6"/>
    <w:rsid w:val="00B71F65"/>
    <w:rsid w:val="00B871F7"/>
    <w:rsid w:val="00BA7CA7"/>
    <w:rsid w:val="00BB147E"/>
    <w:rsid w:val="00C621A8"/>
    <w:rsid w:val="00CB77BE"/>
    <w:rsid w:val="00CD3536"/>
    <w:rsid w:val="00CE1A3B"/>
    <w:rsid w:val="00D56B5D"/>
    <w:rsid w:val="00D70859"/>
    <w:rsid w:val="00D72607"/>
    <w:rsid w:val="00D87E16"/>
    <w:rsid w:val="00D91EDB"/>
    <w:rsid w:val="00EB60B2"/>
    <w:rsid w:val="00FA2C23"/>
    <w:rsid w:val="010F3B4F"/>
    <w:rsid w:val="01150CE5"/>
    <w:rsid w:val="01192C1F"/>
    <w:rsid w:val="011949CD"/>
    <w:rsid w:val="01213882"/>
    <w:rsid w:val="01234F16"/>
    <w:rsid w:val="012A2737"/>
    <w:rsid w:val="012E6220"/>
    <w:rsid w:val="01323CE1"/>
    <w:rsid w:val="01435DCC"/>
    <w:rsid w:val="014C6B51"/>
    <w:rsid w:val="015027F5"/>
    <w:rsid w:val="01527EDF"/>
    <w:rsid w:val="015B4120"/>
    <w:rsid w:val="015B6D94"/>
    <w:rsid w:val="015E4AD6"/>
    <w:rsid w:val="016245C6"/>
    <w:rsid w:val="016263D0"/>
    <w:rsid w:val="016320EC"/>
    <w:rsid w:val="016F0A91"/>
    <w:rsid w:val="01722330"/>
    <w:rsid w:val="017C557A"/>
    <w:rsid w:val="017E64C1"/>
    <w:rsid w:val="01916C5A"/>
    <w:rsid w:val="01A249C3"/>
    <w:rsid w:val="01AA3877"/>
    <w:rsid w:val="01B72B02"/>
    <w:rsid w:val="01BB5A85"/>
    <w:rsid w:val="01BE5948"/>
    <w:rsid w:val="01C26E13"/>
    <w:rsid w:val="01C7267B"/>
    <w:rsid w:val="01C94F17"/>
    <w:rsid w:val="01CB01B3"/>
    <w:rsid w:val="01CC0E66"/>
    <w:rsid w:val="01CD4D28"/>
    <w:rsid w:val="01CF1530"/>
    <w:rsid w:val="01E25ABE"/>
    <w:rsid w:val="01E46D89"/>
    <w:rsid w:val="01E943A0"/>
    <w:rsid w:val="01F66ABD"/>
    <w:rsid w:val="01F80A87"/>
    <w:rsid w:val="01F9035B"/>
    <w:rsid w:val="0200481C"/>
    <w:rsid w:val="020411DA"/>
    <w:rsid w:val="020531A4"/>
    <w:rsid w:val="020E2058"/>
    <w:rsid w:val="021138F7"/>
    <w:rsid w:val="021179FE"/>
    <w:rsid w:val="02140B55"/>
    <w:rsid w:val="021533E7"/>
    <w:rsid w:val="021A09FD"/>
    <w:rsid w:val="021D229B"/>
    <w:rsid w:val="021D673F"/>
    <w:rsid w:val="02290C40"/>
    <w:rsid w:val="02391278"/>
    <w:rsid w:val="02447828"/>
    <w:rsid w:val="02532161"/>
    <w:rsid w:val="0261487E"/>
    <w:rsid w:val="02674F71"/>
    <w:rsid w:val="02685C0C"/>
    <w:rsid w:val="026B1259"/>
    <w:rsid w:val="026B74AB"/>
    <w:rsid w:val="02781B1F"/>
    <w:rsid w:val="027C16B8"/>
    <w:rsid w:val="0284231A"/>
    <w:rsid w:val="028C11CF"/>
    <w:rsid w:val="028E6DDF"/>
    <w:rsid w:val="02936A01"/>
    <w:rsid w:val="0295277A"/>
    <w:rsid w:val="029702A0"/>
    <w:rsid w:val="02987B74"/>
    <w:rsid w:val="029C3B08"/>
    <w:rsid w:val="029C58B6"/>
    <w:rsid w:val="029E162E"/>
    <w:rsid w:val="02A4298F"/>
    <w:rsid w:val="02AD361F"/>
    <w:rsid w:val="02AE55E9"/>
    <w:rsid w:val="02BC7D06"/>
    <w:rsid w:val="02BF15A4"/>
    <w:rsid w:val="02C57005"/>
    <w:rsid w:val="02C95F7F"/>
    <w:rsid w:val="02CD1F13"/>
    <w:rsid w:val="02CE3596"/>
    <w:rsid w:val="02D05560"/>
    <w:rsid w:val="02E84657"/>
    <w:rsid w:val="02EA4873"/>
    <w:rsid w:val="02F456F2"/>
    <w:rsid w:val="02F53218"/>
    <w:rsid w:val="02F70D3E"/>
    <w:rsid w:val="02F96864"/>
    <w:rsid w:val="03035935"/>
    <w:rsid w:val="0305345B"/>
    <w:rsid w:val="03084CFA"/>
    <w:rsid w:val="03086AA8"/>
    <w:rsid w:val="03092820"/>
    <w:rsid w:val="031E276F"/>
    <w:rsid w:val="03351867"/>
    <w:rsid w:val="03353615"/>
    <w:rsid w:val="033C49A3"/>
    <w:rsid w:val="03411FB9"/>
    <w:rsid w:val="03443858"/>
    <w:rsid w:val="034D21D9"/>
    <w:rsid w:val="034D6BB0"/>
    <w:rsid w:val="035B751F"/>
    <w:rsid w:val="03681C3C"/>
    <w:rsid w:val="036A59B4"/>
    <w:rsid w:val="03806F86"/>
    <w:rsid w:val="038A1BB2"/>
    <w:rsid w:val="038D16A3"/>
    <w:rsid w:val="03912F41"/>
    <w:rsid w:val="03A644DC"/>
    <w:rsid w:val="03AF33C7"/>
    <w:rsid w:val="03B10EED"/>
    <w:rsid w:val="03B60BF9"/>
    <w:rsid w:val="03C835BC"/>
    <w:rsid w:val="03C9092D"/>
    <w:rsid w:val="03CC5D27"/>
    <w:rsid w:val="03CF75C5"/>
    <w:rsid w:val="03D1158F"/>
    <w:rsid w:val="03D1333D"/>
    <w:rsid w:val="03D472D2"/>
    <w:rsid w:val="03D746CC"/>
    <w:rsid w:val="03F35447"/>
    <w:rsid w:val="03F90AE6"/>
    <w:rsid w:val="03FA6D38"/>
    <w:rsid w:val="03FB13B7"/>
    <w:rsid w:val="03FF434E"/>
    <w:rsid w:val="040C25C7"/>
    <w:rsid w:val="040E4592"/>
    <w:rsid w:val="04126601"/>
    <w:rsid w:val="0414297A"/>
    <w:rsid w:val="0422003D"/>
    <w:rsid w:val="04247911"/>
    <w:rsid w:val="043333E8"/>
    <w:rsid w:val="04351B1E"/>
    <w:rsid w:val="04387860"/>
    <w:rsid w:val="043A35D9"/>
    <w:rsid w:val="043D4E77"/>
    <w:rsid w:val="04446205"/>
    <w:rsid w:val="044605DF"/>
    <w:rsid w:val="044B2177"/>
    <w:rsid w:val="04510922"/>
    <w:rsid w:val="045B52FD"/>
    <w:rsid w:val="046B19E4"/>
    <w:rsid w:val="046C3066"/>
    <w:rsid w:val="046E3282"/>
    <w:rsid w:val="04806B11"/>
    <w:rsid w:val="048D6B52"/>
    <w:rsid w:val="04912ACD"/>
    <w:rsid w:val="04934A97"/>
    <w:rsid w:val="04A52162"/>
    <w:rsid w:val="04C23FCE"/>
    <w:rsid w:val="04C64E6C"/>
    <w:rsid w:val="04C80BE4"/>
    <w:rsid w:val="04C86E57"/>
    <w:rsid w:val="04C870EF"/>
    <w:rsid w:val="04CB5FDF"/>
    <w:rsid w:val="04CF70C9"/>
    <w:rsid w:val="04D07A99"/>
    <w:rsid w:val="04DA0918"/>
    <w:rsid w:val="04DC71D5"/>
    <w:rsid w:val="04E377CC"/>
    <w:rsid w:val="04EF43C3"/>
    <w:rsid w:val="04F33787"/>
    <w:rsid w:val="04F75026"/>
    <w:rsid w:val="04FC263C"/>
    <w:rsid w:val="04FF3EDA"/>
    <w:rsid w:val="050D65F7"/>
    <w:rsid w:val="05121E5F"/>
    <w:rsid w:val="05165F64"/>
    <w:rsid w:val="051B02AC"/>
    <w:rsid w:val="052F267F"/>
    <w:rsid w:val="053578FC"/>
    <w:rsid w:val="053A4F12"/>
    <w:rsid w:val="053C6A9B"/>
    <w:rsid w:val="053D0E7E"/>
    <w:rsid w:val="05404C1F"/>
    <w:rsid w:val="05446D9B"/>
    <w:rsid w:val="05461B09"/>
    <w:rsid w:val="055378B1"/>
    <w:rsid w:val="055B3806"/>
    <w:rsid w:val="055F2BCB"/>
    <w:rsid w:val="056326BB"/>
    <w:rsid w:val="056F1060"/>
    <w:rsid w:val="05726DA2"/>
    <w:rsid w:val="05860158"/>
    <w:rsid w:val="058A40EC"/>
    <w:rsid w:val="058D14E6"/>
    <w:rsid w:val="058D598A"/>
    <w:rsid w:val="05924D4E"/>
    <w:rsid w:val="059C797B"/>
    <w:rsid w:val="05A36F5B"/>
    <w:rsid w:val="05AC4062"/>
    <w:rsid w:val="05BB42A5"/>
    <w:rsid w:val="05C0366A"/>
    <w:rsid w:val="05C25634"/>
    <w:rsid w:val="05D26015"/>
    <w:rsid w:val="05D5449F"/>
    <w:rsid w:val="05D610DF"/>
    <w:rsid w:val="05DE0AE0"/>
    <w:rsid w:val="05E7509A"/>
    <w:rsid w:val="05EE467B"/>
    <w:rsid w:val="05F17CC7"/>
    <w:rsid w:val="05F45A09"/>
    <w:rsid w:val="05FE0636"/>
    <w:rsid w:val="06007F0A"/>
    <w:rsid w:val="06093262"/>
    <w:rsid w:val="06094867"/>
    <w:rsid w:val="061D6D0E"/>
    <w:rsid w:val="062736E9"/>
    <w:rsid w:val="062C0CFF"/>
    <w:rsid w:val="06314567"/>
    <w:rsid w:val="064C2653"/>
    <w:rsid w:val="06510766"/>
    <w:rsid w:val="06527034"/>
    <w:rsid w:val="06532730"/>
    <w:rsid w:val="06587D46"/>
    <w:rsid w:val="06620BC5"/>
    <w:rsid w:val="06664059"/>
    <w:rsid w:val="066E30C6"/>
    <w:rsid w:val="066E7569"/>
    <w:rsid w:val="06764670"/>
    <w:rsid w:val="06874187"/>
    <w:rsid w:val="068943A3"/>
    <w:rsid w:val="069025ED"/>
    <w:rsid w:val="06965CA6"/>
    <w:rsid w:val="069F3BC7"/>
    <w:rsid w:val="06A25465"/>
    <w:rsid w:val="06A967F3"/>
    <w:rsid w:val="06AE3E0A"/>
    <w:rsid w:val="06B05B29"/>
    <w:rsid w:val="06B70F10"/>
    <w:rsid w:val="06BB2083"/>
    <w:rsid w:val="06C40E80"/>
    <w:rsid w:val="06C453DB"/>
    <w:rsid w:val="06C54CB0"/>
    <w:rsid w:val="06C90C44"/>
    <w:rsid w:val="06DC0977"/>
    <w:rsid w:val="06EC048E"/>
    <w:rsid w:val="06F53B15"/>
    <w:rsid w:val="06F75D79"/>
    <w:rsid w:val="06F85085"/>
    <w:rsid w:val="06FF6413"/>
    <w:rsid w:val="070462B7"/>
    <w:rsid w:val="07094565"/>
    <w:rsid w:val="070A424D"/>
    <w:rsid w:val="071A324D"/>
    <w:rsid w:val="071A4FFB"/>
    <w:rsid w:val="071C309C"/>
    <w:rsid w:val="072145DC"/>
    <w:rsid w:val="07247C28"/>
    <w:rsid w:val="074309F6"/>
    <w:rsid w:val="074A1D85"/>
    <w:rsid w:val="07591FC8"/>
    <w:rsid w:val="075A189C"/>
    <w:rsid w:val="075C3866"/>
    <w:rsid w:val="07603356"/>
    <w:rsid w:val="076D7BB0"/>
    <w:rsid w:val="076F17EB"/>
    <w:rsid w:val="07723089"/>
    <w:rsid w:val="077961C6"/>
    <w:rsid w:val="077B6BA6"/>
    <w:rsid w:val="077E7C81"/>
    <w:rsid w:val="077F1302"/>
    <w:rsid w:val="078801B7"/>
    <w:rsid w:val="078B5D81"/>
    <w:rsid w:val="078D7208"/>
    <w:rsid w:val="07AD2313"/>
    <w:rsid w:val="07C35693"/>
    <w:rsid w:val="07CA4C73"/>
    <w:rsid w:val="07D17DB0"/>
    <w:rsid w:val="07E01DA1"/>
    <w:rsid w:val="07E15B19"/>
    <w:rsid w:val="07E51AAD"/>
    <w:rsid w:val="07EC20C2"/>
    <w:rsid w:val="07EF0236"/>
    <w:rsid w:val="07F414F5"/>
    <w:rsid w:val="080812F8"/>
    <w:rsid w:val="08090966"/>
    <w:rsid w:val="080B2B96"/>
    <w:rsid w:val="080D2DB2"/>
    <w:rsid w:val="08135F0E"/>
    <w:rsid w:val="081952B3"/>
    <w:rsid w:val="082A5712"/>
    <w:rsid w:val="082D6FB0"/>
    <w:rsid w:val="085224A3"/>
    <w:rsid w:val="0858402D"/>
    <w:rsid w:val="08590C95"/>
    <w:rsid w:val="086147A3"/>
    <w:rsid w:val="08633073"/>
    <w:rsid w:val="0867283F"/>
    <w:rsid w:val="08687FE8"/>
    <w:rsid w:val="086E55FF"/>
    <w:rsid w:val="086F75C9"/>
    <w:rsid w:val="0878647D"/>
    <w:rsid w:val="088405DA"/>
    <w:rsid w:val="08852948"/>
    <w:rsid w:val="0889068B"/>
    <w:rsid w:val="0892558C"/>
    <w:rsid w:val="08986B20"/>
    <w:rsid w:val="089F7EAE"/>
    <w:rsid w:val="08B60D54"/>
    <w:rsid w:val="08B80F70"/>
    <w:rsid w:val="08BB280E"/>
    <w:rsid w:val="08BB45BC"/>
    <w:rsid w:val="08BF22FE"/>
    <w:rsid w:val="08C23B9D"/>
    <w:rsid w:val="08C416C3"/>
    <w:rsid w:val="08CC67C9"/>
    <w:rsid w:val="08D15B8E"/>
    <w:rsid w:val="08E41AE6"/>
    <w:rsid w:val="08F301FA"/>
    <w:rsid w:val="08FA6E92"/>
    <w:rsid w:val="0903246E"/>
    <w:rsid w:val="09045F63"/>
    <w:rsid w:val="090715AF"/>
    <w:rsid w:val="091066B6"/>
    <w:rsid w:val="09120680"/>
    <w:rsid w:val="091837BC"/>
    <w:rsid w:val="09187C60"/>
    <w:rsid w:val="091D7025"/>
    <w:rsid w:val="091F2D9D"/>
    <w:rsid w:val="092108C3"/>
    <w:rsid w:val="092A3C3E"/>
    <w:rsid w:val="094F414D"/>
    <w:rsid w:val="09572537"/>
    <w:rsid w:val="0958005D"/>
    <w:rsid w:val="0959188D"/>
    <w:rsid w:val="095A3DD5"/>
    <w:rsid w:val="095F13EB"/>
    <w:rsid w:val="09680006"/>
    <w:rsid w:val="09684744"/>
    <w:rsid w:val="096E162E"/>
    <w:rsid w:val="096F6562"/>
    <w:rsid w:val="097529BD"/>
    <w:rsid w:val="09840E52"/>
    <w:rsid w:val="09842C00"/>
    <w:rsid w:val="098F678F"/>
    <w:rsid w:val="099A32D1"/>
    <w:rsid w:val="09A11A04"/>
    <w:rsid w:val="09A45050"/>
    <w:rsid w:val="09AF2373"/>
    <w:rsid w:val="09B5725D"/>
    <w:rsid w:val="09BC683E"/>
    <w:rsid w:val="09C53944"/>
    <w:rsid w:val="09CB4CD3"/>
    <w:rsid w:val="09DA6CC4"/>
    <w:rsid w:val="09DB2138"/>
    <w:rsid w:val="09DB36FC"/>
    <w:rsid w:val="09EA5159"/>
    <w:rsid w:val="09ED056C"/>
    <w:rsid w:val="09EF09C1"/>
    <w:rsid w:val="09EF276F"/>
    <w:rsid w:val="09F2400E"/>
    <w:rsid w:val="09F61D50"/>
    <w:rsid w:val="09FC6C3A"/>
    <w:rsid w:val="09FE6E56"/>
    <w:rsid w:val="0A011480"/>
    <w:rsid w:val="0A093889"/>
    <w:rsid w:val="0A096DD5"/>
    <w:rsid w:val="0A0C1573"/>
    <w:rsid w:val="0A0D52EB"/>
    <w:rsid w:val="0A122902"/>
    <w:rsid w:val="0A1B3F65"/>
    <w:rsid w:val="0A1C108A"/>
    <w:rsid w:val="0A1D552E"/>
    <w:rsid w:val="0A1E71F4"/>
    <w:rsid w:val="0A1F0DB5"/>
    <w:rsid w:val="0A2C39C3"/>
    <w:rsid w:val="0A2D14EA"/>
    <w:rsid w:val="0A397E8E"/>
    <w:rsid w:val="0A3B7763"/>
    <w:rsid w:val="0A3C64F5"/>
    <w:rsid w:val="0A3D172D"/>
    <w:rsid w:val="0A410AF1"/>
    <w:rsid w:val="0A494B99"/>
    <w:rsid w:val="0A4A3E4A"/>
    <w:rsid w:val="0A544CC8"/>
    <w:rsid w:val="0A560A40"/>
    <w:rsid w:val="0A6631B9"/>
    <w:rsid w:val="0A6F1B02"/>
    <w:rsid w:val="0A6F38B0"/>
    <w:rsid w:val="0A762E91"/>
    <w:rsid w:val="0A943317"/>
    <w:rsid w:val="0A992510"/>
    <w:rsid w:val="0A9B6453"/>
    <w:rsid w:val="0A9D666F"/>
    <w:rsid w:val="0AA2576C"/>
    <w:rsid w:val="0AC37758"/>
    <w:rsid w:val="0AC7096E"/>
    <w:rsid w:val="0AC97464"/>
    <w:rsid w:val="0ADD6A6C"/>
    <w:rsid w:val="0AE0030A"/>
    <w:rsid w:val="0AEE0C79"/>
    <w:rsid w:val="0AFA761E"/>
    <w:rsid w:val="0AFD2C6A"/>
    <w:rsid w:val="0B065FC2"/>
    <w:rsid w:val="0B0A5387"/>
    <w:rsid w:val="0B0F1D3F"/>
    <w:rsid w:val="0B136BEC"/>
    <w:rsid w:val="0B242DAC"/>
    <w:rsid w:val="0B293A5F"/>
    <w:rsid w:val="0B3A3EBE"/>
    <w:rsid w:val="0B3A7FBD"/>
    <w:rsid w:val="0B3C19E4"/>
    <w:rsid w:val="0B3F14D4"/>
    <w:rsid w:val="0B4B60CB"/>
    <w:rsid w:val="0B774EE9"/>
    <w:rsid w:val="0B907F82"/>
    <w:rsid w:val="0B9C5955"/>
    <w:rsid w:val="0B9C6927"/>
    <w:rsid w:val="0B9F1F73"/>
    <w:rsid w:val="0BA457DB"/>
    <w:rsid w:val="0BA80E28"/>
    <w:rsid w:val="0BB2614A"/>
    <w:rsid w:val="0BB53545"/>
    <w:rsid w:val="0BB73761"/>
    <w:rsid w:val="0BC1013B"/>
    <w:rsid w:val="0BC4514F"/>
    <w:rsid w:val="0BCB0FBA"/>
    <w:rsid w:val="0BD02715"/>
    <w:rsid w:val="0BD240F7"/>
    <w:rsid w:val="0BDF6813"/>
    <w:rsid w:val="0BED0F30"/>
    <w:rsid w:val="0BEE1523"/>
    <w:rsid w:val="0BF4406D"/>
    <w:rsid w:val="0BF57DE5"/>
    <w:rsid w:val="0C061FF2"/>
    <w:rsid w:val="0C1607C9"/>
    <w:rsid w:val="0C1B5A9E"/>
    <w:rsid w:val="0C1C35C4"/>
    <w:rsid w:val="0C201306"/>
    <w:rsid w:val="0C25691C"/>
    <w:rsid w:val="0C2A5CE1"/>
    <w:rsid w:val="0C2A7A8F"/>
    <w:rsid w:val="0C2D57D1"/>
    <w:rsid w:val="0C344DB1"/>
    <w:rsid w:val="0C3866BC"/>
    <w:rsid w:val="0C3923C8"/>
    <w:rsid w:val="0C3959AE"/>
    <w:rsid w:val="0C476893"/>
    <w:rsid w:val="0C4A6383"/>
    <w:rsid w:val="0C5745FC"/>
    <w:rsid w:val="0C662A91"/>
    <w:rsid w:val="0C676F35"/>
    <w:rsid w:val="0C851169"/>
    <w:rsid w:val="0C8925FB"/>
    <w:rsid w:val="0C8D626F"/>
    <w:rsid w:val="0C9B273A"/>
    <w:rsid w:val="0CAA0BCF"/>
    <w:rsid w:val="0CAD06C0"/>
    <w:rsid w:val="0CB41A4E"/>
    <w:rsid w:val="0CBE467B"/>
    <w:rsid w:val="0CCF0636"/>
    <w:rsid w:val="0CCF6888"/>
    <w:rsid w:val="0CD84A23"/>
    <w:rsid w:val="0CD95E41"/>
    <w:rsid w:val="0CDE52DC"/>
    <w:rsid w:val="0CDF2F6F"/>
    <w:rsid w:val="0CE40585"/>
    <w:rsid w:val="0CE51C08"/>
    <w:rsid w:val="0CE95B9C"/>
    <w:rsid w:val="0CF87B8D"/>
    <w:rsid w:val="0CFA1B57"/>
    <w:rsid w:val="0D004C93"/>
    <w:rsid w:val="0D044784"/>
    <w:rsid w:val="0D136775"/>
    <w:rsid w:val="0D197B03"/>
    <w:rsid w:val="0D2C7836"/>
    <w:rsid w:val="0D305579"/>
    <w:rsid w:val="0D442DD2"/>
    <w:rsid w:val="0D466B4A"/>
    <w:rsid w:val="0D4923B3"/>
    <w:rsid w:val="0D5F19BA"/>
    <w:rsid w:val="0D6B65B1"/>
    <w:rsid w:val="0D6E7E4F"/>
    <w:rsid w:val="0D721847"/>
    <w:rsid w:val="0D7511DD"/>
    <w:rsid w:val="0D7613D0"/>
    <w:rsid w:val="0D7F3E0A"/>
    <w:rsid w:val="0D8256A8"/>
    <w:rsid w:val="0D8660A2"/>
    <w:rsid w:val="0D921D8F"/>
    <w:rsid w:val="0D927FE1"/>
    <w:rsid w:val="0D9517B9"/>
    <w:rsid w:val="0DA27AF9"/>
    <w:rsid w:val="0DA7094D"/>
    <w:rsid w:val="0DA87805"/>
    <w:rsid w:val="0DB25F8E"/>
    <w:rsid w:val="0DB37F58"/>
    <w:rsid w:val="0DC3019B"/>
    <w:rsid w:val="0DC67C8B"/>
    <w:rsid w:val="0DCB7279"/>
    <w:rsid w:val="0DCD71FF"/>
    <w:rsid w:val="0DDD5616"/>
    <w:rsid w:val="0DE10621"/>
    <w:rsid w:val="0DE620DB"/>
    <w:rsid w:val="0DE87C01"/>
    <w:rsid w:val="0DEB76F2"/>
    <w:rsid w:val="0DF04D08"/>
    <w:rsid w:val="0DF227A4"/>
    <w:rsid w:val="0DFF319D"/>
    <w:rsid w:val="0E057AA3"/>
    <w:rsid w:val="0E06452B"/>
    <w:rsid w:val="0E0802A4"/>
    <w:rsid w:val="0E0E1F7D"/>
    <w:rsid w:val="0E1529C0"/>
    <w:rsid w:val="0E166A6E"/>
    <w:rsid w:val="0E203083"/>
    <w:rsid w:val="0E270EE5"/>
    <w:rsid w:val="0E2A646C"/>
    <w:rsid w:val="0E2B4CAB"/>
    <w:rsid w:val="0E3177FA"/>
    <w:rsid w:val="0E320E7D"/>
    <w:rsid w:val="0E3670BE"/>
    <w:rsid w:val="0E3E5A73"/>
    <w:rsid w:val="0E456E02"/>
    <w:rsid w:val="0E5434E9"/>
    <w:rsid w:val="0E593927"/>
    <w:rsid w:val="0E6354DA"/>
    <w:rsid w:val="0E651252"/>
    <w:rsid w:val="0E653000"/>
    <w:rsid w:val="0E6F1584"/>
    <w:rsid w:val="0E6F20D1"/>
    <w:rsid w:val="0E770389"/>
    <w:rsid w:val="0E7B6CC7"/>
    <w:rsid w:val="0E7C47EE"/>
    <w:rsid w:val="0E80608C"/>
    <w:rsid w:val="0E813BB2"/>
    <w:rsid w:val="0E820056"/>
    <w:rsid w:val="0E8272A8"/>
    <w:rsid w:val="0E8A2A67"/>
    <w:rsid w:val="0E8F4521"/>
    <w:rsid w:val="0E947D89"/>
    <w:rsid w:val="0E9E6512"/>
    <w:rsid w:val="0EA55AF2"/>
    <w:rsid w:val="0EA7186A"/>
    <w:rsid w:val="0EAC6E81"/>
    <w:rsid w:val="0EB83A78"/>
    <w:rsid w:val="0EB977F0"/>
    <w:rsid w:val="0EBE0962"/>
    <w:rsid w:val="0EC425DD"/>
    <w:rsid w:val="0ECE5049"/>
    <w:rsid w:val="0ECF491D"/>
    <w:rsid w:val="0ED10695"/>
    <w:rsid w:val="0ED14B39"/>
    <w:rsid w:val="0ED32660"/>
    <w:rsid w:val="0EE3661B"/>
    <w:rsid w:val="0EE533A3"/>
    <w:rsid w:val="0EE7610B"/>
    <w:rsid w:val="0EF44384"/>
    <w:rsid w:val="0EF97BEC"/>
    <w:rsid w:val="0F000F7B"/>
    <w:rsid w:val="0F00541F"/>
    <w:rsid w:val="0F026AA1"/>
    <w:rsid w:val="0F056591"/>
    <w:rsid w:val="0F16254C"/>
    <w:rsid w:val="0F1E557C"/>
    <w:rsid w:val="0F256C33"/>
    <w:rsid w:val="0F2E3D3A"/>
    <w:rsid w:val="0F3155D8"/>
    <w:rsid w:val="0F3D1F95"/>
    <w:rsid w:val="0F3D21CF"/>
    <w:rsid w:val="0F4C41C0"/>
    <w:rsid w:val="0F567287"/>
    <w:rsid w:val="0F6334E1"/>
    <w:rsid w:val="0F655282"/>
    <w:rsid w:val="0F6B109E"/>
    <w:rsid w:val="0F7200CA"/>
    <w:rsid w:val="0F781459"/>
    <w:rsid w:val="0F7B6853"/>
    <w:rsid w:val="0F847DFE"/>
    <w:rsid w:val="0F8971C2"/>
    <w:rsid w:val="0FA67D74"/>
    <w:rsid w:val="0FA94FA9"/>
    <w:rsid w:val="0FB947EA"/>
    <w:rsid w:val="0FC621C4"/>
    <w:rsid w:val="0FCD3553"/>
    <w:rsid w:val="0FD3668F"/>
    <w:rsid w:val="0FDA5C70"/>
    <w:rsid w:val="0FDD12BC"/>
    <w:rsid w:val="0FDD4840"/>
    <w:rsid w:val="0FDF3286"/>
    <w:rsid w:val="0FE443F8"/>
    <w:rsid w:val="0FE8213B"/>
    <w:rsid w:val="0FF14A76"/>
    <w:rsid w:val="0FFF266D"/>
    <w:rsid w:val="10093E5F"/>
    <w:rsid w:val="101A606C"/>
    <w:rsid w:val="101F18D4"/>
    <w:rsid w:val="10236AEF"/>
    <w:rsid w:val="102962AF"/>
    <w:rsid w:val="102A6551"/>
    <w:rsid w:val="102F3975"/>
    <w:rsid w:val="10501A8E"/>
    <w:rsid w:val="10534DBE"/>
    <w:rsid w:val="10545A22"/>
    <w:rsid w:val="1057106E"/>
    <w:rsid w:val="106043C7"/>
    <w:rsid w:val="107439CE"/>
    <w:rsid w:val="107B4D5D"/>
    <w:rsid w:val="1088747A"/>
    <w:rsid w:val="10895DD5"/>
    <w:rsid w:val="10953945"/>
    <w:rsid w:val="10A51DDA"/>
    <w:rsid w:val="10A65B52"/>
    <w:rsid w:val="10AB3168"/>
    <w:rsid w:val="10AD5132"/>
    <w:rsid w:val="10B431F2"/>
    <w:rsid w:val="10BE733F"/>
    <w:rsid w:val="10D66437"/>
    <w:rsid w:val="10DE21A7"/>
    <w:rsid w:val="10E072B6"/>
    <w:rsid w:val="10F16DCD"/>
    <w:rsid w:val="10F51BD2"/>
    <w:rsid w:val="10FE598E"/>
    <w:rsid w:val="11005262"/>
    <w:rsid w:val="11107C6D"/>
    <w:rsid w:val="111725AC"/>
    <w:rsid w:val="111F7DDE"/>
    <w:rsid w:val="1135414E"/>
    <w:rsid w:val="113A43BB"/>
    <w:rsid w:val="113B0990"/>
    <w:rsid w:val="1142587A"/>
    <w:rsid w:val="114E2471"/>
    <w:rsid w:val="11535CDA"/>
    <w:rsid w:val="115E23ED"/>
    <w:rsid w:val="11665A0D"/>
    <w:rsid w:val="116A6B7F"/>
    <w:rsid w:val="117D49B2"/>
    <w:rsid w:val="118934A9"/>
    <w:rsid w:val="119360D6"/>
    <w:rsid w:val="11943BFC"/>
    <w:rsid w:val="119B18B2"/>
    <w:rsid w:val="11A32AB7"/>
    <w:rsid w:val="11BC387F"/>
    <w:rsid w:val="11C336ED"/>
    <w:rsid w:val="11C62D1A"/>
    <w:rsid w:val="11CC783A"/>
    <w:rsid w:val="11D207DE"/>
    <w:rsid w:val="11D53F94"/>
    <w:rsid w:val="11E20E0C"/>
    <w:rsid w:val="11E80EC7"/>
    <w:rsid w:val="11ED1C8A"/>
    <w:rsid w:val="11F1099F"/>
    <w:rsid w:val="11F10F3E"/>
    <w:rsid w:val="11F12DFD"/>
    <w:rsid w:val="11F56D91"/>
    <w:rsid w:val="12072620"/>
    <w:rsid w:val="12086AC4"/>
    <w:rsid w:val="120A0293"/>
    <w:rsid w:val="12107727"/>
    <w:rsid w:val="12176D07"/>
    <w:rsid w:val="12217C9B"/>
    <w:rsid w:val="123125F3"/>
    <w:rsid w:val="123C676E"/>
    <w:rsid w:val="12435D4E"/>
    <w:rsid w:val="124473D0"/>
    <w:rsid w:val="12555A81"/>
    <w:rsid w:val="1256746E"/>
    <w:rsid w:val="125D0315"/>
    <w:rsid w:val="126D5F2F"/>
    <w:rsid w:val="127F38EA"/>
    <w:rsid w:val="12865C3B"/>
    <w:rsid w:val="128679E9"/>
    <w:rsid w:val="129245E0"/>
    <w:rsid w:val="12971BF6"/>
    <w:rsid w:val="12980B5D"/>
    <w:rsid w:val="12A85BB1"/>
    <w:rsid w:val="12A928A0"/>
    <w:rsid w:val="12C47AD5"/>
    <w:rsid w:val="12CB76BD"/>
    <w:rsid w:val="12E36BE9"/>
    <w:rsid w:val="12E72FD2"/>
    <w:rsid w:val="12F157AA"/>
    <w:rsid w:val="12F232D0"/>
    <w:rsid w:val="12FC7CAB"/>
    <w:rsid w:val="130508BC"/>
    <w:rsid w:val="130C6140"/>
    <w:rsid w:val="13113756"/>
    <w:rsid w:val="131B6383"/>
    <w:rsid w:val="1332191F"/>
    <w:rsid w:val="133A279F"/>
    <w:rsid w:val="133A2B6A"/>
    <w:rsid w:val="133B07D3"/>
    <w:rsid w:val="133B4C77"/>
    <w:rsid w:val="133B4F65"/>
    <w:rsid w:val="13427DB4"/>
    <w:rsid w:val="134F24D1"/>
    <w:rsid w:val="136F4921"/>
    <w:rsid w:val="13806B2E"/>
    <w:rsid w:val="13824654"/>
    <w:rsid w:val="13A50343"/>
    <w:rsid w:val="13A75E69"/>
    <w:rsid w:val="13B63079"/>
    <w:rsid w:val="13B642FE"/>
    <w:rsid w:val="13B80076"/>
    <w:rsid w:val="13BC4629"/>
    <w:rsid w:val="13C63668"/>
    <w:rsid w:val="13C91FE9"/>
    <w:rsid w:val="13D34EB0"/>
    <w:rsid w:val="13E0137B"/>
    <w:rsid w:val="13E744B7"/>
    <w:rsid w:val="13E75FB2"/>
    <w:rsid w:val="13F015BE"/>
    <w:rsid w:val="13F54E26"/>
    <w:rsid w:val="13F56BD4"/>
    <w:rsid w:val="13F60B9E"/>
    <w:rsid w:val="13F6294C"/>
    <w:rsid w:val="13FD017F"/>
    <w:rsid w:val="13FD1F2D"/>
    <w:rsid w:val="14045069"/>
    <w:rsid w:val="14135C7C"/>
    <w:rsid w:val="141379A2"/>
    <w:rsid w:val="14164D9C"/>
    <w:rsid w:val="14174580"/>
    <w:rsid w:val="14180B15"/>
    <w:rsid w:val="14185F29"/>
    <w:rsid w:val="141F6347"/>
    <w:rsid w:val="14215C1B"/>
    <w:rsid w:val="14221993"/>
    <w:rsid w:val="14294AD0"/>
    <w:rsid w:val="14302302"/>
    <w:rsid w:val="143D057B"/>
    <w:rsid w:val="14406276"/>
    <w:rsid w:val="14476164"/>
    <w:rsid w:val="144B2C98"/>
    <w:rsid w:val="145A112D"/>
    <w:rsid w:val="14624D93"/>
    <w:rsid w:val="1472490D"/>
    <w:rsid w:val="14786E9D"/>
    <w:rsid w:val="1479028B"/>
    <w:rsid w:val="148166BA"/>
    <w:rsid w:val="14863CD0"/>
    <w:rsid w:val="14883EEC"/>
    <w:rsid w:val="14B53B35"/>
    <w:rsid w:val="14B545B5"/>
    <w:rsid w:val="14B940A6"/>
    <w:rsid w:val="14C30A80"/>
    <w:rsid w:val="14DE1D5E"/>
    <w:rsid w:val="14E46C49"/>
    <w:rsid w:val="14E6501B"/>
    <w:rsid w:val="14E8498B"/>
    <w:rsid w:val="14F11A91"/>
    <w:rsid w:val="14F21366"/>
    <w:rsid w:val="14FC21E4"/>
    <w:rsid w:val="14FE7D0A"/>
    <w:rsid w:val="15146C09"/>
    <w:rsid w:val="15155054"/>
    <w:rsid w:val="151E65FF"/>
    <w:rsid w:val="15202377"/>
    <w:rsid w:val="15235081"/>
    <w:rsid w:val="152534E9"/>
    <w:rsid w:val="152B4878"/>
    <w:rsid w:val="152D239E"/>
    <w:rsid w:val="15311E8E"/>
    <w:rsid w:val="156A1844"/>
    <w:rsid w:val="156C1118"/>
    <w:rsid w:val="156C2EC6"/>
    <w:rsid w:val="156D6C3E"/>
    <w:rsid w:val="15712BD2"/>
    <w:rsid w:val="15791A87"/>
    <w:rsid w:val="15821472"/>
    <w:rsid w:val="15877D00"/>
    <w:rsid w:val="159348F7"/>
    <w:rsid w:val="159643E7"/>
    <w:rsid w:val="159863B1"/>
    <w:rsid w:val="15A22D8C"/>
    <w:rsid w:val="15A43808"/>
    <w:rsid w:val="15A5462A"/>
    <w:rsid w:val="15A765F4"/>
    <w:rsid w:val="15B026FB"/>
    <w:rsid w:val="15B7753C"/>
    <w:rsid w:val="15BD1974"/>
    <w:rsid w:val="15D31197"/>
    <w:rsid w:val="15D373E9"/>
    <w:rsid w:val="15DD4B3E"/>
    <w:rsid w:val="15DE18EA"/>
    <w:rsid w:val="15E33279"/>
    <w:rsid w:val="15E92769"/>
    <w:rsid w:val="15EC054D"/>
    <w:rsid w:val="15EF3AF7"/>
    <w:rsid w:val="15F07F9B"/>
    <w:rsid w:val="1602382A"/>
    <w:rsid w:val="1606331B"/>
    <w:rsid w:val="160E0624"/>
    <w:rsid w:val="161672D6"/>
    <w:rsid w:val="161E5390"/>
    <w:rsid w:val="162714E3"/>
    <w:rsid w:val="162C08A7"/>
    <w:rsid w:val="162F5177"/>
    <w:rsid w:val="1635775C"/>
    <w:rsid w:val="163A2FC4"/>
    <w:rsid w:val="163C4F8E"/>
    <w:rsid w:val="1647748F"/>
    <w:rsid w:val="164B3423"/>
    <w:rsid w:val="164E4CC1"/>
    <w:rsid w:val="16502059"/>
    <w:rsid w:val="165A18B8"/>
    <w:rsid w:val="166C5148"/>
    <w:rsid w:val="166D15EC"/>
    <w:rsid w:val="16726F3A"/>
    <w:rsid w:val="16881F81"/>
    <w:rsid w:val="168B3820"/>
    <w:rsid w:val="168B7CC4"/>
    <w:rsid w:val="168E50BE"/>
    <w:rsid w:val="169A6994"/>
    <w:rsid w:val="16A74423"/>
    <w:rsid w:val="16AB2114"/>
    <w:rsid w:val="16B72867"/>
    <w:rsid w:val="16CD3D3A"/>
    <w:rsid w:val="16CF7BB0"/>
    <w:rsid w:val="16D01B7A"/>
    <w:rsid w:val="16D20AD8"/>
    <w:rsid w:val="16D451C7"/>
    <w:rsid w:val="16D46256"/>
    <w:rsid w:val="16DD59CE"/>
    <w:rsid w:val="16E15B36"/>
    <w:rsid w:val="16E6314C"/>
    <w:rsid w:val="16E6703C"/>
    <w:rsid w:val="16E86EC4"/>
    <w:rsid w:val="16EA49EA"/>
    <w:rsid w:val="16ED6288"/>
    <w:rsid w:val="16F412D7"/>
    <w:rsid w:val="170535D2"/>
    <w:rsid w:val="17095180"/>
    <w:rsid w:val="1711641B"/>
    <w:rsid w:val="17127A9D"/>
    <w:rsid w:val="17233A58"/>
    <w:rsid w:val="17285513"/>
    <w:rsid w:val="172A3039"/>
    <w:rsid w:val="173043C7"/>
    <w:rsid w:val="17465999"/>
    <w:rsid w:val="17514A69"/>
    <w:rsid w:val="1752433D"/>
    <w:rsid w:val="17536547"/>
    <w:rsid w:val="17560E52"/>
    <w:rsid w:val="176127D3"/>
    <w:rsid w:val="17615F65"/>
    <w:rsid w:val="1767428D"/>
    <w:rsid w:val="1767603B"/>
    <w:rsid w:val="17680005"/>
    <w:rsid w:val="176E561B"/>
    <w:rsid w:val="1781202E"/>
    <w:rsid w:val="17836BED"/>
    <w:rsid w:val="178766DD"/>
    <w:rsid w:val="178A4795"/>
    <w:rsid w:val="178A7F7B"/>
    <w:rsid w:val="178B7795"/>
    <w:rsid w:val="178C784F"/>
    <w:rsid w:val="178D35C8"/>
    <w:rsid w:val="179761F4"/>
    <w:rsid w:val="179D7CAF"/>
    <w:rsid w:val="17A902B1"/>
    <w:rsid w:val="17B521EA"/>
    <w:rsid w:val="17B9260F"/>
    <w:rsid w:val="17BD20FF"/>
    <w:rsid w:val="17BD5C5B"/>
    <w:rsid w:val="17C0399D"/>
    <w:rsid w:val="17C52D61"/>
    <w:rsid w:val="17E53404"/>
    <w:rsid w:val="17E92EF4"/>
    <w:rsid w:val="17EF7DDE"/>
    <w:rsid w:val="17F43647"/>
    <w:rsid w:val="17F94589"/>
    <w:rsid w:val="1804388A"/>
    <w:rsid w:val="18075128"/>
    <w:rsid w:val="180F2490"/>
    <w:rsid w:val="18164840"/>
    <w:rsid w:val="18176F38"/>
    <w:rsid w:val="181E2472"/>
    <w:rsid w:val="1820443C"/>
    <w:rsid w:val="182757CA"/>
    <w:rsid w:val="183D0B4A"/>
    <w:rsid w:val="184B14B9"/>
    <w:rsid w:val="18550589"/>
    <w:rsid w:val="185A16FC"/>
    <w:rsid w:val="18644328"/>
    <w:rsid w:val="18661881"/>
    <w:rsid w:val="186A059D"/>
    <w:rsid w:val="186D58D3"/>
    <w:rsid w:val="187C5B16"/>
    <w:rsid w:val="1881137E"/>
    <w:rsid w:val="1881312C"/>
    <w:rsid w:val="18890233"/>
    <w:rsid w:val="188E5849"/>
    <w:rsid w:val="188E75F7"/>
    <w:rsid w:val="189270E7"/>
    <w:rsid w:val="189664AC"/>
    <w:rsid w:val="189A5F9C"/>
    <w:rsid w:val="189B613F"/>
    <w:rsid w:val="18A60DE5"/>
    <w:rsid w:val="18B057C0"/>
    <w:rsid w:val="18C354F3"/>
    <w:rsid w:val="18C748B7"/>
    <w:rsid w:val="18C82B09"/>
    <w:rsid w:val="18D53478"/>
    <w:rsid w:val="18DA45EA"/>
    <w:rsid w:val="18DE057F"/>
    <w:rsid w:val="18ED6A14"/>
    <w:rsid w:val="18F25DD8"/>
    <w:rsid w:val="18FE477D"/>
    <w:rsid w:val="19006747"/>
    <w:rsid w:val="19081158"/>
    <w:rsid w:val="190F698A"/>
    <w:rsid w:val="19151713"/>
    <w:rsid w:val="191D58FB"/>
    <w:rsid w:val="19263CD4"/>
    <w:rsid w:val="192F2B88"/>
    <w:rsid w:val="19353964"/>
    <w:rsid w:val="193B777F"/>
    <w:rsid w:val="194A50CB"/>
    <w:rsid w:val="194B1EC4"/>
    <w:rsid w:val="19550115"/>
    <w:rsid w:val="19566367"/>
    <w:rsid w:val="197426D9"/>
    <w:rsid w:val="197467ED"/>
    <w:rsid w:val="198C1D89"/>
    <w:rsid w:val="198F1879"/>
    <w:rsid w:val="199944A6"/>
    <w:rsid w:val="19A52E4A"/>
    <w:rsid w:val="19A90B8D"/>
    <w:rsid w:val="19B906A4"/>
    <w:rsid w:val="19B968F6"/>
    <w:rsid w:val="19C04EA2"/>
    <w:rsid w:val="19C534ED"/>
    <w:rsid w:val="19C71013"/>
    <w:rsid w:val="19CE23A1"/>
    <w:rsid w:val="19CF1C75"/>
    <w:rsid w:val="19D21766"/>
    <w:rsid w:val="19E03E83"/>
    <w:rsid w:val="19F24008"/>
    <w:rsid w:val="19F53DD2"/>
    <w:rsid w:val="1A007C3E"/>
    <w:rsid w:val="1A0F4768"/>
    <w:rsid w:val="1A1A55E6"/>
    <w:rsid w:val="1A2D5428"/>
    <w:rsid w:val="1A332204"/>
    <w:rsid w:val="1A3F504D"/>
    <w:rsid w:val="1A4E34E2"/>
    <w:rsid w:val="1A516B2E"/>
    <w:rsid w:val="1A562397"/>
    <w:rsid w:val="1A5D3284"/>
    <w:rsid w:val="1A6920CA"/>
    <w:rsid w:val="1A6C5716"/>
    <w:rsid w:val="1A6C61D4"/>
    <w:rsid w:val="1A77355B"/>
    <w:rsid w:val="1A7840BB"/>
    <w:rsid w:val="1A8011C2"/>
    <w:rsid w:val="1A8567D8"/>
    <w:rsid w:val="1A9A04D5"/>
    <w:rsid w:val="1A9B5311"/>
    <w:rsid w:val="1AA11864"/>
    <w:rsid w:val="1AA72BF2"/>
    <w:rsid w:val="1AB4014A"/>
    <w:rsid w:val="1AB62E35"/>
    <w:rsid w:val="1ABA7CDE"/>
    <w:rsid w:val="1ABE4E06"/>
    <w:rsid w:val="1AC15A62"/>
    <w:rsid w:val="1AC506ED"/>
    <w:rsid w:val="1AC60B16"/>
    <w:rsid w:val="1AC75042"/>
    <w:rsid w:val="1ACD2659"/>
    <w:rsid w:val="1AD27C6F"/>
    <w:rsid w:val="1AD75285"/>
    <w:rsid w:val="1ADF05DE"/>
    <w:rsid w:val="1AE17EB2"/>
    <w:rsid w:val="1AEC292D"/>
    <w:rsid w:val="1AED589C"/>
    <w:rsid w:val="1AF5570C"/>
    <w:rsid w:val="1B010554"/>
    <w:rsid w:val="1B1F6C2C"/>
    <w:rsid w:val="1B22439C"/>
    <w:rsid w:val="1B293607"/>
    <w:rsid w:val="1B2D30F7"/>
    <w:rsid w:val="1B304996"/>
    <w:rsid w:val="1B326960"/>
    <w:rsid w:val="1B334486"/>
    <w:rsid w:val="1B3E3557"/>
    <w:rsid w:val="1B650AE3"/>
    <w:rsid w:val="1B770817"/>
    <w:rsid w:val="1B7B0307"/>
    <w:rsid w:val="1B813443"/>
    <w:rsid w:val="1B8D0562"/>
    <w:rsid w:val="1B8D1DE8"/>
    <w:rsid w:val="1B944F25"/>
    <w:rsid w:val="1B9C550B"/>
    <w:rsid w:val="1BA80015"/>
    <w:rsid w:val="1BAF6202"/>
    <w:rsid w:val="1BB67591"/>
    <w:rsid w:val="1BBE727D"/>
    <w:rsid w:val="1BC32313"/>
    <w:rsid w:val="1BC577D4"/>
    <w:rsid w:val="1BC872C4"/>
    <w:rsid w:val="1BCC0B62"/>
    <w:rsid w:val="1BE37C5A"/>
    <w:rsid w:val="1BEF65FF"/>
    <w:rsid w:val="1BF27E9D"/>
    <w:rsid w:val="1BFB31F6"/>
    <w:rsid w:val="1BFC2ACA"/>
    <w:rsid w:val="1C071B9A"/>
    <w:rsid w:val="1C085913"/>
    <w:rsid w:val="1C200EAE"/>
    <w:rsid w:val="1C326E0B"/>
    <w:rsid w:val="1C3D736A"/>
    <w:rsid w:val="1C4F709D"/>
    <w:rsid w:val="1C556DAA"/>
    <w:rsid w:val="1C5A616E"/>
    <w:rsid w:val="1C850D11"/>
    <w:rsid w:val="1C8C20A0"/>
    <w:rsid w:val="1C9F6277"/>
    <w:rsid w:val="1CBB11DB"/>
    <w:rsid w:val="1CBD289F"/>
    <w:rsid w:val="1CC01D49"/>
    <w:rsid w:val="1CC052B0"/>
    <w:rsid w:val="1CCC6940"/>
    <w:rsid w:val="1CDC3027"/>
    <w:rsid w:val="1CDD6D9F"/>
    <w:rsid w:val="1CE160CB"/>
    <w:rsid w:val="1CE912A0"/>
    <w:rsid w:val="1CF57C45"/>
    <w:rsid w:val="1CF75960"/>
    <w:rsid w:val="1CF77E61"/>
    <w:rsid w:val="1CFC0FD3"/>
    <w:rsid w:val="1CFF6D16"/>
    <w:rsid w:val="1D0B56BA"/>
    <w:rsid w:val="1D0D31E0"/>
    <w:rsid w:val="1D1A0F0A"/>
    <w:rsid w:val="1D2749F3"/>
    <w:rsid w:val="1D2D5631"/>
    <w:rsid w:val="1D2F75FB"/>
    <w:rsid w:val="1D3158B8"/>
    <w:rsid w:val="1D37341C"/>
    <w:rsid w:val="1D3E783E"/>
    <w:rsid w:val="1D4B1F5B"/>
    <w:rsid w:val="1D4D5CD3"/>
    <w:rsid w:val="1D542101"/>
    <w:rsid w:val="1D5F5A06"/>
    <w:rsid w:val="1D5F77B4"/>
    <w:rsid w:val="1D6238FF"/>
    <w:rsid w:val="1D7019C1"/>
    <w:rsid w:val="1D721295"/>
    <w:rsid w:val="1D7B63DE"/>
    <w:rsid w:val="1D7F67FE"/>
    <w:rsid w:val="1D835251"/>
    <w:rsid w:val="1D8D4321"/>
    <w:rsid w:val="1D954F84"/>
    <w:rsid w:val="1D9B6A3E"/>
    <w:rsid w:val="1DA13929"/>
    <w:rsid w:val="1DA90ACE"/>
    <w:rsid w:val="1DB24206"/>
    <w:rsid w:val="1DB7314C"/>
    <w:rsid w:val="1DB943F8"/>
    <w:rsid w:val="1DC43FD0"/>
    <w:rsid w:val="1DCF0496"/>
    <w:rsid w:val="1DE101C9"/>
    <w:rsid w:val="1DEB1048"/>
    <w:rsid w:val="1DEF0B38"/>
    <w:rsid w:val="1DF47EFC"/>
    <w:rsid w:val="1DF779ED"/>
    <w:rsid w:val="1DFC3255"/>
    <w:rsid w:val="1E002D45"/>
    <w:rsid w:val="1E0A5972"/>
    <w:rsid w:val="1E0A6237"/>
    <w:rsid w:val="1E0F4D36"/>
    <w:rsid w:val="1E205195"/>
    <w:rsid w:val="1E2D0F85"/>
    <w:rsid w:val="1E2F53D8"/>
    <w:rsid w:val="1E3F4E76"/>
    <w:rsid w:val="1E472722"/>
    <w:rsid w:val="1E4D585F"/>
    <w:rsid w:val="1E6257AE"/>
    <w:rsid w:val="1E632DE0"/>
    <w:rsid w:val="1E711752"/>
    <w:rsid w:val="1E74728F"/>
    <w:rsid w:val="1E761259"/>
    <w:rsid w:val="1E805C34"/>
    <w:rsid w:val="1E8079E2"/>
    <w:rsid w:val="1E865022"/>
    <w:rsid w:val="1E890F8D"/>
    <w:rsid w:val="1E8A2924"/>
    <w:rsid w:val="1E8F40C9"/>
    <w:rsid w:val="1E9D2342"/>
    <w:rsid w:val="1EA336D1"/>
    <w:rsid w:val="1EAD4FD5"/>
    <w:rsid w:val="1EAF02C7"/>
    <w:rsid w:val="1EB853CE"/>
    <w:rsid w:val="1EBC3110"/>
    <w:rsid w:val="1EBF675C"/>
    <w:rsid w:val="1EDA17E8"/>
    <w:rsid w:val="1EDE1A0F"/>
    <w:rsid w:val="1EE12B77"/>
    <w:rsid w:val="1EF26B32"/>
    <w:rsid w:val="1EF5217E"/>
    <w:rsid w:val="1F026649"/>
    <w:rsid w:val="1F046865"/>
    <w:rsid w:val="1F06438B"/>
    <w:rsid w:val="1F0B3750"/>
    <w:rsid w:val="1F0E4FEE"/>
    <w:rsid w:val="1F152820"/>
    <w:rsid w:val="1F1935E7"/>
    <w:rsid w:val="1F246BFA"/>
    <w:rsid w:val="1F2C1918"/>
    <w:rsid w:val="1F325180"/>
    <w:rsid w:val="1F3A2287"/>
    <w:rsid w:val="1F49071C"/>
    <w:rsid w:val="1F4924CA"/>
    <w:rsid w:val="1F4D1FBA"/>
    <w:rsid w:val="1F5350F7"/>
    <w:rsid w:val="1F5A6485"/>
    <w:rsid w:val="1F5F3A9B"/>
    <w:rsid w:val="1F6317DE"/>
    <w:rsid w:val="1F6E4A4F"/>
    <w:rsid w:val="1F8B2894"/>
    <w:rsid w:val="1F8B7303"/>
    <w:rsid w:val="1F9A0F77"/>
    <w:rsid w:val="1FB02549"/>
    <w:rsid w:val="1FB738D7"/>
    <w:rsid w:val="1FC27595"/>
    <w:rsid w:val="1FC4505B"/>
    <w:rsid w:val="1FCA5A5B"/>
    <w:rsid w:val="1FD43BB2"/>
    <w:rsid w:val="1FDB5818"/>
    <w:rsid w:val="1FDB6619"/>
    <w:rsid w:val="1FDE0E64"/>
    <w:rsid w:val="1FE43FA1"/>
    <w:rsid w:val="1FEA15B7"/>
    <w:rsid w:val="1FF349E3"/>
    <w:rsid w:val="1FFC0079"/>
    <w:rsid w:val="2000023C"/>
    <w:rsid w:val="20016901"/>
    <w:rsid w:val="200C3C23"/>
    <w:rsid w:val="20116038"/>
    <w:rsid w:val="201C18AE"/>
    <w:rsid w:val="20210D51"/>
    <w:rsid w:val="202B099A"/>
    <w:rsid w:val="202C7E22"/>
    <w:rsid w:val="204131A1"/>
    <w:rsid w:val="20484530"/>
    <w:rsid w:val="204A02A8"/>
    <w:rsid w:val="204F26A2"/>
    <w:rsid w:val="206155F1"/>
    <w:rsid w:val="2063580D"/>
    <w:rsid w:val="20713A86"/>
    <w:rsid w:val="207672EF"/>
    <w:rsid w:val="20831A0C"/>
    <w:rsid w:val="208F03B0"/>
    <w:rsid w:val="208F6602"/>
    <w:rsid w:val="2093753B"/>
    <w:rsid w:val="20A0611A"/>
    <w:rsid w:val="20A774A8"/>
    <w:rsid w:val="20B00A53"/>
    <w:rsid w:val="20B83463"/>
    <w:rsid w:val="20BB2F53"/>
    <w:rsid w:val="20C31E08"/>
    <w:rsid w:val="20D02EA3"/>
    <w:rsid w:val="20E80162"/>
    <w:rsid w:val="20EA375E"/>
    <w:rsid w:val="20EB4C70"/>
    <w:rsid w:val="20F16975"/>
    <w:rsid w:val="21020B82"/>
    <w:rsid w:val="21022930"/>
    <w:rsid w:val="21040504"/>
    <w:rsid w:val="212B00D9"/>
    <w:rsid w:val="212B146E"/>
    <w:rsid w:val="21336F8E"/>
    <w:rsid w:val="21374CD0"/>
    <w:rsid w:val="213D1BBA"/>
    <w:rsid w:val="213D7E0C"/>
    <w:rsid w:val="2144119B"/>
    <w:rsid w:val="21445A0C"/>
    <w:rsid w:val="214E201A"/>
    <w:rsid w:val="21505D92"/>
    <w:rsid w:val="21535882"/>
    <w:rsid w:val="21537630"/>
    <w:rsid w:val="215A5024"/>
    <w:rsid w:val="215D400B"/>
    <w:rsid w:val="21771570"/>
    <w:rsid w:val="2177331E"/>
    <w:rsid w:val="217C0935"/>
    <w:rsid w:val="218477E9"/>
    <w:rsid w:val="219043E0"/>
    <w:rsid w:val="21933ED0"/>
    <w:rsid w:val="21937A2C"/>
    <w:rsid w:val="2196775F"/>
    <w:rsid w:val="219E4D4F"/>
    <w:rsid w:val="21A47E8B"/>
    <w:rsid w:val="21A659B2"/>
    <w:rsid w:val="21AB2FC8"/>
    <w:rsid w:val="21AF5D06"/>
    <w:rsid w:val="21B04A82"/>
    <w:rsid w:val="21BE0F4D"/>
    <w:rsid w:val="21C36564"/>
    <w:rsid w:val="21C46C8E"/>
    <w:rsid w:val="21F91F85"/>
    <w:rsid w:val="21FC7CC7"/>
    <w:rsid w:val="22032E04"/>
    <w:rsid w:val="2205072F"/>
    <w:rsid w:val="220628F4"/>
    <w:rsid w:val="2206534F"/>
    <w:rsid w:val="220B3A67"/>
    <w:rsid w:val="22124DF5"/>
    <w:rsid w:val="221E7C3E"/>
    <w:rsid w:val="221F7512"/>
    <w:rsid w:val="22274D44"/>
    <w:rsid w:val="222D60D3"/>
    <w:rsid w:val="223631D9"/>
    <w:rsid w:val="223C6316"/>
    <w:rsid w:val="223E7B13"/>
    <w:rsid w:val="22462CF1"/>
    <w:rsid w:val="22484CBB"/>
    <w:rsid w:val="226F0499"/>
    <w:rsid w:val="227B0BEC"/>
    <w:rsid w:val="22803A9C"/>
    <w:rsid w:val="228201CD"/>
    <w:rsid w:val="228A36C0"/>
    <w:rsid w:val="228C2DF9"/>
    <w:rsid w:val="22941CAE"/>
    <w:rsid w:val="229879F0"/>
    <w:rsid w:val="22A068A5"/>
    <w:rsid w:val="22A75261"/>
    <w:rsid w:val="22B67E76"/>
    <w:rsid w:val="22BB3EB7"/>
    <w:rsid w:val="22BC4355"/>
    <w:rsid w:val="22CD2012"/>
    <w:rsid w:val="22D12F02"/>
    <w:rsid w:val="22D402FC"/>
    <w:rsid w:val="22D84291"/>
    <w:rsid w:val="22DF5F10"/>
    <w:rsid w:val="22E744D4"/>
    <w:rsid w:val="22F4099F"/>
    <w:rsid w:val="23076924"/>
    <w:rsid w:val="230C7A96"/>
    <w:rsid w:val="23144B9D"/>
    <w:rsid w:val="231D6147"/>
    <w:rsid w:val="23201794"/>
    <w:rsid w:val="23272B22"/>
    <w:rsid w:val="233314C7"/>
    <w:rsid w:val="23331568"/>
    <w:rsid w:val="23413B6C"/>
    <w:rsid w:val="23476D20"/>
    <w:rsid w:val="235651B5"/>
    <w:rsid w:val="23566043"/>
    <w:rsid w:val="23571659"/>
    <w:rsid w:val="235A6A54"/>
    <w:rsid w:val="235E4010"/>
    <w:rsid w:val="235F22BC"/>
    <w:rsid w:val="23600585"/>
    <w:rsid w:val="23641680"/>
    <w:rsid w:val="2367592D"/>
    <w:rsid w:val="23681488"/>
    <w:rsid w:val="236C6787"/>
    <w:rsid w:val="237A0720"/>
    <w:rsid w:val="238166D6"/>
    <w:rsid w:val="238364F0"/>
    <w:rsid w:val="23857F3F"/>
    <w:rsid w:val="2389558B"/>
    <w:rsid w:val="23933F1C"/>
    <w:rsid w:val="23953F30"/>
    <w:rsid w:val="23AB72AF"/>
    <w:rsid w:val="23AD1279"/>
    <w:rsid w:val="23B1063E"/>
    <w:rsid w:val="23C91223"/>
    <w:rsid w:val="23CB5BA3"/>
    <w:rsid w:val="23CD191B"/>
    <w:rsid w:val="23D5257E"/>
    <w:rsid w:val="23E66539"/>
    <w:rsid w:val="23EE3640"/>
    <w:rsid w:val="23EE53EE"/>
    <w:rsid w:val="23F724F4"/>
    <w:rsid w:val="23FF75FB"/>
    <w:rsid w:val="24084702"/>
    <w:rsid w:val="240D0A6F"/>
    <w:rsid w:val="24134E54"/>
    <w:rsid w:val="243A0633"/>
    <w:rsid w:val="244A09D9"/>
    <w:rsid w:val="244C12A0"/>
    <w:rsid w:val="244D0366"/>
    <w:rsid w:val="24575689"/>
    <w:rsid w:val="245C67FB"/>
    <w:rsid w:val="2460453E"/>
    <w:rsid w:val="24613E12"/>
    <w:rsid w:val="24616C60"/>
    <w:rsid w:val="247B1377"/>
    <w:rsid w:val="24855D52"/>
    <w:rsid w:val="248B0E8F"/>
    <w:rsid w:val="249828C7"/>
    <w:rsid w:val="249A152D"/>
    <w:rsid w:val="24AD52A9"/>
    <w:rsid w:val="24B228BF"/>
    <w:rsid w:val="24B86128"/>
    <w:rsid w:val="24BA6E27"/>
    <w:rsid w:val="24BB1774"/>
    <w:rsid w:val="24BC54EC"/>
    <w:rsid w:val="24BD373E"/>
    <w:rsid w:val="24BE74B6"/>
    <w:rsid w:val="24D42836"/>
    <w:rsid w:val="24D73390"/>
    <w:rsid w:val="24DB5972"/>
    <w:rsid w:val="24DD3009"/>
    <w:rsid w:val="24DD793C"/>
    <w:rsid w:val="24DE36B4"/>
    <w:rsid w:val="24E16D01"/>
    <w:rsid w:val="24EC5DD1"/>
    <w:rsid w:val="24F32234"/>
    <w:rsid w:val="24F627AC"/>
    <w:rsid w:val="24FA6740"/>
    <w:rsid w:val="2504136D"/>
    <w:rsid w:val="25164BFC"/>
    <w:rsid w:val="251915B4"/>
    <w:rsid w:val="25203CCD"/>
    <w:rsid w:val="252864E4"/>
    <w:rsid w:val="25290DD3"/>
    <w:rsid w:val="252B19AC"/>
    <w:rsid w:val="252E1F46"/>
    <w:rsid w:val="252E63EA"/>
    <w:rsid w:val="25423C43"/>
    <w:rsid w:val="2551032A"/>
    <w:rsid w:val="255312C4"/>
    <w:rsid w:val="25535E50"/>
    <w:rsid w:val="255C2942"/>
    <w:rsid w:val="255E0351"/>
    <w:rsid w:val="2560231B"/>
    <w:rsid w:val="257302A1"/>
    <w:rsid w:val="257760D2"/>
    <w:rsid w:val="25777D91"/>
    <w:rsid w:val="257A162F"/>
    <w:rsid w:val="257A33DD"/>
    <w:rsid w:val="2585587F"/>
    <w:rsid w:val="25987D07"/>
    <w:rsid w:val="259B3353"/>
    <w:rsid w:val="25A15886"/>
    <w:rsid w:val="25A17491"/>
    <w:rsid w:val="25A4045A"/>
    <w:rsid w:val="25A77F4A"/>
    <w:rsid w:val="25CA6E09"/>
    <w:rsid w:val="25D074A1"/>
    <w:rsid w:val="25DF12E0"/>
    <w:rsid w:val="25EB42DB"/>
    <w:rsid w:val="25EC3BAF"/>
    <w:rsid w:val="25EF3DCB"/>
    <w:rsid w:val="25F413E1"/>
    <w:rsid w:val="25F82E84"/>
    <w:rsid w:val="260D5FFF"/>
    <w:rsid w:val="26176E7E"/>
    <w:rsid w:val="26192BF6"/>
    <w:rsid w:val="26202AAD"/>
    <w:rsid w:val="262326D7"/>
    <w:rsid w:val="26235823"/>
    <w:rsid w:val="26301CEE"/>
    <w:rsid w:val="264B2FCC"/>
    <w:rsid w:val="265E4AAD"/>
    <w:rsid w:val="266100F9"/>
    <w:rsid w:val="2679051E"/>
    <w:rsid w:val="268F3122"/>
    <w:rsid w:val="26B26BA7"/>
    <w:rsid w:val="26B75F6B"/>
    <w:rsid w:val="26BB3CAD"/>
    <w:rsid w:val="26C4386A"/>
    <w:rsid w:val="26CA2142"/>
    <w:rsid w:val="26CD306C"/>
    <w:rsid w:val="26D905D7"/>
    <w:rsid w:val="26DD1E76"/>
    <w:rsid w:val="26FE1DEC"/>
    <w:rsid w:val="27005B64"/>
    <w:rsid w:val="27070CA1"/>
    <w:rsid w:val="270A69E3"/>
    <w:rsid w:val="2714160F"/>
    <w:rsid w:val="27160EE4"/>
    <w:rsid w:val="271E248E"/>
    <w:rsid w:val="27207FB4"/>
    <w:rsid w:val="272500C1"/>
    <w:rsid w:val="2725381D"/>
    <w:rsid w:val="27277595"/>
    <w:rsid w:val="272E26D1"/>
    <w:rsid w:val="27335F39"/>
    <w:rsid w:val="273D0B66"/>
    <w:rsid w:val="27421CD9"/>
    <w:rsid w:val="274A6DDF"/>
    <w:rsid w:val="2751016E"/>
    <w:rsid w:val="27535620"/>
    <w:rsid w:val="275639D6"/>
    <w:rsid w:val="275D2FB6"/>
    <w:rsid w:val="27604855"/>
    <w:rsid w:val="2762237B"/>
    <w:rsid w:val="276738C3"/>
    <w:rsid w:val="276854B7"/>
    <w:rsid w:val="276A7481"/>
    <w:rsid w:val="27706D61"/>
    <w:rsid w:val="27711F42"/>
    <w:rsid w:val="27716A62"/>
    <w:rsid w:val="277B51EB"/>
    <w:rsid w:val="277F2990"/>
    <w:rsid w:val="278247CB"/>
    <w:rsid w:val="27930786"/>
    <w:rsid w:val="27932534"/>
    <w:rsid w:val="27960276"/>
    <w:rsid w:val="279B3ADF"/>
    <w:rsid w:val="27A74232"/>
    <w:rsid w:val="27B23302"/>
    <w:rsid w:val="27B34984"/>
    <w:rsid w:val="27B64475"/>
    <w:rsid w:val="27B801ED"/>
    <w:rsid w:val="27BF3329"/>
    <w:rsid w:val="27C070A1"/>
    <w:rsid w:val="27C60B5C"/>
    <w:rsid w:val="27CD64A0"/>
    <w:rsid w:val="27CE17BE"/>
    <w:rsid w:val="27D14230"/>
    <w:rsid w:val="27D868FE"/>
    <w:rsid w:val="27DD7C53"/>
    <w:rsid w:val="27DF5779"/>
    <w:rsid w:val="27E62FAC"/>
    <w:rsid w:val="27FC27CF"/>
    <w:rsid w:val="27FF5E1C"/>
    <w:rsid w:val="280B2A12"/>
    <w:rsid w:val="281318C7"/>
    <w:rsid w:val="2815563F"/>
    <w:rsid w:val="281A4A03"/>
    <w:rsid w:val="28351EB4"/>
    <w:rsid w:val="28357A8F"/>
    <w:rsid w:val="283C0E1E"/>
    <w:rsid w:val="28414686"/>
    <w:rsid w:val="284952E9"/>
    <w:rsid w:val="284A35A6"/>
    <w:rsid w:val="284C4B5B"/>
    <w:rsid w:val="284C59E2"/>
    <w:rsid w:val="285048C9"/>
    <w:rsid w:val="28546167"/>
    <w:rsid w:val="2858552C"/>
    <w:rsid w:val="28620159"/>
    <w:rsid w:val="2862422F"/>
    <w:rsid w:val="286D0FD7"/>
    <w:rsid w:val="287E0F5C"/>
    <w:rsid w:val="288D78CB"/>
    <w:rsid w:val="288F53F1"/>
    <w:rsid w:val="28996270"/>
    <w:rsid w:val="289C7B0E"/>
    <w:rsid w:val="289E3886"/>
    <w:rsid w:val="28A47959"/>
    <w:rsid w:val="28AB7D51"/>
    <w:rsid w:val="28AC5FA3"/>
    <w:rsid w:val="28B22E8E"/>
    <w:rsid w:val="28B766F6"/>
    <w:rsid w:val="28B9421C"/>
    <w:rsid w:val="28BC3D0D"/>
    <w:rsid w:val="28C11323"/>
    <w:rsid w:val="28C50E13"/>
    <w:rsid w:val="28C71CB3"/>
    <w:rsid w:val="28CD5F1A"/>
    <w:rsid w:val="28CF1C92"/>
    <w:rsid w:val="28DB23E5"/>
    <w:rsid w:val="28E56790"/>
    <w:rsid w:val="28E82D54"/>
    <w:rsid w:val="28E9656F"/>
    <w:rsid w:val="28EA6ACC"/>
    <w:rsid w:val="28ED036A"/>
    <w:rsid w:val="28EF40E2"/>
    <w:rsid w:val="28F840FE"/>
    <w:rsid w:val="28F96D0F"/>
    <w:rsid w:val="28FC05AD"/>
    <w:rsid w:val="28FC52BC"/>
    <w:rsid w:val="290033FC"/>
    <w:rsid w:val="29053906"/>
    <w:rsid w:val="2909791D"/>
    <w:rsid w:val="29275737"/>
    <w:rsid w:val="292C2C40"/>
    <w:rsid w:val="292F024E"/>
    <w:rsid w:val="293B7327"/>
    <w:rsid w:val="294066EC"/>
    <w:rsid w:val="29477A7A"/>
    <w:rsid w:val="29491A44"/>
    <w:rsid w:val="294A1318"/>
    <w:rsid w:val="2956167E"/>
    <w:rsid w:val="296028EA"/>
    <w:rsid w:val="2964062C"/>
    <w:rsid w:val="2964687E"/>
    <w:rsid w:val="296B6C6A"/>
    <w:rsid w:val="297739B7"/>
    <w:rsid w:val="297D16EE"/>
    <w:rsid w:val="29807A50"/>
    <w:rsid w:val="29822370"/>
    <w:rsid w:val="2984482A"/>
    <w:rsid w:val="2987256D"/>
    <w:rsid w:val="298F31CF"/>
    <w:rsid w:val="29906C50"/>
    <w:rsid w:val="29930F11"/>
    <w:rsid w:val="2996630C"/>
    <w:rsid w:val="299A22A0"/>
    <w:rsid w:val="299F78B6"/>
    <w:rsid w:val="29A0718A"/>
    <w:rsid w:val="29A24A5E"/>
    <w:rsid w:val="29C25353"/>
    <w:rsid w:val="29C4731D"/>
    <w:rsid w:val="29CC271C"/>
    <w:rsid w:val="29CD5DA6"/>
    <w:rsid w:val="29E21551"/>
    <w:rsid w:val="29E452C9"/>
    <w:rsid w:val="29E7300B"/>
    <w:rsid w:val="29EC23D0"/>
    <w:rsid w:val="29F5184A"/>
    <w:rsid w:val="29F85218"/>
    <w:rsid w:val="29FB2613"/>
    <w:rsid w:val="29FF0355"/>
    <w:rsid w:val="29FF6A30"/>
    <w:rsid w:val="2A021BF3"/>
    <w:rsid w:val="2A0239A1"/>
    <w:rsid w:val="2A067935"/>
    <w:rsid w:val="2A0C2A72"/>
    <w:rsid w:val="2A102562"/>
    <w:rsid w:val="2A10297A"/>
    <w:rsid w:val="2A135BAE"/>
    <w:rsid w:val="2A1623CD"/>
    <w:rsid w:val="2A17569E"/>
    <w:rsid w:val="2A1C0F07"/>
    <w:rsid w:val="2A2B2EF8"/>
    <w:rsid w:val="2A2B739C"/>
    <w:rsid w:val="2A2C6C70"/>
    <w:rsid w:val="2A3738D4"/>
    <w:rsid w:val="2A375015"/>
    <w:rsid w:val="2A3A313B"/>
    <w:rsid w:val="2A3E70CF"/>
    <w:rsid w:val="2A497822"/>
    <w:rsid w:val="2A50295E"/>
    <w:rsid w:val="2A532040"/>
    <w:rsid w:val="2A546E6F"/>
    <w:rsid w:val="2A5F2BA2"/>
    <w:rsid w:val="2A630895"/>
    <w:rsid w:val="2A64465C"/>
    <w:rsid w:val="2A662182"/>
    <w:rsid w:val="2A6C52BE"/>
    <w:rsid w:val="2A746625"/>
    <w:rsid w:val="2A750617"/>
    <w:rsid w:val="2A7C7BF7"/>
    <w:rsid w:val="2A9071FF"/>
    <w:rsid w:val="2A97233B"/>
    <w:rsid w:val="2A997F7C"/>
    <w:rsid w:val="2AAD1B5F"/>
    <w:rsid w:val="2AB253C7"/>
    <w:rsid w:val="2AB915BA"/>
    <w:rsid w:val="2ABA5B52"/>
    <w:rsid w:val="2ABD408D"/>
    <w:rsid w:val="2AD417E1"/>
    <w:rsid w:val="2AD510B6"/>
    <w:rsid w:val="2ADA0E92"/>
    <w:rsid w:val="2AE337D3"/>
    <w:rsid w:val="2AE80DE9"/>
    <w:rsid w:val="2AE9690F"/>
    <w:rsid w:val="2AF07929"/>
    <w:rsid w:val="2AF53506"/>
    <w:rsid w:val="2AF61758"/>
    <w:rsid w:val="2AFB6D6E"/>
    <w:rsid w:val="2AFC4894"/>
    <w:rsid w:val="2AFE685E"/>
    <w:rsid w:val="2B0105CC"/>
    <w:rsid w:val="2B0C0F7B"/>
    <w:rsid w:val="2B164533"/>
    <w:rsid w:val="2B167FEC"/>
    <w:rsid w:val="2B1971F4"/>
    <w:rsid w:val="2B1D30F2"/>
    <w:rsid w:val="2B2C33CC"/>
    <w:rsid w:val="2B2D4A4E"/>
    <w:rsid w:val="2B346B23"/>
    <w:rsid w:val="2B356C23"/>
    <w:rsid w:val="2B391645"/>
    <w:rsid w:val="2B3A5713"/>
    <w:rsid w:val="2B3B716B"/>
    <w:rsid w:val="2B44397F"/>
    <w:rsid w:val="2B522706"/>
    <w:rsid w:val="2B560448"/>
    <w:rsid w:val="2B5621F6"/>
    <w:rsid w:val="2B563FA5"/>
    <w:rsid w:val="2B603075"/>
    <w:rsid w:val="2B626DED"/>
    <w:rsid w:val="2B6366C1"/>
    <w:rsid w:val="2B64075B"/>
    <w:rsid w:val="2B69017C"/>
    <w:rsid w:val="2B6A7A50"/>
    <w:rsid w:val="2B7164D1"/>
    <w:rsid w:val="2B7357F6"/>
    <w:rsid w:val="2B7D7783"/>
    <w:rsid w:val="2B824D9A"/>
    <w:rsid w:val="2B8E1990"/>
    <w:rsid w:val="2B98280F"/>
    <w:rsid w:val="2B996587"/>
    <w:rsid w:val="2B9F3B9D"/>
    <w:rsid w:val="2BA47406"/>
    <w:rsid w:val="2BAE3DE1"/>
    <w:rsid w:val="2BB86A0D"/>
    <w:rsid w:val="2BBB474F"/>
    <w:rsid w:val="2BBB64FD"/>
    <w:rsid w:val="2BC01D66"/>
    <w:rsid w:val="2BC03B14"/>
    <w:rsid w:val="2BC317AE"/>
    <w:rsid w:val="2BCB145B"/>
    <w:rsid w:val="2BCE6231"/>
    <w:rsid w:val="2BF06C2B"/>
    <w:rsid w:val="2C057779"/>
    <w:rsid w:val="2C0A4D8F"/>
    <w:rsid w:val="2C0C6D59"/>
    <w:rsid w:val="2C1005F7"/>
    <w:rsid w:val="2C153E60"/>
    <w:rsid w:val="2C2A50C3"/>
    <w:rsid w:val="2C45390A"/>
    <w:rsid w:val="2C493B09"/>
    <w:rsid w:val="2C5B55EB"/>
    <w:rsid w:val="2C5F332D"/>
    <w:rsid w:val="2C607287"/>
    <w:rsid w:val="2C701096"/>
    <w:rsid w:val="2C70553A"/>
    <w:rsid w:val="2C7B1B7F"/>
    <w:rsid w:val="2C7F323D"/>
    <w:rsid w:val="2C842BA5"/>
    <w:rsid w:val="2C875551"/>
    <w:rsid w:val="2C90798A"/>
    <w:rsid w:val="2C9A25B7"/>
    <w:rsid w:val="2C9A4365"/>
    <w:rsid w:val="2C9F5E1F"/>
    <w:rsid w:val="2CA13945"/>
    <w:rsid w:val="2CA70AD9"/>
    <w:rsid w:val="2CAD4098"/>
    <w:rsid w:val="2CAD5026"/>
    <w:rsid w:val="2CB03B88"/>
    <w:rsid w:val="2CB25B52"/>
    <w:rsid w:val="2CBA67B5"/>
    <w:rsid w:val="2CC80ED2"/>
    <w:rsid w:val="2CC87124"/>
    <w:rsid w:val="2CD5539D"/>
    <w:rsid w:val="2CDC672B"/>
    <w:rsid w:val="2CE33F5E"/>
    <w:rsid w:val="2CEE645F"/>
    <w:rsid w:val="2CEF46B1"/>
    <w:rsid w:val="2CF73565"/>
    <w:rsid w:val="2CFC6DCE"/>
    <w:rsid w:val="2D0068BE"/>
    <w:rsid w:val="2D03015C"/>
    <w:rsid w:val="2D047A30"/>
    <w:rsid w:val="2D0A3299"/>
    <w:rsid w:val="2D0B5263"/>
    <w:rsid w:val="2D0F6B01"/>
    <w:rsid w:val="2D1B36F8"/>
    <w:rsid w:val="2D287BC3"/>
    <w:rsid w:val="2D2F0F51"/>
    <w:rsid w:val="2D314E05"/>
    <w:rsid w:val="2D3447B9"/>
    <w:rsid w:val="2D346567"/>
    <w:rsid w:val="2D3E2F42"/>
    <w:rsid w:val="2D522E91"/>
    <w:rsid w:val="2D5C161A"/>
    <w:rsid w:val="2D74105A"/>
    <w:rsid w:val="2D8B5A6B"/>
    <w:rsid w:val="2D8C681D"/>
    <w:rsid w:val="2D9B2143"/>
    <w:rsid w:val="2D9B39F2"/>
    <w:rsid w:val="2DAD00C8"/>
    <w:rsid w:val="2DBD655D"/>
    <w:rsid w:val="2DC72800"/>
    <w:rsid w:val="2DC72F38"/>
    <w:rsid w:val="2DD13DB6"/>
    <w:rsid w:val="2DEA7479"/>
    <w:rsid w:val="2DEB6A75"/>
    <w:rsid w:val="2DFD104F"/>
    <w:rsid w:val="2E05204C"/>
    <w:rsid w:val="2E0C3040"/>
    <w:rsid w:val="2E13467B"/>
    <w:rsid w:val="2E156399"/>
    <w:rsid w:val="2E1C36A2"/>
    <w:rsid w:val="2E24038A"/>
    <w:rsid w:val="2E2760CC"/>
    <w:rsid w:val="2E2D19AE"/>
    <w:rsid w:val="2E352597"/>
    <w:rsid w:val="2E3A7BAD"/>
    <w:rsid w:val="2E4C5B33"/>
    <w:rsid w:val="2E4F162E"/>
    <w:rsid w:val="2E5A0250"/>
    <w:rsid w:val="2E5F13C2"/>
    <w:rsid w:val="2E5F7614"/>
    <w:rsid w:val="2E67471B"/>
    <w:rsid w:val="2E731311"/>
    <w:rsid w:val="2E7C7EF7"/>
    <w:rsid w:val="2E81791B"/>
    <w:rsid w:val="2E876B6B"/>
    <w:rsid w:val="2E9C2616"/>
    <w:rsid w:val="2EA66FF1"/>
    <w:rsid w:val="2EA72D69"/>
    <w:rsid w:val="2EAA084E"/>
    <w:rsid w:val="2EAA78F3"/>
    <w:rsid w:val="2EB72FAC"/>
    <w:rsid w:val="2EBA7E4A"/>
    <w:rsid w:val="2EC102CF"/>
    <w:rsid w:val="2EC67C54"/>
    <w:rsid w:val="2ED45D63"/>
    <w:rsid w:val="2ED508A6"/>
    <w:rsid w:val="2EE23DA1"/>
    <w:rsid w:val="2EE355AD"/>
    <w:rsid w:val="2EE61AE3"/>
    <w:rsid w:val="2EE711B5"/>
    <w:rsid w:val="2F045D38"/>
    <w:rsid w:val="2F0562AC"/>
    <w:rsid w:val="2F087CAC"/>
    <w:rsid w:val="2F120B2A"/>
    <w:rsid w:val="2F176141"/>
    <w:rsid w:val="2F193C67"/>
    <w:rsid w:val="2F1C3757"/>
    <w:rsid w:val="2F1E5661"/>
    <w:rsid w:val="2F2820FC"/>
    <w:rsid w:val="2F445A54"/>
    <w:rsid w:val="2F452CAE"/>
    <w:rsid w:val="2F481D8D"/>
    <w:rsid w:val="2F49673C"/>
    <w:rsid w:val="2F5922B5"/>
    <w:rsid w:val="2F5F53F2"/>
    <w:rsid w:val="2F61560E"/>
    <w:rsid w:val="2F634EE2"/>
    <w:rsid w:val="2F651F62"/>
    <w:rsid w:val="2F7C41F6"/>
    <w:rsid w:val="2F827A5E"/>
    <w:rsid w:val="2F911A4F"/>
    <w:rsid w:val="2F9257C7"/>
    <w:rsid w:val="2F9B467C"/>
    <w:rsid w:val="2F9E23BE"/>
    <w:rsid w:val="2FB35E69"/>
    <w:rsid w:val="2FCA6D0F"/>
    <w:rsid w:val="2FCB74E2"/>
    <w:rsid w:val="2FD2467C"/>
    <w:rsid w:val="2FD656B4"/>
    <w:rsid w:val="2FDC6A42"/>
    <w:rsid w:val="2FEA115F"/>
    <w:rsid w:val="2FEA73B1"/>
    <w:rsid w:val="2FEF2C1A"/>
    <w:rsid w:val="2FF124EE"/>
    <w:rsid w:val="2FF3270A"/>
    <w:rsid w:val="2FF67425"/>
    <w:rsid w:val="2FFA3A98"/>
    <w:rsid w:val="300C557A"/>
    <w:rsid w:val="300E4E84"/>
    <w:rsid w:val="300F6E18"/>
    <w:rsid w:val="30191A45"/>
    <w:rsid w:val="30274161"/>
    <w:rsid w:val="30284F2D"/>
    <w:rsid w:val="302C79CA"/>
    <w:rsid w:val="302F3016"/>
    <w:rsid w:val="30360848"/>
    <w:rsid w:val="30446AC1"/>
    <w:rsid w:val="304940D8"/>
    <w:rsid w:val="304A7E50"/>
    <w:rsid w:val="304B42F4"/>
    <w:rsid w:val="30542A7D"/>
    <w:rsid w:val="305667F5"/>
    <w:rsid w:val="305F7D9F"/>
    <w:rsid w:val="306058C5"/>
    <w:rsid w:val="306233EC"/>
    <w:rsid w:val="30645ED2"/>
    <w:rsid w:val="30647164"/>
    <w:rsid w:val="30705B08"/>
    <w:rsid w:val="30730E37"/>
    <w:rsid w:val="307849BD"/>
    <w:rsid w:val="307A6987"/>
    <w:rsid w:val="30823A8E"/>
    <w:rsid w:val="308710A4"/>
    <w:rsid w:val="3089479E"/>
    <w:rsid w:val="308C2216"/>
    <w:rsid w:val="308E41E1"/>
    <w:rsid w:val="30944265"/>
    <w:rsid w:val="309A0976"/>
    <w:rsid w:val="30A707DD"/>
    <w:rsid w:val="30B10DD9"/>
    <w:rsid w:val="30D51E0F"/>
    <w:rsid w:val="30D616E4"/>
    <w:rsid w:val="30E3277E"/>
    <w:rsid w:val="30EB518F"/>
    <w:rsid w:val="30EE2ED1"/>
    <w:rsid w:val="30F5600E"/>
    <w:rsid w:val="30F93D50"/>
    <w:rsid w:val="30FC500D"/>
    <w:rsid w:val="310B6BF3"/>
    <w:rsid w:val="31102E48"/>
    <w:rsid w:val="31122E9F"/>
    <w:rsid w:val="311F308B"/>
    <w:rsid w:val="31267258"/>
    <w:rsid w:val="312F620E"/>
    <w:rsid w:val="31344D88"/>
    <w:rsid w:val="31466869"/>
    <w:rsid w:val="314D5E4A"/>
    <w:rsid w:val="314E571E"/>
    <w:rsid w:val="316136A3"/>
    <w:rsid w:val="316513E5"/>
    <w:rsid w:val="31771119"/>
    <w:rsid w:val="3179279B"/>
    <w:rsid w:val="3186135C"/>
    <w:rsid w:val="318A2BFA"/>
    <w:rsid w:val="318A49A8"/>
    <w:rsid w:val="318B6972"/>
    <w:rsid w:val="31921AAF"/>
    <w:rsid w:val="31927D00"/>
    <w:rsid w:val="31943A79"/>
    <w:rsid w:val="319677F1"/>
    <w:rsid w:val="319B4E07"/>
    <w:rsid w:val="31A87524"/>
    <w:rsid w:val="31B41A25"/>
    <w:rsid w:val="31B62952"/>
    <w:rsid w:val="31B9703B"/>
    <w:rsid w:val="31C12394"/>
    <w:rsid w:val="31C559E0"/>
    <w:rsid w:val="31C61758"/>
    <w:rsid w:val="31CA749A"/>
    <w:rsid w:val="31CD0D39"/>
    <w:rsid w:val="31D04385"/>
    <w:rsid w:val="31D420C7"/>
    <w:rsid w:val="31D52E88"/>
    <w:rsid w:val="31D65E3F"/>
    <w:rsid w:val="31DB16A7"/>
    <w:rsid w:val="31DF1C69"/>
    <w:rsid w:val="31E247E4"/>
    <w:rsid w:val="31E35351"/>
    <w:rsid w:val="31E83DC4"/>
    <w:rsid w:val="31F14A27"/>
    <w:rsid w:val="31FC517A"/>
    <w:rsid w:val="32032617"/>
    <w:rsid w:val="32036508"/>
    <w:rsid w:val="32097FFD"/>
    <w:rsid w:val="320F30FF"/>
    <w:rsid w:val="321A0F82"/>
    <w:rsid w:val="32292413"/>
    <w:rsid w:val="322C3CB1"/>
    <w:rsid w:val="32335B68"/>
    <w:rsid w:val="323963CE"/>
    <w:rsid w:val="323C3A32"/>
    <w:rsid w:val="324C6101"/>
    <w:rsid w:val="324E3C27"/>
    <w:rsid w:val="324F79A0"/>
    <w:rsid w:val="32544FB6"/>
    <w:rsid w:val="32546D64"/>
    <w:rsid w:val="32780CA4"/>
    <w:rsid w:val="32785148"/>
    <w:rsid w:val="3281224F"/>
    <w:rsid w:val="32A01FA9"/>
    <w:rsid w:val="32A73338"/>
    <w:rsid w:val="32AB107A"/>
    <w:rsid w:val="32AF043E"/>
    <w:rsid w:val="32D22AAA"/>
    <w:rsid w:val="32E12CEE"/>
    <w:rsid w:val="32E4633A"/>
    <w:rsid w:val="32FD73FC"/>
    <w:rsid w:val="3301513E"/>
    <w:rsid w:val="3304078A"/>
    <w:rsid w:val="33042538"/>
    <w:rsid w:val="33072028"/>
    <w:rsid w:val="330A6447"/>
    <w:rsid w:val="33136C1F"/>
    <w:rsid w:val="33193F65"/>
    <w:rsid w:val="3328091C"/>
    <w:rsid w:val="33286205"/>
    <w:rsid w:val="333A1D0D"/>
    <w:rsid w:val="333A41AC"/>
    <w:rsid w:val="3344327C"/>
    <w:rsid w:val="33492641"/>
    <w:rsid w:val="334D0383"/>
    <w:rsid w:val="334E7C57"/>
    <w:rsid w:val="335419DE"/>
    <w:rsid w:val="33550FE6"/>
    <w:rsid w:val="33582884"/>
    <w:rsid w:val="336254B1"/>
    <w:rsid w:val="33633703"/>
    <w:rsid w:val="33641229"/>
    <w:rsid w:val="336456CD"/>
    <w:rsid w:val="33694A91"/>
    <w:rsid w:val="336D632F"/>
    <w:rsid w:val="3380537B"/>
    <w:rsid w:val="338813BB"/>
    <w:rsid w:val="338B2C59"/>
    <w:rsid w:val="339733AC"/>
    <w:rsid w:val="339F04B3"/>
    <w:rsid w:val="33A1422B"/>
    <w:rsid w:val="33A142B9"/>
    <w:rsid w:val="33A930DF"/>
    <w:rsid w:val="33AE4C72"/>
    <w:rsid w:val="33B27A81"/>
    <w:rsid w:val="33B4169A"/>
    <w:rsid w:val="33BC3401"/>
    <w:rsid w:val="33C00B55"/>
    <w:rsid w:val="33CB12A8"/>
    <w:rsid w:val="33CF2B46"/>
    <w:rsid w:val="33D938F6"/>
    <w:rsid w:val="33E73E32"/>
    <w:rsid w:val="33E74F58"/>
    <w:rsid w:val="33ED56C2"/>
    <w:rsid w:val="33F56325"/>
    <w:rsid w:val="33F702EF"/>
    <w:rsid w:val="33F7209D"/>
    <w:rsid w:val="33FB7DDF"/>
    <w:rsid w:val="33FE78CF"/>
    <w:rsid w:val="33FF3C40"/>
    <w:rsid w:val="34030A42"/>
    <w:rsid w:val="34034EE6"/>
    <w:rsid w:val="34086058"/>
    <w:rsid w:val="3411315F"/>
    <w:rsid w:val="34180991"/>
    <w:rsid w:val="341963CA"/>
    <w:rsid w:val="341D5FA7"/>
    <w:rsid w:val="342509B8"/>
    <w:rsid w:val="34384B8F"/>
    <w:rsid w:val="343D21A6"/>
    <w:rsid w:val="3445105A"/>
    <w:rsid w:val="34473024"/>
    <w:rsid w:val="345179FF"/>
    <w:rsid w:val="345614B9"/>
    <w:rsid w:val="34565015"/>
    <w:rsid w:val="345B6AD0"/>
    <w:rsid w:val="345D1245"/>
    <w:rsid w:val="345F600E"/>
    <w:rsid w:val="346314E0"/>
    <w:rsid w:val="34763909"/>
    <w:rsid w:val="347831DE"/>
    <w:rsid w:val="347B0A97"/>
    <w:rsid w:val="347D6A46"/>
    <w:rsid w:val="348002E4"/>
    <w:rsid w:val="348558FB"/>
    <w:rsid w:val="34862E6B"/>
    <w:rsid w:val="348A1163"/>
    <w:rsid w:val="34CC52D7"/>
    <w:rsid w:val="34CC6AF3"/>
    <w:rsid w:val="34CE205D"/>
    <w:rsid w:val="34CF6B76"/>
    <w:rsid w:val="34D6584F"/>
    <w:rsid w:val="34D709B8"/>
    <w:rsid w:val="34E00D83"/>
    <w:rsid w:val="34E02B31"/>
    <w:rsid w:val="34E46AC5"/>
    <w:rsid w:val="34E56399"/>
    <w:rsid w:val="34F52A80"/>
    <w:rsid w:val="34F605A6"/>
    <w:rsid w:val="34FA62E8"/>
    <w:rsid w:val="34FD7B87"/>
    <w:rsid w:val="35040F15"/>
    <w:rsid w:val="35101668"/>
    <w:rsid w:val="35134CB4"/>
    <w:rsid w:val="351372E2"/>
    <w:rsid w:val="35143245"/>
    <w:rsid w:val="35154ED0"/>
    <w:rsid w:val="351A24E7"/>
    <w:rsid w:val="35337105"/>
    <w:rsid w:val="3538471B"/>
    <w:rsid w:val="353D61D5"/>
    <w:rsid w:val="35431A3E"/>
    <w:rsid w:val="35441312"/>
    <w:rsid w:val="35447564"/>
    <w:rsid w:val="35586B6B"/>
    <w:rsid w:val="355C48AD"/>
    <w:rsid w:val="35633E8E"/>
    <w:rsid w:val="35645510"/>
    <w:rsid w:val="3566572C"/>
    <w:rsid w:val="3586192A"/>
    <w:rsid w:val="358856A2"/>
    <w:rsid w:val="3599165E"/>
    <w:rsid w:val="35A10512"/>
    <w:rsid w:val="35A27F45"/>
    <w:rsid w:val="35A324DC"/>
    <w:rsid w:val="35A3428A"/>
    <w:rsid w:val="35A65B28"/>
    <w:rsid w:val="35B2271F"/>
    <w:rsid w:val="35C506A4"/>
    <w:rsid w:val="35C83CF1"/>
    <w:rsid w:val="35C91817"/>
    <w:rsid w:val="35CA7CE2"/>
    <w:rsid w:val="35CB37E1"/>
    <w:rsid w:val="35CB558F"/>
    <w:rsid w:val="35D5640E"/>
    <w:rsid w:val="35E11256"/>
    <w:rsid w:val="35E6686D"/>
    <w:rsid w:val="35ED3757"/>
    <w:rsid w:val="36017203"/>
    <w:rsid w:val="36034D29"/>
    <w:rsid w:val="360E2FFA"/>
    <w:rsid w:val="36140CE4"/>
    <w:rsid w:val="361433DA"/>
    <w:rsid w:val="36146F36"/>
    <w:rsid w:val="36160F00"/>
    <w:rsid w:val="36174C78"/>
    <w:rsid w:val="361A4FF4"/>
    <w:rsid w:val="36471CFB"/>
    <w:rsid w:val="364F61C0"/>
    <w:rsid w:val="36624145"/>
    <w:rsid w:val="36631C6B"/>
    <w:rsid w:val="36783969"/>
    <w:rsid w:val="367C4ADB"/>
    <w:rsid w:val="36802C75"/>
    <w:rsid w:val="368C11C2"/>
    <w:rsid w:val="36AA33F6"/>
    <w:rsid w:val="36BD5820"/>
    <w:rsid w:val="36C46BAE"/>
    <w:rsid w:val="36CD3586"/>
    <w:rsid w:val="36E139AD"/>
    <w:rsid w:val="36EC3A0F"/>
    <w:rsid w:val="36EE55DD"/>
    <w:rsid w:val="36F62AE0"/>
    <w:rsid w:val="37021484"/>
    <w:rsid w:val="37076A9B"/>
    <w:rsid w:val="37092813"/>
    <w:rsid w:val="371D62BE"/>
    <w:rsid w:val="373C2085"/>
    <w:rsid w:val="37492C0F"/>
    <w:rsid w:val="375259EE"/>
    <w:rsid w:val="37533A8E"/>
    <w:rsid w:val="37592A8C"/>
    <w:rsid w:val="37691503"/>
    <w:rsid w:val="376A384F"/>
    <w:rsid w:val="377528DC"/>
    <w:rsid w:val="377D0B0B"/>
    <w:rsid w:val="377F2AD5"/>
    <w:rsid w:val="37863E63"/>
    <w:rsid w:val="37904CE2"/>
    <w:rsid w:val="37920A5A"/>
    <w:rsid w:val="379245B6"/>
    <w:rsid w:val="37985945"/>
    <w:rsid w:val="37A10C9D"/>
    <w:rsid w:val="37AB38CA"/>
    <w:rsid w:val="37AB5678"/>
    <w:rsid w:val="37AD7642"/>
    <w:rsid w:val="37B3452D"/>
    <w:rsid w:val="37BF1123"/>
    <w:rsid w:val="37BF2ED1"/>
    <w:rsid w:val="37CB7AC8"/>
    <w:rsid w:val="37CF580A"/>
    <w:rsid w:val="37D44BCF"/>
    <w:rsid w:val="37D72911"/>
    <w:rsid w:val="37E10029"/>
    <w:rsid w:val="37E44A59"/>
    <w:rsid w:val="37ED5C91"/>
    <w:rsid w:val="37F05781"/>
    <w:rsid w:val="37F232A7"/>
    <w:rsid w:val="37FC6C47"/>
    <w:rsid w:val="38076DB3"/>
    <w:rsid w:val="38170F5F"/>
    <w:rsid w:val="381A150A"/>
    <w:rsid w:val="381B27FE"/>
    <w:rsid w:val="38211DDE"/>
    <w:rsid w:val="382236EC"/>
    <w:rsid w:val="382611A3"/>
    <w:rsid w:val="382A0C93"/>
    <w:rsid w:val="382F62A9"/>
    <w:rsid w:val="38327B47"/>
    <w:rsid w:val="383655E9"/>
    <w:rsid w:val="38367638"/>
    <w:rsid w:val="383C4522"/>
    <w:rsid w:val="383C5D28"/>
    <w:rsid w:val="38417D8A"/>
    <w:rsid w:val="38431D54"/>
    <w:rsid w:val="38481119"/>
    <w:rsid w:val="38511CCE"/>
    <w:rsid w:val="38545D10"/>
    <w:rsid w:val="38565A55"/>
    <w:rsid w:val="385E6B8E"/>
    <w:rsid w:val="38683569"/>
    <w:rsid w:val="386A108F"/>
    <w:rsid w:val="38776C02"/>
    <w:rsid w:val="387C2F7E"/>
    <w:rsid w:val="388D08B5"/>
    <w:rsid w:val="388D1222"/>
    <w:rsid w:val="388D4D7E"/>
    <w:rsid w:val="38910D12"/>
    <w:rsid w:val="389820A0"/>
    <w:rsid w:val="38A26A7B"/>
    <w:rsid w:val="38B92017"/>
    <w:rsid w:val="38BB0BB3"/>
    <w:rsid w:val="38E057F5"/>
    <w:rsid w:val="38E70932"/>
    <w:rsid w:val="38E76B84"/>
    <w:rsid w:val="38FA68B7"/>
    <w:rsid w:val="390A4620"/>
    <w:rsid w:val="39162FC5"/>
    <w:rsid w:val="39180AEB"/>
    <w:rsid w:val="391C07F9"/>
    <w:rsid w:val="392C0A3B"/>
    <w:rsid w:val="393618B9"/>
    <w:rsid w:val="393A3157"/>
    <w:rsid w:val="3942025E"/>
    <w:rsid w:val="395064D7"/>
    <w:rsid w:val="3951224F"/>
    <w:rsid w:val="39635BC8"/>
    <w:rsid w:val="396F26D5"/>
    <w:rsid w:val="39781027"/>
    <w:rsid w:val="39812B34"/>
    <w:rsid w:val="39830783"/>
    <w:rsid w:val="398E0DAD"/>
    <w:rsid w:val="39924D42"/>
    <w:rsid w:val="39930ABA"/>
    <w:rsid w:val="3995213C"/>
    <w:rsid w:val="399565E0"/>
    <w:rsid w:val="399C13FB"/>
    <w:rsid w:val="39A14F85"/>
    <w:rsid w:val="39A22AAB"/>
    <w:rsid w:val="39AB7BB1"/>
    <w:rsid w:val="39BA1BA2"/>
    <w:rsid w:val="39CE1AF2"/>
    <w:rsid w:val="39E11825"/>
    <w:rsid w:val="39E11A28"/>
    <w:rsid w:val="39E62997"/>
    <w:rsid w:val="39E92488"/>
    <w:rsid w:val="39F50E2C"/>
    <w:rsid w:val="39F5319F"/>
    <w:rsid w:val="39F6132E"/>
    <w:rsid w:val="3A00614F"/>
    <w:rsid w:val="3A0177D1"/>
    <w:rsid w:val="3A175247"/>
    <w:rsid w:val="3A1C460B"/>
    <w:rsid w:val="3A1F40FB"/>
    <w:rsid w:val="3A281202"/>
    <w:rsid w:val="3A345DF9"/>
    <w:rsid w:val="3A451294"/>
    <w:rsid w:val="3A451310"/>
    <w:rsid w:val="3A485400"/>
    <w:rsid w:val="3A4D2A17"/>
    <w:rsid w:val="3A500759"/>
    <w:rsid w:val="3A52002D"/>
    <w:rsid w:val="3A5B13FF"/>
    <w:rsid w:val="3A654204"/>
    <w:rsid w:val="3A6A7A6C"/>
    <w:rsid w:val="3A7461F5"/>
    <w:rsid w:val="3A791A5E"/>
    <w:rsid w:val="3A7C154E"/>
    <w:rsid w:val="3A836438"/>
    <w:rsid w:val="3A852B7B"/>
    <w:rsid w:val="3A8B353F"/>
    <w:rsid w:val="3A903A88"/>
    <w:rsid w:val="3A954F03"/>
    <w:rsid w:val="3A9B336A"/>
    <w:rsid w:val="3AA1137B"/>
    <w:rsid w:val="3AAF461F"/>
    <w:rsid w:val="3AB27122"/>
    <w:rsid w:val="3ABC7B9C"/>
    <w:rsid w:val="3ABE55CD"/>
    <w:rsid w:val="3AC151B3"/>
    <w:rsid w:val="3ACD3B57"/>
    <w:rsid w:val="3AD43138"/>
    <w:rsid w:val="3AD66BD9"/>
    <w:rsid w:val="3ADB2718"/>
    <w:rsid w:val="3ADB44C6"/>
    <w:rsid w:val="3AE35129"/>
    <w:rsid w:val="3AE63920"/>
    <w:rsid w:val="3AE74E6A"/>
    <w:rsid w:val="3AE75F01"/>
    <w:rsid w:val="3AEF1D20"/>
    <w:rsid w:val="3AF47336"/>
    <w:rsid w:val="3B0674C9"/>
    <w:rsid w:val="3B091033"/>
    <w:rsid w:val="3B095EEE"/>
    <w:rsid w:val="3B1654FE"/>
    <w:rsid w:val="3B176FF3"/>
    <w:rsid w:val="3B2220F5"/>
    <w:rsid w:val="3B3E6803"/>
    <w:rsid w:val="3B4007CD"/>
    <w:rsid w:val="3B4173DE"/>
    <w:rsid w:val="3B424545"/>
    <w:rsid w:val="3B44206B"/>
    <w:rsid w:val="3B4B164C"/>
    <w:rsid w:val="3B4E6A46"/>
    <w:rsid w:val="3B4F0A10"/>
    <w:rsid w:val="3B514788"/>
    <w:rsid w:val="3B547DD5"/>
    <w:rsid w:val="3B5B73B5"/>
    <w:rsid w:val="3B632A29"/>
    <w:rsid w:val="3B8401B9"/>
    <w:rsid w:val="3B892174"/>
    <w:rsid w:val="3B8D5E0F"/>
    <w:rsid w:val="3B940552"/>
    <w:rsid w:val="3B963F49"/>
    <w:rsid w:val="3BA24FE4"/>
    <w:rsid w:val="3BA45464"/>
    <w:rsid w:val="3BB80364"/>
    <w:rsid w:val="3BB83F2C"/>
    <w:rsid w:val="3BBA232E"/>
    <w:rsid w:val="3BC35686"/>
    <w:rsid w:val="3BC46D08"/>
    <w:rsid w:val="3BC5686C"/>
    <w:rsid w:val="3BCC2061"/>
    <w:rsid w:val="3BD14FA8"/>
    <w:rsid w:val="3BD5563E"/>
    <w:rsid w:val="3BD56390"/>
    <w:rsid w:val="3BD66A3C"/>
    <w:rsid w:val="3BD94643"/>
    <w:rsid w:val="3BDC22A4"/>
    <w:rsid w:val="3BDC6712"/>
    <w:rsid w:val="3BEE3184"/>
    <w:rsid w:val="3BFA4E20"/>
    <w:rsid w:val="3C067321"/>
    <w:rsid w:val="3C243C4B"/>
    <w:rsid w:val="3C2854E9"/>
    <w:rsid w:val="3C2D0D52"/>
    <w:rsid w:val="3C2E6878"/>
    <w:rsid w:val="3C3C2D43"/>
    <w:rsid w:val="3C3F2833"/>
    <w:rsid w:val="3C487939"/>
    <w:rsid w:val="3C522566"/>
    <w:rsid w:val="3C575DCE"/>
    <w:rsid w:val="3C6109FB"/>
    <w:rsid w:val="3C676202"/>
    <w:rsid w:val="3C6978B0"/>
    <w:rsid w:val="3C6D114E"/>
    <w:rsid w:val="3C6D55F2"/>
    <w:rsid w:val="3C6E4EC6"/>
    <w:rsid w:val="3C7050E2"/>
    <w:rsid w:val="3C7060DA"/>
    <w:rsid w:val="3C75203E"/>
    <w:rsid w:val="3C7A1ABD"/>
    <w:rsid w:val="3C7C5835"/>
    <w:rsid w:val="3C7F70D3"/>
    <w:rsid w:val="3C8D0372"/>
    <w:rsid w:val="3C8D359E"/>
    <w:rsid w:val="3C920BB5"/>
    <w:rsid w:val="3C97242F"/>
    <w:rsid w:val="3C99459C"/>
    <w:rsid w:val="3C9A5EEE"/>
    <w:rsid w:val="3CA134EE"/>
    <w:rsid w:val="3CC03974"/>
    <w:rsid w:val="3CC03E16"/>
    <w:rsid w:val="3CC17E21"/>
    <w:rsid w:val="3CC5173A"/>
    <w:rsid w:val="3CD63197"/>
    <w:rsid w:val="3CD71855"/>
    <w:rsid w:val="3CDB1237"/>
    <w:rsid w:val="3CDC7C6A"/>
    <w:rsid w:val="3CE77152"/>
    <w:rsid w:val="3CF950D8"/>
    <w:rsid w:val="3D0575D8"/>
    <w:rsid w:val="3D0A1093"/>
    <w:rsid w:val="3D0D46DF"/>
    <w:rsid w:val="3D0F66A9"/>
    <w:rsid w:val="3D1006A2"/>
    <w:rsid w:val="3D127DBE"/>
    <w:rsid w:val="3D18555E"/>
    <w:rsid w:val="3D257C7B"/>
    <w:rsid w:val="3D3F6F8E"/>
    <w:rsid w:val="3D453E79"/>
    <w:rsid w:val="3D483969"/>
    <w:rsid w:val="3D4A148F"/>
    <w:rsid w:val="3D4A5E08"/>
    <w:rsid w:val="3D4A69A7"/>
    <w:rsid w:val="3D4D6987"/>
    <w:rsid w:val="3D54230E"/>
    <w:rsid w:val="3D5F318D"/>
    <w:rsid w:val="3D623B40"/>
    <w:rsid w:val="3D69400B"/>
    <w:rsid w:val="3D6C7658"/>
    <w:rsid w:val="3D6D7401"/>
    <w:rsid w:val="3D74475E"/>
    <w:rsid w:val="3D7804FA"/>
    <w:rsid w:val="3D7D3613"/>
    <w:rsid w:val="3D8E5820"/>
    <w:rsid w:val="3D98669F"/>
    <w:rsid w:val="3DA74B34"/>
    <w:rsid w:val="3DAD7631"/>
    <w:rsid w:val="3DB80AEF"/>
    <w:rsid w:val="3DBB238D"/>
    <w:rsid w:val="3DBD4357"/>
    <w:rsid w:val="3DC079A3"/>
    <w:rsid w:val="3DC47494"/>
    <w:rsid w:val="3DCB25D0"/>
    <w:rsid w:val="3DCB6A74"/>
    <w:rsid w:val="3DE11DF4"/>
    <w:rsid w:val="3DE96EFA"/>
    <w:rsid w:val="3DF31B27"/>
    <w:rsid w:val="3DF633C5"/>
    <w:rsid w:val="3DF77869"/>
    <w:rsid w:val="3DF8538F"/>
    <w:rsid w:val="3DFE0FBD"/>
    <w:rsid w:val="3E015FF2"/>
    <w:rsid w:val="3E077380"/>
    <w:rsid w:val="3E083824"/>
    <w:rsid w:val="3E09134A"/>
    <w:rsid w:val="3E0B26DF"/>
    <w:rsid w:val="3E0E070F"/>
    <w:rsid w:val="3E171CB9"/>
    <w:rsid w:val="3E18333B"/>
    <w:rsid w:val="3E1F291C"/>
    <w:rsid w:val="3E317A42"/>
    <w:rsid w:val="3E33045B"/>
    <w:rsid w:val="3E3F2B1B"/>
    <w:rsid w:val="3E467EA9"/>
    <w:rsid w:val="3E500D27"/>
    <w:rsid w:val="3E5D51F2"/>
    <w:rsid w:val="3E645E2F"/>
    <w:rsid w:val="3E661B42"/>
    <w:rsid w:val="3E725142"/>
    <w:rsid w:val="3E740EBA"/>
    <w:rsid w:val="3E746C35"/>
    <w:rsid w:val="3E817133"/>
    <w:rsid w:val="3E8B53C9"/>
    <w:rsid w:val="3E8D3D29"/>
    <w:rsid w:val="3E93265B"/>
    <w:rsid w:val="3E990920"/>
    <w:rsid w:val="3E9B5F83"/>
    <w:rsid w:val="3E9E1A93"/>
    <w:rsid w:val="3EA177D5"/>
    <w:rsid w:val="3EAB2402"/>
    <w:rsid w:val="3EB75EA1"/>
    <w:rsid w:val="3EC15781"/>
    <w:rsid w:val="3EC314F9"/>
    <w:rsid w:val="3EC3774B"/>
    <w:rsid w:val="3ECF60F0"/>
    <w:rsid w:val="3ED23E32"/>
    <w:rsid w:val="3ED41958"/>
    <w:rsid w:val="3EE316A9"/>
    <w:rsid w:val="3EF21DDE"/>
    <w:rsid w:val="3EF66B94"/>
    <w:rsid w:val="3EF913BF"/>
    <w:rsid w:val="3F0264C5"/>
    <w:rsid w:val="3F087868"/>
    <w:rsid w:val="3F0C0417"/>
    <w:rsid w:val="3F0F473E"/>
    <w:rsid w:val="3F213394"/>
    <w:rsid w:val="3F283A52"/>
    <w:rsid w:val="3F2A1578"/>
    <w:rsid w:val="3F367F1D"/>
    <w:rsid w:val="3F3E3276"/>
    <w:rsid w:val="3F4058C2"/>
    <w:rsid w:val="3F4940F4"/>
    <w:rsid w:val="3F4F492A"/>
    <w:rsid w:val="3F56236D"/>
    <w:rsid w:val="3F5B3E28"/>
    <w:rsid w:val="3F5E56C6"/>
    <w:rsid w:val="3F724CCD"/>
    <w:rsid w:val="3F7B6278"/>
    <w:rsid w:val="3F84512C"/>
    <w:rsid w:val="3F85305B"/>
    <w:rsid w:val="3F870779"/>
    <w:rsid w:val="3F8A0269"/>
    <w:rsid w:val="3F8A2017"/>
    <w:rsid w:val="3F9133A5"/>
    <w:rsid w:val="3F9335C1"/>
    <w:rsid w:val="3F966C0E"/>
    <w:rsid w:val="3F9D1D4A"/>
    <w:rsid w:val="3FA4132B"/>
    <w:rsid w:val="3FA532F5"/>
    <w:rsid w:val="3FAC6431"/>
    <w:rsid w:val="3FB47094"/>
    <w:rsid w:val="3FB848C7"/>
    <w:rsid w:val="3FC01EDD"/>
    <w:rsid w:val="3FC1012F"/>
    <w:rsid w:val="3FC224AA"/>
    <w:rsid w:val="3FCA4B09"/>
    <w:rsid w:val="3FEA0D08"/>
    <w:rsid w:val="3FF52E31"/>
    <w:rsid w:val="3FFA53EF"/>
    <w:rsid w:val="3FFD0A3B"/>
    <w:rsid w:val="3FFD4EDF"/>
    <w:rsid w:val="40291830"/>
    <w:rsid w:val="40463E1D"/>
    <w:rsid w:val="405A5E8D"/>
    <w:rsid w:val="406D3FE9"/>
    <w:rsid w:val="406E1939"/>
    <w:rsid w:val="40736F4F"/>
    <w:rsid w:val="407451A1"/>
    <w:rsid w:val="40774C91"/>
    <w:rsid w:val="408D0011"/>
    <w:rsid w:val="409C64A6"/>
    <w:rsid w:val="40A4535A"/>
    <w:rsid w:val="40A81B60"/>
    <w:rsid w:val="40B51316"/>
    <w:rsid w:val="40B732E0"/>
    <w:rsid w:val="40BE641C"/>
    <w:rsid w:val="40C559FD"/>
    <w:rsid w:val="40C854ED"/>
    <w:rsid w:val="40CC7C38"/>
    <w:rsid w:val="40CD48B1"/>
    <w:rsid w:val="40D45C40"/>
    <w:rsid w:val="40D55514"/>
    <w:rsid w:val="40D81790"/>
    <w:rsid w:val="40D95004"/>
    <w:rsid w:val="40DB5220"/>
    <w:rsid w:val="40DE261A"/>
    <w:rsid w:val="40ED4F53"/>
    <w:rsid w:val="40F40A87"/>
    <w:rsid w:val="41076015"/>
    <w:rsid w:val="410D1152"/>
    <w:rsid w:val="41105C87"/>
    <w:rsid w:val="411249BA"/>
    <w:rsid w:val="41171FD0"/>
    <w:rsid w:val="411B386E"/>
    <w:rsid w:val="411E335F"/>
    <w:rsid w:val="41250249"/>
    <w:rsid w:val="41263FC1"/>
    <w:rsid w:val="41272213"/>
    <w:rsid w:val="412A5860"/>
    <w:rsid w:val="41320CFA"/>
    <w:rsid w:val="41377F7D"/>
    <w:rsid w:val="413C46BC"/>
    <w:rsid w:val="41452699"/>
    <w:rsid w:val="414B08D8"/>
    <w:rsid w:val="414D77A0"/>
    <w:rsid w:val="415149D7"/>
    <w:rsid w:val="4162324B"/>
    <w:rsid w:val="41720FB5"/>
    <w:rsid w:val="41760AA5"/>
    <w:rsid w:val="41924820"/>
    <w:rsid w:val="41944E05"/>
    <w:rsid w:val="419453CF"/>
    <w:rsid w:val="419844BE"/>
    <w:rsid w:val="419B050B"/>
    <w:rsid w:val="41A51F7A"/>
    <w:rsid w:val="41A6671D"/>
    <w:rsid w:val="41AC44C7"/>
    <w:rsid w:val="41AC7E24"/>
    <w:rsid w:val="41AE46E3"/>
    <w:rsid w:val="41BA505D"/>
    <w:rsid w:val="41BB295C"/>
    <w:rsid w:val="41BE41FA"/>
    <w:rsid w:val="41C23CEA"/>
    <w:rsid w:val="41CE08E1"/>
    <w:rsid w:val="41CE6B33"/>
    <w:rsid w:val="41D103D1"/>
    <w:rsid w:val="41D57EC1"/>
    <w:rsid w:val="41EE0C01"/>
    <w:rsid w:val="42002A64"/>
    <w:rsid w:val="42024A2E"/>
    <w:rsid w:val="420267DC"/>
    <w:rsid w:val="420C765B"/>
    <w:rsid w:val="42181496"/>
    <w:rsid w:val="42294DF3"/>
    <w:rsid w:val="422E137F"/>
    <w:rsid w:val="42462B6D"/>
    <w:rsid w:val="42470693"/>
    <w:rsid w:val="424741EF"/>
    <w:rsid w:val="424D3EFC"/>
    <w:rsid w:val="425520E7"/>
    <w:rsid w:val="425D7EB7"/>
    <w:rsid w:val="425F778B"/>
    <w:rsid w:val="42660B19"/>
    <w:rsid w:val="42674891"/>
    <w:rsid w:val="426B4382"/>
    <w:rsid w:val="42701998"/>
    <w:rsid w:val="428471F1"/>
    <w:rsid w:val="428B3BBD"/>
    <w:rsid w:val="429733C9"/>
    <w:rsid w:val="429A07C3"/>
    <w:rsid w:val="42B0448A"/>
    <w:rsid w:val="42B45D29"/>
    <w:rsid w:val="42C10446"/>
    <w:rsid w:val="42C228FD"/>
    <w:rsid w:val="42D27F5D"/>
    <w:rsid w:val="42D309FB"/>
    <w:rsid w:val="42EB54C2"/>
    <w:rsid w:val="42EF6D61"/>
    <w:rsid w:val="43043D8C"/>
    <w:rsid w:val="430622FC"/>
    <w:rsid w:val="43284021"/>
    <w:rsid w:val="43307E70"/>
    <w:rsid w:val="43486471"/>
    <w:rsid w:val="4355293C"/>
    <w:rsid w:val="435968D0"/>
    <w:rsid w:val="436112E1"/>
    <w:rsid w:val="43811A9E"/>
    <w:rsid w:val="438374A9"/>
    <w:rsid w:val="43911BC6"/>
    <w:rsid w:val="4396542E"/>
    <w:rsid w:val="43994F1E"/>
    <w:rsid w:val="43996CCD"/>
    <w:rsid w:val="439D20BD"/>
    <w:rsid w:val="43AA7F17"/>
    <w:rsid w:val="43AC6A00"/>
    <w:rsid w:val="43B81849"/>
    <w:rsid w:val="43BD1491"/>
    <w:rsid w:val="43C006FD"/>
    <w:rsid w:val="43C95804"/>
    <w:rsid w:val="43CD6976"/>
    <w:rsid w:val="43D441A9"/>
    <w:rsid w:val="43D910B9"/>
    <w:rsid w:val="43DF35A8"/>
    <w:rsid w:val="43E133CB"/>
    <w:rsid w:val="43EF4B3E"/>
    <w:rsid w:val="43F87E97"/>
    <w:rsid w:val="43FE2FD4"/>
    <w:rsid w:val="441427F7"/>
    <w:rsid w:val="441B1DD7"/>
    <w:rsid w:val="442962A2"/>
    <w:rsid w:val="44316F05"/>
    <w:rsid w:val="44332C7D"/>
    <w:rsid w:val="4436276D"/>
    <w:rsid w:val="443D58AA"/>
    <w:rsid w:val="445C3C7C"/>
    <w:rsid w:val="445F1CC4"/>
    <w:rsid w:val="44703ED1"/>
    <w:rsid w:val="447A4D50"/>
    <w:rsid w:val="4484172B"/>
    <w:rsid w:val="4487121B"/>
    <w:rsid w:val="448B5125"/>
    <w:rsid w:val="449000D0"/>
    <w:rsid w:val="44901E7E"/>
    <w:rsid w:val="44913E48"/>
    <w:rsid w:val="44B1564F"/>
    <w:rsid w:val="44B26298"/>
    <w:rsid w:val="44B5224F"/>
    <w:rsid w:val="44BD4C3D"/>
    <w:rsid w:val="44C1472D"/>
    <w:rsid w:val="44C63AF1"/>
    <w:rsid w:val="44C77869"/>
    <w:rsid w:val="44C85ABB"/>
    <w:rsid w:val="44D206E8"/>
    <w:rsid w:val="44D83825"/>
    <w:rsid w:val="44DD0E3B"/>
    <w:rsid w:val="44E64193"/>
    <w:rsid w:val="44E707EA"/>
    <w:rsid w:val="44FA379B"/>
    <w:rsid w:val="44FA7096"/>
    <w:rsid w:val="4504461A"/>
    <w:rsid w:val="450B59A8"/>
    <w:rsid w:val="45132AAF"/>
    <w:rsid w:val="45151974"/>
    <w:rsid w:val="45156827"/>
    <w:rsid w:val="4521341D"/>
    <w:rsid w:val="4525273F"/>
    <w:rsid w:val="452A22D2"/>
    <w:rsid w:val="45374186"/>
    <w:rsid w:val="45462E84"/>
    <w:rsid w:val="454B3FF6"/>
    <w:rsid w:val="455A06DD"/>
    <w:rsid w:val="455A248C"/>
    <w:rsid w:val="455B692F"/>
    <w:rsid w:val="456D5D06"/>
    <w:rsid w:val="45703A5D"/>
    <w:rsid w:val="45744DF5"/>
    <w:rsid w:val="457A48DC"/>
    <w:rsid w:val="457B4FF5"/>
    <w:rsid w:val="457F787C"/>
    <w:rsid w:val="458319E2"/>
    <w:rsid w:val="4584426D"/>
    <w:rsid w:val="458E5EE1"/>
    <w:rsid w:val="458F3751"/>
    <w:rsid w:val="45965BB9"/>
    <w:rsid w:val="45985BB9"/>
    <w:rsid w:val="45B778DE"/>
    <w:rsid w:val="45B84329"/>
    <w:rsid w:val="45B93656"/>
    <w:rsid w:val="45C049E4"/>
    <w:rsid w:val="45C05B04"/>
    <w:rsid w:val="45C676B7"/>
    <w:rsid w:val="45CB49F3"/>
    <w:rsid w:val="45CC4CD7"/>
    <w:rsid w:val="45D71D2E"/>
    <w:rsid w:val="45E2495B"/>
    <w:rsid w:val="45FD1795"/>
    <w:rsid w:val="46024FFD"/>
    <w:rsid w:val="46032B23"/>
    <w:rsid w:val="460348D1"/>
    <w:rsid w:val="460D5750"/>
    <w:rsid w:val="460D74FE"/>
    <w:rsid w:val="460F771A"/>
    <w:rsid w:val="461A0599"/>
    <w:rsid w:val="46222FA9"/>
    <w:rsid w:val="462C5BD6"/>
    <w:rsid w:val="46313BA0"/>
    <w:rsid w:val="46410AC4"/>
    <w:rsid w:val="46537607"/>
    <w:rsid w:val="46623CEE"/>
    <w:rsid w:val="466A00FF"/>
    <w:rsid w:val="467001B9"/>
    <w:rsid w:val="46767799"/>
    <w:rsid w:val="4677499D"/>
    <w:rsid w:val="46780E1B"/>
    <w:rsid w:val="46873754"/>
    <w:rsid w:val="46902609"/>
    <w:rsid w:val="46932567"/>
    <w:rsid w:val="46933EA7"/>
    <w:rsid w:val="46A55988"/>
    <w:rsid w:val="46A566C9"/>
    <w:rsid w:val="46A674D6"/>
    <w:rsid w:val="46A9191C"/>
    <w:rsid w:val="46AE0CE1"/>
    <w:rsid w:val="46AF1094"/>
    <w:rsid w:val="46B1257F"/>
    <w:rsid w:val="46B5206F"/>
    <w:rsid w:val="46B9504C"/>
    <w:rsid w:val="46BA7FB1"/>
    <w:rsid w:val="46BC33FE"/>
    <w:rsid w:val="46CC1167"/>
    <w:rsid w:val="46DD5122"/>
    <w:rsid w:val="46EC5719"/>
    <w:rsid w:val="46EE732F"/>
    <w:rsid w:val="46F5246C"/>
    <w:rsid w:val="46FA2178"/>
    <w:rsid w:val="46FC1A4C"/>
    <w:rsid w:val="47022DDB"/>
    <w:rsid w:val="471274C2"/>
    <w:rsid w:val="471D19C3"/>
    <w:rsid w:val="4729480B"/>
    <w:rsid w:val="473B3B1F"/>
    <w:rsid w:val="473B51AB"/>
    <w:rsid w:val="4740402F"/>
    <w:rsid w:val="47503B46"/>
    <w:rsid w:val="47523D62"/>
    <w:rsid w:val="47574ED5"/>
    <w:rsid w:val="475F1FDB"/>
    <w:rsid w:val="476B4E24"/>
    <w:rsid w:val="476F0470"/>
    <w:rsid w:val="47777325"/>
    <w:rsid w:val="4779309D"/>
    <w:rsid w:val="477962C7"/>
    <w:rsid w:val="477A0BC3"/>
    <w:rsid w:val="478163F5"/>
    <w:rsid w:val="478B2DD0"/>
    <w:rsid w:val="478D3956"/>
    <w:rsid w:val="478F466E"/>
    <w:rsid w:val="479003E6"/>
    <w:rsid w:val="4791488A"/>
    <w:rsid w:val="47925F0D"/>
    <w:rsid w:val="4799373F"/>
    <w:rsid w:val="479B1265"/>
    <w:rsid w:val="479C3CAB"/>
    <w:rsid w:val="47B10A89"/>
    <w:rsid w:val="47B9793D"/>
    <w:rsid w:val="47CC58C3"/>
    <w:rsid w:val="47CD5197"/>
    <w:rsid w:val="47CF0F0F"/>
    <w:rsid w:val="47D14C87"/>
    <w:rsid w:val="47D169E5"/>
    <w:rsid w:val="47DB3DAD"/>
    <w:rsid w:val="47E30DFE"/>
    <w:rsid w:val="47E30E5E"/>
    <w:rsid w:val="47E56984"/>
    <w:rsid w:val="47EB386F"/>
    <w:rsid w:val="47EC1AC1"/>
    <w:rsid w:val="47EF15B1"/>
    <w:rsid w:val="4801396F"/>
    <w:rsid w:val="480768FB"/>
    <w:rsid w:val="481132D5"/>
    <w:rsid w:val="48147269"/>
    <w:rsid w:val="48221986"/>
    <w:rsid w:val="48256D81"/>
    <w:rsid w:val="48276F9D"/>
    <w:rsid w:val="4828061F"/>
    <w:rsid w:val="482A4397"/>
    <w:rsid w:val="482F5E51"/>
    <w:rsid w:val="483D056E"/>
    <w:rsid w:val="48480CC1"/>
    <w:rsid w:val="484A2E33"/>
    <w:rsid w:val="484F2050"/>
    <w:rsid w:val="48512886"/>
    <w:rsid w:val="48527ACC"/>
    <w:rsid w:val="48537D92"/>
    <w:rsid w:val="485458B8"/>
    <w:rsid w:val="48552B21"/>
    <w:rsid w:val="485D4EFD"/>
    <w:rsid w:val="485F0B41"/>
    <w:rsid w:val="486F26F2"/>
    <w:rsid w:val="488E4926"/>
    <w:rsid w:val="488F68F0"/>
    <w:rsid w:val="48931F3C"/>
    <w:rsid w:val="489451D8"/>
    <w:rsid w:val="48965ED0"/>
    <w:rsid w:val="48A73C3A"/>
    <w:rsid w:val="48A979B2"/>
    <w:rsid w:val="48AC2FFE"/>
    <w:rsid w:val="48AD78AC"/>
    <w:rsid w:val="48BB76E5"/>
    <w:rsid w:val="48BF0F83"/>
    <w:rsid w:val="48C04CFB"/>
    <w:rsid w:val="48C52312"/>
    <w:rsid w:val="48D574A0"/>
    <w:rsid w:val="48D6451F"/>
    <w:rsid w:val="48DD571A"/>
    <w:rsid w:val="48E374F8"/>
    <w:rsid w:val="48E44E8E"/>
    <w:rsid w:val="48FA645F"/>
    <w:rsid w:val="48FC3F85"/>
    <w:rsid w:val="48FE1020"/>
    <w:rsid w:val="49025314"/>
    <w:rsid w:val="49096929"/>
    <w:rsid w:val="490C607A"/>
    <w:rsid w:val="490D6193"/>
    <w:rsid w:val="491A05A9"/>
    <w:rsid w:val="491D5CAA"/>
    <w:rsid w:val="49262DB0"/>
    <w:rsid w:val="492B03C7"/>
    <w:rsid w:val="492C413F"/>
    <w:rsid w:val="493A685C"/>
    <w:rsid w:val="493C57C4"/>
    <w:rsid w:val="494033B4"/>
    <w:rsid w:val="49494CF1"/>
    <w:rsid w:val="494B2817"/>
    <w:rsid w:val="494D2A33"/>
    <w:rsid w:val="494E2307"/>
    <w:rsid w:val="495530D2"/>
    <w:rsid w:val="495C4A24"/>
    <w:rsid w:val="495E69EE"/>
    <w:rsid w:val="496658A3"/>
    <w:rsid w:val="496F29A9"/>
    <w:rsid w:val="49706721"/>
    <w:rsid w:val="497125DE"/>
    <w:rsid w:val="497F6965"/>
    <w:rsid w:val="499C3073"/>
    <w:rsid w:val="49AA1C33"/>
    <w:rsid w:val="49AC5BED"/>
    <w:rsid w:val="49B74350"/>
    <w:rsid w:val="49BF3E9A"/>
    <w:rsid w:val="49C63CB5"/>
    <w:rsid w:val="49CA5E32"/>
    <w:rsid w:val="49CA7BE0"/>
    <w:rsid w:val="49CC7DFC"/>
    <w:rsid w:val="49D12759"/>
    <w:rsid w:val="49FA75E7"/>
    <w:rsid w:val="49FC7FB5"/>
    <w:rsid w:val="4A076836"/>
    <w:rsid w:val="4A0A26D2"/>
    <w:rsid w:val="4A114214"/>
    <w:rsid w:val="4A3D12CF"/>
    <w:rsid w:val="4A4200BE"/>
    <w:rsid w:val="4A4831FA"/>
    <w:rsid w:val="4A4A6F73"/>
    <w:rsid w:val="4A5778B2"/>
    <w:rsid w:val="4A5D4EF8"/>
    <w:rsid w:val="4A5D6CA6"/>
    <w:rsid w:val="4A606796"/>
    <w:rsid w:val="4A653B05"/>
    <w:rsid w:val="4A691AF4"/>
    <w:rsid w:val="4A6C0C97"/>
    <w:rsid w:val="4A6C6EE9"/>
    <w:rsid w:val="4A791A90"/>
    <w:rsid w:val="4A7B35D0"/>
    <w:rsid w:val="4A8A6194"/>
    <w:rsid w:val="4A8F0E29"/>
    <w:rsid w:val="4A914BA1"/>
    <w:rsid w:val="4A9F6F2A"/>
    <w:rsid w:val="4AA246B9"/>
    <w:rsid w:val="4AAA603E"/>
    <w:rsid w:val="4AAE5753"/>
    <w:rsid w:val="4AB95273"/>
    <w:rsid w:val="4AC42881"/>
    <w:rsid w:val="4AC51354"/>
    <w:rsid w:val="4AC77F1B"/>
    <w:rsid w:val="4ACC1859"/>
    <w:rsid w:val="4AD32B7C"/>
    <w:rsid w:val="4ADD7DE7"/>
    <w:rsid w:val="4AE72A13"/>
    <w:rsid w:val="4AEA3D4B"/>
    <w:rsid w:val="4AF3760A"/>
    <w:rsid w:val="4AFA62A3"/>
    <w:rsid w:val="4AFF1B0B"/>
    <w:rsid w:val="4B06733D"/>
    <w:rsid w:val="4B0C5FD6"/>
    <w:rsid w:val="4B131B6F"/>
    <w:rsid w:val="4B137364"/>
    <w:rsid w:val="4B187071"/>
    <w:rsid w:val="4B1A6945"/>
    <w:rsid w:val="4B2C0D79"/>
    <w:rsid w:val="4B2C6678"/>
    <w:rsid w:val="4B2E23F0"/>
    <w:rsid w:val="4B320132"/>
    <w:rsid w:val="4B367AD7"/>
    <w:rsid w:val="4B38501D"/>
    <w:rsid w:val="4B4340EE"/>
    <w:rsid w:val="4B481704"/>
    <w:rsid w:val="4B4E65EF"/>
    <w:rsid w:val="4B531E57"/>
    <w:rsid w:val="4B5C6F5D"/>
    <w:rsid w:val="4B5D2CD5"/>
    <w:rsid w:val="4B5F4C84"/>
    <w:rsid w:val="4B6127C6"/>
    <w:rsid w:val="4B614574"/>
    <w:rsid w:val="4B616322"/>
    <w:rsid w:val="4B652C40"/>
    <w:rsid w:val="4B702A09"/>
    <w:rsid w:val="4B756271"/>
    <w:rsid w:val="4B810772"/>
    <w:rsid w:val="4B840262"/>
    <w:rsid w:val="4B8D5369"/>
    <w:rsid w:val="4B8F6090"/>
    <w:rsid w:val="4B982148"/>
    <w:rsid w:val="4BA157E9"/>
    <w:rsid w:val="4BA25184"/>
    <w:rsid w:val="4BA92BA5"/>
    <w:rsid w:val="4BAD7C0A"/>
    <w:rsid w:val="4BB5041C"/>
    <w:rsid w:val="4BB74194"/>
    <w:rsid w:val="4BBD5522"/>
    <w:rsid w:val="4BC02B8A"/>
    <w:rsid w:val="4BCB5E91"/>
    <w:rsid w:val="4BCF5981"/>
    <w:rsid w:val="4BF17C2D"/>
    <w:rsid w:val="4BF83E68"/>
    <w:rsid w:val="4C094698"/>
    <w:rsid w:val="4C200F0A"/>
    <w:rsid w:val="4C26737A"/>
    <w:rsid w:val="4C26756B"/>
    <w:rsid w:val="4C2F4672"/>
    <w:rsid w:val="4C325F10"/>
    <w:rsid w:val="4C373527"/>
    <w:rsid w:val="4C392DFB"/>
    <w:rsid w:val="4C400831"/>
    <w:rsid w:val="4C4338BA"/>
    <w:rsid w:val="4C4364F2"/>
    <w:rsid w:val="4C4874E2"/>
    <w:rsid w:val="4C4C3B78"/>
    <w:rsid w:val="4C4C5224"/>
    <w:rsid w:val="4C51324C"/>
    <w:rsid w:val="4C583BC9"/>
    <w:rsid w:val="4C650094"/>
    <w:rsid w:val="4C6755B6"/>
    <w:rsid w:val="4C675BBA"/>
    <w:rsid w:val="4C742085"/>
    <w:rsid w:val="4C746529"/>
    <w:rsid w:val="4C79760A"/>
    <w:rsid w:val="4C7B1665"/>
    <w:rsid w:val="4C800A2A"/>
    <w:rsid w:val="4C8C5620"/>
    <w:rsid w:val="4C8E267B"/>
    <w:rsid w:val="4C8F6EBF"/>
    <w:rsid w:val="4C9332CB"/>
    <w:rsid w:val="4C97105C"/>
    <w:rsid w:val="4C9A3242"/>
    <w:rsid w:val="4CA254C8"/>
    <w:rsid w:val="4CA3296A"/>
    <w:rsid w:val="4CA961D2"/>
    <w:rsid w:val="4CAE1A3B"/>
    <w:rsid w:val="4CAE37E9"/>
    <w:rsid w:val="4CBF59F6"/>
    <w:rsid w:val="4CC0176E"/>
    <w:rsid w:val="4CC077CC"/>
    <w:rsid w:val="4CC4300C"/>
    <w:rsid w:val="4CC50B32"/>
    <w:rsid w:val="4CCF375F"/>
    <w:rsid w:val="4CD07C03"/>
    <w:rsid w:val="4CD40D6E"/>
    <w:rsid w:val="4CDF1BF4"/>
    <w:rsid w:val="4CE10FC8"/>
    <w:rsid w:val="4CEF795D"/>
    <w:rsid w:val="4CF02261"/>
    <w:rsid w:val="4CF21575"/>
    <w:rsid w:val="4D0C49B3"/>
    <w:rsid w:val="4D111FCA"/>
    <w:rsid w:val="4D137AF0"/>
    <w:rsid w:val="4D1D096E"/>
    <w:rsid w:val="4D2E0486"/>
    <w:rsid w:val="4D3A0C03"/>
    <w:rsid w:val="4D3C1030"/>
    <w:rsid w:val="4D3D691B"/>
    <w:rsid w:val="4D4128AF"/>
    <w:rsid w:val="4D56487E"/>
    <w:rsid w:val="4D5819A6"/>
    <w:rsid w:val="4D583754"/>
    <w:rsid w:val="4D595308"/>
    <w:rsid w:val="4D6245D3"/>
    <w:rsid w:val="4D6A51F3"/>
    <w:rsid w:val="4D722A68"/>
    <w:rsid w:val="4D74246D"/>
    <w:rsid w:val="4D767F72"/>
    <w:rsid w:val="4D7E765F"/>
    <w:rsid w:val="4D8E53C8"/>
    <w:rsid w:val="4DA42D6F"/>
    <w:rsid w:val="4DA42E3E"/>
    <w:rsid w:val="4DAB5F7A"/>
    <w:rsid w:val="4DAE5A6A"/>
    <w:rsid w:val="4DAE5BB2"/>
    <w:rsid w:val="4DBE5CAD"/>
    <w:rsid w:val="4DC112FA"/>
    <w:rsid w:val="4DCD7C9F"/>
    <w:rsid w:val="4DD252B5"/>
    <w:rsid w:val="4DD52FF7"/>
    <w:rsid w:val="4DDA060D"/>
    <w:rsid w:val="4DDD3C5A"/>
    <w:rsid w:val="4DDE1EAC"/>
    <w:rsid w:val="4DE02688"/>
    <w:rsid w:val="4DE67084"/>
    <w:rsid w:val="4DF70E68"/>
    <w:rsid w:val="4E00299B"/>
    <w:rsid w:val="4E061402"/>
    <w:rsid w:val="4E067654"/>
    <w:rsid w:val="4E105DDD"/>
    <w:rsid w:val="4E1753BE"/>
    <w:rsid w:val="4E191136"/>
    <w:rsid w:val="4E222111"/>
    <w:rsid w:val="4E287F63"/>
    <w:rsid w:val="4E351802"/>
    <w:rsid w:val="4E3C4E24"/>
    <w:rsid w:val="4E3E0B9C"/>
    <w:rsid w:val="4E444FAD"/>
    <w:rsid w:val="4E465CA3"/>
    <w:rsid w:val="4E5665F4"/>
    <w:rsid w:val="4E5B59D4"/>
    <w:rsid w:val="4E6525CD"/>
    <w:rsid w:val="4E6A1991"/>
    <w:rsid w:val="4E6D3230"/>
    <w:rsid w:val="4E726A98"/>
    <w:rsid w:val="4E7D7917"/>
    <w:rsid w:val="4E87283D"/>
    <w:rsid w:val="4E8F13F8"/>
    <w:rsid w:val="4E9026C9"/>
    <w:rsid w:val="4E984750"/>
    <w:rsid w:val="4EB43F61"/>
    <w:rsid w:val="4EB57700"/>
    <w:rsid w:val="4EB726FD"/>
    <w:rsid w:val="4EC617D0"/>
    <w:rsid w:val="4ECD3CCE"/>
    <w:rsid w:val="4ECF7A46"/>
    <w:rsid w:val="4ED67313"/>
    <w:rsid w:val="4ED84B4D"/>
    <w:rsid w:val="4EDB463D"/>
    <w:rsid w:val="4EE31744"/>
    <w:rsid w:val="4EE95DB8"/>
    <w:rsid w:val="4EEA4880"/>
    <w:rsid w:val="4EED71C9"/>
    <w:rsid w:val="4EEF633A"/>
    <w:rsid w:val="4EF676C9"/>
    <w:rsid w:val="4EF94AC3"/>
    <w:rsid w:val="4F10078B"/>
    <w:rsid w:val="4F1A33B7"/>
    <w:rsid w:val="4F1D4C56"/>
    <w:rsid w:val="4F22226C"/>
    <w:rsid w:val="4F2E0C11"/>
    <w:rsid w:val="4F2E6E63"/>
    <w:rsid w:val="4F451D45"/>
    <w:rsid w:val="4F483E30"/>
    <w:rsid w:val="4F4B46D4"/>
    <w:rsid w:val="4F5747F4"/>
    <w:rsid w:val="4F585C8E"/>
    <w:rsid w:val="4F5F0DCA"/>
    <w:rsid w:val="4F7C7BCE"/>
    <w:rsid w:val="4F822D0B"/>
    <w:rsid w:val="4F8B6236"/>
    <w:rsid w:val="4F8D1DDB"/>
    <w:rsid w:val="4F9111A0"/>
    <w:rsid w:val="4F934F18"/>
    <w:rsid w:val="4FAA2FE5"/>
    <w:rsid w:val="4FAB2261"/>
    <w:rsid w:val="4FB01626"/>
    <w:rsid w:val="4FB76E58"/>
    <w:rsid w:val="4FCB46B2"/>
    <w:rsid w:val="4FD04988"/>
    <w:rsid w:val="4FD64330"/>
    <w:rsid w:val="4FDC066D"/>
    <w:rsid w:val="4FDF1F0B"/>
    <w:rsid w:val="4FE319FB"/>
    <w:rsid w:val="4FEE65F2"/>
    <w:rsid w:val="4FF74FD6"/>
    <w:rsid w:val="4FF84D7B"/>
    <w:rsid w:val="4FF97471"/>
    <w:rsid w:val="500C13FE"/>
    <w:rsid w:val="500D0826"/>
    <w:rsid w:val="500E27F0"/>
    <w:rsid w:val="501E313F"/>
    <w:rsid w:val="50250266"/>
    <w:rsid w:val="502D2C76"/>
    <w:rsid w:val="503009B9"/>
    <w:rsid w:val="50306C0B"/>
    <w:rsid w:val="50361381"/>
    <w:rsid w:val="50395ABF"/>
    <w:rsid w:val="504A4CD4"/>
    <w:rsid w:val="504B57F2"/>
    <w:rsid w:val="505E72D4"/>
    <w:rsid w:val="5066262C"/>
    <w:rsid w:val="506D5166"/>
    <w:rsid w:val="506D5769"/>
    <w:rsid w:val="50720FD1"/>
    <w:rsid w:val="507B7E86"/>
    <w:rsid w:val="507E38BC"/>
    <w:rsid w:val="50850D04"/>
    <w:rsid w:val="508825A3"/>
    <w:rsid w:val="50AD2009"/>
    <w:rsid w:val="50B213CE"/>
    <w:rsid w:val="50C6264E"/>
    <w:rsid w:val="50CE4E56"/>
    <w:rsid w:val="50D9021A"/>
    <w:rsid w:val="50E52B3B"/>
    <w:rsid w:val="50EB66E3"/>
    <w:rsid w:val="50F11EF6"/>
    <w:rsid w:val="50FD6AED"/>
    <w:rsid w:val="50FE2865"/>
    <w:rsid w:val="510506A1"/>
    <w:rsid w:val="510644BA"/>
    <w:rsid w:val="510734C7"/>
    <w:rsid w:val="510A745C"/>
    <w:rsid w:val="510C4F82"/>
    <w:rsid w:val="510F6820"/>
    <w:rsid w:val="51124655"/>
    <w:rsid w:val="51145BE4"/>
    <w:rsid w:val="5117340D"/>
    <w:rsid w:val="511917E7"/>
    <w:rsid w:val="5119769F"/>
    <w:rsid w:val="511A3416"/>
    <w:rsid w:val="511F2F07"/>
    <w:rsid w:val="51204589"/>
    <w:rsid w:val="512C2F2E"/>
    <w:rsid w:val="513149E8"/>
    <w:rsid w:val="513403C7"/>
    <w:rsid w:val="514209A3"/>
    <w:rsid w:val="514364CA"/>
    <w:rsid w:val="51450494"/>
    <w:rsid w:val="514C1822"/>
    <w:rsid w:val="51530621"/>
    <w:rsid w:val="51581F75"/>
    <w:rsid w:val="51621046"/>
    <w:rsid w:val="51644DBE"/>
    <w:rsid w:val="516C77CE"/>
    <w:rsid w:val="516E3547"/>
    <w:rsid w:val="51705511"/>
    <w:rsid w:val="51713037"/>
    <w:rsid w:val="517D3840"/>
    <w:rsid w:val="51842D6A"/>
    <w:rsid w:val="51870AAC"/>
    <w:rsid w:val="51890380"/>
    <w:rsid w:val="519059F2"/>
    <w:rsid w:val="51907961"/>
    <w:rsid w:val="519805C3"/>
    <w:rsid w:val="519A433C"/>
    <w:rsid w:val="519C236E"/>
    <w:rsid w:val="51A92236"/>
    <w:rsid w:val="51A927D1"/>
    <w:rsid w:val="51B00003"/>
    <w:rsid w:val="51B01F39"/>
    <w:rsid w:val="51B03B5F"/>
    <w:rsid w:val="51C770FB"/>
    <w:rsid w:val="51D6733E"/>
    <w:rsid w:val="51E90E1F"/>
    <w:rsid w:val="51E91BF4"/>
    <w:rsid w:val="51F37EF0"/>
    <w:rsid w:val="51F85506"/>
    <w:rsid w:val="51FA302C"/>
    <w:rsid w:val="5201085F"/>
    <w:rsid w:val="52036385"/>
    <w:rsid w:val="52097713"/>
    <w:rsid w:val="52100317"/>
    <w:rsid w:val="52263E21"/>
    <w:rsid w:val="52294223"/>
    <w:rsid w:val="522D3402"/>
    <w:rsid w:val="522E1E73"/>
    <w:rsid w:val="523A5B1F"/>
    <w:rsid w:val="523B6791"/>
    <w:rsid w:val="523F4EE3"/>
    <w:rsid w:val="524A3FB4"/>
    <w:rsid w:val="524D5852"/>
    <w:rsid w:val="524F07B7"/>
    <w:rsid w:val="52650DED"/>
    <w:rsid w:val="52662470"/>
    <w:rsid w:val="5268443A"/>
    <w:rsid w:val="526C1465"/>
    <w:rsid w:val="527C6137"/>
    <w:rsid w:val="52831274"/>
    <w:rsid w:val="528943B0"/>
    <w:rsid w:val="52903990"/>
    <w:rsid w:val="529214B7"/>
    <w:rsid w:val="529813CF"/>
    <w:rsid w:val="529F7B67"/>
    <w:rsid w:val="52A1794C"/>
    <w:rsid w:val="52A20945"/>
    <w:rsid w:val="52BB6C5F"/>
    <w:rsid w:val="52C269EC"/>
    <w:rsid w:val="52C673B2"/>
    <w:rsid w:val="52CD0741"/>
    <w:rsid w:val="52D63A99"/>
    <w:rsid w:val="52D715BF"/>
    <w:rsid w:val="52E15F7C"/>
    <w:rsid w:val="52E55A8A"/>
    <w:rsid w:val="52F67C97"/>
    <w:rsid w:val="52FE08FA"/>
    <w:rsid w:val="53034162"/>
    <w:rsid w:val="530A729F"/>
    <w:rsid w:val="53165C44"/>
    <w:rsid w:val="531D3476"/>
    <w:rsid w:val="531D5224"/>
    <w:rsid w:val="531E0F9C"/>
    <w:rsid w:val="53230361"/>
    <w:rsid w:val="532A1835"/>
    <w:rsid w:val="532A5B93"/>
    <w:rsid w:val="532B1A01"/>
    <w:rsid w:val="532E7431"/>
    <w:rsid w:val="532F6D06"/>
    <w:rsid w:val="53334A48"/>
    <w:rsid w:val="533662E6"/>
    <w:rsid w:val="533E519B"/>
    <w:rsid w:val="53473594"/>
    <w:rsid w:val="53487DC7"/>
    <w:rsid w:val="534A673B"/>
    <w:rsid w:val="534B0014"/>
    <w:rsid w:val="53530C46"/>
    <w:rsid w:val="535D7D17"/>
    <w:rsid w:val="53607807"/>
    <w:rsid w:val="53670B95"/>
    <w:rsid w:val="53715570"/>
    <w:rsid w:val="53755060"/>
    <w:rsid w:val="537961D3"/>
    <w:rsid w:val="53806F03"/>
    <w:rsid w:val="538928BA"/>
    <w:rsid w:val="538E0A92"/>
    <w:rsid w:val="539227A8"/>
    <w:rsid w:val="5394300C"/>
    <w:rsid w:val="53B33FCE"/>
    <w:rsid w:val="53B8319F"/>
    <w:rsid w:val="53BC2C8F"/>
    <w:rsid w:val="53DA1367"/>
    <w:rsid w:val="53DB0C3B"/>
    <w:rsid w:val="53DC50DF"/>
    <w:rsid w:val="53F1045F"/>
    <w:rsid w:val="53F561A1"/>
    <w:rsid w:val="54000993"/>
    <w:rsid w:val="54023290"/>
    <w:rsid w:val="5407235B"/>
    <w:rsid w:val="54133FC5"/>
    <w:rsid w:val="54181E8F"/>
    <w:rsid w:val="541C7200"/>
    <w:rsid w:val="542B1BC3"/>
    <w:rsid w:val="542C5C75"/>
    <w:rsid w:val="543071D9"/>
    <w:rsid w:val="54324CFF"/>
    <w:rsid w:val="54436345"/>
    <w:rsid w:val="54484066"/>
    <w:rsid w:val="544929FF"/>
    <w:rsid w:val="544D1B39"/>
    <w:rsid w:val="54554E92"/>
    <w:rsid w:val="545666FE"/>
    <w:rsid w:val="54576514"/>
    <w:rsid w:val="545C7FCE"/>
    <w:rsid w:val="54660E4D"/>
    <w:rsid w:val="546B6463"/>
    <w:rsid w:val="547277F2"/>
    <w:rsid w:val="547A1D9A"/>
    <w:rsid w:val="547C241E"/>
    <w:rsid w:val="547F1F0F"/>
    <w:rsid w:val="547F5A6B"/>
    <w:rsid w:val="54863750"/>
    <w:rsid w:val="548E4937"/>
    <w:rsid w:val="54905ECA"/>
    <w:rsid w:val="54926564"/>
    <w:rsid w:val="5495703C"/>
    <w:rsid w:val="54A92AE8"/>
    <w:rsid w:val="54C55B73"/>
    <w:rsid w:val="54CB6F02"/>
    <w:rsid w:val="54DE4E87"/>
    <w:rsid w:val="54DF6509"/>
    <w:rsid w:val="54EB4EAE"/>
    <w:rsid w:val="54EC5B9C"/>
    <w:rsid w:val="54F627E5"/>
    <w:rsid w:val="550B5550"/>
    <w:rsid w:val="551479F6"/>
    <w:rsid w:val="55180399"/>
    <w:rsid w:val="5523289A"/>
    <w:rsid w:val="554051FA"/>
    <w:rsid w:val="55455E89"/>
    <w:rsid w:val="554A6079"/>
    <w:rsid w:val="554A7E27"/>
    <w:rsid w:val="554E136B"/>
    <w:rsid w:val="55517407"/>
    <w:rsid w:val="556C4241"/>
    <w:rsid w:val="55807CEC"/>
    <w:rsid w:val="558570B1"/>
    <w:rsid w:val="55872E29"/>
    <w:rsid w:val="5589244C"/>
    <w:rsid w:val="558E065B"/>
    <w:rsid w:val="559317CE"/>
    <w:rsid w:val="55986DE4"/>
    <w:rsid w:val="559A7000"/>
    <w:rsid w:val="55A734CB"/>
    <w:rsid w:val="55A75279"/>
    <w:rsid w:val="55AA4D69"/>
    <w:rsid w:val="55AC288F"/>
    <w:rsid w:val="55AC6D33"/>
    <w:rsid w:val="55AF1864"/>
    <w:rsid w:val="55BE25C3"/>
    <w:rsid w:val="55BF0815"/>
    <w:rsid w:val="55BF3C5C"/>
    <w:rsid w:val="55C93441"/>
    <w:rsid w:val="55D1679A"/>
    <w:rsid w:val="55D41DE6"/>
    <w:rsid w:val="55DD0C9B"/>
    <w:rsid w:val="55DF2C65"/>
    <w:rsid w:val="55E42029"/>
    <w:rsid w:val="55E53FF3"/>
    <w:rsid w:val="55E55DA1"/>
    <w:rsid w:val="55F61D5C"/>
    <w:rsid w:val="55FF3307"/>
    <w:rsid w:val="56073F6A"/>
    <w:rsid w:val="56077881"/>
    <w:rsid w:val="560826E9"/>
    <w:rsid w:val="56116B96"/>
    <w:rsid w:val="561346BC"/>
    <w:rsid w:val="56135CC8"/>
    <w:rsid w:val="561623FF"/>
    <w:rsid w:val="561641AD"/>
    <w:rsid w:val="562C69CB"/>
    <w:rsid w:val="562D0EF4"/>
    <w:rsid w:val="563A66AA"/>
    <w:rsid w:val="564E0C79"/>
    <w:rsid w:val="56521689"/>
    <w:rsid w:val="56526FBC"/>
    <w:rsid w:val="56535401"/>
    <w:rsid w:val="565371AF"/>
    <w:rsid w:val="565465FE"/>
    <w:rsid w:val="56582A17"/>
    <w:rsid w:val="565C42B5"/>
    <w:rsid w:val="565C6063"/>
    <w:rsid w:val="566255AB"/>
    <w:rsid w:val="566273F2"/>
    <w:rsid w:val="5666172C"/>
    <w:rsid w:val="56674A08"/>
    <w:rsid w:val="566E3FE9"/>
    <w:rsid w:val="567F1D52"/>
    <w:rsid w:val="56890E23"/>
    <w:rsid w:val="569D042A"/>
    <w:rsid w:val="569E48CE"/>
    <w:rsid w:val="56A143BE"/>
    <w:rsid w:val="56A63783"/>
    <w:rsid w:val="56A93273"/>
    <w:rsid w:val="56C36721"/>
    <w:rsid w:val="56C854A7"/>
    <w:rsid w:val="56CE08B4"/>
    <w:rsid w:val="56D06A51"/>
    <w:rsid w:val="56D402F0"/>
    <w:rsid w:val="56DA167E"/>
    <w:rsid w:val="56DA342C"/>
    <w:rsid w:val="56E237B3"/>
    <w:rsid w:val="56E55706"/>
    <w:rsid w:val="56E62EF3"/>
    <w:rsid w:val="56F42740"/>
    <w:rsid w:val="56F50266"/>
    <w:rsid w:val="570566FB"/>
    <w:rsid w:val="57082318"/>
    <w:rsid w:val="570A1F63"/>
    <w:rsid w:val="570A2CF2"/>
    <w:rsid w:val="571B7CCD"/>
    <w:rsid w:val="57286DB3"/>
    <w:rsid w:val="57327A88"/>
    <w:rsid w:val="573568B4"/>
    <w:rsid w:val="573C7C43"/>
    <w:rsid w:val="57430FD1"/>
    <w:rsid w:val="574A05B2"/>
    <w:rsid w:val="574B1C86"/>
    <w:rsid w:val="574B60D8"/>
    <w:rsid w:val="57520A58"/>
    <w:rsid w:val="57611783"/>
    <w:rsid w:val="57650F48"/>
    <w:rsid w:val="576553EC"/>
    <w:rsid w:val="57692728"/>
    <w:rsid w:val="57711FE2"/>
    <w:rsid w:val="57715B3F"/>
    <w:rsid w:val="57770C7B"/>
    <w:rsid w:val="57787490"/>
    <w:rsid w:val="57956B74"/>
    <w:rsid w:val="57993370"/>
    <w:rsid w:val="57A44166"/>
    <w:rsid w:val="57AD76A5"/>
    <w:rsid w:val="57AF2B0B"/>
    <w:rsid w:val="57B45A75"/>
    <w:rsid w:val="57B679F5"/>
    <w:rsid w:val="57B8376D"/>
    <w:rsid w:val="57BC4D70"/>
    <w:rsid w:val="57C2283E"/>
    <w:rsid w:val="57CD4D3F"/>
    <w:rsid w:val="57D02D65"/>
    <w:rsid w:val="57D434CE"/>
    <w:rsid w:val="57D95558"/>
    <w:rsid w:val="57DC6508"/>
    <w:rsid w:val="57DF27D3"/>
    <w:rsid w:val="57E26A3C"/>
    <w:rsid w:val="57E44562"/>
    <w:rsid w:val="57E5252E"/>
    <w:rsid w:val="57E94810"/>
    <w:rsid w:val="57ED790A"/>
    <w:rsid w:val="57F549C2"/>
    <w:rsid w:val="57FF139C"/>
    <w:rsid w:val="580E15DF"/>
    <w:rsid w:val="58170F85"/>
    <w:rsid w:val="58190BF6"/>
    <w:rsid w:val="582310F2"/>
    <w:rsid w:val="582726A1"/>
    <w:rsid w:val="583C439E"/>
    <w:rsid w:val="5842572D"/>
    <w:rsid w:val="584A6390"/>
    <w:rsid w:val="584C2108"/>
    <w:rsid w:val="585B2DA9"/>
    <w:rsid w:val="585D2567"/>
    <w:rsid w:val="58670CF0"/>
    <w:rsid w:val="586C27AA"/>
    <w:rsid w:val="586F7A04"/>
    <w:rsid w:val="5870229A"/>
    <w:rsid w:val="587A4EC7"/>
    <w:rsid w:val="587D0513"/>
    <w:rsid w:val="58825B29"/>
    <w:rsid w:val="58917488"/>
    <w:rsid w:val="5895585D"/>
    <w:rsid w:val="58975A79"/>
    <w:rsid w:val="58A04049"/>
    <w:rsid w:val="58A7169E"/>
    <w:rsid w:val="58AC2BA6"/>
    <w:rsid w:val="58B63D97"/>
    <w:rsid w:val="58B8154B"/>
    <w:rsid w:val="58BD6B62"/>
    <w:rsid w:val="58C60A56"/>
    <w:rsid w:val="58CF47FC"/>
    <w:rsid w:val="58D72319"/>
    <w:rsid w:val="58DC7930"/>
    <w:rsid w:val="58E6255C"/>
    <w:rsid w:val="58F61CCC"/>
    <w:rsid w:val="58F702C5"/>
    <w:rsid w:val="590E560F"/>
    <w:rsid w:val="591936AB"/>
    <w:rsid w:val="591E5852"/>
    <w:rsid w:val="593E7CA2"/>
    <w:rsid w:val="593F3A1A"/>
    <w:rsid w:val="59407EBE"/>
    <w:rsid w:val="59411541"/>
    <w:rsid w:val="59457283"/>
    <w:rsid w:val="59474082"/>
    <w:rsid w:val="59480B21"/>
    <w:rsid w:val="594A6647"/>
    <w:rsid w:val="595079D6"/>
    <w:rsid w:val="5960560A"/>
    <w:rsid w:val="59632FD1"/>
    <w:rsid w:val="5963595B"/>
    <w:rsid w:val="59657925"/>
    <w:rsid w:val="596E3F3F"/>
    <w:rsid w:val="59741916"/>
    <w:rsid w:val="597731B4"/>
    <w:rsid w:val="597E2795"/>
    <w:rsid w:val="59831B59"/>
    <w:rsid w:val="598D29D8"/>
    <w:rsid w:val="598D4786"/>
    <w:rsid w:val="59941FB8"/>
    <w:rsid w:val="59955DC2"/>
    <w:rsid w:val="59981AA8"/>
    <w:rsid w:val="599C0E6D"/>
    <w:rsid w:val="599C2C1B"/>
    <w:rsid w:val="59A0270B"/>
    <w:rsid w:val="59A815C0"/>
    <w:rsid w:val="59AD6BD6"/>
    <w:rsid w:val="59B12BE4"/>
    <w:rsid w:val="59B2243E"/>
    <w:rsid w:val="59C74DFE"/>
    <w:rsid w:val="59C75185"/>
    <w:rsid w:val="59CE2451"/>
    <w:rsid w:val="59D55467"/>
    <w:rsid w:val="59D86349"/>
    <w:rsid w:val="59E12724"/>
    <w:rsid w:val="59E36A9C"/>
    <w:rsid w:val="59E52814"/>
    <w:rsid w:val="59F42A57"/>
    <w:rsid w:val="59F478F2"/>
    <w:rsid w:val="59F91E1B"/>
    <w:rsid w:val="5A0406DE"/>
    <w:rsid w:val="5A086C57"/>
    <w:rsid w:val="5A18057C"/>
    <w:rsid w:val="5A236E98"/>
    <w:rsid w:val="5A350212"/>
    <w:rsid w:val="5A387B5A"/>
    <w:rsid w:val="5A463497"/>
    <w:rsid w:val="5A6462E6"/>
    <w:rsid w:val="5A6A4AC7"/>
    <w:rsid w:val="5A6C6FE1"/>
    <w:rsid w:val="5A737E20"/>
    <w:rsid w:val="5A772091"/>
    <w:rsid w:val="5A7871E4"/>
    <w:rsid w:val="5A8042EB"/>
    <w:rsid w:val="5A8A2DEF"/>
    <w:rsid w:val="5A8E07B6"/>
    <w:rsid w:val="5A902780"/>
    <w:rsid w:val="5A9303F0"/>
    <w:rsid w:val="5A971D60"/>
    <w:rsid w:val="5A987886"/>
    <w:rsid w:val="5AA15D0B"/>
    <w:rsid w:val="5AA77AC9"/>
    <w:rsid w:val="5AB42C08"/>
    <w:rsid w:val="5AD3266C"/>
    <w:rsid w:val="5AD402E1"/>
    <w:rsid w:val="5ADF3707"/>
    <w:rsid w:val="5AE12FDB"/>
    <w:rsid w:val="5AE44879"/>
    <w:rsid w:val="5AE76118"/>
    <w:rsid w:val="5AED7BD2"/>
    <w:rsid w:val="5AF70A51"/>
    <w:rsid w:val="5AFA5E4B"/>
    <w:rsid w:val="5AFC7E15"/>
    <w:rsid w:val="5B054F4B"/>
    <w:rsid w:val="5B0A3312"/>
    <w:rsid w:val="5B0A6C79"/>
    <w:rsid w:val="5B1A029B"/>
    <w:rsid w:val="5B1A64ED"/>
    <w:rsid w:val="5B1E12B7"/>
    <w:rsid w:val="5B21162A"/>
    <w:rsid w:val="5B215ACE"/>
    <w:rsid w:val="5B286E5C"/>
    <w:rsid w:val="5B2A2BD4"/>
    <w:rsid w:val="5B2F01EA"/>
    <w:rsid w:val="5B3E6680"/>
    <w:rsid w:val="5B4041A6"/>
    <w:rsid w:val="5B417F1E"/>
    <w:rsid w:val="5B463D7C"/>
    <w:rsid w:val="5B547C51"/>
    <w:rsid w:val="5B5E63DA"/>
    <w:rsid w:val="5B624B6B"/>
    <w:rsid w:val="5B637E94"/>
    <w:rsid w:val="5B687259"/>
    <w:rsid w:val="5B6D2AC1"/>
    <w:rsid w:val="5B707C36"/>
    <w:rsid w:val="5B8A7E0B"/>
    <w:rsid w:val="5B8D6CBF"/>
    <w:rsid w:val="5B921F4F"/>
    <w:rsid w:val="5B991B08"/>
    <w:rsid w:val="5B9C33A6"/>
    <w:rsid w:val="5BA5225B"/>
    <w:rsid w:val="5BA87F9D"/>
    <w:rsid w:val="5BC30933"/>
    <w:rsid w:val="5BC76675"/>
    <w:rsid w:val="5BD1221B"/>
    <w:rsid w:val="5BDB3ECE"/>
    <w:rsid w:val="5BDC684B"/>
    <w:rsid w:val="5BE34B31"/>
    <w:rsid w:val="5BEF7366"/>
    <w:rsid w:val="5BFB00CD"/>
    <w:rsid w:val="5C02756B"/>
    <w:rsid w:val="5C0547DD"/>
    <w:rsid w:val="5C0F3B78"/>
    <w:rsid w:val="5C195855"/>
    <w:rsid w:val="5C264684"/>
    <w:rsid w:val="5C2A6C04"/>
    <w:rsid w:val="5C425CFC"/>
    <w:rsid w:val="5C4E28F2"/>
    <w:rsid w:val="5C5617A7"/>
    <w:rsid w:val="5C5679F9"/>
    <w:rsid w:val="5C6043D4"/>
    <w:rsid w:val="5C844566"/>
    <w:rsid w:val="5C8C6F77"/>
    <w:rsid w:val="5C930305"/>
    <w:rsid w:val="5C9A1694"/>
    <w:rsid w:val="5C9A5B38"/>
    <w:rsid w:val="5C9D73D6"/>
    <w:rsid w:val="5C9F6CAA"/>
    <w:rsid w:val="5CA1071D"/>
    <w:rsid w:val="5CA731F3"/>
    <w:rsid w:val="5CA81968"/>
    <w:rsid w:val="5CAA4A7B"/>
    <w:rsid w:val="5CB14C2F"/>
    <w:rsid w:val="5CB87D6C"/>
    <w:rsid w:val="5CBB785C"/>
    <w:rsid w:val="5CBE543E"/>
    <w:rsid w:val="5CBF10FA"/>
    <w:rsid w:val="5CBF4A76"/>
    <w:rsid w:val="5CC42481"/>
    <w:rsid w:val="5CC42BB4"/>
    <w:rsid w:val="5CC901CB"/>
    <w:rsid w:val="5CC90DBE"/>
    <w:rsid w:val="5CE460C7"/>
    <w:rsid w:val="5CEE7C31"/>
    <w:rsid w:val="5CF02414"/>
    <w:rsid w:val="5CF039A9"/>
    <w:rsid w:val="5CFB2E43"/>
    <w:rsid w:val="5D271EAF"/>
    <w:rsid w:val="5D2C42B6"/>
    <w:rsid w:val="5D30024A"/>
    <w:rsid w:val="5D303DA6"/>
    <w:rsid w:val="5D414205"/>
    <w:rsid w:val="5D423AD9"/>
    <w:rsid w:val="5D4358E5"/>
    <w:rsid w:val="5D5177E6"/>
    <w:rsid w:val="5D572571"/>
    <w:rsid w:val="5D5757D7"/>
    <w:rsid w:val="5D59154F"/>
    <w:rsid w:val="5D5A7075"/>
    <w:rsid w:val="5D5C2DED"/>
    <w:rsid w:val="5D5F28DD"/>
    <w:rsid w:val="5D600B2F"/>
    <w:rsid w:val="5D641CA2"/>
    <w:rsid w:val="5D655039"/>
    <w:rsid w:val="5D665A1A"/>
    <w:rsid w:val="5D6B1282"/>
    <w:rsid w:val="5D6E2740"/>
    <w:rsid w:val="5D7719D5"/>
    <w:rsid w:val="5D77374D"/>
    <w:rsid w:val="5D7E4D8A"/>
    <w:rsid w:val="5D8B722E"/>
    <w:rsid w:val="5DA33F6C"/>
    <w:rsid w:val="5DAB167E"/>
    <w:rsid w:val="5DB72D9E"/>
    <w:rsid w:val="5DD314E0"/>
    <w:rsid w:val="5DF74E62"/>
    <w:rsid w:val="5DFE20F6"/>
    <w:rsid w:val="5E006E0E"/>
    <w:rsid w:val="5E0C7162"/>
    <w:rsid w:val="5E11747C"/>
    <w:rsid w:val="5E160F34"/>
    <w:rsid w:val="5E2733FB"/>
    <w:rsid w:val="5E2D5744"/>
    <w:rsid w:val="5E31427A"/>
    <w:rsid w:val="5E387121"/>
    <w:rsid w:val="5E3C43B8"/>
    <w:rsid w:val="5E3E0586"/>
    <w:rsid w:val="5E4044BD"/>
    <w:rsid w:val="5E423B66"/>
    <w:rsid w:val="5E48511F"/>
    <w:rsid w:val="5E543AC4"/>
    <w:rsid w:val="5E565A8E"/>
    <w:rsid w:val="5E613920"/>
    <w:rsid w:val="5E6920B2"/>
    <w:rsid w:val="5E6964AE"/>
    <w:rsid w:val="5E766130"/>
    <w:rsid w:val="5E802B0B"/>
    <w:rsid w:val="5E8A10C2"/>
    <w:rsid w:val="5E8C001D"/>
    <w:rsid w:val="5E8C7702"/>
    <w:rsid w:val="5E993BD1"/>
    <w:rsid w:val="5EA4274E"/>
    <w:rsid w:val="5EAA360D"/>
    <w:rsid w:val="5EAB402C"/>
    <w:rsid w:val="5EB36A3D"/>
    <w:rsid w:val="5EBD5B0D"/>
    <w:rsid w:val="5EC073AC"/>
    <w:rsid w:val="5ECB647C"/>
    <w:rsid w:val="5EE017FC"/>
    <w:rsid w:val="5EE27322"/>
    <w:rsid w:val="5EE50BC0"/>
    <w:rsid w:val="5EF3152F"/>
    <w:rsid w:val="5EFD23AE"/>
    <w:rsid w:val="5F050FFA"/>
    <w:rsid w:val="5F0E45BB"/>
    <w:rsid w:val="5F1D035A"/>
    <w:rsid w:val="5F1E5683"/>
    <w:rsid w:val="5F3C4C84"/>
    <w:rsid w:val="5F41673E"/>
    <w:rsid w:val="5F465B03"/>
    <w:rsid w:val="5F4C7DD5"/>
    <w:rsid w:val="5F4E49B7"/>
    <w:rsid w:val="5F5D4BFA"/>
    <w:rsid w:val="5F622211"/>
    <w:rsid w:val="5F630463"/>
    <w:rsid w:val="5F6D7533"/>
    <w:rsid w:val="5F772160"/>
    <w:rsid w:val="5F795ED8"/>
    <w:rsid w:val="5F8605F5"/>
    <w:rsid w:val="5F93061C"/>
    <w:rsid w:val="5FA016B7"/>
    <w:rsid w:val="5FA3544C"/>
    <w:rsid w:val="5FA97E40"/>
    <w:rsid w:val="5FAD16DE"/>
    <w:rsid w:val="5FAE5456"/>
    <w:rsid w:val="5FAF36A8"/>
    <w:rsid w:val="5FB011CE"/>
    <w:rsid w:val="5FB05672"/>
    <w:rsid w:val="5FB27537"/>
    <w:rsid w:val="5FB76A00"/>
    <w:rsid w:val="5FB951A6"/>
    <w:rsid w:val="5FBE38EB"/>
    <w:rsid w:val="5FC44C79"/>
    <w:rsid w:val="5FCF3FEF"/>
    <w:rsid w:val="5FD314FE"/>
    <w:rsid w:val="5FD72BFF"/>
    <w:rsid w:val="5FD87942"/>
    <w:rsid w:val="5FDC0215"/>
    <w:rsid w:val="5FE554BE"/>
    <w:rsid w:val="5FE64BF0"/>
    <w:rsid w:val="5FEB66AA"/>
    <w:rsid w:val="5FF44FA2"/>
    <w:rsid w:val="5FF53085"/>
    <w:rsid w:val="60065292"/>
    <w:rsid w:val="600B5505"/>
    <w:rsid w:val="60174CA1"/>
    <w:rsid w:val="601B6F8F"/>
    <w:rsid w:val="601C4AB5"/>
    <w:rsid w:val="602120CC"/>
    <w:rsid w:val="60234096"/>
    <w:rsid w:val="602A5424"/>
    <w:rsid w:val="602C4CF9"/>
    <w:rsid w:val="602F6597"/>
    <w:rsid w:val="604C0EF7"/>
    <w:rsid w:val="605B155E"/>
    <w:rsid w:val="605E0C2A"/>
    <w:rsid w:val="606A3A73"/>
    <w:rsid w:val="606F1089"/>
    <w:rsid w:val="6075770C"/>
    <w:rsid w:val="60787F3E"/>
    <w:rsid w:val="607D37A6"/>
    <w:rsid w:val="60822B6A"/>
    <w:rsid w:val="60824919"/>
    <w:rsid w:val="60966616"/>
    <w:rsid w:val="60AF592A"/>
    <w:rsid w:val="60B82A30"/>
    <w:rsid w:val="60BF3DBF"/>
    <w:rsid w:val="60C72C73"/>
    <w:rsid w:val="60D158A0"/>
    <w:rsid w:val="60D4713E"/>
    <w:rsid w:val="60DD2497"/>
    <w:rsid w:val="60DD43E3"/>
    <w:rsid w:val="60E530F9"/>
    <w:rsid w:val="60E94998"/>
    <w:rsid w:val="60F15F42"/>
    <w:rsid w:val="60F35816"/>
    <w:rsid w:val="60F375C4"/>
    <w:rsid w:val="60F872D1"/>
    <w:rsid w:val="60FB0B6F"/>
    <w:rsid w:val="60FD6695"/>
    <w:rsid w:val="610417D1"/>
    <w:rsid w:val="610619ED"/>
    <w:rsid w:val="61096DE8"/>
    <w:rsid w:val="611D0AE5"/>
    <w:rsid w:val="612C658F"/>
    <w:rsid w:val="61306A6A"/>
    <w:rsid w:val="613C540F"/>
    <w:rsid w:val="613D2F35"/>
    <w:rsid w:val="613F6CAD"/>
    <w:rsid w:val="61442516"/>
    <w:rsid w:val="614442C4"/>
    <w:rsid w:val="6146003C"/>
    <w:rsid w:val="61534507"/>
    <w:rsid w:val="61565DA5"/>
    <w:rsid w:val="61587D6F"/>
    <w:rsid w:val="61614E76"/>
    <w:rsid w:val="61642270"/>
    <w:rsid w:val="6166248C"/>
    <w:rsid w:val="61707F91"/>
    <w:rsid w:val="618172C6"/>
    <w:rsid w:val="61903065"/>
    <w:rsid w:val="6192502F"/>
    <w:rsid w:val="61941A4F"/>
    <w:rsid w:val="61954B1F"/>
    <w:rsid w:val="61A134C4"/>
    <w:rsid w:val="61A44245"/>
    <w:rsid w:val="61B96A60"/>
    <w:rsid w:val="61BA6334"/>
    <w:rsid w:val="61C64CD9"/>
    <w:rsid w:val="61D76EE6"/>
    <w:rsid w:val="61DE2022"/>
    <w:rsid w:val="61E37639"/>
    <w:rsid w:val="61E433B1"/>
    <w:rsid w:val="61EB06EE"/>
    <w:rsid w:val="61EB0BE3"/>
    <w:rsid w:val="61F41846"/>
    <w:rsid w:val="61F45CEA"/>
    <w:rsid w:val="61FB0AE1"/>
    <w:rsid w:val="62077BE2"/>
    <w:rsid w:val="620C3034"/>
    <w:rsid w:val="621A5025"/>
    <w:rsid w:val="621C0D9D"/>
    <w:rsid w:val="62210161"/>
    <w:rsid w:val="623205C0"/>
    <w:rsid w:val="62326812"/>
    <w:rsid w:val="62353C0D"/>
    <w:rsid w:val="623F2739"/>
    <w:rsid w:val="624327CD"/>
    <w:rsid w:val="62471F04"/>
    <w:rsid w:val="6256605D"/>
    <w:rsid w:val="625C73EB"/>
    <w:rsid w:val="62634C1E"/>
    <w:rsid w:val="626C278F"/>
    <w:rsid w:val="626F3307"/>
    <w:rsid w:val="62726C0F"/>
    <w:rsid w:val="627604AD"/>
    <w:rsid w:val="627666FF"/>
    <w:rsid w:val="62810F0E"/>
    <w:rsid w:val="628277E3"/>
    <w:rsid w:val="628470D7"/>
    <w:rsid w:val="628506F0"/>
    <w:rsid w:val="6291178B"/>
    <w:rsid w:val="62A274F4"/>
    <w:rsid w:val="62A3326C"/>
    <w:rsid w:val="62A414BE"/>
    <w:rsid w:val="62A5030E"/>
    <w:rsid w:val="62AC0373"/>
    <w:rsid w:val="62AF39BF"/>
    <w:rsid w:val="62BC7E8A"/>
    <w:rsid w:val="62C76F5B"/>
    <w:rsid w:val="62D117C8"/>
    <w:rsid w:val="62F35FA1"/>
    <w:rsid w:val="62F615EE"/>
    <w:rsid w:val="62F84464"/>
    <w:rsid w:val="62F9490C"/>
    <w:rsid w:val="62FB30A8"/>
    <w:rsid w:val="630261E5"/>
    <w:rsid w:val="630C0E11"/>
    <w:rsid w:val="63350368"/>
    <w:rsid w:val="63387E58"/>
    <w:rsid w:val="633D546F"/>
    <w:rsid w:val="633D721D"/>
    <w:rsid w:val="634560D1"/>
    <w:rsid w:val="634C56B2"/>
    <w:rsid w:val="634C7460"/>
    <w:rsid w:val="63522B22"/>
    <w:rsid w:val="6353259C"/>
    <w:rsid w:val="63620A31"/>
    <w:rsid w:val="636416CF"/>
    <w:rsid w:val="63696264"/>
    <w:rsid w:val="636D1784"/>
    <w:rsid w:val="636E5628"/>
    <w:rsid w:val="637013A0"/>
    <w:rsid w:val="63730E90"/>
    <w:rsid w:val="637349EC"/>
    <w:rsid w:val="63745D72"/>
    <w:rsid w:val="637644DD"/>
    <w:rsid w:val="63770981"/>
    <w:rsid w:val="637F15E3"/>
    <w:rsid w:val="6384309D"/>
    <w:rsid w:val="638B7F88"/>
    <w:rsid w:val="639926E5"/>
    <w:rsid w:val="639C058F"/>
    <w:rsid w:val="639D1436"/>
    <w:rsid w:val="639F57E1"/>
    <w:rsid w:val="63AF6198"/>
    <w:rsid w:val="63C45248"/>
    <w:rsid w:val="63CB2A7A"/>
    <w:rsid w:val="63D40B0B"/>
    <w:rsid w:val="63DD630A"/>
    <w:rsid w:val="63E1404C"/>
    <w:rsid w:val="63EC712E"/>
    <w:rsid w:val="63F57AF7"/>
    <w:rsid w:val="63F773CC"/>
    <w:rsid w:val="63FB2FA9"/>
    <w:rsid w:val="63FE4BFE"/>
    <w:rsid w:val="64061D04"/>
    <w:rsid w:val="64065861"/>
    <w:rsid w:val="640D3093"/>
    <w:rsid w:val="64116879"/>
    <w:rsid w:val="641C3A32"/>
    <w:rsid w:val="642108EC"/>
    <w:rsid w:val="6421269A"/>
    <w:rsid w:val="64216B3E"/>
    <w:rsid w:val="6424539D"/>
    <w:rsid w:val="64281364"/>
    <w:rsid w:val="6429154F"/>
    <w:rsid w:val="642F3009"/>
    <w:rsid w:val="64373C6C"/>
    <w:rsid w:val="64414AEB"/>
    <w:rsid w:val="64474850"/>
    <w:rsid w:val="6449399F"/>
    <w:rsid w:val="645760BC"/>
    <w:rsid w:val="64590E9F"/>
    <w:rsid w:val="6461518D"/>
    <w:rsid w:val="6469223E"/>
    <w:rsid w:val="646A5FF4"/>
    <w:rsid w:val="646C7BDC"/>
    <w:rsid w:val="646D3B32"/>
    <w:rsid w:val="64785766"/>
    <w:rsid w:val="64874BF3"/>
    <w:rsid w:val="648D7D30"/>
    <w:rsid w:val="64964E36"/>
    <w:rsid w:val="649E1F3D"/>
    <w:rsid w:val="64A07A63"/>
    <w:rsid w:val="64AD3F2E"/>
    <w:rsid w:val="64B452BD"/>
    <w:rsid w:val="64C37BF6"/>
    <w:rsid w:val="64CA335B"/>
    <w:rsid w:val="64CE2822"/>
    <w:rsid w:val="64CF0348"/>
    <w:rsid w:val="64D836A1"/>
    <w:rsid w:val="64EA6F30"/>
    <w:rsid w:val="64F04C2B"/>
    <w:rsid w:val="64F1206D"/>
    <w:rsid w:val="64F16511"/>
    <w:rsid w:val="64F55A2C"/>
    <w:rsid w:val="64FA7A7E"/>
    <w:rsid w:val="64FD3107"/>
    <w:rsid w:val="65046244"/>
    <w:rsid w:val="65053D6A"/>
    <w:rsid w:val="65063F6A"/>
    <w:rsid w:val="65077657"/>
    <w:rsid w:val="65110712"/>
    <w:rsid w:val="65150451"/>
    <w:rsid w:val="6522491C"/>
    <w:rsid w:val="65257F68"/>
    <w:rsid w:val="653603C7"/>
    <w:rsid w:val="65384140"/>
    <w:rsid w:val="653A2EDB"/>
    <w:rsid w:val="6545060B"/>
    <w:rsid w:val="654A79CF"/>
    <w:rsid w:val="654B1A3C"/>
    <w:rsid w:val="654B3C55"/>
    <w:rsid w:val="65534AD5"/>
    <w:rsid w:val="655B398A"/>
    <w:rsid w:val="655C606A"/>
    <w:rsid w:val="655D5954"/>
    <w:rsid w:val="65660CAD"/>
    <w:rsid w:val="65766A16"/>
    <w:rsid w:val="658D448B"/>
    <w:rsid w:val="65991886"/>
    <w:rsid w:val="65A2617E"/>
    <w:rsid w:val="65A2780B"/>
    <w:rsid w:val="65A74E21"/>
    <w:rsid w:val="65AC068A"/>
    <w:rsid w:val="65B03CD6"/>
    <w:rsid w:val="65B65064"/>
    <w:rsid w:val="65D200F0"/>
    <w:rsid w:val="65D3288B"/>
    <w:rsid w:val="65D33E68"/>
    <w:rsid w:val="65E35C92"/>
    <w:rsid w:val="65E47E23"/>
    <w:rsid w:val="65E9543A"/>
    <w:rsid w:val="65F1102F"/>
    <w:rsid w:val="65FA13F5"/>
    <w:rsid w:val="65FB3157"/>
    <w:rsid w:val="660109D5"/>
    <w:rsid w:val="660D737A"/>
    <w:rsid w:val="661E50E3"/>
    <w:rsid w:val="66214BD4"/>
    <w:rsid w:val="66236B9E"/>
    <w:rsid w:val="6635067F"/>
    <w:rsid w:val="663A5C95"/>
    <w:rsid w:val="663E5786"/>
    <w:rsid w:val="664F7993"/>
    <w:rsid w:val="66507267"/>
    <w:rsid w:val="66630D48"/>
    <w:rsid w:val="6663397A"/>
    <w:rsid w:val="66641A48"/>
    <w:rsid w:val="66660838"/>
    <w:rsid w:val="66664368"/>
    <w:rsid w:val="666D606B"/>
    <w:rsid w:val="667B2536"/>
    <w:rsid w:val="668120DB"/>
    <w:rsid w:val="668F7D8F"/>
    <w:rsid w:val="669E6224"/>
    <w:rsid w:val="66A17AC3"/>
    <w:rsid w:val="66A31BBE"/>
    <w:rsid w:val="66A82BFF"/>
    <w:rsid w:val="66B71094"/>
    <w:rsid w:val="66BC66AA"/>
    <w:rsid w:val="66BE0674"/>
    <w:rsid w:val="66C11F13"/>
    <w:rsid w:val="66C20165"/>
    <w:rsid w:val="66E53E53"/>
    <w:rsid w:val="66EC6F90"/>
    <w:rsid w:val="66F95B50"/>
    <w:rsid w:val="66FE3167"/>
    <w:rsid w:val="6703252B"/>
    <w:rsid w:val="671D35ED"/>
    <w:rsid w:val="67242BCD"/>
    <w:rsid w:val="672B53C1"/>
    <w:rsid w:val="673B3A73"/>
    <w:rsid w:val="673D5A3D"/>
    <w:rsid w:val="674072DB"/>
    <w:rsid w:val="674A015A"/>
    <w:rsid w:val="674A1F08"/>
    <w:rsid w:val="674C7A2E"/>
    <w:rsid w:val="67530DBD"/>
    <w:rsid w:val="676034DA"/>
    <w:rsid w:val="677D408C"/>
    <w:rsid w:val="677F5452"/>
    <w:rsid w:val="67803B7C"/>
    <w:rsid w:val="6784541A"/>
    <w:rsid w:val="6787315C"/>
    <w:rsid w:val="67903D65"/>
    <w:rsid w:val="6796339F"/>
    <w:rsid w:val="6796514D"/>
    <w:rsid w:val="67A23AF2"/>
    <w:rsid w:val="67AE06E9"/>
    <w:rsid w:val="67B13D35"/>
    <w:rsid w:val="67C43A69"/>
    <w:rsid w:val="67CE48E7"/>
    <w:rsid w:val="67D9743A"/>
    <w:rsid w:val="67E81E4D"/>
    <w:rsid w:val="67EC2FBF"/>
    <w:rsid w:val="67ED4DE1"/>
    <w:rsid w:val="67F105D6"/>
    <w:rsid w:val="67F12B70"/>
    <w:rsid w:val="67F3434E"/>
    <w:rsid w:val="67FD143E"/>
    <w:rsid w:val="67FD341E"/>
    <w:rsid w:val="680D3662"/>
    <w:rsid w:val="68106CAE"/>
    <w:rsid w:val="6821710D"/>
    <w:rsid w:val="682F2723"/>
    <w:rsid w:val="683010FE"/>
    <w:rsid w:val="683E1A6D"/>
    <w:rsid w:val="68476448"/>
    <w:rsid w:val="684B418A"/>
    <w:rsid w:val="684E5A28"/>
    <w:rsid w:val="6868111E"/>
    <w:rsid w:val="686A6A4B"/>
    <w:rsid w:val="68701E42"/>
    <w:rsid w:val="68716F70"/>
    <w:rsid w:val="687A05CB"/>
    <w:rsid w:val="689618A9"/>
    <w:rsid w:val="68975621"/>
    <w:rsid w:val="68A65864"/>
    <w:rsid w:val="68AD6BF3"/>
    <w:rsid w:val="68B43ADD"/>
    <w:rsid w:val="68BA4E6C"/>
    <w:rsid w:val="68C61A62"/>
    <w:rsid w:val="68D0643D"/>
    <w:rsid w:val="68D20A01"/>
    <w:rsid w:val="68D777CC"/>
    <w:rsid w:val="68DB5F16"/>
    <w:rsid w:val="68DD74D8"/>
    <w:rsid w:val="68E048D2"/>
    <w:rsid w:val="68E249DE"/>
    <w:rsid w:val="68E87C2B"/>
    <w:rsid w:val="68EC22B6"/>
    <w:rsid w:val="690802CD"/>
    <w:rsid w:val="6909452C"/>
    <w:rsid w:val="6922313D"/>
    <w:rsid w:val="692C7B17"/>
    <w:rsid w:val="6938470E"/>
    <w:rsid w:val="6939728B"/>
    <w:rsid w:val="693B41FE"/>
    <w:rsid w:val="693E3CEF"/>
    <w:rsid w:val="69407A67"/>
    <w:rsid w:val="694A2693"/>
    <w:rsid w:val="694E3F32"/>
    <w:rsid w:val="695E7EED"/>
    <w:rsid w:val="69615031"/>
    <w:rsid w:val="6962178B"/>
    <w:rsid w:val="69623539"/>
    <w:rsid w:val="69721683"/>
    <w:rsid w:val="6979471D"/>
    <w:rsid w:val="697F058F"/>
    <w:rsid w:val="69825989"/>
    <w:rsid w:val="69831701"/>
    <w:rsid w:val="69855479"/>
    <w:rsid w:val="6990454A"/>
    <w:rsid w:val="6994390F"/>
    <w:rsid w:val="69A91168"/>
    <w:rsid w:val="69B875FD"/>
    <w:rsid w:val="69BB70ED"/>
    <w:rsid w:val="69BE2739"/>
    <w:rsid w:val="69BF098B"/>
    <w:rsid w:val="69CA10DE"/>
    <w:rsid w:val="69CB37D4"/>
    <w:rsid w:val="69CE0BCF"/>
    <w:rsid w:val="69D044D3"/>
    <w:rsid w:val="69E228CC"/>
    <w:rsid w:val="69E62DFD"/>
    <w:rsid w:val="69F0323B"/>
    <w:rsid w:val="69F34AD9"/>
    <w:rsid w:val="69FF522C"/>
    <w:rsid w:val="69FF6FDA"/>
    <w:rsid w:val="6A1707C7"/>
    <w:rsid w:val="6A274783"/>
    <w:rsid w:val="6A2B6021"/>
    <w:rsid w:val="6A2E5B11"/>
    <w:rsid w:val="6A325601"/>
    <w:rsid w:val="6A3C74A8"/>
    <w:rsid w:val="6A4610AD"/>
    <w:rsid w:val="6A4B0471"/>
    <w:rsid w:val="6A4E1D0F"/>
    <w:rsid w:val="6A611A43"/>
    <w:rsid w:val="6A6908F7"/>
    <w:rsid w:val="6A6A6737"/>
    <w:rsid w:val="6A6D4EFC"/>
    <w:rsid w:val="6A7259FE"/>
    <w:rsid w:val="6A752FE8"/>
    <w:rsid w:val="6A7A2B04"/>
    <w:rsid w:val="6A822488"/>
    <w:rsid w:val="6A843983"/>
    <w:rsid w:val="6A8A71EB"/>
    <w:rsid w:val="6A90057A"/>
    <w:rsid w:val="6A955B90"/>
    <w:rsid w:val="6A9736B6"/>
    <w:rsid w:val="6AA656A7"/>
    <w:rsid w:val="6AB57FE0"/>
    <w:rsid w:val="6ABC136F"/>
    <w:rsid w:val="6AC01C9F"/>
    <w:rsid w:val="6AC02C0D"/>
    <w:rsid w:val="6AC975E8"/>
    <w:rsid w:val="6AD541DF"/>
    <w:rsid w:val="6AD95A7D"/>
    <w:rsid w:val="6AE52674"/>
    <w:rsid w:val="6AE55C25"/>
    <w:rsid w:val="6AED777A"/>
    <w:rsid w:val="6B0074AE"/>
    <w:rsid w:val="6B014FD4"/>
    <w:rsid w:val="6B030D4C"/>
    <w:rsid w:val="6B0625EA"/>
    <w:rsid w:val="6B0A032C"/>
    <w:rsid w:val="6B1C5A6F"/>
    <w:rsid w:val="6B2A452A"/>
    <w:rsid w:val="6B3D341D"/>
    <w:rsid w:val="6B43739A"/>
    <w:rsid w:val="6B44611A"/>
    <w:rsid w:val="6B4D1FC7"/>
    <w:rsid w:val="6B560E7C"/>
    <w:rsid w:val="6B572E46"/>
    <w:rsid w:val="6B60619E"/>
    <w:rsid w:val="6B637A3C"/>
    <w:rsid w:val="6B6B60E4"/>
    <w:rsid w:val="6B737C7F"/>
    <w:rsid w:val="6B76151E"/>
    <w:rsid w:val="6B79100E"/>
    <w:rsid w:val="6B7D50A7"/>
    <w:rsid w:val="6B87197D"/>
    <w:rsid w:val="6B9A52EA"/>
    <w:rsid w:val="6BA02A3F"/>
    <w:rsid w:val="6BA351CB"/>
    <w:rsid w:val="6BA50055"/>
    <w:rsid w:val="6BAA7419"/>
    <w:rsid w:val="6BAC3782"/>
    <w:rsid w:val="6BB01138"/>
    <w:rsid w:val="6BBB3287"/>
    <w:rsid w:val="6BBD714D"/>
    <w:rsid w:val="6BBF2335"/>
    <w:rsid w:val="6BCB7ABB"/>
    <w:rsid w:val="6BCE220C"/>
    <w:rsid w:val="6BD529F8"/>
    <w:rsid w:val="6BD749FF"/>
    <w:rsid w:val="6BDD77EF"/>
    <w:rsid w:val="6BEC6217"/>
    <w:rsid w:val="6BEF4FFD"/>
    <w:rsid w:val="6BF568E6"/>
    <w:rsid w:val="6BF6265F"/>
    <w:rsid w:val="6BFA214F"/>
    <w:rsid w:val="6BFD1C3F"/>
    <w:rsid w:val="6BFE2EE4"/>
    <w:rsid w:val="6C0134DD"/>
    <w:rsid w:val="6C050161"/>
    <w:rsid w:val="6C060AF4"/>
    <w:rsid w:val="6C0F54CE"/>
    <w:rsid w:val="6C101972"/>
    <w:rsid w:val="6C133210"/>
    <w:rsid w:val="6C1825D5"/>
    <w:rsid w:val="6C3870FA"/>
    <w:rsid w:val="6C423AF6"/>
    <w:rsid w:val="6C431072"/>
    <w:rsid w:val="6C472EBA"/>
    <w:rsid w:val="6C4E4249"/>
    <w:rsid w:val="6C553383"/>
    <w:rsid w:val="6C57134F"/>
    <w:rsid w:val="6C5A499B"/>
    <w:rsid w:val="6C5F5AA2"/>
    <w:rsid w:val="6C6A4059"/>
    <w:rsid w:val="6C7517D5"/>
    <w:rsid w:val="6C77554D"/>
    <w:rsid w:val="6C7A503E"/>
    <w:rsid w:val="6C88775B"/>
    <w:rsid w:val="6C8B2DA7"/>
    <w:rsid w:val="6C922919"/>
    <w:rsid w:val="6C9B45C8"/>
    <w:rsid w:val="6C9C0599"/>
    <w:rsid w:val="6C9D2ADA"/>
    <w:rsid w:val="6CA0380F"/>
    <w:rsid w:val="6CA125CA"/>
    <w:rsid w:val="6CBC7404"/>
    <w:rsid w:val="6CC339C8"/>
    <w:rsid w:val="6CC664D5"/>
    <w:rsid w:val="6CD57C73"/>
    <w:rsid w:val="6CD72490"/>
    <w:rsid w:val="6CDA4C16"/>
    <w:rsid w:val="6CDE1D45"/>
    <w:rsid w:val="6CDE55CC"/>
    <w:rsid w:val="6CE4695B"/>
    <w:rsid w:val="6CE81FA7"/>
    <w:rsid w:val="6CEA00F9"/>
    <w:rsid w:val="6CEF77DA"/>
    <w:rsid w:val="6CF50B68"/>
    <w:rsid w:val="6CF7668E"/>
    <w:rsid w:val="6CF90658"/>
    <w:rsid w:val="6CF941B4"/>
    <w:rsid w:val="6CFA7F2C"/>
    <w:rsid w:val="6CFC61C3"/>
    <w:rsid w:val="6D0D4104"/>
    <w:rsid w:val="6D4D62AE"/>
    <w:rsid w:val="6D605FE2"/>
    <w:rsid w:val="6D83008E"/>
    <w:rsid w:val="6D8E6FF3"/>
    <w:rsid w:val="6D943EDD"/>
    <w:rsid w:val="6DA265FA"/>
    <w:rsid w:val="6DA4203B"/>
    <w:rsid w:val="6DA73C10"/>
    <w:rsid w:val="6DB9718A"/>
    <w:rsid w:val="6DD54C21"/>
    <w:rsid w:val="6DD644F6"/>
    <w:rsid w:val="6DE210EC"/>
    <w:rsid w:val="6DE9247B"/>
    <w:rsid w:val="6DEE183F"/>
    <w:rsid w:val="6E0472B5"/>
    <w:rsid w:val="6E056B89"/>
    <w:rsid w:val="6E1374F8"/>
    <w:rsid w:val="6E164774"/>
    <w:rsid w:val="6E184B0E"/>
    <w:rsid w:val="6E1A1212"/>
    <w:rsid w:val="6E26558E"/>
    <w:rsid w:val="6E274D51"/>
    <w:rsid w:val="6E2E60E0"/>
    <w:rsid w:val="6E313E22"/>
    <w:rsid w:val="6E3C25B5"/>
    <w:rsid w:val="6E46167B"/>
    <w:rsid w:val="6E55366C"/>
    <w:rsid w:val="6E5A6ED5"/>
    <w:rsid w:val="6E5B2C4D"/>
    <w:rsid w:val="6E5C0E9F"/>
    <w:rsid w:val="6E625D89"/>
    <w:rsid w:val="6E6265D7"/>
    <w:rsid w:val="6E6C09B6"/>
    <w:rsid w:val="6E6F0F81"/>
    <w:rsid w:val="6E703E06"/>
    <w:rsid w:val="6E7D1D95"/>
    <w:rsid w:val="6E891568"/>
    <w:rsid w:val="6EA14B04"/>
    <w:rsid w:val="6EAB5982"/>
    <w:rsid w:val="6EAB7730"/>
    <w:rsid w:val="6EAE0FCF"/>
    <w:rsid w:val="6EB20ABF"/>
    <w:rsid w:val="6EB5235D"/>
    <w:rsid w:val="6EB760D5"/>
    <w:rsid w:val="6EB83BFB"/>
    <w:rsid w:val="6EBA5BC5"/>
    <w:rsid w:val="6EC16F54"/>
    <w:rsid w:val="6ED0363B"/>
    <w:rsid w:val="6ED638ED"/>
    <w:rsid w:val="6ED8604B"/>
    <w:rsid w:val="6ED924EF"/>
    <w:rsid w:val="6EDC1FE0"/>
    <w:rsid w:val="6EE0065C"/>
    <w:rsid w:val="6EE36ECA"/>
    <w:rsid w:val="6EE964AB"/>
    <w:rsid w:val="6EFA2466"/>
    <w:rsid w:val="6F082DD5"/>
    <w:rsid w:val="6F0926A9"/>
    <w:rsid w:val="6F0D3F47"/>
    <w:rsid w:val="6F173018"/>
    <w:rsid w:val="6F1C062E"/>
    <w:rsid w:val="6F32335C"/>
    <w:rsid w:val="6F373EA5"/>
    <w:rsid w:val="6F481786"/>
    <w:rsid w:val="6F4E7F01"/>
    <w:rsid w:val="6F4F4560"/>
    <w:rsid w:val="6F5516B4"/>
    <w:rsid w:val="6F5B73A8"/>
    <w:rsid w:val="6F5C6C7D"/>
    <w:rsid w:val="6F60676D"/>
    <w:rsid w:val="6F6A1399"/>
    <w:rsid w:val="6F6F7AB6"/>
    <w:rsid w:val="6F7915DC"/>
    <w:rsid w:val="6F7C731F"/>
    <w:rsid w:val="6F7E6BF3"/>
    <w:rsid w:val="6F7F4719"/>
    <w:rsid w:val="6F834209"/>
    <w:rsid w:val="6F8708C8"/>
    <w:rsid w:val="6F896C52"/>
    <w:rsid w:val="6F8A1A3C"/>
    <w:rsid w:val="6F8F0E00"/>
    <w:rsid w:val="6F944668"/>
    <w:rsid w:val="6F963F3C"/>
    <w:rsid w:val="6F9846F3"/>
    <w:rsid w:val="6F991C7F"/>
    <w:rsid w:val="6F9B1553"/>
    <w:rsid w:val="6F9E0B7C"/>
    <w:rsid w:val="6FA26D85"/>
    <w:rsid w:val="6FA83C70"/>
    <w:rsid w:val="6FB22D40"/>
    <w:rsid w:val="6FB24AEE"/>
    <w:rsid w:val="6FB870D9"/>
    <w:rsid w:val="6FD35191"/>
    <w:rsid w:val="6FD601DD"/>
    <w:rsid w:val="6FD66A2F"/>
    <w:rsid w:val="6FD827A7"/>
    <w:rsid w:val="6FDA7269"/>
    <w:rsid w:val="6FFB46E7"/>
    <w:rsid w:val="70025A76"/>
    <w:rsid w:val="70027824"/>
    <w:rsid w:val="701A2DBF"/>
    <w:rsid w:val="70207CAA"/>
    <w:rsid w:val="70227EC6"/>
    <w:rsid w:val="70231548"/>
    <w:rsid w:val="7036571F"/>
    <w:rsid w:val="70384FF4"/>
    <w:rsid w:val="704C6CF1"/>
    <w:rsid w:val="705744C3"/>
    <w:rsid w:val="705931BC"/>
    <w:rsid w:val="70751679"/>
    <w:rsid w:val="70781894"/>
    <w:rsid w:val="707F0391"/>
    <w:rsid w:val="7087094C"/>
    <w:rsid w:val="70882E8A"/>
    <w:rsid w:val="708B07B4"/>
    <w:rsid w:val="7090466D"/>
    <w:rsid w:val="70932B72"/>
    <w:rsid w:val="70980188"/>
    <w:rsid w:val="70A1528F"/>
    <w:rsid w:val="70A703CB"/>
    <w:rsid w:val="70A97C9F"/>
    <w:rsid w:val="70B44D99"/>
    <w:rsid w:val="70C42D2B"/>
    <w:rsid w:val="70C525FF"/>
    <w:rsid w:val="70CB5E68"/>
    <w:rsid w:val="70CC398E"/>
    <w:rsid w:val="70CD7E32"/>
    <w:rsid w:val="70D25448"/>
    <w:rsid w:val="70D34D1C"/>
    <w:rsid w:val="70D50A94"/>
    <w:rsid w:val="70D8620A"/>
    <w:rsid w:val="70DE203F"/>
    <w:rsid w:val="70FF4985"/>
    <w:rsid w:val="71031AA6"/>
    <w:rsid w:val="711517D9"/>
    <w:rsid w:val="711C2B67"/>
    <w:rsid w:val="71232991"/>
    <w:rsid w:val="71244C66"/>
    <w:rsid w:val="71273CBC"/>
    <w:rsid w:val="712E4649"/>
    <w:rsid w:val="71303482"/>
    <w:rsid w:val="713056CE"/>
    <w:rsid w:val="71330B4C"/>
    <w:rsid w:val="71381023"/>
    <w:rsid w:val="713D663A"/>
    <w:rsid w:val="7148570A"/>
    <w:rsid w:val="715220E5"/>
    <w:rsid w:val="71566079"/>
    <w:rsid w:val="71681909"/>
    <w:rsid w:val="716A38D3"/>
    <w:rsid w:val="71724535"/>
    <w:rsid w:val="717669D3"/>
    <w:rsid w:val="717C53B4"/>
    <w:rsid w:val="7185070D"/>
    <w:rsid w:val="71877958"/>
    <w:rsid w:val="718E0BE9"/>
    <w:rsid w:val="71900E5F"/>
    <w:rsid w:val="71924BD7"/>
    <w:rsid w:val="71926986"/>
    <w:rsid w:val="719646C8"/>
    <w:rsid w:val="719B1CDE"/>
    <w:rsid w:val="719D296F"/>
    <w:rsid w:val="719F16DB"/>
    <w:rsid w:val="71A30B93"/>
    <w:rsid w:val="71A54B2A"/>
    <w:rsid w:val="71B44B4E"/>
    <w:rsid w:val="71B608C6"/>
    <w:rsid w:val="71B7479F"/>
    <w:rsid w:val="71B75D87"/>
    <w:rsid w:val="71BC7EA6"/>
    <w:rsid w:val="71BE2801"/>
    <w:rsid w:val="71C31235"/>
    <w:rsid w:val="71C32FE3"/>
    <w:rsid w:val="71CA611F"/>
    <w:rsid w:val="71CD3E62"/>
    <w:rsid w:val="71D13952"/>
    <w:rsid w:val="71DC40A5"/>
    <w:rsid w:val="71DC5E53"/>
    <w:rsid w:val="71DD22F7"/>
    <w:rsid w:val="71E73175"/>
    <w:rsid w:val="71F655F7"/>
    <w:rsid w:val="7205184D"/>
    <w:rsid w:val="720535FB"/>
    <w:rsid w:val="720D425E"/>
    <w:rsid w:val="721101F2"/>
    <w:rsid w:val="72122369"/>
    <w:rsid w:val="72231CD3"/>
    <w:rsid w:val="722417A6"/>
    <w:rsid w:val="72275320"/>
    <w:rsid w:val="722F0678"/>
    <w:rsid w:val="72302549"/>
    <w:rsid w:val="72303685"/>
    <w:rsid w:val="72304FD3"/>
    <w:rsid w:val="72563E57"/>
    <w:rsid w:val="725E2D0C"/>
    <w:rsid w:val="725F716D"/>
    <w:rsid w:val="72604CD6"/>
    <w:rsid w:val="72606A84"/>
    <w:rsid w:val="72620733"/>
    <w:rsid w:val="72710C91"/>
    <w:rsid w:val="72713DF9"/>
    <w:rsid w:val="7275252F"/>
    <w:rsid w:val="72763829"/>
    <w:rsid w:val="72785B7B"/>
    <w:rsid w:val="727B1B10"/>
    <w:rsid w:val="72807126"/>
    <w:rsid w:val="72827AE5"/>
    <w:rsid w:val="728A58AF"/>
    <w:rsid w:val="728E35F1"/>
    <w:rsid w:val="729130E1"/>
    <w:rsid w:val="72A03324"/>
    <w:rsid w:val="72A526E9"/>
    <w:rsid w:val="72A746B3"/>
    <w:rsid w:val="72AE5A41"/>
    <w:rsid w:val="72B03567"/>
    <w:rsid w:val="72B43BC0"/>
    <w:rsid w:val="72BA6194"/>
    <w:rsid w:val="72BD5C84"/>
    <w:rsid w:val="72BF19FC"/>
    <w:rsid w:val="72C9287B"/>
    <w:rsid w:val="72D44A63"/>
    <w:rsid w:val="72E01973"/>
    <w:rsid w:val="72E17BC5"/>
    <w:rsid w:val="72E70F53"/>
    <w:rsid w:val="72E72D01"/>
    <w:rsid w:val="73070F41"/>
    <w:rsid w:val="73075045"/>
    <w:rsid w:val="731445D7"/>
    <w:rsid w:val="732301DD"/>
    <w:rsid w:val="733A72D5"/>
    <w:rsid w:val="733D0B73"/>
    <w:rsid w:val="733F2B3D"/>
    <w:rsid w:val="73463ECB"/>
    <w:rsid w:val="73552361"/>
    <w:rsid w:val="7355762E"/>
    <w:rsid w:val="735F6D3B"/>
    <w:rsid w:val="73626323"/>
    <w:rsid w:val="737722D7"/>
    <w:rsid w:val="737E5413"/>
    <w:rsid w:val="737F2F3A"/>
    <w:rsid w:val="73835B5A"/>
    <w:rsid w:val="739C3AEB"/>
    <w:rsid w:val="73A20E2F"/>
    <w:rsid w:val="73A54057"/>
    <w:rsid w:val="73A806E2"/>
    <w:rsid w:val="73A86934"/>
    <w:rsid w:val="73B30004"/>
    <w:rsid w:val="73C5726C"/>
    <w:rsid w:val="73CD2428"/>
    <w:rsid w:val="73D019D3"/>
    <w:rsid w:val="73D414D7"/>
    <w:rsid w:val="73D440E3"/>
    <w:rsid w:val="73DC65DE"/>
    <w:rsid w:val="73E55492"/>
    <w:rsid w:val="73E67EA2"/>
    <w:rsid w:val="73E71C5A"/>
    <w:rsid w:val="73E7745D"/>
    <w:rsid w:val="73FB2F08"/>
    <w:rsid w:val="73FE47A6"/>
    <w:rsid w:val="74024296"/>
    <w:rsid w:val="74082F2F"/>
    <w:rsid w:val="740F42BD"/>
    <w:rsid w:val="74307A19"/>
    <w:rsid w:val="74341F76"/>
    <w:rsid w:val="744120B0"/>
    <w:rsid w:val="74477EFB"/>
    <w:rsid w:val="744C5512"/>
    <w:rsid w:val="74510D7A"/>
    <w:rsid w:val="745F51EC"/>
    <w:rsid w:val="746C5BB4"/>
    <w:rsid w:val="74736F42"/>
    <w:rsid w:val="747800B5"/>
    <w:rsid w:val="747B1953"/>
    <w:rsid w:val="74940C67"/>
    <w:rsid w:val="74A80670"/>
    <w:rsid w:val="74A964C0"/>
    <w:rsid w:val="74AC4202"/>
    <w:rsid w:val="74AE3AD6"/>
    <w:rsid w:val="74B135C7"/>
    <w:rsid w:val="74B27EF5"/>
    <w:rsid w:val="74B64665"/>
    <w:rsid w:val="74B65081"/>
    <w:rsid w:val="74B80DF9"/>
    <w:rsid w:val="74C50E20"/>
    <w:rsid w:val="74C7054F"/>
    <w:rsid w:val="74C90910"/>
    <w:rsid w:val="74CF7DF7"/>
    <w:rsid w:val="74D55507"/>
    <w:rsid w:val="74D86DA5"/>
    <w:rsid w:val="74DA48CB"/>
    <w:rsid w:val="74DF34DD"/>
    <w:rsid w:val="74EA6126"/>
    <w:rsid w:val="74EE0377"/>
    <w:rsid w:val="74F51705"/>
    <w:rsid w:val="74F55BA9"/>
    <w:rsid w:val="74F71921"/>
    <w:rsid w:val="74FE7C75"/>
    <w:rsid w:val="750202C6"/>
    <w:rsid w:val="75061B64"/>
    <w:rsid w:val="7507768A"/>
    <w:rsid w:val="75120509"/>
    <w:rsid w:val="75144CBB"/>
    <w:rsid w:val="75295853"/>
    <w:rsid w:val="752B3379"/>
    <w:rsid w:val="75306BE1"/>
    <w:rsid w:val="753F5076"/>
    <w:rsid w:val="755042E8"/>
    <w:rsid w:val="75530B22"/>
    <w:rsid w:val="755521A4"/>
    <w:rsid w:val="75586A0A"/>
    <w:rsid w:val="755F74C6"/>
    <w:rsid w:val="757765BE"/>
    <w:rsid w:val="758051AD"/>
    <w:rsid w:val="758058F9"/>
    <w:rsid w:val="7589009F"/>
    <w:rsid w:val="758B3E18"/>
    <w:rsid w:val="758D3DC5"/>
    <w:rsid w:val="75950E36"/>
    <w:rsid w:val="75994786"/>
    <w:rsid w:val="759E7B46"/>
    <w:rsid w:val="759F78C3"/>
    <w:rsid w:val="75A03D67"/>
    <w:rsid w:val="75A573B8"/>
    <w:rsid w:val="75B25848"/>
    <w:rsid w:val="75B625D5"/>
    <w:rsid w:val="75BA46FD"/>
    <w:rsid w:val="75BC3186"/>
    <w:rsid w:val="75C4732A"/>
    <w:rsid w:val="75C537CD"/>
    <w:rsid w:val="75C850E6"/>
    <w:rsid w:val="75C90F3B"/>
    <w:rsid w:val="75CA0DE4"/>
    <w:rsid w:val="75CF63FA"/>
    <w:rsid w:val="75DB1837"/>
    <w:rsid w:val="75DB4D9F"/>
    <w:rsid w:val="75DC5214"/>
    <w:rsid w:val="75DF5F11"/>
    <w:rsid w:val="75F23E97"/>
    <w:rsid w:val="75F257F1"/>
    <w:rsid w:val="75F53987"/>
    <w:rsid w:val="75FF0A4C"/>
    <w:rsid w:val="76085468"/>
    <w:rsid w:val="760D0CD1"/>
    <w:rsid w:val="76112054"/>
    <w:rsid w:val="76167E51"/>
    <w:rsid w:val="76194D8E"/>
    <w:rsid w:val="761E4C8C"/>
    <w:rsid w:val="761E6A3A"/>
    <w:rsid w:val="762322A2"/>
    <w:rsid w:val="76233D11"/>
    <w:rsid w:val="762A3631"/>
    <w:rsid w:val="762B7A7D"/>
    <w:rsid w:val="762D3121"/>
    <w:rsid w:val="7634625D"/>
    <w:rsid w:val="76361CF9"/>
    <w:rsid w:val="763F5DC7"/>
    <w:rsid w:val="76432944"/>
    <w:rsid w:val="76452218"/>
    <w:rsid w:val="7647342F"/>
    <w:rsid w:val="764F753B"/>
    <w:rsid w:val="76500BBD"/>
    <w:rsid w:val="7651520C"/>
    <w:rsid w:val="765B7C8E"/>
    <w:rsid w:val="766E5C0F"/>
    <w:rsid w:val="767174B1"/>
    <w:rsid w:val="76746FA2"/>
    <w:rsid w:val="76766876"/>
    <w:rsid w:val="76830F93"/>
    <w:rsid w:val="76856AB9"/>
    <w:rsid w:val="768E61AF"/>
    <w:rsid w:val="768F5B89"/>
    <w:rsid w:val="76966F18"/>
    <w:rsid w:val="769B0718"/>
    <w:rsid w:val="769E7B7B"/>
    <w:rsid w:val="76A04269"/>
    <w:rsid w:val="76A21419"/>
    <w:rsid w:val="76A24DCA"/>
    <w:rsid w:val="76A2766B"/>
    <w:rsid w:val="76A50F09"/>
    <w:rsid w:val="76A809F9"/>
    <w:rsid w:val="76AA4771"/>
    <w:rsid w:val="76B14208"/>
    <w:rsid w:val="76BF646F"/>
    <w:rsid w:val="76C116C8"/>
    <w:rsid w:val="76C13171"/>
    <w:rsid w:val="76C53359"/>
    <w:rsid w:val="76C577FD"/>
    <w:rsid w:val="76C9109B"/>
    <w:rsid w:val="76D438AB"/>
    <w:rsid w:val="76D6480C"/>
    <w:rsid w:val="76E732D0"/>
    <w:rsid w:val="76EB7264"/>
    <w:rsid w:val="76F93003"/>
    <w:rsid w:val="76FB321F"/>
    <w:rsid w:val="76FF2D0F"/>
    <w:rsid w:val="770627FE"/>
    <w:rsid w:val="77071BC4"/>
    <w:rsid w:val="7709593C"/>
    <w:rsid w:val="7715608F"/>
    <w:rsid w:val="77163BB5"/>
    <w:rsid w:val="77170059"/>
    <w:rsid w:val="771D13E7"/>
    <w:rsid w:val="771D3195"/>
    <w:rsid w:val="771F0CBB"/>
    <w:rsid w:val="77291B3A"/>
    <w:rsid w:val="772A140E"/>
    <w:rsid w:val="772C162A"/>
    <w:rsid w:val="772C5186"/>
    <w:rsid w:val="772D4DB2"/>
    <w:rsid w:val="77336515"/>
    <w:rsid w:val="773C186D"/>
    <w:rsid w:val="77422BFC"/>
    <w:rsid w:val="77440722"/>
    <w:rsid w:val="774407B9"/>
    <w:rsid w:val="774424D0"/>
    <w:rsid w:val="77476464"/>
    <w:rsid w:val="77510F5D"/>
    <w:rsid w:val="775A1CF3"/>
    <w:rsid w:val="776808B4"/>
    <w:rsid w:val="776D2980"/>
    <w:rsid w:val="777234E1"/>
    <w:rsid w:val="777D59E2"/>
    <w:rsid w:val="77811976"/>
    <w:rsid w:val="778154D2"/>
    <w:rsid w:val="77882D05"/>
    <w:rsid w:val="778A35E9"/>
    <w:rsid w:val="778B00FF"/>
    <w:rsid w:val="778B60F5"/>
    <w:rsid w:val="77950F7E"/>
    <w:rsid w:val="77960B3D"/>
    <w:rsid w:val="779A47E6"/>
    <w:rsid w:val="77AB64D2"/>
    <w:rsid w:val="77C67389"/>
    <w:rsid w:val="77C90C27"/>
    <w:rsid w:val="77D62CF0"/>
    <w:rsid w:val="77DA2E34"/>
    <w:rsid w:val="77EF4B32"/>
    <w:rsid w:val="77F263D0"/>
    <w:rsid w:val="77F35CA4"/>
    <w:rsid w:val="77F43EF6"/>
    <w:rsid w:val="77FF289B"/>
    <w:rsid w:val="78016C2B"/>
    <w:rsid w:val="78032115"/>
    <w:rsid w:val="78040264"/>
    <w:rsid w:val="78122D3A"/>
    <w:rsid w:val="781474EB"/>
    <w:rsid w:val="78160310"/>
    <w:rsid w:val="78174088"/>
    <w:rsid w:val="78175E36"/>
    <w:rsid w:val="781E71C5"/>
    <w:rsid w:val="78252301"/>
    <w:rsid w:val="782567A5"/>
    <w:rsid w:val="782D565A"/>
    <w:rsid w:val="782D7460"/>
    <w:rsid w:val="782F4F2E"/>
    <w:rsid w:val="783B1B25"/>
    <w:rsid w:val="78434E7D"/>
    <w:rsid w:val="784604CA"/>
    <w:rsid w:val="785B49AB"/>
    <w:rsid w:val="78645522"/>
    <w:rsid w:val="78654DF4"/>
    <w:rsid w:val="786C6182"/>
    <w:rsid w:val="786D5A56"/>
    <w:rsid w:val="787153FD"/>
    <w:rsid w:val="78760DAF"/>
    <w:rsid w:val="78771B09"/>
    <w:rsid w:val="787768D5"/>
    <w:rsid w:val="787E1A12"/>
    <w:rsid w:val="7880578A"/>
    <w:rsid w:val="788A2AAC"/>
    <w:rsid w:val="788C05D2"/>
    <w:rsid w:val="788D7EA7"/>
    <w:rsid w:val="788F3C1F"/>
    <w:rsid w:val="78981BAF"/>
    <w:rsid w:val="78992CEF"/>
    <w:rsid w:val="78B227CF"/>
    <w:rsid w:val="78B638A1"/>
    <w:rsid w:val="78CC09CF"/>
    <w:rsid w:val="78D21D5D"/>
    <w:rsid w:val="78D855C6"/>
    <w:rsid w:val="78DC74D9"/>
    <w:rsid w:val="78E33F6B"/>
    <w:rsid w:val="78EA52F9"/>
    <w:rsid w:val="78F41CD4"/>
    <w:rsid w:val="78F61EF0"/>
    <w:rsid w:val="78FA548B"/>
    <w:rsid w:val="79030169"/>
    <w:rsid w:val="790B77C1"/>
    <w:rsid w:val="79110AD8"/>
    <w:rsid w:val="79224A93"/>
    <w:rsid w:val="792627D5"/>
    <w:rsid w:val="792E51E6"/>
    <w:rsid w:val="793523E6"/>
    <w:rsid w:val="794E5888"/>
    <w:rsid w:val="79537664"/>
    <w:rsid w:val="795A422D"/>
    <w:rsid w:val="796E05D7"/>
    <w:rsid w:val="79752E15"/>
    <w:rsid w:val="79780B57"/>
    <w:rsid w:val="797F5A41"/>
    <w:rsid w:val="798017B9"/>
    <w:rsid w:val="7984574E"/>
    <w:rsid w:val="798D4602"/>
    <w:rsid w:val="798E3ED6"/>
    <w:rsid w:val="79911640"/>
    <w:rsid w:val="79983CE7"/>
    <w:rsid w:val="79A67472"/>
    <w:rsid w:val="79AD0E19"/>
    <w:rsid w:val="79B274E9"/>
    <w:rsid w:val="79B7167F"/>
    <w:rsid w:val="79B76900"/>
    <w:rsid w:val="79B871A5"/>
    <w:rsid w:val="79BC4EE7"/>
    <w:rsid w:val="79BC6C95"/>
    <w:rsid w:val="79BD656A"/>
    <w:rsid w:val="79BF6786"/>
    <w:rsid w:val="79C142AC"/>
    <w:rsid w:val="79C36276"/>
    <w:rsid w:val="79CB512B"/>
    <w:rsid w:val="79CE69C9"/>
    <w:rsid w:val="79DC3BE6"/>
    <w:rsid w:val="79E25534"/>
    <w:rsid w:val="79E47F9A"/>
    <w:rsid w:val="79EB10E0"/>
    <w:rsid w:val="79F53F55"/>
    <w:rsid w:val="79F77CCE"/>
    <w:rsid w:val="79F91C98"/>
    <w:rsid w:val="79FA2DCB"/>
    <w:rsid w:val="79FF3026"/>
    <w:rsid w:val="7A0D129F"/>
    <w:rsid w:val="7A124B07"/>
    <w:rsid w:val="7A1F154C"/>
    <w:rsid w:val="7A291631"/>
    <w:rsid w:val="7A3074EF"/>
    <w:rsid w:val="7A3A6239"/>
    <w:rsid w:val="7A3B6881"/>
    <w:rsid w:val="7A432F13"/>
    <w:rsid w:val="7A4E3666"/>
    <w:rsid w:val="7A5073DE"/>
    <w:rsid w:val="7A543372"/>
    <w:rsid w:val="7A604D4F"/>
    <w:rsid w:val="7A667EE0"/>
    <w:rsid w:val="7A707A80"/>
    <w:rsid w:val="7A770E0E"/>
    <w:rsid w:val="7A7B08FF"/>
    <w:rsid w:val="7A7C6425"/>
    <w:rsid w:val="7A7F1A71"/>
    <w:rsid w:val="7A835A05"/>
    <w:rsid w:val="7A85352B"/>
    <w:rsid w:val="7AA80FC8"/>
    <w:rsid w:val="7AAB2E16"/>
    <w:rsid w:val="7AAF67FA"/>
    <w:rsid w:val="7ABB0CFB"/>
    <w:rsid w:val="7AC1208A"/>
    <w:rsid w:val="7AD4000F"/>
    <w:rsid w:val="7AD75951"/>
    <w:rsid w:val="7ADE49EA"/>
    <w:rsid w:val="7AE91D0C"/>
    <w:rsid w:val="7AFE32DE"/>
    <w:rsid w:val="7B034450"/>
    <w:rsid w:val="7B05466C"/>
    <w:rsid w:val="7B0720FD"/>
    <w:rsid w:val="7B113184"/>
    <w:rsid w:val="7B1228E5"/>
    <w:rsid w:val="7B143B90"/>
    <w:rsid w:val="7B193C74"/>
    <w:rsid w:val="7B1B5C3E"/>
    <w:rsid w:val="7B25086A"/>
    <w:rsid w:val="7B2745E3"/>
    <w:rsid w:val="7B2965AD"/>
    <w:rsid w:val="7B2A7C2F"/>
    <w:rsid w:val="7B2C7E4B"/>
    <w:rsid w:val="7B2D7A9F"/>
    <w:rsid w:val="7B2F7050"/>
    <w:rsid w:val="7B340AAD"/>
    <w:rsid w:val="7B3B62E0"/>
    <w:rsid w:val="7B3E0489"/>
    <w:rsid w:val="7B54753F"/>
    <w:rsid w:val="7B562C09"/>
    <w:rsid w:val="7B564D14"/>
    <w:rsid w:val="7B7315D6"/>
    <w:rsid w:val="7B7470FC"/>
    <w:rsid w:val="7B780AEF"/>
    <w:rsid w:val="7B833D31"/>
    <w:rsid w:val="7B841A35"/>
    <w:rsid w:val="7B8B2DC3"/>
    <w:rsid w:val="7B8C2698"/>
    <w:rsid w:val="7B8D79B4"/>
    <w:rsid w:val="7B902188"/>
    <w:rsid w:val="7B915F00"/>
    <w:rsid w:val="7B947FAD"/>
    <w:rsid w:val="7BC02341"/>
    <w:rsid w:val="7BD55DED"/>
    <w:rsid w:val="7BD81D81"/>
    <w:rsid w:val="7BDA5873"/>
    <w:rsid w:val="7BEE3352"/>
    <w:rsid w:val="7BF5648F"/>
    <w:rsid w:val="7BF70459"/>
    <w:rsid w:val="7BF828BA"/>
    <w:rsid w:val="7C105077"/>
    <w:rsid w:val="7C142DB9"/>
    <w:rsid w:val="7C246D74"/>
    <w:rsid w:val="7C2823C0"/>
    <w:rsid w:val="7C39281F"/>
    <w:rsid w:val="7C3B7EB4"/>
    <w:rsid w:val="7C3F770A"/>
    <w:rsid w:val="7C4B4E4D"/>
    <w:rsid w:val="7C5036C5"/>
    <w:rsid w:val="7C572CA5"/>
    <w:rsid w:val="7C573B71"/>
    <w:rsid w:val="7C5A2796"/>
    <w:rsid w:val="7C6453C2"/>
    <w:rsid w:val="7C727ADF"/>
    <w:rsid w:val="7C80044E"/>
    <w:rsid w:val="7C943EFA"/>
    <w:rsid w:val="7C955C15"/>
    <w:rsid w:val="7C9E2682"/>
    <w:rsid w:val="7CA13F21"/>
    <w:rsid w:val="7CA9721E"/>
    <w:rsid w:val="7CAA768C"/>
    <w:rsid w:val="7CB53BC9"/>
    <w:rsid w:val="7CC06A9D"/>
    <w:rsid w:val="7CC3658D"/>
    <w:rsid w:val="7CD10CAA"/>
    <w:rsid w:val="7CE3278B"/>
    <w:rsid w:val="7CF36E72"/>
    <w:rsid w:val="7CF404F4"/>
    <w:rsid w:val="7D010F82"/>
    <w:rsid w:val="7D034BDB"/>
    <w:rsid w:val="7D056BA5"/>
    <w:rsid w:val="7D080444"/>
    <w:rsid w:val="7D0821F2"/>
    <w:rsid w:val="7D103638"/>
    <w:rsid w:val="7D1312C2"/>
    <w:rsid w:val="7D1961AD"/>
    <w:rsid w:val="7D1B1F25"/>
    <w:rsid w:val="7D1F356D"/>
    <w:rsid w:val="7D20578D"/>
    <w:rsid w:val="7D23702C"/>
    <w:rsid w:val="7D272678"/>
    <w:rsid w:val="7D2F3C22"/>
    <w:rsid w:val="7D341239"/>
    <w:rsid w:val="7D3D633F"/>
    <w:rsid w:val="7D3E3E65"/>
    <w:rsid w:val="7D3E5C13"/>
    <w:rsid w:val="7D3F20B7"/>
    <w:rsid w:val="7D425704"/>
    <w:rsid w:val="7D480B46"/>
    <w:rsid w:val="7D4C0330"/>
    <w:rsid w:val="7D4E40A8"/>
    <w:rsid w:val="7D5316BF"/>
    <w:rsid w:val="7D535648"/>
    <w:rsid w:val="7D676F18"/>
    <w:rsid w:val="7D6E64F9"/>
    <w:rsid w:val="7D755AD9"/>
    <w:rsid w:val="7D807FDA"/>
    <w:rsid w:val="7D8D1A8E"/>
    <w:rsid w:val="7D8E01BE"/>
    <w:rsid w:val="7D8E26F7"/>
    <w:rsid w:val="7D8F646F"/>
    <w:rsid w:val="7D935F5F"/>
    <w:rsid w:val="7D966FEB"/>
    <w:rsid w:val="7D9A0EF9"/>
    <w:rsid w:val="7DA55F02"/>
    <w:rsid w:val="7DAA5057"/>
    <w:rsid w:val="7DAE0FEB"/>
    <w:rsid w:val="7DB67EA0"/>
    <w:rsid w:val="7DBC3708"/>
    <w:rsid w:val="7DBD122E"/>
    <w:rsid w:val="7DC66335"/>
    <w:rsid w:val="7DCA74A7"/>
    <w:rsid w:val="7DD30A52"/>
    <w:rsid w:val="7DDA3B8E"/>
    <w:rsid w:val="7DE70059"/>
    <w:rsid w:val="7DED1A9A"/>
    <w:rsid w:val="7DF06F0E"/>
    <w:rsid w:val="7DFC3B04"/>
    <w:rsid w:val="7DFD787D"/>
    <w:rsid w:val="7E066731"/>
    <w:rsid w:val="7E0B576A"/>
    <w:rsid w:val="7E130E4E"/>
    <w:rsid w:val="7E1846B6"/>
    <w:rsid w:val="7E1F3C97"/>
    <w:rsid w:val="7E2272E3"/>
    <w:rsid w:val="7E232F71"/>
    <w:rsid w:val="7E2B263C"/>
    <w:rsid w:val="7E4F632A"/>
    <w:rsid w:val="7E5C0A47"/>
    <w:rsid w:val="7E5E656D"/>
    <w:rsid w:val="7E652DAD"/>
    <w:rsid w:val="7E6B0C8A"/>
    <w:rsid w:val="7E723DC7"/>
    <w:rsid w:val="7E77762F"/>
    <w:rsid w:val="7E896090"/>
    <w:rsid w:val="7E8B6C36"/>
    <w:rsid w:val="7E955D07"/>
    <w:rsid w:val="7E9E06D8"/>
    <w:rsid w:val="7EA536F3"/>
    <w:rsid w:val="7EAF6DC9"/>
    <w:rsid w:val="7EB244D2"/>
    <w:rsid w:val="7EB268B9"/>
    <w:rsid w:val="7EB75C7D"/>
    <w:rsid w:val="7EC62364"/>
    <w:rsid w:val="7EC80913"/>
    <w:rsid w:val="7EC860DC"/>
    <w:rsid w:val="7ED56104"/>
    <w:rsid w:val="7EE36A72"/>
    <w:rsid w:val="7EED78F1"/>
    <w:rsid w:val="7EF173E1"/>
    <w:rsid w:val="7EFE38AC"/>
    <w:rsid w:val="7EFF2F10"/>
    <w:rsid w:val="7F016EF9"/>
    <w:rsid w:val="7F054C3B"/>
    <w:rsid w:val="7F0B7D77"/>
    <w:rsid w:val="7F0D3AEF"/>
    <w:rsid w:val="7F1E7AAB"/>
    <w:rsid w:val="7F2B084F"/>
    <w:rsid w:val="7F315A30"/>
    <w:rsid w:val="7F34107C"/>
    <w:rsid w:val="7F343772"/>
    <w:rsid w:val="7F385010"/>
    <w:rsid w:val="7F3B68AE"/>
    <w:rsid w:val="7F4219EB"/>
    <w:rsid w:val="7F45772D"/>
    <w:rsid w:val="7F482D79"/>
    <w:rsid w:val="7F4A6AF1"/>
    <w:rsid w:val="7F4D0390"/>
    <w:rsid w:val="7F5E7F52"/>
    <w:rsid w:val="7F606315"/>
    <w:rsid w:val="7F6776A3"/>
    <w:rsid w:val="7F6F6558"/>
    <w:rsid w:val="7F705F5F"/>
    <w:rsid w:val="7F8A15E4"/>
    <w:rsid w:val="7F8C710A"/>
    <w:rsid w:val="7F967F89"/>
    <w:rsid w:val="7F9B10FB"/>
    <w:rsid w:val="7F9D1317"/>
    <w:rsid w:val="7F9F6E3D"/>
    <w:rsid w:val="7FBD5515"/>
    <w:rsid w:val="7FC248DA"/>
    <w:rsid w:val="7FD30895"/>
    <w:rsid w:val="7FD75F58"/>
    <w:rsid w:val="7FE17456"/>
    <w:rsid w:val="7FE72592"/>
    <w:rsid w:val="7FEE3921"/>
    <w:rsid w:val="7FF16F6D"/>
    <w:rsid w:val="7FF802FC"/>
    <w:rsid w:val="7FFB74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9"/>
    <w:pPr>
      <w:keepNext/>
      <w:keepLines/>
      <w:spacing w:before="234" w:beforeLines="75" w:after="234" w:afterLines="75" w:line="480" w:lineRule="exact"/>
      <w:outlineLvl w:val="0"/>
    </w:pPr>
    <w:rPr>
      <w:b/>
      <w:bCs/>
      <w:kern w:val="44"/>
      <w:sz w:val="36"/>
      <w:szCs w:val="44"/>
    </w:rPr>
  </w:style>
  <w:style w:type="paragraph" w:styleId="4">
    <w:name w:val="heading 2"/>
    <w:basedOn w:val="1"/>
    <w:next w:val="1"/>
    <w:qFormat/>
    <w:uiPriority w:val="0"/>
    <w:pPr>
      <w:keepNext/>
      <w:keepLines/>
      <w:spacing w:before="50" w:beforeLines="50" w:after="50" w:afterLines="50" w:line="240" w:lineRule="auto"/>
      <w:outlineLvl w:val="1"/>
    </w:pPr>
    <w:rPr>
      <w:b/>
      <w:bCs/>
      <w:sz w:val="32"/>
      <w:szCs w:val="32"/>
    </w:rPr>
  </w:style>
  <w:style w:type="paragraph" w:styleId="5">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ind w:left="720" w:hanging="720"/>
      <w:outlineLvl w:val="2"/>
    </w:pPr>
    <w:rPr>
      <w:b/>
      <w:sz w:val="32"/>
    </w:rPr>
  </w:style>
  <w:style w:type="paragraph" w:styleId="6">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8">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10">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qFormat/>
    <w:uiPriority w:val="0"/>
    <w:pPr>
      <w:spacing w:after="120"/>
      <w:ind w:left="420" w:leftChars="200" w:firstLine="420"/>
    </w:pPr>
    <w:rPr>
      <w:rFonts w:ascii="Times New Roman" w:eastAsia="宋体"/>
      <w:sz w:val="21"/>
      <w:szCs w:val="24"/>
    </w:rPr>
  </w:style>
  <w:style w:type="paragraph" w:styleId="12">
    <w:name w:val="Normal Indent"/>
    <w:basedOn w:val="1"/>
    <w:qFormat/>
    <w:uiPriority w:val="0"/>
    <w:pPr>
      <w:ind w:firstLine="420"/>
    </w:pPr>
    <w:rPr>
      <w:rFonts w:eastAsia="楷体_GB2312"/>
      <w:sz w:val="21"/>
    </w:rPr>
  </w:style>
  <w:style w:type="paragraph" w:styleId="13">
    <w:name w:val="caption"/>
    <w:basedOn w:val="1"/>
    <w:next w:val="1"/>
    <w:link w:val="41"/>
    <w:unhideWhenUsed/>
    <w:qFormat/>
    <w:uiPriority w:val="0"/>
    <w:pPr>
      <w:spacing w:line="240" w:lineRule="auto"/>
      <w:ind w:firstLine="0" w:firstLineChars="0"/>
      <w:jc w:val="right"/>
    </w:pPr>
    <w:rPr>
      <w:rFonts w:ascii="Times New Roman" w:hAnsi="Times New Roman" w:eastAsia="宋体"/>
    </w:rPr>
  </w:style>
  <w:style w:type="paragraph" w:styleId="14">
    <w:name w:val="annotation text"/>
    <w:basedOn w:val="1"/>
    <w:qFormat/>
    <w:uiPriority w:val="0"/>
    <w:pPr>
      <w:jc w:val="left"/>
    </w:pPr>
  </w:style>
  <w:style w:type="paragraph" w:styleId="15">
    <w:name w:val="Body Text"/>
    <w:basedOn w:val="1"/>
    <w:next w:val="16"/>
    <w:qFormat/>
    <w:uiPriority w:val="99"/>
    <w:pPr>
      <w:spacing w:line="600" w:lineRule="atLeast"/>
    </w:pPr>
    <w:rPr>
      <w:sz w:val="28"/>
    </w:rPr>
  </w:style>
  <w:style w:type="paragraph" w:styleId="16">
    <w:name w:val="toc 3"/>
    <w:basedOn w:val="1"/>
    <w:next w:val="1"/>
    <w:qFormat/>
    <w:uiPriority w:val="39"/>
    <w:pPr>
      <w:tabs>
        <w:tab w:val="left" w:pos="1134"/>
        <w:tab w:val="right" w:leader="hyphen" w:pos="8494"/>
      </w:tabs>
      <w:adjustRightInd w:val="0"/>
      <w:snapToGrid w:val="0"/>
      <w:spacing w:line="336" w:lineRule="auto"/>
    </w:pPr>
    <w:rPr>
      <w:rFonts w:ascii="Calibri" w:hAnsi="Calibri" w:cs="Calibri"/>
      <w:i/>
      <w:iCs/>
      <w:sz w:val="20"/>
      <w:szCs w:val="20"/>
    </w:rPr>
  </w:style>
  <w:style w:type="paragraph" w:styleId="17">
    <w:name w:val="Body Text Indent"/>
    <w:basedOn w:val="1"/>
    <w:qFormat/>
    <w:uiPriority w:val="0"/>
    <w:pPr>
      <w:spacing w:after="120" w:afterLines="0"/>
      <w:ind w:left="420" w:leftChars="200"/>
    </w:pPr>
    <w:rPr>
      <w:rFonts w:eastAsia="宋体"/>
      <w:kern w:val="2"/>
      <w:sz w:val="28"/>
      <w:szCs w:val="24"/>
      <w:lang w:val="en-US" w:eastAsia="zh-CN" w:bidi="ar-SA"/>
    </w:rPr>
  </w:style>
  <w:style w:type="paragraph" w:styleId="18">
    <w:name w:val="Body Text Indent 2"/>
    <w:basedOn w:val="1"/>
    <w:qFormat/>
    <w:uiPriority w:val="99"/>
    <w:pPr>
      <w:spacing w:after="120" w:line="480" w:lineRule="auto"/>
      <w:ind w:left="420" w:leftChars="200"/>
    </w:pPr>
  </w:style>
  <w:style w:type="paragraph" w:styleId="19">
    <w:name w:val="footer"/>
    <w:basedOn w:val="1"/>
    <w:qFormat/>
    <w:uiPriority w:val="0"/>
    <w:pPr>
      <w:tabs>
        <w:tab w:val="center" w:pos="4153"/>
        <w:tab w:val="right" w:pos="8306"/>
      </w:tabs>
      <w:snapToGrid w:val="0"/>
      <w:jc w:val="left"/>
    </w:pPr>
    <w:rPr>
      <w:sz w:val="18"/>
    </w:rPr>
  </w:style>
  <w:style w:type="paragraph" w:styleId="2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21">
    <w:name w:val="toc 1"/>
    <w:next w:val="22"/>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22">
    <w:name w:val="文本"/>
    <w:link w:val="36"/>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23">
    <w:name w:val="toc 2"/>
    <w:basedOn w:val="1"/>
    <w:next w:val="1"/>
    <w:qFormat/>
    <w:uiPriority w:val="0"/>
    <w:pPr>
      <w:adjustRightInd w:val="0"/>
      <w:snapToGrid w:val="0"/>
      <w:spacing w:line="440" w:lineRule="exact"/>
      <w:ind w:left="420" w:leftChars="200"/>
    </w:pPr>
    <w:rPr>
      <w:rFonts w:ascii="Times New Roman" w:hAnsi="Times New Roman" w:eastAsia="宋体" w:cstheme="minorBidi"/>
      <w:sz w:val="2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7">
    <w:name w:val="样式5"/>
    <w:basedOn w:val="12"/>
    <w:autoRedefine/>
    <w:qFormat/>
    <w:uiPriority w:val="0"/>
    <w:pPr>
      <w:adjustRightInd w:val="0"/>
      <w:snapToGrid w:val="0"/>
      <w:spacing w:line="360" w:lineRule="auto"/>
      <w:jc w:val="left"/>
      <w:textAlignment w:val="baseline"/>
    </w:pPr>
    <w:rPr>
      <w:kern w:val="0"/>
      <w:sz w:val="24"/>
    </w:rPr>
  </w:style>
  <w:style w:type="paragraph" w:customStyle="1" w:styleId="28">
    <w:name w:val="一级标题"/>
    <w:next w:val="29"/>
    <w:link w:val="37"/>
    <w:qFormat/>
    <w:uiPriority w:val="0"/>
    <w:pPr>
      <w:pageBreakBefore/>
      <w:numPr>
        <w:ilvl w:val="0"/>
        <w:numId w:val="2"/>
      </w:numPr>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29">
    <w:name w:val="二级标题"/>
    <w:next w:val="30"/>
    <w:qFormat/>
    <w:uiPriority w:val="0"/>
    <w:pPr>
      <w:numPr>
        <w:ilvl w:val="1"/>
        <w:numId w:val="2"/>
      </w:numPr>
      <w:tabs>
        <w:tab w:val="left" w:pos="0"/>
        <w:tab w:val="clear" w:pos="420"/>
      </w:tabs>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30">
    <w:name w:val="三级标题"/>
    <w:next w:val="22"/>
    <w:link w:val="35"/>
    <w:qFormat/>
    <w:uiPriority w:val="0"/>
    <w:pPr>
      <w:numPr>
        <w:ilvl w:val="2"/>
        <w:numId w:val="2"/>
      </w:numPr>
      <w:tabs>
        <w:tab w:val="left" w:pos="420"/>
        <w:tab w:val="clear" w:pos="0"/>
      </w:tabs>
      <w:adjustRightInd w:val="0"/>
      <w:snapToGrid w:val="0"/>
      <w:spacing w:line="360" w:lineRule="auto"/>
      <w:ind w:left="720" w:hanging="720" w:firstLineChars="0"/>
      <w:outlineLvl w:val="2"/>
    </w:pPr>
    <w:rPr>
      <w:rFonts w:ascii="Times New Roman" w:hAnsi="Times New Roman" w:eastAsia="宋体" w:cstheme="minorBidi"/>
      <w:b/>
      <w:bCs/>
      <w:sz w:val="28"/>
      <w:szCs w:val="28"/>
    </w:rPr>
  </w:style>
  <w:style w:type="paragraph" w:customStyle="1" w:styleId="31">
    <w:name w:val="图表名称"/>
    <w:next w:val="22"/>
    <w:link w:val="44"/>
    <w:qFormat/>
    <w:uiPriority w:val="0"/>
    <w:pPr>
      <w:adjustRightInd w:val="0"/>
      <w:snapToGrid w:val="0"/>
      <w:jc w:val="center"/>
    </w:pPr>
    <w:rPr>
      <w:rFonts w:ascii="Times New Roman" w:hAnsi="Times New Roman" w:eastAsia="宋体" w:cs="Times New Roman"/>
      <w:b/>
      <w:bCs/>
      <w:sz w:val="24"/>
    </w:rPr>
  </w:style>
  <w:style w:type="paragraph" w:customStyle="1" w:styleId="32">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33">
    <w:name w:val="WPSOffice手动目录 1"/>
    <w:qFormat/>
    <w:uiPriority w:val="0"/>
    <w:pPr>
      <w:ind w:leftChars="0"/>
    </w:pPr>
    <w:rPr>
      <w:rFonts w:asciiTheme="minorHAnsi" w:hAnsiTheme="minorHAnsi" w:eastAsiaTheme="minorEastAsia" w:cstheme="minorBidi"/>
      <w:sz w:val="20"/>
      <w:szCs w:val="20"/>
    </w:rPr>
  </w:style>
  <w:style w:type="paragraph" w:customStyle="1" w:styleId="34">
    <w:name w:val="WPSOffice手动目录 2"/>
    <w:qFormat/>
    <w:uiPriority w:val="0"/>
    <w:pPr>
      <w:ind w:leftChars="200"/>
    </w:pPr>
    <w:rPr>
      <w:rFonts w:asciiTheme="minorHAnsi" w:hAnsiTheme="minorHAnsi" w:eastAsiaTheme="minorEastAsia" w:cstheme="minorBidi"/>
      <w:sz w:val="20"/>
      <w:szCs w:val="20"/>
    </w:rPr>
  </w:style>
  <w:style w:type="character" w:customStyle="1" w:styleId="35">
    <w:name w:val="三级标题 Char"/>
    <w:link w:val="30"/>
    <w:qFormat/>
    <w:uiPriority w:val="0"/>
    <w:rPr>
      <w:rFonts w:ascii="Times New Roman" w:hAnsi="Times New Roman" w:eastAsia="宋体" w:cstheme="minorBidi"/>
      <w:b/>
      <w:bCs/>
      <w:sz w:val="28"/>
      <w:szCs w:val="28"/>
    </w:rPr>
  </w:style>
  <w:style w:type="character" w:customStyle="1" w:styleId="36">
    <w:name w:val="文本 Char"/>
    <w:link w:val="22"/>
    <w:qFormat/>
    <w:uiPriority w:val="0"/>
    <w:rPr>
      <w:rFonts w:ascii="Times New Roman" w:hAnsi="Times New Roman" w:eastAsia="宋体" w:cstheme="minorBidi"/>
      <w:sz w:val="28"/>
      <w:szCs w:val="28"/>
    </w:rPr>
  </w:style>
  <w:style w:type="character" w:customStyle="1" w:styleId="37">
    <w:name w:val="一级标题 Char"/>
    <w:link w:val="28"/>
    <w:qFormat/>
    <w:uiPriority w:val="0"/>
    <w:rPr>
      <w:rFonts w:hint="eastAsia" w:ascii="Times New Roman" w:hAnsi="Times New Roman" w:eastAsia="黑体" w:cs="黑体"/>
      <w:b/>
      <w:bCs/>
      <w:sz w:val="32"/>
      <w:szCs w:val="32"/>
    </w:rPr>
  </w:style>
  <w:style w:type="paragraph" w:customStyle="1" w:styleId="38">
    <w:name w:val="三级条标题"/>
    <w:basedOn w:val="1"/>
    <w:next w:val="5"/>
    <w:qFormat/>
    <w:uiPriority w:val="99"/>
    <w:pPr>
      <w:widowControl/>
      <w:tabs>
        <w:tab w:val="left" w:pos="360"/>
      </w:tabs>
      <w:ind w:left="945"/>
      <w:outlineLvl w:val="4"/>
    </w:pPr>
    <w:rPr>
      <w:rFonts w:ascii="Plotter" w:eastAsia="Plotter"/>
      <w:kern w:val="0"/>
      <w:szCs w:val="20"/>
    </w:rPr>
  </w:style>
  <w:style w:type="paragraph" w:styleId="39">
    <w:name w:val="List Paragraph"/>
    <w:basedOn w:val="1"/>
    <w:qFormat/>
    <w:uiPriority w:val="99"/>
    <w:pPr>
      <w:ind w:firstLine="420" w:firstLineChars="200"/>
    </w:pPr>
  </w:style>
  <w:style w:type="paragraph" w:customStyle="1" w:styleId="40">
    <w:name w:val="表格"/>
    <w:next w:val="1"/>
    <w:autoRedefine/>
    <w:qFormat/>
    <w:uiPriority w:val="0"/>
    <w:pPr>
      <w:snapToGrid w:val="0"/>
      <w:jc w:val="center"/>
    </w:pPr>
    <w:rPr>
      <w:rFonts w:ascii="仿宋" w:hAnsi="仿宋" w:eastAsia="仿宋" w:cstheme="minorBidi"/>
      <w:sz w:val="24"/>
      <w:szCs w:val="21"/>
    </w:rPr>
  </w:style>
  <w:style w:type="character" w:customStyle="1" w:styleId="41">
    <w:name w:val="题注 Char"/>
    <w:link w:val="13"/>
    <w:qFormat/>
    <w:uiPriority w:val="0"/>
    <w:rPr>
      <w:rFonts w:ascii="Times New Roman" w:hAnsi="Times New Roman" w:eastAsia="宋体"/>
    </w:rPr>
  </w:style>
  <w:style w:type="paragraph" w:customStyle="1" w:styleId="42">
    <w:name w:val="方案正文"/>
    <w:basedOn w:val="1"/>
    <w:qFormat/>
    <w:uiPriority w:val="0"/>
    <w:rPr>
      <w:sz w:val="28"/>
    </w:rPr>
  </w:style>
  <w:style w:type="table" w:customStyle="1" w:styleId="43">
    <w:name w:val="Table Normal"/>
    <w:autoRedefine/>
    <w:semiHidden/>
    <w:unhideWhenUsed/>
    <w:qFormat/>
    <w:uiPriority w:val="0"/>
    <w:tblPr>
      <w:tblCellMar>
        <w:top w:w="0" w:type="dxa"/>
        <w:left w:w="0" w:type="dxa"/>
        <w:bottom w:w="0" w:type="dxa"/>
        <w:right w:w="0" w:type="dxa"/>
      </w:tblCellMar>
    </w:tblPr>
  </w:style>
  <w:style w:type="character" w:customStyle="1" w:styleId="44">
    <w:name w:val="图表名称 Char"/>
    <w:link w:val="31"/>
    <w:qFormat/>
    <w:uiPriority w:val="0"/>
    <w:rPr>
      <w:rFonts w:ascii="Times New Roman" w:hAnsi="Times New Roman" w:eastAsia="宋体" w:cs="Times New Roman"/>
      <w:b/>
      <w:bCs/>
      <w:sz w:val="24"/>
    </w:rPr>
  </w:style>
  <w:style w:type="paragraph" w:customStyle="1" w:styleId="45">
    <w:name w:val="列出段落"/>
    <w:basedOn w:val="1"/>
    <w:qFormat/>
    <w:uiPriority w:val="0"/>
    <w:pPr>
      <w:spacing w:line="240" w:lineRule="auto"/>
      <w:ind w:firstLine="420"/>
    </w:pPr>
    <w:rPr>
      <w:rFonts w:ascii="Calibri" w:hAnsi="Calibri"/>
      <w:sz w:val="21"/>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microsoft.com/office/2006/relationships/keyMapCustomizations" Target="customizations.xml"/><Relationship Id="rId10" Type="http://schemas.openxmlformats.org/officeDocument/2006/relationships/numbering" Target="numbering.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17649</Words>
  <Characters>20367</Characters>
  <Lines>0</Lines>
  <Paragraphs>0</Paragraphs>
  <TotalTime>1</TotalTime>
  <ScaleCrop>false</ScaleCrop>
  <LinksUpToDate>false</LinksUpToDate>
  <CharactersWithSpaces>20548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2026-04-23T06:33:35Z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