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985C4">
      <w:pPr>
        <w:pStyle w:val="2"/>
        <w:keepNext/>
        <w:keepLines/>
        <w:pageBreakBefore w:val="0"/>
        <w:widowControl w:val="0"/>
        <w:kinsoku/>
        <w:wordWrap/>
        <w:overflowPunct/>
        <w:topLinePunct w:val="0"/>
        <w:autoSpaceDE/>
        <w:autoSpaceDN/>
        <w:bidi w:val="0"/>
        <w:adjustRightInd w:val="0"/>
        <w:snapToGrid w:val="0"/>
        <w:spacing w:before="490" w:beforeLines="150" w:after="490" w:afterLines="150" w:line="360" w:lineRule="auto"/>
        <w:textAlignment w:val="auto"/>
        <w:rPr>
          <w:rFonts w:hint="default"/>
          <w:b/>
          <w:bCs w:val="0"/>
        </w:rPr>
      </w:pPr>
      <w:bookmarkStart w:id="0" w:name="_Toc3564"/>
      <w:bookmarkStart w:id="1" w:name="_Toc146488822"/>
      <w:bookmarkStart w:id="2" w:name="_Toc8040"/>
      <w:bookmarkStart w:id="3" w:name="_Toc10549"/>
      <w:bookmarkStart w:id="4" w:name="_Toc11251"/>
      <w:r>
        <w:rPr>
          <w:rFonts w:hint="default"/>
          <w:b/>
          <w:bCs w:val="0"/>
        </w:rPr>
        <w:t>前  言</w:t>
      </w:r>
      <w:bookmarkEnd w:id="0"/>
      <w:bookmarkEnd w:id="1"/>
      <w:bookmarkEnd w:id="2"/>
      <w:bookmarkEnd w:id="3"/>
      <w:bookmarkEnd w:id="4"/>
    </w:p>
    <w:p w14:paraId="4AC4111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val="en-US" w:eastAsia="zh-CN"/>
          <w14:textFill>
            <w14:solidFill>
              <w14:schemeClr w14:val="tx1"/>
            </w14:solidFill>
          </w14:textFill>
        </w:rPr>
      </w:pPr>
      <w:r>
        <w:rPr>
          <w:rFonts w:hint="eastAsia" w:cs="Times New Roman"/>
          <w:bCs/>
          <w:kern w:val="0"/>
          <w:sz w:val="28"/>
          <w:szCs w:val="28"/>
          <w:lang w:eastAsia="zh-CN"/>
        </w:rPr>
        <w:t>中国石油天然气股份有限公司河北销售绥中第二加油站</w:t>
      </w:r>
      <w:r>
        <w:rPr>
          <w:rFonts w:hint="default" w:ascii="Times New Roman" w:hAnsi="Times New Roman" w:cs="Times New Roman"/>
          <w:bCs/>
          <w:kern w:val="0"/>
          <w:sz w:val="28"/>
          <w:szCs w:val="28"/>
          <w:lang w:eastAsia="zh-CN"/>
        </w:rPr>
        <w:t>成立于20</w:t>
      </w:r>
      <w:r>
        <w:rPr>
          <w:rFonts w:hint="eastAsia" w:cs="Times New Roman"/>
          <w:bCs/>
          <w:kern w:val="0"/>
          <w:sz w:val="28"/>
          <w:szCs w:val="28"/>
          <w:lang w:val="en-US" w:eastAsia="zh-CN"/>
        </w:rPr>
        <w:t>05</w:t>
      </w:r>
      <w:r>
        <w:rPr>
          <w:rFonts w:hint="default" w:ascii="Times New Roman" w:hAnsi="Times New Roman" w:cs="Times New Roman"/>
          <w:bCs/>
          <w:kern w:val="0"/>
          <w:sz w:val="28"/>
          <w:szCs w:val="28"/>
          <w:lang w:eastAsia="zh-CN"/>
        </w:rPr>
        <w:t>年</w:t>
      </w:r>
      <w:r>
        <w:rPr>
          <w:rFonts w:hint="eastAsia" w:cs="Times New Roman"/>
          <w:bCs/>
          <w:kern w:val="0"/>
          <w:sz w:val="28"/>
          <w:szCs w:val="28"/>
          <w:lang w:val="en-US" w:eastAsia="zh-CN"/>
        </w:rPr>
        <w:t>12</w:t>
      </w:r>
      <w:r>
        <w:rPr>
          <w:rFonts w:hint="default" w:ascii="Times New Roman" w:hAnsi="Times New Roman" w:cs="Times New Roman"/>
          <w:bCs/>
          <w:kern w:val="0"/>
          <w:sz w:val="28"/>
          <w:szCs w:val="28"/>
          <w:lang w:eastAsia="zh-CN"/>
        </w:rPr>
        <w:t>月</w:t>
      </w:r>
      <w:r>
        <w:rPr>
          <w:rFonts w:hint="eastAsia" w:cs="Times New Roman"/>
          <w:bCs/>
          <w:kern w:val="0"/>
          <w:sz w:val="28"/>
          <w:szCs w:val="28"/>
          <w:lang w:val="en-US" w:eastAsia="zh-CN"/>
        </w:rPr>
        <w:t>30</w:t>
      </w:r>
      <w:r>
        <w:rPr>
          <w:rFonts w:hint="default" w:ascii="Times New Roman" w:hAnsi="Times New Roman" w:cs="Times New Roman"/>
          <w:bCs/>
          <w:kern w:val="0"/>
          <w:sz w:val="28"/>
          <w:szCs w:val="28"/>
          <w:lang w:eastAsia="zh-CN"/>
        </w:rPr>
        <w:t>日，</w:t>
      </w:r>
      <w:r>
        <w:rPr>
          <w:rFonts w:hint="eastAsia" w:cs="Times New Roman"/>
          <w:bCs/>
          <w:kern w:val="0"/>
          <w:sz w:val="28"/>
          <w:szCs w:val="28"/>
          <w:lang w:val="en-US" w:eastAsia="zh-CN"/>
        </w:rPr>
        <w:t>经营场所</w:t>
      </w:r>
      <w:r>
        <w:rPr>
          <w:rFonts w:hint="default" w:ascii="Times New Roman" w:hAnsi="Times New Roman" w:cs="Times New Roman"/>
          <w:bCs/>
          <w:kern w:val="0"/>
          <w:sz w:val="28"/>
          <w:szCs w:val="28"/>
          <w:lang w:eastAsia="zh-CN"/>
        </w:rPr>
        <w:t>位于</w:t>
      </w:r>
      <w:r>
        <w:rPr>
          <w:rFonts w:hint="eastAsia" w:cs="Times New Roman"/>
          <w:bCs/>
          <w:kern w:val="0"/>
          <w:sz w:val="28"/>
          <w:szCs w:val="28"/>
          <w:lang w:eastAsia="zh-CN"/>
        </w:rPr>
        <w:t>绥中县绥中镇商业路</w:t>
      </w:r>
      <w:r>
        <w:rPr>
          <w:rFonts w:hint="default" w:ascii="Times New Roman" w:hAnsi="Times New Roman" w:cs="Times New Roman"/>
          <w:bCs/>
          <w:kern w:val="0"/>
          <w:sz w:val="28"/>
          <w:szCs w:val="28"/>
          <w:lang w:eastAsia="zh-CN"/>
        </w:rPr>
        <w:t>，</w:t>
      </w:r>
      <w:r>
        <w:rPr>
          <w:rFonts w:hint="default" w:ascii="Times New Roman" w:hAnsi="Times New Roman" w:eastAsia="宋体" w:cs="Times New Roman"/>
          <w:color w:val="auto"/>
          <w:sz w:val="28"/>
          <w:szCs w:val="28"/>
          <w:highlight w:val="none"/>
          <w:lang w:val="en-US" w:eastAsia="zh-CN"/>
        </w:rPr>
        <w:t>类型为</w:t>
      </w:r>
      <w:r>
        <w:rPr>
          <w:rFonts w:hint="eastAsia" w:cs="Times New Roman"/>
          <w:color w:val="auto"/>
          <w:sz w:val="28"/>
          <w:szCs w:val="28"/>
          <w:highlight w:val="none"/>
          <w:lang w:val="en-US" w:eastAsia="zh-CN"/>
        </w:rPr>
        <w:t>股份有限公司分公司</w:t>
      </w:r>
      <w:r>
        <w:rPr>
          <w:rFonts w:hint="default" w:ascii="Times New Roman" w:hAnsi="Times New Roman" w:eastAsia="宋体" w:cs="Times New Roman"/>
          <w:color w:val="auto"/>
          <w:sz w:val="28"/>
          <w:szCs w:val="28"/>
          <w:highlight w:val="none"/>
          <w:lang w:val="en-US" w:eastAsia="zh-CN"/>
        </w:rPr>
        <w:t>，</w:t>
      </w:r>
      <w:r>
        <w:rPr>
          <w:rFonts w:hint="eastAsia" w:cs="Times New Roman"/>
          <w:bCs/>
          <w:kern w:val="0"/>
          <w:sz w:val="28"/>
          <w:szCs w:val="28"/>
          <w:lang w:val="en-US" w:eastAsia="zh-CN"/>
        </w:rPr>
        <w:t>负责</w:t>
      </w:r>
      <w:r>
        <w:rPr>
          <w:rFonts w:hint="default" w:ascii="Times New Roman" w:hAnsi="Times New Roman" w:cs="Times New Roman"/>
          <w:bCs/>
          <w:kern w:val="0"/>
          <w:sz w:val="28"/>
          <w:szCs w:val="28"/>
          <w:lang w:eastAsia="zh-CN"/>
        </w:rPr>
        <w:t>人为</w:t>
      </w:r>
      <w:r>
        <w:rPr>
          <w:rFonts w:hint="eastAsia" w:cs="Times New Roman"/>
          <w:bCs/>
          <w:kern w:val="0"/>
          <w:sz w:val="28"/>
          <w:szCs w:val="28"/>
          <w:lang w:val="en-US" w:eastAsia="zh-CN"/>
        </w:rPr>
        <w:t>吴冰</w:t>
      </w:r>
      <w:r>
        <w:rPr>
          <w:rFonts w:hint="default" w:ascii="Times New Roman" w:hAnsi="Times New Roman" w:cs="Times New Roman"/>
          <w:bCs/>
          <w:color w:val="000000" w:themeColor="text1"/>
          <w:kern w:val="0"/>
          <w:sz w:val="28"/>
          <w:szCs w:val="28"/>
          <w:lang w:eastAsia="zh-CN"/>
          <w14:textFill>
            <w14:solidFill>
              <w14:schemeClr w14:val="tx1"/>
            </w14:solidFill>
          </w14:textFill>
        </w:rPr>
        <w:t>。</w:t>
      </w:r>
    </w:p>
    <w:p w14:paraId="639735F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cs="宋体"/>
          <w:b w:val="0"/>
          <w:bCs w:val="0"/>
          <w:color w:val="000000" w:themeColor="text1"/>
          <w:spacing w:val="0"/>
          <w:sz w:val="28"/>
          <w:szCs w:val="28"/>
          <w:highlight w:val="none"/>
          <w:lang w:val="en-US" w:eastAsia="zh-CN"/>
          <w14:textFill>
            <w14:solidFill>
              <w14:schemeClr w14:val="tx1"/>
            </w14:solidFill>
          </w14:textFill>
        </w:rPr>
      </w:pPr>
      <w:r>
        <w:rPr>
          <w:rFonts w:hint="eastAsia" w:cs="Times New Roman"/>
          <w:bCs/>
          <w:color w:val="000000" w:themeColor="text1"/>
          <w:kern w:val="0"/>
          <w:sz w:val="28"/>
          <w:szCs w:val="28"/>
          <w:highlight w:val="none"/>
          <w:lang w:val="en-US" w:eastAsia="zh-CN"/>
          <w14:textFill>
            <w14:solidFill>
              <w14:schemeClr w14:val="tx1"/>
            </w14:solidFill>
          </w14:textFill>
        </w:rPr>
        <w:t>中国石油天然气股份有限公司河北销售绥中第二加油站</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于202</w:t>
      </w:r>
      <w:r>
        <w:rPr>
          <w:rFonts w:hint="eastAsia" w:cs="Times New Roman"/>
          <w:bCs/>
          <w:color w:val="000000" w:themeColor="text1"/>
          <w:kern w:val="0"/>
          <w:sz w:val="28"/>
          <w:szCs w:val="28"/>
          <w:highlight w:val="none"/>
          <w:lang w:val="en-US" w:eastAsia="zh-CN"/>
          <w14:textFill>
            <w14:solidFill>
              <w14:schemeClr w14:val="tx1"/>
            </w14:solidFill>
          </w14:textFill>
        </w:rPr>
        <w:t>6</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年</w:t>
      </w:r>
      <w:r>
        <w:rPr>
          <w:rFonts w:hint="eastAsia" w:cs="Times New Roman"/>
          <w:bCs/>
          <w:color w:val="000000" w:themeColor="text1"/>
          <w:kern w:val="0"/>
          <w:sz w:val="28"/>
          <w:szCs w:val="28"/>
          <w:highlight w:val="none"/>
          <w:lang w:val="en-US" w:eastAsia="zh-CN"/>
          <w14:textFill>
            <w14:solidFill>
              <w14:schemeClr w14:val="tx1"/>
            </w14:solidFill>
          </w14:textFill>
        </w:rPr>
        <w:t>03</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月</w:t>
      </w:r>
      <w:r>
        <w:rPr>
          <w:rFonts w:hint="eastAsia" w:cs="Times New Roman"/>
          <w:bCs/>
          <w:color w:val="000000" w:themeColor="text1"/>
          <w:kern w:val="0"/>
          <w:sz w:val="28"/>
          <w:szCs w:val="28"/>
          <w:highlight w:val="none"/>
          <w:lang w:val="en-US" w:eastAsia="zh-CN"/>
          <w14:textFill>
            <w14:solidFill>
              <w14:schemeClr w14:val="tx1"/>
            </w14:solidFill>
          </w14:textFill>
        </w:rPr>
        <w:t>30</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日</w:t>
      </w:r>
      <w:r>
        <w:rPr>
          <w:rFonts w:hint="eastAsia" w:cs="Times New Roman"/>
          <w:bCs/>
          <w:color w:val="000000" w:themeColor="text1"/>
          <w:kern w:val="0"/>
          <w:sz w:val="28"/>
          <w:szCs w:val="28"/>
          <w:highlight w:val="none"/>
          <w:lang w:val="en-US" w:eastAsia="zh-CN"/>
          <w14:textFill>
            <w14:solidFill>
              <w14:schemeClr w14:val="tx1"/>
            </w14:solidFill>
          </w14:textFill>
        </w:rPr>
        <w:t>向绥中县商务局提出改建项目申请，并于</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202</w:t>
      </w:r>
      <w:r>
        <w:rPr>
          <w:rFonts w:hint="eastAsia" w:cs="Times New Roman"/>
          <w:bCs/>
          <w:color w:val="000000" w:themeColor="text1"/>
          <w:kern w:val="0"/>
          <w:sz w:val="28"/>
          <w:szCs w:val="28"/>
          <w:highlight w:val="none"/>
          <w:lang w:val="en-US" w:eastAsia="zh-CN"/>
          <w14:textFill>
            <w14:solidFill>
              <w14:schemeClr w14:val="tx1"/>
            </w14:solidFill>
          </w14:textFill>
        </w:rPr>
        <w:t>6</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年</w:t>
      </w:r>
      <w:r>
        <w:rPr>
          <w:rFonts w:hint="eastAsia" w:cs="Times New Roman"/>
          <w:bCs/>
          <w:color w:val="000000" w:themeColor="text1"/>
          <w:kern w:val="0"/>
          <w:sz w:val="28"/>
          <w:szCs w:val="28"/>
          <w:highlight w:val="none"/>
          <w:lang w:val="en-US" w:eastAsia="zh-CN"/>
          <w14:textFill>
            <w14:solidFill>
              <w14:schemeClr w14:val="tx1"/>
            </w14:solidFill>
          </w14:textFill>
        </w:rPr>
        <w:t>03</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月</w:t>
      </w:r>
      <w:r>
        <w:rPr>
          <w:rFonts w:hint="eastAsia" w:cs="Times New Roman"/>
          <w:bCs/>
          <w:color w:val="000000" w:themeColor="text1"/>
          <w:kern w:val="0"/>
          <w:sz w:val="28"/>
          <w:szCs w:val="28"/>
          <w:highlight w:val="none"/>
          <w:lang w:val="en-US" w:eastAsia="zh-CN"/>
          <w14:textFill>
            <w14:solidFill>
              <w14:schemeClr w14:val="tx1"/>
            </w14:solidFill>
          </w14:textFill>
        </w:rPr>
        <w:t>31</w:t>
      </w:r>
      <w:r>
        <w:rPr>
          <w:rFonts w:hint="default" w:ascii="Times New Roman" w:hAnsi="Times New Roman" w:cs="Times New Roman"/>
          <w:bCs/>
          <w:color w:val="000000" w:themeColor="text1"/>
          <w:kern w:val="0"/>
          <w:sz w:val="28"/>
          <w:szCs w:val="28"/>
          <w:highlight w:val="none"/>
          <w:lang w:val="en-US" w:eastAsia="zh-CN"/>
          <w14:textFill>
            <w14:solidFill>
              <w14:schemeClr w14:val="tx1"/>
            </w14:solidFill>
          </w14:textFill>
        </w:rPr>
        <w:t>日</w:t>
      </w:r>
      <w:r>
        <w:rPr>
          <w:rFonts w:hint="eastAsia" w:cs="Times New Roman"/>
          <w:bCs/>
          <w:color w:val="000000" w:themeColor="text1"/>
          <w:kern w:val="0"/>
          <w:sz w:val="28"/>
          <w:szCs w:val="28"/>
          <w:highlight w:val="none"/>
          <w:lang w:val="en-US" w:eastAsia="zh-CN"/>
          <w14:textFill>
            <w14:solidFill>
              <w14:schemeClr w14:val="tx1"/>
            </w14:solidFill>
          </w14:textFill>
        </w:rPr>
        <w:t>取得相关负责人签字并加盖绥中县商务局公章。</w:t>
      </w:r>
      <w:r>
        <w:rPr>
          <w:rFonts w:hint="eastAsia" w:cs="宋体"/>
          <w:b w:val="0"/>
          <w:bCs w:val="0"/>
          <w:color w:val="000000" w:themeColor="text1"/>
          <w:spacing w:val="0"/>
          <w:sz w:val="28"/>
          <w:szCs w:val="28"/>
          <w:highlight w:val="none"/>
          <w:lang w:val="en-US" w:eastAsia="zh-CN"/>
          <w14:textFill>
            <w14:solidFill>
              <w14:schemeClr w14:val="tx1"/>
            </w14:solidFill>
          </w14:textFill>
        </w:rPr>
        <w:t>建设规模及内容：①新建1座承重罐区，内设</w:t>
      </w:r>
      <w:r>
        <w:rPr>
          <w:rFonts w:hint="eastAsia" w:ascii="Times New Roman" w:hAnsi="Times New Roman" w:cs="Times New Roman"/>
          <w:bCs/>
          <w:kern w:val="0"/>
          <w:sz w:val="28"/>
          <w:szCs w:val="28"/>
          <w:lang w:val="en-US" w:eastAsia="zh-CN"/>
        </w:rPr>
        <w:t>4座</w:t>
      </w:r>
      <w:r>
        <w:rPr>
          <w:rFonts w:hint="eastAsia" w:cs="宋体"/>
          <w:b w:val="0"/>
          <w:bCs w:val="0"/>
          <w:color w:val="000000" w:themeColor="text1"/>
          <w:spacing w:val="0"/>
          <w:sz w:val="28"/>
          <w:szCs w:val="28"/>
          <w:highlight w:val="none"/>
          <w:lang w:val="en-US" w:eastAsia="zh-CN"/>
          <w14:textFill>
            <w14:solidFill>
              <w14:schemeClr w14:val="tx1"/>
            </w14:solidFill>
          </w14:textFill>
        </w:rPr>
        <w:t>FF</w:t>
      </w:r>
      <w:r>
        <w:rPr>
          <w:rFonts w:hint="default" w:ascii="Times New Roman" w:hAnsi="Times New Roman" w:cs="Times New Roman"/>
          <w:bCs/>
          <w:kern w:val="0"/>
          <w:sz w:val="28"/>
          <w:szCs w:val="28"/>
          <w:lang w:eastAsia="zh-CN"/>
        </w:rPr>
        <w:t>双层油罐</w:t>
      </w:r>
      <w:r>
        <w:rPr>
          <w:rFonts w:hint="eastAsia" w:cs="Times New Roman"/>
          <w:bCs/>
          <w:kern w:val="0"/>
          <w:sz w:val="28"/>
          <w:szCs w:val="28"/>
          <w:lang w:eastAsia="zh-CN"/>
        </w:rPr>
        <w:t>；</w:t>
      </w:r>
      <w:r>
        <w:rPr>
          <w:rFonts w:hint="eastAsia" w:cs="Times New Roman"/>
          <w:sz w:val="28"/>
          <w:szCs w:val="28"/>
          <w:vertAlign w:val="baseline"/>
          <w:lang w:val="en-US" w:eastAsia="zh-CN"/>
        </w:rPr>
        <w:t>②</w:t>
      </w:r>
      <w:r>
        <w:rPr>
          <w:rFonts w:hint="eastAsia" w:cs="宋体"/>
          <w:b w:val="0"/>
          <w:bCs w:val="0"/>
          <w:color w:val="000000" w:themeColor="text1"/>
          <w:spacing w:val="0"/>
          <w:sz w:val="28"/>
          <w:szCs w:val="28"/>
          <w:highlight w:val="none"/>
          <w:lang w:val="en-US" w:eastAsia="zh-CN"/>
          <w14:textFill>
            <w14:solidFill>
              <w14:schemeClr w14:val="tx1"/>
            </w14:solidFill>
          </w14:textFill>
        </w:rPr>
        <w:t>新建1座站房；</w:t>
      </w:r>
      <w:r>
        <w:rPr>
          <w:rFonts w:hint="eastAsia" w:cs="Times New Roman"/>
          <w:sz w:val="28"/>
          <w:szCs w:val="28"/>
          <w:vertAlign w:val="baseline"/>
          <w:lang w:val="en-US" w:eastAsia="zh-CN"/>
        </w:rPr>
        <w:t>③</w:t>
      </w:r>
      <w:r>
        <w:rPr>
          <w:rFonts w:hint="eastAsia" w:cs="宋体"/>
          <w:b w:val="0"/>
          <w:bCs w:val="0"/>
          <w:color w:val="000000" w:themeColor="text1"/>
          <w:spacing w:val="0"/>
          <w:sz w:val="28"/>
          <w:szCs w:val="28"/>
          <w:highlight w:val="none"/>
          <w:lang w:val="en-US" w:eastAsia="zh-CN"/>
          <w14:textFill>
            <w14:solidFill>
              <w14:schemeClr w14:val="tx1"/>
            </w14:solidFill>
          </w14:textFill>
        </w:rPr>
        <w:t>新建1座罩棚，罩棚下设4台双枪自吸式加油机；④加油工艺管线重新敷设。</w:t>
      </w:r>
    </w:p>
    <w:p w14:paraId="5EDB84A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危险化学品目录（2015版）》（原国家安全生产监督管理总局等十部门公告[2015]第5号，2015年5月1日起实施）及《关于调整危险化学品目录（2015版）的公告》（中华人民共和国应急管理部等十部门公告2022年第8号，2023年01月01日实施），本项目</w:t>
      </w:r>
      <w:r>
        <w:rPr>
          <w:rFonts w:hint="default" w:ascii="Times New Roman" w:hAnsi="Times New Roman" w:cs="Times New Roman"/>
          <w:sz w:val="28"/>
          <w:szCs w:val="28"/>
          <w:highlight w:val="none"/>
        </w:rPr>
        <w:t>涉及的</w:t>
      </w:r>
      <w:r>
        <w:rPr>
          <w:rFonts w:hint="eastAsia" w:cs="Times New Roman"/>
          <w:sz w:val="28"/>
          <w:szCs w:val="28"/>
          <w:highlight w:val="none"/>
          <w:lang w:eastAsia="zh-CN"/>
        </w:rPr>
        <w:t>乙醇汽油</w:t>
      </w:r>
      <w:r>
        <w:rPr>
          <w:rFonts w:hint="default" w:ascii="Times New Roman" w:hAnsi="Times New Roman" w:cs="Times New Roman"/>
          <w:sz w:val="28"/>
          <w:szCs w:val="28"/>
          <w:highlight w:val="none"/>
        </w:rPr>
        <w:t>、</w:t>
      </w:r>
      <w:r>
        <w:rPr>
          <w:rFonts w:hint="default" w:ascii="Times New Roman" w:hAnsi="Times New Roman" w:cs="Times New Roman"/>
          <w:sz w:val="28"/>
          <w:szCs w:val="28"/>
        </w:rPr>
        <w:t>柴油均属于危险化学品。因此，本项目属于危险化学品</w:t>
      </w:r>
      <w:r>
        <w:rPr>
          <w:rFonts w:hint="eastAsia" w:cs="Times New Roman"/>
          <w:sz w:val="28"/>
          <w:szCs w:val="28"/>
          <w:lang w:val="en-US" w:eastAsia="zh-CN"/>
        </w:rPr>
        <w:t>改</w:t>
      </w:r>
      <w:r>
        <w:rPr>
          <w:rFonts w:hint="default" w:ascii="Times New Roman" w:hAnsi="Times New Roman" w:cs="Times New Roman"/>
          <w:sz w:val="28"/>
          <w:szCs w:val="28"/>
          <w:lang w:eastAsia="zh-CN"/>
        </w:rPr>
        <w:t>建</w:t>
      </w:r>
      <w:r>
        <w:rPr>
          <w:rFonts w:hint="default" w:ascii="Times New Roman" w:hAnsi="Times New Roman" w:cs="Times New Roman"/>
          <w:sz w:val="28"/>
          <w:szCs w:val="28"/>
        </w:rPr>
        <w:t>项目。</w:t>
      </w:r>
    </w:p>
    <w:p w14:paraId="689744B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color w:val="000000" w:themeColor="text1"/>
          <w:sz w:val="28"/>
          <w:szCs w:val="28"/>
          <w14:textFill>
            <w14:solidFill>
              <w14:schemeClr w14:val="tx1"/>
            </w14:solidFill>
          </w14:textFill>
        </w:rPr>
      </w:pPr>
      <w:r>
        <w:rPr>
          <w:rFonts w:hint="default" w:ascii="Times New Roman" w:hAnsi="Times New Roman" w:cs="Times New Roman"/>
          <w:sz w:val="28"/>
          <w:szCs w:val="28"/>
        </w:rPr>
        <w:t>根据《中华人民共和国安全生产法》（中华人民共和国主席令[2021]第八十八号，2021年09月01日施行）第三十一条：生产经营单位新建、改建、扩建工程项目的安全设施，必须与主体工程同时设计、同时施工、同时投入生产和使用。</w:t>
      </w:r>
      <w:r>
        <w:rPr>
          <w:rFonts w:hint="eastAsia" w:cs="Times New Roman"/>
          <w:sz w:val="28"/>
          <w:szCs w:val="28"/>
          <w:lang w:val="en-US" w:eastAsia="zh-CN"/>
        </w:rPr>
        <w:t>根据</w:t>
      </w:r>
      <w:r>
        <w:rPr>
          <w:rFonts w:hint="default" w:ascii="Times New Roman" w:hAnsi="Times New Roman" w:cs="Times New Roman"/>
          <w:sz w:val="28"/>
          <w:szCs w:val="28"/>
        </w:rPr>
        <w:t>《危险化学品建设项目安全监督管理办法》（原安监总局令[2012] 第45号，根据原国家安全生产监督管理总局令[2015]第79号修正）第八条：建设单位应当在建设项目的可行性研究阶段，委托具备相应资质的安全评价机构对建设项目进行安全评价。为此，</w:t>
      </w:r>
      <w:r>
        <w:rPr>
          <w:rFonts w:hint="eastAsia" w:cs="Times New Roman"/>
          <w:sz w:val="28"/>
          <w:szCs w:val="28"/>
          <w:lang w:eastAsia="zh-CN"/>
        </w:rPr>
        <w:t>中国石油天然气股份有限公司河北销售绥中第二加油站</w:t>
      </w:r>
      <w:r>
        <w:rPr>
          <w:rFonts w:hint="default" w:ascii="Times New Roman" w:hAnsi="Times New Roman" w:cs="Times New Roman"/>
          <w:color w:val="000000" w:themeColor="text1"/>
          <w:sz w:val="28"/>
          <w:szCs w:val="28"/>
          <w14:textFill>
            <w14:solidFill>
              <w14:schemeClr w14:val="tx1"/>
            </w14:solidFill>
          </w14:textFill>
        </w:rPr>
        <w:t>委托</w:t>
      </w:r>
      <w:r>
        <w:rPr>
          <w:rFonts w:hint="default" w:ascii="Times New Roman" w:hAnsi="Times New Roman" w:cs="Times New Roman"/>
          <w:color w:val="000000" w:themeColor="text1"/>
          <w:sz w:val="28"/>
          <w:szCs w:val="28"/>
          <w:lang w:val="en-US" w:eastAsia="zh-CN"/>
          <w14:textFill>
            <w14:solidFill>
              <w14:schemeClr w14:val="tx1"/>
            </w14:solidFill>
          </w14:textFill>
        </w:rPr>
        <w:t>辽宁诺诚安全科技有限公司</w:t>
      </w:r>
      <w:r>
        <w:rPr>
          <w:rFonts w:hint="default" w:ascii="Times New Roman" w:hAnsi="Times New Roman" w:cs="Times New Roman"/>
          <w:color w:val="000000" w:themeColor="text1"/>
          <w:sz w:val="28"/>
          <w:szCs w:val="28"/>
          <w14:textFill>
            <w14:solidFill>
              <w14:schemeClr w14:val="tx1"/>
            </w14:solidFill>
          </w14:textFill>
        </w:rPr>
        <w:t>对建</w:t>
      </w:r>
      <w:r>
        <w:rPr>
          <w:rFonts w:hint="default" w:ascii="Times New Roman" w:hAnsi="Times New Roman" w:cs="Times New Roman"/>
          <w:color w:val="000000" w:themeColor="text1"/>
          <w:sz w:val="28"/>
          <w:szCs w:val="28"/>
          <w:lang w:val="en-US" w:eastAsia="zh-CN"/>
          <w14:textFill>
            <w14:solidFill>
              <w14:schemeClr w14:val="tx1"/>
            </w14:solidFill>
          </w14:textFill>
        </w:rPr>
        <w:t>设</w:t>
      </w:r>
      <w:r>
        <w:rPr>
          <w:rFonts w:hint="default" w:ascii="Times New Roman" w:hAnsi="Times New Roman" w:cs="Times New Roman"/>
          <w:color w:val="000000" w:themeColor="text1"/>
          <w:sz w:val="28"/>
          <w:szCs w:val="28"/>
          <w14:textFill>
            <w14:solidFill>
              <w14:schemeClr w14:val="tx1"/>
            </w14:solidFill>
          </w14:textFill>
        </w:rPr>
        <w:t>项目进行安全评价</w:t>
      </w:r>
      <w:r>
        <w:rPr>
          <w:rFonts w:hint="default" w:ascii="Times New Roman" w:hAnsi="Times New Roman" w:cs="Times New Roman"/>
          <w:color w:val="000000" w:themeColor="text1"/>
          <w:sz w:val="28"/>
          <w:szCs w:val="28"/>
          <w:lang w:eastAsia="zh-CN"/>
          <w14:textFill>
            <w14:solidFill>
              <w14:schemeClr w14:val="tx1"/>
            </w14:solidFill>
          </w14:textFill>
        </w:rPr>
        <w:t>，</w:t>
      </w:r>
      <w:r>
        <w:rPr>
          <w:rFonts w:hint="default" w:ascii="Times New Roman" w:hAnsi="Times New Roman" w:cs="Times New Roman"/>
          <w:color w:val="000000" w:themeColor="text1"/>
          <w:sz w:val="28"/>
          <w:szCs w:val="28"/>
          <w:lang w:val="en-US" w:eastAsia="zh-CN"/>
          <w14:textFill>
            <w14:solidFill>
              <w14:schemeClr w14:val="tx1"/>
            </w14:solidFill>
          </w14:textFill>
        </w:rPr>
        <w:t>并编制本次设立安全评价报告。</w:t>
      </w:r>
    </w:p>
    <w:p w14:paraId="31D51D1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lang w:val="en-US" w:eastAsia="zh-CN"/>
        </w:rPr>
        <w:t>本评价报告主要由前言</w:t>
      </w:r>
      <w:r>
        <w:rPr>
          <w:rFonts w:hint="default" w:ascii="Times New Roman" w:hAnsi="Times New Roman" w:cs="Times New Roman"/>
          <w:color w:val="auto"/>
          <w:sz w:val="28"/>
          <w:szCs w:val="28"/>
          <w:highlight w:val="none"/>
          <w:lang w:val="en-US" w:eastAsia="zh-CN"/>
        </w:rPr>
        <w:t>、安全评价工作经过、建设项目概况、危险化学品的理化性能指标、危险化学品包装、储存、运输的技术要求、建设项目的危险、有害因素和危险、有害程度、建设项目的安全条件、主要技术、工艺和装置、设备、设施及其安全可靠性、建设项目设立安全评价结论、与建设单位交换意见以及附件</w:t>
      </w:r>
      <w:r>
        <w:rPr>
          <w:rFonts w:hint="default" w:ascii="Times New Roman" w:hAnsi="Times New Roman" w:eastAsia="宋体" w:cs="Times New Roman"/>
          <w:color w:val="auto"/>
          <w:sz w:val="28"/>
          <w:szCs w:val="28"/>
          <w:highlight w:val="none"/>
          <w:lang w:val="en-US" w:eastAsia="zh-CN"/>
        </w:rPr>
        <w:t>等内容组成。</w:t>
      </w:r>
    </w:p>
    <w:p w14:paraId="0D2E57C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color w:val="000000" w:themeColor="text1"/>
          <w:sz w:val="28"/>
          <w:szCs w:val="28"/>
          <w:lang w:val="en-US" w:eastAsia="zh-CN"/>
          <w14:textFill>
            <w14:solidFill>
              <w14:schemeClr w14:val="tx1"/>
            </w14:solidFill>
          </w14:textFill>
        </w:rPr>
        <w:sectPr>
          <w:footerReference r:id="rId3"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titlePg/>
          <w:docGrid w:type="lines" w:linePitch="326" w:charSpace="6144"/>
        </w:sectPr>
      </w:pPr>
      <w:r>
        <w:rPr>
          <w:rFonts w:hint="default" w:ascii="Times New Roman" w:hAnsi="Times New Roman" w:eastAsia="宋体" w:cs="Times New Roman"/>
          <w:color w:val="000000" w:themeColor="text1"/>
          <w:sz w:val="28"/>
          <w:szCs w:val="28"/>
          <w:highlight w:val="none"/>
          <w:lang w:val="en-US" w:eastAsia="zh-CN"/>
          <w14:textFill>
            <w14:solidFill>
              <w14:schemeClr w14:val="tx1"/>
            </w14:solidFill>
          </w14:textFill>
        </w:rPr>
        <w:t>本安全评价报告在编制过程中</w:t>
      </w:r>
      <w:r>
        <w:rPr>
          <w:rFonts w:hint="default" w:ascii="Times New Roman" w:hAnsi="Times New Roman" w:eastAsia="宋体" w:cs="Times New Roman"/>
          <w:color w:val="000000" w:themeColor="text1"/>
          <w:sz w:val="28"/>
          <w:szCs w:val="28"/>
          <w:highlight w:val="none"/>
          <w:lang w:eastAsia="zh-CN"/>
          <w14:textFill>
            <w14:solidFill>
              <w14:schemeClr w14:val="tx1"/>
            </w14:solidFill>
          </w14:textFill>
        </w:rPr>
        <w:t>得到了</w:t>
      </w:r>
      <w:r>
        <w:rPr>
          <w:rFonts w:hint="default" w:ascii="Times New Roman" w:hAnsi="Times New Roman" w:cs="Times New Roman"/>
          <w:color w:val="000000" w:themeColor="text1"/>
          <w:sz w:val="28"/>
          <w:szCs w:val="28"/>
          <w14:textFill>
            <w14:solidFill>
              <w14:schemeClr w14:val="tx1"/>
            </w14:solidFill>
          </w14:textFill>
        </w:rPr>
        <w:t>的领导及相关人员的大力支持配合，</w:t>
      </w:r>
      <w:r>
        <w:rPr>
          <w:rFonts w:hint="default" w:ascii="Times New Roman" w:hAnsi="Times New Roman" w:cs="Times New Roman"/>
          <w:color w:val="000000" w:themeColor="text1"/>
          <w:sz w:val="28"/>
          <w:szCs w:val="28"/>
          <w:lang w:val="en-US" w:eastAsia="zh-CN"/>
          <w14:textFill>
            <w14:solidFill>
              <w14:schemeClr w14:val="tx1"/>
            </w14:solidFill>
          </w14:textFill>
        </w:rPr>
        <w:t>在此一并表示感谢</w:t>
      </w:r>
      <w:r>
        <w:rPr>
          <w:rFonts w:hint="eastAsia" w:cs="Times New Roman"/>
          <w:color w:val="000000" w:themeColor="text1"/>
          <w:sz w:val="28"/>
          <w:szCs w:val="28"/>
          <w:lang w:val="en-US" w:eastAsia="zh-CN"/>
          <w14:textFill>
            <w14:solidFill>
              <w14:schemeClr w14:val="tx1"/>
            </w14:solidFill>
          </w14:textFill>
        </w:rPr>
        <w:t>。</w:t>
      </w:r>
    </w:p>
    <w:sdt>
      <w:sdtPr>
        <w:rPr>
          <w:rFonts w:ascii="宋体" w:hAnsi="宋体" w:eastAsia="宋体" w:cs="Times New Roman"/>
          <w:kern w:val="2"/>
          <w:sz w:val="21"/>
          <w:szCs w:val="24"/>
          <w:lang w:val="en-US" w:eastAsia="zh-CN" w:bidi="ar-SA"/>
        </w:rPr>
        <w:id w:val="147474203"/>
        <w15:color w:val="DBDBDB"/>
        <w:docPartObj>
          <w:docPartGallery w:val="Table of Contents"/>
          <w:docPartUnique/>
        </w:docPartObj>
      </w:sdtPr>
      <w:sdtEndPr>
        <w:rPr>
          <w:rFonts w:hint="default" w:ascii="Times New Roman" w:hAnsi="Times New Roman" w:eastAsia="宋体" w:cs="Times New Roman"/>
          <w:b/>
          <w:color w:val="000000" w:themeColor="text1"/>
          <w:kern w:val="2"/>
          <w:sz w:val="21"/>
          <w:szCs w:val="28"/>
          <w:lang w:val="en-US" w:eastAsia="zh-CN" w:bidi="ar-SA"/>
          <w14:textFill>
            <w14:solidFill>
              <w14:schemeClr w14:val="tx1"/>
            </w14:solidFill>
          </w14:textFill>
        </w:rPr>
      </w:sdtEndPr>
      <w:sdtContent>
        <w:p w14:paraId="35DB270A">
          <w:pPr>
            <w:keepNext w:val="0"/>
            <w:keepLines w:val="0"/>
            <w:pageBreakBefore w:val="0"/>
            <w:widowControl w:val="0"/>
            <w:kinsoku/>
            <w:wordWrap/>
            <w:overflowPunct/>
            <w:topLinePunct w:val="0"/>
            <w:autoSpaceDE/>
            <w:autoSpaceDN/>
            <w:bidi w:val="0"/>
            <w:adjustRightInd w:val="0"/>
            <w:snapToGrid w:val="0"/>
            <w:spacing w:before="164" w:beforeLines="50" w:after="164" w:afterLines="50" w:line="360" w:lineRule="auto"/>
            <w:ind w:left="0" w:leftChars="0" w:right="0" w:rightChars="0" w:firstLine="0" w:firstLineChars="0"/>
            <w:jc w:val="center"/>
            <w:textAlignment w:val="auto"/>
            <w:rPr>
              <w:rFonts w:hint="eastAsia" w:ascii="黑体" w:hAnsi="黑体" w:eastAsia="黑体" w:cs="黑体"/>
              <w:b/>
              <w:bCs/>
              <w:sz w:val="32"/>
              <w:szCs w:val="32"/>
            </w:rPr>
          </w:pPr>
          <w:r>
            <w:rPr>
              <w:rFonts w:hint="eastAsia" w:ascii="黑体" w:hAnsi="黑体" w:eastAsia="黑体" w:cs="黑体"/>
              <w:b/>
              <w:bCs/>
              <w:sz w:val="32"/>
              <w:szCs w:val="32"/>
            </w:rPr>
            <w:t>目</w:t>
          </w:r>
          <w:r>
            <w:rPr>
              <w:rFonts w:hint="eastAsia" w:ascii="黑体" w:hAnsi="黑体" w:eastAsia="黑体" w:cs="黑体"/>
              <w:b/>
              <w:bCs/>
              <w:sz w:val="32"/>
              <w:szCs w:val="32"/>
              <w:lang w:val="en-US" w:eastAsia="zh-CN"/>
            </w:rPr>
            <w:t xml:space="preserve">  </w:t>
          </w:r>
          <w:r>
            <w:rPr>
              <w:rFonts w:hint="eastAsia" w:ascii="黑体" w:hAnsi="黑体" w:eastAsia="黑体" w:cs="黑体"/>
              <w:b/>
              <w:bCs/>
              <w:sz w:val="32"/>
              <w:szCs w:val="32"/>
            </w:rPr>
            <w:t>录</w:t>
          </w:r>
        </w:p>
        <w:p w14:paraId="08D32D39">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instrText xml:space="preserve">TOC \o "1-2" \h \u </w:instrText>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_Toc26956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snapToGrid w:val="0"/>
              <w:sz w:val="28"/>
              <w:szCs w:val="28"/>
            </w:rPr>
            <w:t>1安全评价工作经过</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_Toc26956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1</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35DE65C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sz w:val="28"/>
              <w:szCs w:val="28"/>
              <w:lang w:val="en-US" w:eastAsia="zh-CN"/>
            </w:rPr>
            <w:instrText xml:space="preserve"> HYPERLINK \l _Toc6525 </w:instrText>
          </w:r>
          <w:r>
            <w:rPr>
              <w:rFonts w:hint="default" w:ascii="Times New Roman" w:hAnsi="Times New Roman" w:eastAsia="黑体" w:cs="Times New Roman"/>
              <w:b w:val="0"/>
              <w:bCs w:val="0"/>
              <w:sz w:val="28"/>
              <w:szCs w:val="28"/>
              <w:lang w:val="en-US" w:eastAsia="zh-CN"/>
            </w:rPr>
            <w:fldChar w:fldCharType="separate"/>
          </w:r>
          <w:r>
            <w:rPr>
              <w:rFonts w:hint="default" w:ascii="Times New Roman" w:hAnsi="Times New Roman" w:eastAsia="黑体" w:cs="Times New Roman"/>
              <w:b w:val="0"/>
              <w:bCs w:val="0"/>
              <w:sz w:val="28"/>
              <w:szCs w:val="28"/>
            </w:rPr>
            <w:t>1.1前期准备情况</w:t>
          </w:r>
          <w:r>
            <w:rPr>
              <w:rFonts w:hint="default" w:ascii="Times New Roman" w:hAnsi="Times New Roman" w:eastAsia="黑体" w:cs="Times New Roman"/>
              <w:b w:val="0"/>
              <w:bCs w:val="0"/>
              <w:sz w:val="28"/>
              <w:szCs w:val="28"/>
            </w:rPr>
            <w:tab/>
          </w: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PAGEREF _Toc6525 \h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rPr>
            <w:t>1</w:t>
          </w:r>
          <w:r>
            <w:rPr>
              <w:rFonts w:hint="default" w:ascii="Times New Roman" w:hAnsi="Times New Roman" w:eastAsia="黑体" w:cs="Times New Roman"/>
              <w:b w:val="0"/>
              <w:bCs w:val="0"/>
              <w:sz w:val="28"/>
              <w:szCs w:val="28"/>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D5224E7">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sz w:val="28"/>
              <w:szCs w:val="28"/>
              <w:lang w:val="en-US" w:eastAsia="zh-CN"/>
            </w:rPr>
            <w:instrText xml:space="preserve"> HYPERLINK \l _Toc5631 </w:instrText>
          </w:r>
          <w:r>
            <w:rPr>
              <w:rFonts w:hint="default" w:ascii="Times New Roman" w:hAnsi="Times New Roman" w:eastAsia="黑体" w:cs="Times New Roman"/>
              <w:b w:val="0"/>
              <w:bCs w:val="0"/>
              <w:sz w:val="28"/>
              <w:szCs w:val="28"/>
              <w:lang w:val="en-US" w:eastAsia="zh-CN"/>
            </w:rPr>
            <w:fldChar w:fldCharType="separate"/>
          </w:r>
          <w:r>
            <w:rPr>
              <w:rFonts w:hint="default" w:ascii="Times New Roman" w:hAnsi="Times New Roman" w:eastAsia="黑体" w:cs="Times New Roman"/>
              <w:b w:val="0"/>
              <w:bCs w:val="0"/>
              <w:sz w:val="28"/>
              <w:szCs w:val="28"/>
            </w:rPr>
            <w:t>1.2安全评价目的</w:t>
          </w:r>
          <w:r>
            <w:rPr>
              <w:rFonts w:hint="default" w:ascii="Times New Roman" w:hAnsi="Times New Roman" w:eastAsia="黑体" w:cs="Times New Roman"/>
              <w:b w:val="0"/>
              <w:bCs w:val="0"/>
              <w:sz w:val="28"/>
              <w:szCs w:val="28"/>
            </w:rPr>
            <w:tab/>
          </w: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PAGEREF _Toc5631 \h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rPr>
            <w:t>1</w:t>
          </w:r>
          <w:r>
            <w:rPr>
              <w:rFonts w:hint="default" w:ascii="Times New Roman" w:hAnsi="Times New Roman" w:eastAsia="黑体" w:cs="Times New Roman"/>
              <w:b w:val="0"/>
              <w:bCs w:val="0"/>
              <w:sz w:val="28"/>
              <w:szCs w:val="28"/>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589A1AE">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sz w:val="28"/>
              <w:szCs w:val="28"/>
              <w:lang w:val="en-US" w:eastAsia="zh-CN"/>
            </w:rPr>
            <w:instrText xml:space="preserve"> HYPERLINK \l _Toc5415 </w:instrText>
          </w:r>
          <w:r>
            <w:rPr>
              <w:rFonts w:hint="default" w:ascii="Times New Roman" w:hAnsi="Times New Roman" w:eastAsia="黑体" w:cs="Times New Roman"/>
              <w:b w:val="0"/>
              <w:bCs w:val="0"/>
              <w:sz w:val="28"/>
              <w:szCs w:val="28"/>
              <w:lang w:val="en-US" w:eastAsia="zh-CN"/>
            </w:rPr>
            <w:fldChar w:fldCharType="separate"/>
          </w:r>
          <w:r>
            <w:rPr>
              <w:rFonts w:hint="default" w:ascii="Times New Roman" w:hAnsi="Times New Roman" w:eastAsia="黑体" w:cs="Times New Roman"/>
              <w:b w:val="0"/>
              <w:bCs w:val="0"/>
              <w:sz w:val="28"/>
              <w:szCs w:val="28"/>
            </w:rPr>
            <w:t>1.3评价对象和范围</w:t>
          </w:r>
          <w:r>
            <w:rPr>
              <w:rFonts w:hint="default" w:ascii="Times New Roman" w:hAnsi="Times New Roman" w:eastAsia="黑体" w:cs="Times New Roman"/>
              <w:b w:val="0"/>
              <w:bCs w:val="0"/>
              <w:sz w:val="28"/>
              <w:szCs w:val="28"/>
            </w:rPr>
            <w:tab/>
          </w: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PAGEREF _Toc5415 \h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rPr>
            <w:t>1</w:t>
          </w:r>
          <w:r>
            <w:rPr>
              <w:rFonts w:hint="default" w:ascii="Times New Roman" w:hAnsi="Times New Roman" w:eastAsia="黑体" w:cs="Times New Roman"/>
              <w:b w:val="0"/>
              <w:bCs w:val="0"/>
              <w:sz w:val="28"/>
              <w:szCs w:val="28"/>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26A5112B">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sz w:val="28"/>
              <w:szCs w:val="28"/>
              <w:lang w:val="en-US" w:eastAsia="zh-CN"/>
            </w:rPr>
            <w:instrText xml:space="preserve"> HYPERLINK \l _Toc9687 </w:instrText>
          </w:r>
          <w:r>
            <w:rPr>
              <w:rFonts w:hint="default" w:ascii="Times New Roman" w:hAnsi="Times New Roman" w:eastAsia="黑体" w:cs="Times New Roman"/>
              <w:b w:val="0"/>
              <w:bCs w:val="0"/>
              <w:sz w:val="28"/>
              <w:szCs w:val="28"/>
              <w:lang w:val="en-US" w:eastAsia="zh-CN"/>
            </w:rPr>
            <w:fldChar w:fldCharType="separate"/>
          </w:r>
          <w:r>
            <w:rPr>
              <w:rFonts w:hint="default" w:ascii="Times New Roman" w:hAnsi="Times New Roman" w:eastAsia="黑体" w:cs="Times New Roman"/>
              <w:b w:val="0"/>
              <w:bCs w:val="0"/>
              <w:sz w:val="28"/>
              <w:szCs w:val="28"/>
            </w:rPr>
            <w:t>1.4工作经过和程序</w:t>
          </w:r>
          <w:r>
            <w:rPr>
              <w:rFonts w:hint="default" w:ascii="Times New Roman" w:hAnsi="Times New Roman" w:eastAsia="黑体" w:cs="Times New Roman"/>
              <w:b w:val="0"/>
              <w:bCs w:val="0"/>
              <w:sz w:val="28"/>
              <w:szCs w:val="28"/>
            </w:rPr>
            <w:tab/>
          </w:r>
          <w:r>
            <w:rPr>
              <w:rFonts w:hint="default" w:ascii="Times New Roman" w:hAnsi="Times New Roman" w:eastAsia="黑体" w:cs="Times New Roman"/>
              <w:b w:val="0"/>
              <w:bCs w:val="0"/>
              <w:sz w:val="28"/>
              <w:szCs w:val="28"/>
            </w:rPr>
            <w:fldChar w:fldCharType="begin"/>
          </w:r>
          <w:r>
            <w:rPr>
              <w:rFonts w:hint="default" w:ascii="Times New Roman" w:hAnsi="Times New Roman" w:eastAsia="黑体" w:cs="Times New Roman"/>
              <w:b w:val="0"/>
              <w:bCs w:val="0"/>
              <w:sz w:val="28"/>
              <w:szCs w:val="28"/>
            </w:rPr>
            <w:instrText xml:space="preserve"> PAGEREF _Toc9687 \h </w:instrText>
          </w:r>
          <w:r>
            <w:rPr>
              <w:rFonts w:hint="default" w:ascii="Times New Roman" w:hAnsi="Times New Roman" w:eastAsia="黑体" w:cs="Times New Roman"/>
              <w:b w:val="0"/>
              <w:bCs w:val="0"/>
              <w:sz w:val="28"/>
              <w:szCs w:val="28"/>
            </w:rPr>
            <w:fldChar w:fldCharType="separate"/>
          </w:r>
          <w:r>
            <w:rPr>
              <w:rFonts w:hint="default" w:ascii="Times New Roman" w:hAnsi="Times New Roman" w:eastAsia="黑体" w:cs="Times New Roman"/>
              <w:b w:val="0"/>
              <w:bCs w:val="0"/>
              <w:sz w:val="28"/>
              <w:szCs w:val="28"/>
            </w:rPr>
            <w:t>2</w:t>
          </w:r>
          <w:r>
            <w:rPr>
              <w:rFonts w:hint="default" w:ascii="Times New Roman" w:hAnsi="Times New Roman" w:eastAsia="黑体" w:cs="Times New Roman"/>
              <w:b w:val="0"/>
              <w:bCs w:val="0"/>
              <w:sz w:val="28"/>
              <w:szCs w:val="28"/>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54BC70AA">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_Toc17597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bidi="ar-SA"/>
            </w:rPr>
            <w:t>2建设项目概况</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_Toc17597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3</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1B65DDA9">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_Toc17109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2.1建设单位概况</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_Toc17109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9C8862F">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_Toc3875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2.2建设项目概况</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_Toc3875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2B6D58D8">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_Toc4522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2.3采用的主要技术、工艺和同类项目水平对比情况</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_Toc4522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4</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3F391394">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_Toc25139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2.4建设项目所在地理位置、用地面积、生产或者储存规模</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_Toc25139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0EF2F39">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_Toc31983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2.5工艺流程和主要设备及设施的布局及其上下游生产装置的关系</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_Toc31983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69A65F7">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_Toc2468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2.6配套和辅助工程名称、能力、介质来源</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_Toc2468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14</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78CF31C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_Toc1785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2.7主要装置（设备）设施和特种设备</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_Toc1785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17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66750D5B">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_Toc13835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2.8劳动定员</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_Toc13835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19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640B4614">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_Toc16214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3危险化学品的理化性能指标</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_Toc16214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20</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43305E74">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_Toc31965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4危险化学品包装、储存、运输的技术要求</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_Toc31965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23</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4B68CCAD">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_Toc8511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sz w:val="28"/>
              <w:szCs w:val="28"/>
            </w:rPr>
            <w:t>5建设项目的危险、有害因素和危险、有害程度</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_Toc8511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25</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48D68249">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_Toc8613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5.1危险、有害因素</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_Toc8613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25</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1C6E87D">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_Toc2684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5.2危险、有害程度</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_Toc2684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26</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8E4ABF4">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_Toc14796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5.3“两重点一重大”辨识</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_Toc14796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31</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5AE61E83">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_Toc13969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5.4本项目爆炸危险区域划分</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_Toc13969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32</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D3D11E3">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_Toc1945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bidi="ar-SA"/>
            </w:rPr>
            <w:t>6 建设项目的安全条件</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_Toc1945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36</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1A841DB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_Toc18475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6.1建设项目的外部情况</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_Toc18475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36</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3DB136E5">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_Toc3681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6.2建设项目的安全条件</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_Toc3681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2A0E0D2">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_Toc31531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bidi="ar-SA"/>
            </w:rPr>
            <w:t>7主要技术、工艺和装置、设备、设施及其安全可靠性</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_Toc31531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39</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22ACAE6C">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_Toc12537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7.1主要技术、工艺或者方式和装置、设备、设施的安全可靠性</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_Toc12537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23CB91D5">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_Toc11196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7.2主要装置、设备或者设施与危险化学品生产或者储存过程的匹配情况</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_Toc11196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39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814F191">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_Toc29922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7.3生产或者储存过程配套和辅助工程分析</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_Toc29922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40</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7C419084">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_Toc848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bidi="ar-SA"/>
            </w:rPr>
            <w:t>8安全对策与建议</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_Toc848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42</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421494E4">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_Toc6102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8.1建设项目的选址</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_Toc6102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42</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52AC974B">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_Toc25225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8.2主要技术、工艺或者方式和装置、设备、设施</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_Toc25225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42</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23948E9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_Toc21134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8.3配套和辅助工程</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_Toc21134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49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38357C1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_Toc5969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8.4主要装置、设备、设施的布局</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_Toc5969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6DB44043">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_Toc15109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8.5安全管理</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_Toc15109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57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237C141">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_Toc10405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9评价结论</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_Toc10405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61</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4295A191">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_Toc2433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9.1主要危险、有害因素分析结果</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_Toc2433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61</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BB1068B">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_Toc3563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9.2评价结果</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_Toc3563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61</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7D9C23D5">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_Toc24354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9.3设立安全评价结论</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_Toc24354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62</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822822D">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_Toc5578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10与建设单位交换意见</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_Toc5578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64</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3AEA96B7">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_Toc25047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附录1评价依据</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_Toc25047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65</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13D25346">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_Toc8405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F1.1法律</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_Toc8405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65</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70937162">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_Toc24790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F1.2法规、地方法规</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_Toc24790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66</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DA007D7">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_Toc13970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F1.3部门规章、地方规章</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_Toc13970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73ABBBB7">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_Toc3604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F1.4规范性文件</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_Toc3604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68</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C3BDB65">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_Toc28570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F1.5国家标准</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_Toc28570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70</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5FEB389C">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_Toc31830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F1.6其它资料或文件</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_Toc31830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73</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6771777C">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_Toc17898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附录2选用的安全评价方法简介</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_Toc17898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74</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25D2D337">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_Toc20164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F2.1安全检查表法</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_Toc20164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74</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3A7734D0">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_Toc9381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F2.2预先危险性分析评价法</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_Toc9381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74</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3FEB3621">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_Toc11820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F2.3蒸汽云爆炸灾害模型</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_Toc11820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75</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0D41CA35">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_Toc6852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附录F3危险、有害因素分析</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_Toc6852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77</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1AD4C2F8">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_Toc31070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F3.1主要物料危险、有害因素</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_Toc31070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202AC4BF">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_Toc28826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F3.2经营、储存的危险、有害因素分析</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_Toc28826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79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D90652C">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_Toc4410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F3.3检维修过程的危险、有害因素分析</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_Toc4410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85</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AF83121">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_Toc7693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F3.4自然灾害</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_Toc7693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86</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F7B73B2">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_Toc26222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F3.5重大危险源辨识</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_Toc26222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87</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41D4C336">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_Toc20461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rPr>
            <w:t>附录F4定性、定量分析危险、有害程度的过程</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_Toc20461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89</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6B095B95">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_Toc24060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F4.1安全检查表法</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_Toc24060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89</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E828702">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_Toc23775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F4.2预先危险性分析</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_Toc23775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92</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1FC730C9">
          <w:pPr>
            <w:pStyle w:val="11"/>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ind w:left="0" w:firstLine="280" w:firstLineChars="100"/>
            <w:textAlignment w:val="auto"/>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HYPERLINK \l _Toc2803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F4.3蒸汽云爆炸模拟</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ab/>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instrText xml:space="preserve"> PAGEREF _Toc2803 \h </w:instrTex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separate"/>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t>100</w:t>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r>
            <w:rPr>
              <w:rFonts w:hint="default" w:ascii="Times New Roman" w:hAnsi="Times New Roman" w:eastAsia="黑体" w:cs="Times New Roman"/>
              <w:b w:val="0"/>
              <w:bCs w:val="0"/>
              <w:color w:val="000000" w:themeColor="text1"/>
              <w:sz w:val="28"/>
              <w:szCs w:val="28"/>
              <w:lang w:val="en-US" w:eastAsia="zh-CN"/>
              <w14:textFill>
                <w14:solidFill>
                  <w14:schemeClr w14:val="tx1"/>
                </w14:solidFill>
              </w14:textFill>
            </w:rPr>
            <w:fldChar w:fldCharType="end"/>
          </w:r>
        </w:p>
        <w:p w14:paraId="62B0C9E4">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line="360" w:lineRule="auto"/>
            <w:textAlignment w:val="auto"/>
            <w:rPr>
              <w:rFonts w:hint="default" w:ascii="Times New Roman" w:hAnsi="Times New Roman" w:eastAsia="黑体" w:cs="Times New Roman"/>
              <w:b/>
              <w:bCs/>
              <w:sz w:val="28"/>
              <w:szCs w:val="28"/>
            </w:r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begin"/>
          </w:r>
          <w:r>
            <w:rPr>
              <w:rFonts w:hint="default" w:ascii="Times New Roman" w:hAnsi="Times New Roman" w:eastAsia="黑体" w:cs="Times New Roman"/>
              <w:b/>
              <w:bCs/>
              <w:sz w:val="28"/>
              <w:szCs w:val="28"/>
              <w:lang w:val="en-US" w:eastAsia="zh-CN"/>
            </w:rPr>
            <w:instrText xml:space="preserve"> HYPERLINK \l _Toc20141 </w:instrText>
          </w:r>
          <w:r>
            <w:rPr>
              <w:rFonts w:hint="default" w:ascii="Times New Roman" w:hAnsi="Times New Roman" w:eastAsia="黑体" w:cs="Times New Roman"/>
              <w:b/>
              <w:bCs/>
              <w:sz w:val="28"/>
              <w:szCs w:val="28"/>
              <w:lang w:val="en-US" w:eastAsia="zh-CN"/>
            </w:rPr>
            <w:fldChar w:fldCharType="separate"/>
          </w:r>
          <w:r>
            <w:rPr>
              <w:rFonts w:hint="default" w:ascii="Times New Roman" w:hAnsi="Times New Roman" w:eastAsia="黑体" w:cs="Times New Roman"/>
              <w:b/>
              <w:bCs/>
              <w:kern w:val="32"/>
              <w:sz w:val="28"/>
              <w:szCs w:val="28"/>
              <w:lang w:val="en-US" w:eastAsia="zh-CN" w:bidi="ar-SA"/>
            </w:rPr>
            <w:t>附录F5报告附件目录</w:t>
          </w:r>
          <w:r>
            <w:rPr>
              <w:rFonts w:hint="default" w:ascii="Times New Roman" w:hAnsi="Times New Roman" w:eastAsia="黑体" w:cs="Times New Roman"/>
              <w:b/>
              <w:bCs/>
              <w:sz w:val="28"/>
              <w:szCs w:val="28"/>
            </w:rPr>
            <w:tab/>
          </w:r>
          <w:r>
            <w:rPr>
              <w:rFonts w:hint="default" w:ascii="Times New Roman" w:hAnsi="Times New Roman" w:eastAsia="黑体" w:cs="Times New Roman"/>
              <w:b/>
              <w:bCs/>
              <w:sz w:val="28"/>
              <w:szCs w:val="28"/>
            </w:rPr>
            <w:fldChar w:fldCharType="begin"/>
          </w:r>
          <w:r>
            <w:rPr>
              <w:rFonts w:hint="default" w:ascii="Times New Roman" w:hAnsi="Times New Roman" w:eastAsia="黑体" w:cs="Times New Roman"/>
              <w:b/>
              <w:bCs/>
              <w:sz w:val="28"/>
              <w:szCs w:val="28"/>
            </w:rPr>
            <w:instrText xml:space="preserve"> PAGEREF _Toc20141 \h </w:instrText>
          </w:r>
          <w:r>
            <w:rPr>
              <w:rFonts w:hint="default" w:ascii="Times New Roman" w:hAnsi="Times New Roman" w:eastAsia="黑体" w:cs="Times New Roman"/>
              <w:b/>
              <w:bCs/>
              <w:sz w:val="28"/>
              <w:szCs w:val="28"/>
            </w:rPr>
            <w:fldChar w:fldCharType="separate"/>
          </w:r>
          <w:r>
            <w:rPr>
              <w:rFonts w:hint="default" w:ascii="Times New Roman" w:hAnsi="Times New Roman" w:eastAsia="黑体" w:cs="Times New Roman"/>
              <w:b/>
              <w:bCs/>
              <w:sz w:val="28"/>
              <w:szCs w:val="28"/>
            </w:rPr>
            <w:t>101</w:t>
          </w:r>
          <w:r>
            <w:rPr>
              <w:rFonts w:hint="default" w:ascii="Times New Roman" w:hAnsi="Times New Roman" w:eastAsia="黑体" w:cs="Times New Roman"/>
              <w:b/>
              <w:bCs/>
              <w:sz w:val="28"/>
              <w:szCs w:val="28"/>
            </w:rPr>
            <w:fldChar w:fldCharType="end"/>
          </w: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p w14:paraId="12796E1F">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imes New Roman" w:hAnsi="Times New Roman" w:eastAsia="宋体" w:cs="Times New Roman"/>
              <w:b/>
              <w:color w:val="000000" w:themeColor="text1"/>
              <w:kern w:val="2"/>
              <w:sz w:val="21"/>
              <w:szCs w:val="28"/>
              <w:lang w:val="en-US" w:eastAsia="zh-CN" w:bidi="ar-SA"/>
              <w14:textFill>
                <w14:solidFill>
                  <w14:schemeClr w14:val="tx1"/>
                </w14:solidFill>
              </w14:textFill>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titlePg/>
              <w:docGrid w:type="lines" w:linePitch="326" w:charSpace="6144"/>
            </w:sectPr>
          </w:pPr>
          <w:r>
            <w:rPr>
              <w:rFonts w:hint="default" w:ascii="Times New Roman" w:hAnsi="Times New Roman" w:eastAsia="黑体" w:cs="Times New Roman"/>
              <w:b/>
              <w:bCs/>
              <w:color w:val="000000" w:themeColor="text1"/>
              <w:sz w:val="28"/>
              <w:szCs w:val="28"/>
              <w:lang w:val="en-US" w:eastAsia="zh-CN"/>
              <w14:textFill>
                <w14:solidFill>
                  <w14:schemeClr w14:val="tx1"/>
                </w14:solidFill>
              </w14:textFill>
            </w:rPr>
            <w:fldChar w:fldCharType="end"/>
          </w:r>
        </w:p>
      </w:sdtContent>
    </w:sdt>
    <w:p w14:paraId="4F586737">
      <w:pPr>
        <w:ind w:firstLine="320"/>
        <w:jc w:val="center"/>
        <w:rPr>
          <w:color w:val="auto"/>
          <w:sz w:val="32"/>
          <w:szCs w:val="32"/>
          <w:highlight w:val="none"/>
        </w:rPr>
      </w:pPr>
      <w:bookmarkStart w:id="5" w:name="_Toc41246655"/>
      <w:bookmarkStart w:id="6" w:name="_Toc30062"/>
      <w:bookmarkStart w:id="7" w:name="_Toc26956"/>
      <w:bookmarkStart w:id="8" w:name="_Toc410311946"/>
      <w:bookmarkStart w:id="9" w:name="_Toc410311869"/>
      <w:r>
        <w:rPr>
          <w:color w:val="auto"/>
          <w:sz w:val="32"/>
          <w:szCs w:val="32"/>
          <w:highlight w:val="none"/>
        </w:rPr>
        <w:t>术语和定义</w:t>
      </w:r>
    </w:p>
    <w:p w14:paraId="1665220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0" w:name="_Toc14794"/>
      <w:r>
        <w:rPr>
          <w:bCs/>
          <w:color w:val="auto"/>
          <w:kern w:val="0"/>
          <w:sz w:val="28"/>
          <w:szCs w:val="28"/>
          <w:highlight w:val="none"/>
        </w:rPr>
        <w:t>（1）化学品</w:t>
      </w:r>
      <w:bookmarkEnd w:id="10"/>
    </w:p>
    <w:p w14:paraId="286D692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指各种化学元素、由元素组成的化合物及其混合物，包括天然的或者人造的。</w:t>
      </w:r>
    </w:p>
    <w:p w14:paraId="5511355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1" w:name="_Toc29487"/>
      <w:r>
        <w:rPr>
          <w:bCs/>
          <w:color w:val="auto"/>
          <w:kern w:val="0"/>
          <w:sz w:val="28"/>
          <w:szCs w:val="28"/>
          <w:highlight w:val="none"/>
        </w:rPr>
        <w:t>（2）危险化学品</w:t>
      </w:r>
      <w:bookmarkEnd w:id="11"/>
    </w:p>
    <w:p w14:paraId="049DA7C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指具有爆炸、燃烧、助燃、毒害、腐蚀等性质且对接触的人员、设施、环境可能造成伤害或者损害的化学品。</w:t>
      </w:r>
    </w:p>
    <w:p w14:paraId="0425D51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2" w:name="_Toc28391"/>
      <w:r>
        <w:rPr>
          <w:bCs/>
          <w:color w:val="auto"/>
          <w:kern w:val="0"/>
          <w:sz w:val="28"/>
          <w:szCs w:val="28"/>
          <w:highlight w:val="none"/>
        </w:rPr>
        <w:t>（3）新建项目</w:t>
      </w:r>
      <w:bookmarkEnd w:id="12"/>
    </w:p>
    <w:p w14:paraId="02F32C4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0C46C1B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3" w:name="_Toc507"/>
      <w:r>
        <w:rPr>
          <w:bCs/>
          <w:color w:val="auto"/>
          <w:kern w:val="0"/>
          <w:sz w:val="28"/>
          <w:szCs w:val="28"/>
          <w:highlight w:val="none"/>
        </w:rPr>
        <w:t>（4）改建项目</w:t>
      </w:r>
      <w:bookmarkEnd w:id="13"/>
    </w:p>
    <w:p w14:paraId="2042A14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591AB2D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4" w:name="_Toc31803"/>
      <w:r>
        <w:rPr>
          <w:bCs/>
          <w:color w:val="auto"/>
          <w:kern w:val="0"/>
          <w:sz w:val="28"/>
          <w:szCs w:val="28"/>
          <w:highlight w:val="none"/>
        </w:rPr>
        <w:t>（5）扩建项目</w:t>
      </w:r>
      <w:bookmarkEnd w:id="14"/>
    </w:p>
    <w:p w14:paraId="6C62BDE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指企业（单位）拟建与现有伴有危险化学品产生的化学品或者危险化学品品种相同且生产、储存装置（设施）相对独立的建设项目。</w:t>
      </w:r>
    </w:p>
    <w:p w14:paraId="0475A56F">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5" w:name="_Toc24692"/>
      <w:r>
        <w:rPr>
          <w:bCs/>
          <w:color w:val="auto"/>
          <w:kern w:val="0"/>
          <w:sz w:val="28"/>
          <w:szCs w:val="28"/>
          <w:highlight w:val="none"/>
        </w:rPr>
        <w:t>安全设施</w:t>
      </w:r>
      <w:bookmarkEnd w:id="15"/>
    </w:p>
    <w:p w14:paraId="181FD73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指企业（单位）在生产经营活动中将危险因素、有害因素控制在安全范围内以及预防、减少、消除危害所配备的装置（设备）和采取的措施。</w:t>
      </w:r>
    </w:p>
    <w:p w14:paraId="780C3C7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6" w:name="_Toc12938"/>
      <w:r>
        <w:rPr>
          <w:bCs/>
          <w:color w:val="auto"/>
          <w:kern w:val="0"/>
          <w:sz w:val="28"/>
          <w:szCs w:val="28"/>
          <w:highlight w:val="none"/>
        </w:rPr>
        <w:t>（7）作业场所</w:t>
      </w:r>
      <w:bookmarkEnd w:id="16"/>
    </w:p>
    <w:p w14:paraId="020639E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指可能使从业人员接触危险化学品的任何作业活动场所，包括从事危险化学品的生产、操作、处置、储存、搬运、运输、废弃危险化学品的处置或者处理等场所。</w:t>
      </w:r>
    </w:p>
    <w:p w14:paraId="520A6B3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bookmarkStart w:id="17" w:name="_Toc6389"/>
      <w:r>
        <w:rPr>
          <w:bCs/>
          <w:color w:val="auto"/>
          <w:kern w:val="0"/>
          <w:sz w:val="28"/>
          <w:szCs w:val="28"/>
          <w:highlight w:val="none"/>
        </w:rPr>
        <w:t>（8）安全评价单元</w:t>
      </w:r>
      <w:bookmarkEnd w:id="17"/>
    </w:p>
    <w:p w14:paraId="3AD5E30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pPr>
      <w:r>
        <w:rPr>
          <w:bCs/>
          <w:color w:val="auto"/>
          <w:kern w:val="0"/>
          <w:sz w:val="28"/>
          <w:szCs w:val="28"/>
          <w:highlight w:val="none"/>
        </w:rPr>
        <w:t>根据建设项目安全评价的需要，将建设项目划分为一些相对独立部分,其中每个相对独立部分称为评价单元。</w:t>
      </w:r>
    </w:p>
    <w:p w14:paraId="3E1C4C36">
      <w:pPr>
        <w:rPr>
          <w:bCs/>
          <w:color w:val="auto"/>
          <w:kern w:val="0"/>
          <w:sz w:val="28"/>
          <w:szCs w:val="28"/>
          <w:highlight w:val="none"/>
        </w:rPr>
      </w:pPr>
      <w:r>
        <w:rPr>
          <w:bCs/>
          <w:color w:val="auto"/>
          <w:kern w:val="0"/>
          <w:sz w:val="28"/>
          <w:szCs w:val="28"/>
          <w:highlight w:val="none"/>
        </w:rPr>
        <w:br w:type="page"/>
      </w:r>
    </w:p>
    <w:p w14:paraId="70AFDB3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bCs/>
          <w:color w:val="auto"/>
          <w:kern w:val="0"/>
          <w:sz w:val="28"/>
          <w:szCs w:val="28"/>
          <w:highlight w:val="none"/>
        </w:rPr>
        <w:sectPr>
          <w:headerReference r:id="rId4" w:type="default"/>
          <w:footerReference r:id="rId5"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720" w:num="1"/>
          <w:docGrid w:type="lines" w:linePitch="326" w:charSpace="6144"/>
        </w:sectPr>
      </w:pPr>
    </w:p>
    <w:p w14:paraId="0F33FC90">
      <w:pPr>
        <w:pStyle w:val="2"/>
        <w:keepNext/>
        <w:keepLines/>
        <w:pageBreakBefore w:val="0"/>
        <w:widowControl w:val="0"/>
        <w:tabs>
          <w:tab w:val="left" w:pos="0"/>
        </w:tabs>
        <w:kinsoku/>
        <w:wordWrap/>
        <w:overflowPunct/>
        <w:topLinePunct w:val="0"/>
        <w:autoSpaceDE/>
        <w:autoSpaceDN/>
        <w:bidi w:val="0"/>
        <w:adjustRightInd w:val="0"/>
        <w:snapToGrid w:val="0"/>
        <w:spacing w:before="469" w:beforeLines="150" w:after="469" w:afterLines="150" w:line="360" w:lineRule="auto"/>
        <w:textAlignment w:val="auto"/>
        <w:rPr>
          <w:rFonts w:hint="default" w:ascii="Times New Roman" w:hAnsi="Times New Roman" w:cs="Times New Roman"/>
          <w:b/>
          <w:bCs/>
          <w:snapToGrid w:val="0"/>
          <w:color w:val="auto"/>
        </w:rPr>
      </w:pPr>
      <w:r>
        <w:rPr>
          <w:rFonts w:hint="default" w:ascii="Times New Roman" w:hAnsi="Times New Roman" w:cs="Times New Roman"/>
          <w:b/>
          <w:bCs/>
          <w:snapToGrid w:val="0"/>
          <w:color w:val="auto"/>
        </w:rPr>
        <w:t>1</w:t>
      </w:r>
      <w:bookmarkStart w:id="18" w:name="_Toc410311999"/>
      <w:bookmarkStart w:id="19" w:name="_Toc410311922"/>
      <w:r>
        <w:rPr>
          <w:rFonts w:hint="default" w:ascii="Times New Roman" w:hAnsi="Times New Roman" w:cs="Times New Roman"/>
          <w:b/>
          <w:bCs/>
          <w:snapToGrid w:val="0"/>
          <w:color w:val="auto"/>
        </w:rPr>
        <w:t>安全评价工作经过</w:t>
      </w:r>
      <w:bookmarkEnd w:id="5"/>
      <w:bookmarkEnd w:id="6"/>
      <w:bookmarkEnd w:id="7"/>
      <w:bookmarkEnd w:id="18"/>
      <w:bookmarkEnd w:id="19"/>
    </w:p>
    <w:p w14:paraId="2CB9B470">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rPr>
      </w:pPr>
      <w:bookmarkStart w:id="20" w:name="_Toc41246656"/>
      <w:bookmarkStart w:id="21" w:name="_Toc28104"/>
      <w:bookmarkStart w:id="22" w:name="_Toc410311924"/>
      <w:bookmarkStart w:id="23" w:name="_Toc6525"/>
      <w:bookmarkStart w:id="24" w:name="_Toc410312001"/>
      <w:r>
        <w:rPr>
          <w:rFonts w:hint="default" w:ascii="Times New Roman" w:hAnsi="Times New Roman" w:eastAsia="楷体" w:cs="Times New Roman"/>
          <w:color w:val="auto"/>
          <w:sz w:val="32"/>
          <w:szCs w:val="32"/>
        </w:rPr>
        <w:t>1.1前期准备情况</w:t>
      </w:r>
      <w:bookmarkEnd w:id="20"/>
      <w:bookmarkEnd w:id="21"/>
      <w:bookmarkEnd w:id="22"/>
      <w:bookmarkEnd w:id="23"/>
      <w:bookmarkEnd w:id="24"/>
    </w:p>
    <w:p w14:paraId="77B53B3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25" w:name="_Toc30770"/>
      <w:bookmarkStart w:id="26" w:name="_Toc473675682"/>
      <w:bookmarkStart w:id="27" w:name="_Toc41246657"/>
      <w:r>
        <w:rPr>
          <w:rFonts w:hint="default" w:ascii="Times New Roman" w:hAnsi="Times New Roman" w:cs="Times New Roman"/>
          <w:sz w:val="28"/>
          <w:szCs w:val="28"/>
        </w:rPr>
        <w:t>为了做好评价工作，我们在开展工作之前，首先根据建设项目的实际情况，与建设单位共同协商确定安全评价对象和范围。在此基础上成立了评价小组、专家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4DEEA1F7">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rPr>
      </w:pPr>
      <w:bookmarkStart w:id="28" w:name="_Toc5631"/>
      <w:bookmarkStart w:id="29" w:name="_Toc1033"/>
      <w:r>
        <w:rPr>
          <w:rFonts w:hint="default" w:ascii="Times New Roman" w:hAnsi="Times New Roman" w:eastAsia="楷体" w:cs="Times New Roman"/>
          <w:color w:val="auto"/>
          <w:sz w:val="32"/>
          <w:szCs w:val="32"/>
        </w:rPr>
        <w:t>1.2安全评价目的</w:t>
      </w:r>
      <w:bookmarkEnd w:id="28"/>
      <w:bookmarkEnd w:id="29"/>
    </w:p>
    <w:p w14:paraId="5EB9FEF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（1）明确本项目存在的主要危险、有害因素及其产生危险、有害后果；</w:t>
      </w:r>
      <w:r>
        <w:rPr>
          <w:rFonts w:hint="default" w:ascii="Times New Roman" w:hAnsi="Times New Roman" w:cs="Times New Roman"/>
          <w:sz w:val="28"/>
          <w:szCs w:val="28"/>
          <w:lang w:val="zh-CN"/>
        </w:rPr>
        <w:t>对本项目在经营、储存危险化学品过程中固有危险、有害因素进行定性或定量的分析，对其控制措施进行评价；</w:t>
      </w:r>
    </w:p>
    <w:p w14:paraId="2907051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lang w:val="zh-CN"/>
        </w:rPr>
        <w:t>（2）提出消除、预防或减弱装置危险性、提高装置安全运行等级的对策措施，为本项目安全设施的设计提供依据，并使之在施工阶段得以实施，以最终实现本项目的本质安全化；</w:t>
      </w:r>
    </w:p>
    <w:p w14:paraId="228572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lang w:val="zh-CN"/>
        </w:rPr>
        <w:t>（3）为本项目的安全运行及日常安全管理提供依据；</w:t>
      </w:r>
    </w:p>
    <w:p w14:paraId="366C97E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lang w:val="zh-CN"/>
        </w:rPr>
        <w:t>（4）为当地政府管理部门实施监督、管理提供技术支撑。</w:t>
      </w:r>
    </w:p>
    <w:bookmarkEnd w:id="25"/>
    <w:bookmarkEnd w:id="26"/>
    <w:bookmarkEnd w:id="27"/>
    <w:p w14:paraId="51134399">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rPr>
      </w:pPr>
      <w:bookmarkStart w:id="30" w:name="_Toc5415"/>
      <w:bookmarkStart w:id="31" w:name="_Toc473675683"/>
      <w:bookmarkStart w:id="32" w:name="_Toc3815"/>
      <w:bookmarkStart w:id="33" w:name="_Toc2883"/>
      <w:bookmarkStart w:id="34" w:name="_Toc41246658"/>
      <w:r>
        <w:rPr>
          <w:rFonts w:hint="default" w:ascii="Times New Roman" w:hAnsi="Times New Roman" w:eastAsia="楷体" w:cs="Times New Roman"/>
          <w:color w:val="auto"/>
          <w:sz w:val="32"/>
          <w:szCs w:val="32"/>
        </w:rPr>
        <w:t>1.3评价对象和范围</w:t>
      </w:r>
      <w:bookmarkEnd w:id="30"/>
      <w:bookmarkEnd w:id="31"/>
      <w:bookmarkEnd w:id="32"/>
      <w:bookmarkEnd w:id="33"/>
      <w:bookmarkEnd w:id="34"/>
    </w:p>
    <w:p w14:paraId="302EF3A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eastAsia="zh-CN"/>
        </w:rPr>
      </w:pPr>
      <w:bookmarkStart w:id="35" w:name="_Toc410312002"/>
      <w:bookmarkStart w:id="36" w:name="_Toc41246659"/>
      <w:bookmarkStart w:id="37" w:name="_Toc410311925"/>
      <w:r>
        <w:rPr>
          <w:rFonts w:hint="default" w:ascii="Times New Roman" w:hAnsi="Times New Roman" w:cs="Times New Roman"/>
          <w:sz w:val="28"/>
          <w:szCs w:val="28"/>
        </w:rPr>
        <w:t>本次安全评价的对象为</w:t>
      </w:r>
      <w:r>
        <w:rPr>
          <w:rFonts w:hint="eastAsia" w:cs="Times New Roman"/>
          <w:sz w:val="28"/>
          <w:szCs w:val="28"/>
          <w:lang w:eastAsia="zh-CN"/>
        </w:rPr>
        <w:t>中国石油天然气股份有限公司河北销售绥中第二加油站</w:t>
      </w:r>
      <w:r>
        <w:rPr>
          <w:rFonts w:hint="default" w:ascii="Times New Roman" w:hAnsi="Times New Roman" w:cs="Times New Roman"/>
          <w:sz w:val="28"/>
          <w:szCs w:val="28"/>
          <w:lang w:eastAsia="zh-CN"/>
        </w:rPr>
        <w:t>。</w:t>
      </w:r>
    </w:p>
    <w:p w14:paraId="330F28E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val="en-US" w:eastAsia="zh-CN"/>
        </w:rPr>
      </w:pPr>
      <w:r>
        <w:rPr>
          <w:rFonts w:hint="default" w:ascii="Times New Roman" w:hAnsi="Times New Roman" w:cs="Times New Roman"/>
          <w:sz w:val="28"/>
          <w:szCs w:val="28"/>
        </w:rPr>
        <w:t>本次评价范围主要包括：该项目所涉及的选址及总平面布置、加油工艺</w:t>
      </w:r>
      <w:r>
        <w:rPr>
          <w:rFonts w:hint="eastAsia" w:cs="Times New Roman"/>
          <w:sz w:val="28"/>
          <w:szCs w:val="28"/>
          <w:lang w:val="en-US" w:eastAsia="zh-CN"/>
        </w:rPr>
        <w:t>及</w:t>
      </w:r>
      <w:r>
        <w:rPr>
          <w:rFonts w:hint="default" w:ascii="Times New Roman" w:hAnsi="Times New Roman" w:cs="Times New Roman"/>
          <w:sz w:val="28"/>
          <w:szCs w:val="28"/>
        </w:rPr>
        <w:t>设备、设施、与之配套的公用工程和辅助设施以及安全管理等</w:t>
      </w:r>
      <w:r>
        <w:rPr>
          <w:rFonts w:hint="eastAsia" w:cs="Times New Roman"/>
          <w:sz w:val="28"/>
          <w:szCs w:val="28"/>
          <w:lang w:eastAsia="zh-CN"/>
        </w:rPr>
        <w:t>。</w:t>
      </w:r>
    </w:p>
    <w:p w14:paraId="4E11F51C">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rPr>
      </w:pPr>
      <w:bookmarkStart w:id="38" w:name="_Toc9687"/>
      <w:bookmarkStart w:id="39" w:name="_Toc32721"/>
      <w:r>
        <w:rPr>
          <w:rFonts w:hint="default" w:ascii="Times New Roman" w:hAnsi="Times New Roman" w:eastAsia="楷体" w:cs="Times New Roman"/>
          <w:color w:val="auto"/>
          <w:sz w:val="32"/>
          <w:szCs w:val="32"/>
        </w:rPr>
        <w:t>1.4工作经过和程序</w:t>
      </w:r>
      <w:bookmarkEnd w:id="35"/>
      <w:bookmarkEnd w:id="36"/>
      <w:bookmarkEnd w:id="37"/>
      <w:bookmarkEnd w:id="38"/>
      <w:bookmarkEnd w:id="39"/>
    </w:p>
    <w:p w14:paraId="13ADDFF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前期准备工作完成后，我公司项目组对本项目进行了安全评价，具体的评价程序如图1</w:t>
      </w:r>
      <w:r>
        <w:rPr>
          <w:rFonts w:hint="default" w:ascii="Times New Roman" w:hAnsi="Times New Roman" w:cs="Times New Roman"/>
          <w:sz w:val="28"/>
          <w:szCs w:val="28"/>
          <w:lang w:val="en-US" w:eastAsia="zh-CN"/>
        </w:rPr>
        <w:t>.4</w:t>
      </w:r>
      <w:r>
        <w:rPr>
          <w:rFonts w:hint="default" w:ascii="Times New Roman" w:hAnsi="Times New Roman" w:cs="Times New Roman"/>
          <w:sz w:val="28"/>
          <w:szCs w:val="28"/>
        </w:rPr>
        <w:t>-1所示：</w:t>
      </w:r>
    </w:p>
    <w:p w14:paraId="441BCC2F">
      <w:pPr>
        <w:jc w:val="center"/>
        <w:rPr>
          <w:rFonts w:hint="default" w:ascii="Times New Roman" w:hAnsi="Times New Roman" w:cs="Times New Roman"/>
          <w:sz w:val="24"/>
        </w:rPr>
      </w:pPr>
      <w:r>
        <w:rPr>
          <w:rFonts w:hint="default" w:ascii="Times New Roman" w:hAnsi="Times New Roman" w:cs="Times New Roman"/>
          <w:szCs w:val="21"/>
        </w:rPr>
        <mc:AlternateContent>
          <mc:Choice Requires="wpc">
            <w:drawing>
              <wp:inline distT="0" distB="0" distL="114300" distR="114300">
                <wp:extent cx="5247640" cy="6341110"/>
                <wp:effectExtent l="0" t="0" r="0" b="2159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95870"/>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3587AEE">
                              <w:pPr>
                                <w:jc w:val="center"/>
                                <w:rPr>
                                  <w:szCs w:val="21"/>
                                </w:rPr>
                              </w:pPr>
                              <w:r>
                                <w:rPr>
                                  <w:rFonts w:hint="eastAsia"/>
                                  <w:szCs w:val="21"/>
                                </w:rPr>
                                <w:t>前期准备</w:t>
                              </w:r>
                            </w:p>
                          </w:txbxContent>
                        </wps:txbx>
                        <wps:bodyPr upright="1"/>
                      </wps:wsp>
                      <wps:wsp>
                        <wps:cNvPr id="9" name="矩形 454"/>
                        <wps:cNvSpPr/>
                        <wps:spPr>
                          <a:xfrm>
                            <a:off x="2514397" y="1189068"/>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172CF49">
                              <w:pPr>
                                <w:jc w:val="center"/>
                                <w:rPr>
                                  <w:szCs w:val="21"/>
                                </w:rPr>
                              </w:pPr>
                              <w:r>
                                <w:rPr>
                                  <w:rFonts w:hint="eastAsia"/>
                                  <w:szCs w:val="21"/>
                                </w:rPr>
                                <w:t>辨识危险、有害因素</w:t>
                              </w:r>
                            </w:p>
                          </w:txbxContent>
                        </wps:txbx>
                        <wps:bodyPr upright="1"/>
                      </wps:wsp>
                      <wps:wsp>
                        <wps:cNvPr id="10" name="矩形 455"/>
                        <wps:cNvSpPr/>
                        <wps:spPr>
                          <a:xfrm>
                            <a:off x="2514397" y="1783237"/>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2EA9D75">
                              <w:pPr>
                                <w:jc w:val="center"/>
                                <w:rPr>
                                  <w:szCs w:val="21"/>
                                </w:rPr>
                              </w:pPr>
                              <w:r>
                                <w:rPr>
                                  <w:rFonts w:hint="eastAsia"/>
                                  <w:szCs w:val="21"/>
                                </w:rPr>
                                <w:t>划分评价单元</w:t>
                              </w:r>
                            </w:p>
                          </w:txbxContent>
                        </wps:txbx>
                        <wps:bodyPr upright="1"/>
                      </wps:wsp>
                      <wps:wsp>
                        <wps:cNvPr id="17" name="矩形 456"/>
                        <wps:cNvSpPr/>
                        <wps:spPr>
                          <a:xfrm>
                            <a:off x="2514397" y="237740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A39127B">
                              <w:pPr>
                                <w:ind w:firstLine="630" w:firstLineChars="300"/>
                                <w:rPr>
                                  <w:szCs w:val="21"/>
                                </w:rPr>
                              </w:pPr>
                              <w:r>
                                <w:rPr>
                                  <w:rFonts w:hint="eastAsia"/>
                                  <w:szCs w:val="21"/>
                                </w:rPr>
                                <w:t>确定安全评价方法</w:t>
                              </w:r>
                            </w:p>
                          </w:txbxContent>
                        </wps:txbx>
                        <wps:bodyPr upright="1"/>
                      </wps:wsp>
                      <wps:wsp>
                        <wps:cNvPr id="22" name="矩形 457"/>
                        <wps:cNvSpPr/>
                        <wps:spPr>
                          <a:xfrm>
                            <a:off x="2514397" y="2971576"/>
                            <a:ext cx="2057964"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D355841">
                              <w:pPr>
                                <w:jc w:val="center"/>
                              </w:pPr>
                              <w:r>
                                <w:rPr>
                                  <w:rFonts w:hint="eastAsia"/>
                                  <w:szCs w:val="21"/>
                                </w:rPr>
                                <w:t>定性、定量分析危险、有害程度</w:t>
                              </w:r>
                            </w:p>
                            <w:p w14:paraId="785E34C9"/>
                          </w:txbxContent>
                        </wps:txbx>
                        <wps:bodyPr upright="1"/>
                      </wps:wsp>
                      <wps:wsp>
                        <wps:cNvPr id="23" name="矩形 458"/>
                        <wps:cNvSpPr/>
                        <wps:spPr>
                          <a:xfrm>
                            <a:off x="2514397" y="3565745"/>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FF5301B">
                              <w:pPr>
                                <w:jc w:val="center"/>
                                <w:rPr>
                                  <w:szCs w:val="21"/>
                                </w:rPr>
                              </w:pPr>
                              <w:r>
                                <w:rPr>
                                  <w:rFonts w:hint="eastAsia"/>
                                  <w:szCs w:val="21"/>
                                </w:rPr>
                                <w:t>分析安全条件和安全生产条件</w:t>
                              </w:r>
                            </w:p>
                            <w:p w14:paraId="5C44CA9F"/>
                          </w:txbxContent>
                        </wps:txbx>
                        <wps:bodyPr upright="1"/>
                      </wps:wsp>
                      <wps:wsp>
                        <wps:cNvPr id="24" name="矩形 459"/>
                        <wps:cNvSpPr/>
                        <wps:spPr>
                          <a:xfrm>
                            <a:off x="2514397" y="4160643"/>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BFFFE5">
                              <w:pPr>
                                <w:jc w:val="center"/>
                                <w:rPr>
                                  <w:szCs w:val="21"/>
                                </w:rPr>
                              </w:pPr>
                              <w:r>
                                <w:rPr>
                                  <w:rFonts w:hint="eastAsia"/>
                                  <w:szCs w:val="21"/>
                                </w:rPr>
                                <w:t>提出安全对策与建议</w:t>
                              </w:r>
                            </w:p>
                            <w:p w14:paraId="159A9645"/>
                          </w:txbxContent>
                        </wps:txbx>
                        <wps:bodyPr upright="1"/>
                      </wps:wsp>
                      <wps:wsp>
                        <wps:cNvPr id="25" name="直线 460"/>
                        <wps:cNvCnPr/>
                        <wps:spPr>
                          <a:xfrm>
                            <a:off x="1028982" y="693319"/>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348982"/>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A8A8F5">
                              <w:r>
                                <w:rPr>
                                  <w:rFonts w:hint="eastAsia"/>
                                  <w:szCs w:val="21"/>
                                </w:rPr>
                                <w:t>与建设单位交换意见</w:t>
                              </w:r>
                            </w:p>
                          </w:txbxContent>
                        </wps:txbx>
                        <wps:bodyPr upright="1"/>
                      </wps:wsp>
                      <wps:wsp>
                        <wps:cNvPr id="36" name="矩形 467"/>
                        <wps:cNvSpPr/>
                        <wps:spPr>
                          <a:xfrm>
                            <a:off x="228582" y="6042301"/>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6EA38BB">
                              <w:pPr>
                                <w:ind w:firstLine="105" w:firstLineChars="50"/>
                              </w:pPr>
                              <w:r>
                                <w:rPr>
                                  <w:rFonts w:hint="eastAsia"/>
                                  <w:szCs w:val="21"/>
                                </w:rPr>
                                <w:t>编制安全评价报告</w:t>
                              </w:r>
                            </w:p>
                          </w:txbxContent>
                        </wps:txbx>
                        <wps:bodyPr upright="1"/>
                      </wps:wsp>
                      <wps:wsp>
                        <wps:cNvPr id="37" name="直线 468"/>
                        <wps:cNvCnPr/>
                        <wps:spPr>
                          <a:xfrm>
                            <a:off x="1028982" y="5646431"/>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71576"/>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3AFC66B">
                              <w:pPr>
                                <w:jc w:val="center"/>
                                <w:rPr>
                                  <w:szCs w:val="21"/>
                                </w:rPr>
                              </w:pPr>
                              <w:r>
                                <w:rPr>
                                  <w:rFonts w:hint="eastAsia"/>
                                  <w:szCs w:val="21"/>
                                </w:rPr>
                                <w:t>安全评价</w:t>
                              </w:r>
                            </w:p>
                          </w:txbxContent>
                        </wps:txbx>
                        <wps:bodyPr upright="1"/>
                      </wps:wsp>
                      <wps:wsp>
                        <wps:cNvPr id="39" name="直线 470"/>
                        <wps:cNvCnPr/>
                        <wps:spPr>
                          <a:xfrm>
                            <a:off x="2057234" y="1287488"/>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87488"/>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82387"/>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75706"/>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70725"/>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65624"/>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70725"/>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95020"/>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98299"/>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99150"/>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4339130">
                              <w:pPr>
                                <w:jc w:val="center"/>
                                <w:rPr>
                                  <w:szCs w:val="21"/>
                                </w:rPr>
                              </w:pPr>
                              <w:r>
                                <w:rPr>
                                  <w:rFonts w:hint="eastAsia"/>
                                  <w:szCs w:val="21"/>
                                </w:rPr>
                                <w:t>确定安全评价对象和范围</w:t>
                              </w:r>
                            </w:p>
                          </w:txbxContent>
                        </wps:txbx>
                        <wps:bodyPr upright="1"/>
                      </wps:wsp>
                      <wps:wsp>
                        <wps:cNvPr id="49" name="矩形 480"/>
                        <wps:cNvSpPr/>
                        <wps:spPr>
                          <a:xfrm>
                            <a:off x="2514397" y="693319"/>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2A92FDF">
                              <w:pPr>
                                <w:jc w:val="center"/>
                                <w:rPr>
                                  <w:szCs w:val="21"/>
                                </w:rPr>
                              </w:pPr>
                              <w:r>
                                <w:rPr>
                                  <w:rFonts w:hint="eastAsia"/>
                                  <w:szCs w:val="21"/>
                                </w:rPr>
                                <w:t>收集、整理安全评价所需资料</w:t>
                              </w:r>
                            </w:p>
                          </w:txbxContent>
                        </wps:txbx>
                        <wps:bodyPr upright="1"/>
                      </wps:wsp>
                      <wps:wsp>
                        <wps:cNvPr id="50" name="直线 481"/>
                        <wps:cNvCnPr/>
                        <wps:spPr>
                          <a:xfrm>
                            <a:off x="2057234" y="792469"/>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98299"/>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754813"/>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684F70A">
                              <w:pPr>
                                <w:jc w:val="center"/>
                                <w:rPr>
                                  <w:szCs w:val="21"/>
                                </w:rPr>
                              </w:pPr>
                              <w:r>
                                <w:rPr>
                                  <w:rFonts w:hint="eastAsia"/>
                                  <w:szCs w:val="21"/>
                                </w:rPr>
                                <w:t>整理、归纳安全评价结论</w:t>
                              </w:r>
                            </w:p>
                            <w:p w14:paraId="05D341A8"/>
                          </w:txbxContent>
                        </wps:txbx>
                        <wps:bodyPr upright="1"/>
                      </wps:wsp>
                      <wps:wsp>
                        <wps:cNvPr id="54" name="直线 485"/>
                        <wps:cNvCnPr/>
                        <wps:spPr>
                          <a:xfrm>
                            <a:off x="2057234" y="4358943"/>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853962"/>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69025"/>
                            <a:ext cx="730" cy="2079957"/>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id="画布 451" o:spid="_x0000_s1026" o:spt="203" style="height:499.3pt;width:413.2pt;" coordsize="5247640,6341110" editas="canvas" o:gfxdata="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">
                <o:lock v:ext="edit" aspectratio="f"/>
                <v:shape id="画布 451" o:spid="_x0000_s1026" style="position:absolute;left:0;top:0;height:6341110;width:5247640;" filled="f" stroked="f" coordsize="21600,21600" o:gfxdata="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">
                  <v:fill on="f" focussize="0,0"/>
                  <v:stroke on="f"/>
                  <v:imagedata o:title=""/>
                  <o:lock v:ext="edit" aspectratio="t"/>
                </v:shape>
                <v:rect id="矩形 453" o:spid="_x0000_s1026" o:spt="1" style="position:absolute;left:343237;top:395870;height:295991;width:1256103;"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AvFQNUAAAAFAQAADwAAAAAAAAABACAAAAAi&#10;AAAAZHJzL2Rvd25yZXYueG1sUEsBAhQAFAAAAAgAh07iQMYpBQkNAgAANQQAAA4AAAAAAAAAAQAg&#10;AAAAJAEAAGRycy9lMm9Eb2MueG1sUEsFBgAAAAAGAAYAWQEAAKMFAAAAAA==&#10;">
                  <v:fill on="t" focussize="0,0"/>
                  <v:stroke color="#000000" joinstyle="miter"/>
                  <v:imagedata o:title=""/>
                  <o:lock v:ext="edit" aspectratio="f"/>
                  <v:textbox>
                    <w:txbxContent>
                      <w:p w14:paraId="43587AEE">
                        <w:pPr>
                          <w:jc w:val="center"/>
                          <w:rPr>
                            <w:szCs w:val="21"/>
                          </w:rPr>
                        </w:pPr>
                        <w:r>
                          <w:rPr>
                            <w:rFonts w:hint="eastAsia"/>
                            <w:szCs w:val="21"/>
                          </w:rPr>
                          <w:t>前期准备</w:t>
                        </w:r>
                      </w:p>
                    </w:txbxContent>
                  </v:textbox>
                </v:rect>
                <v:rect id="矩形 454" o:spid="_x0000_s1026" o:spt="1" style="position:absolute;left:2514397;top:1189068;height:297449;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kC8VA1QAAAAUBAAAPAAAAAAAAAAEAIAAA&#10;ACIAAABkcnMvZG93bnJldi54bWxQSwECFAAUAAAACACHTuJAGhUuUQ8CAAA3BAAADgAAAAAAAAAB&#10;ACAAAAAkAQAAZHJzL2Uyb0RvYy54bWxQSwUGAAAAAAYABgBZAQAApQUAAAAA&#10;">
                  <v:fill on="t" focussize="0,0"/>
                  <v:stroke color="#000000" joinstyle="miter"/>
                  <v:imagedata o:title=""/>
                  <o:lock v:ext="edit" aspectratio="f"/>
                  <v:textbox>
                    <w:txbxContent>
                      <w:p w14:paraId="6172CF49">
                        <w:pPr>
                          <w:jc w:val="center"/>
                          <w:rPr>
                            <w:szCs w:val="21"/>
                          </w:rPr>
                        </w:pPr>
                        <w:r>
                          <w:rPr>
                            <w:rFonts w:hint="eastAsia"/>
                            <w:szCs w:val="21"/>
                          </w:rPr>
                          <w:t>辨识危险、有害因素</w:t>
                        </w:r>
                      </w:p>
                    </w:txbxContent>
                  </v:textbox>
                </v:rect>
                <v:rect id="矩形 455" o:spid="_x0000_s1026" o:spt="1" style="position:absolute;left:2514397;top:1783237;height:296720;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kC8VA1QAAAAUBAAAPAAAAAAAAAAEA&#10;IAAAACIAAABkcnMvZG93bnJldi54bWxQSwECFAAUAAAACACHTuJAX3uauxICAAA4BAAADgAAAAAA&#10;AAABACAAAAAkAQAAZHJzL2Uyb0RvYy54bWxQSwUGAAAAAAYABgBZAQAAqAUAAAAA&#10;">
                  <v:fill on="t" focussize="0,0"/>
                  <v:stroke color="#000000" joinstyle="miter"/>
                  <v:imagedata o:title=""/>
                  <o:lock v:ext="edit" aspectratio="f"/>
                  <v:textbox>
                    <w:txbxContent>
                      <w:p w14:paraId="62EA9D75">
                        <w:pPr>
                          <w:jc w:val="center"/>
                          <w:rPr>
                            <w:szCs w:val="21"/>
                          </w:rPr>
                        </w:pPr>
                        <w:r>
                          <w:rPr>
                            <w:rFonts w:hint="eastAsia"/>
                            <w:szCs w:val="21"/>
                          </w:rPr>
                          <w:t>划分评价单元</w:t>
                        </w:r>
                      </w:p>
                    </w:txbxContent>
                  </v:textbox>
                </v:rect>
                <v:rect id="矩形 456" o:spid="_x0000_s1026" o:spt="1" style="position:absolute;left:2514397;top:2377406;height:296720;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kC8VA1QAAAAUBAAAPAAAAAAAAAAEA&#10;IAAAACIAAABkcnMvZG93bnJldi54bWxQSwECFAAUAAAACACHTuJA+rWv2hICAAA4BAAADgAAAAAA&#10;AAABACAAAAAkAQAAZHJzL2Uyb0RvYy54bWxQSwUGAAAAAAYABgBZAQAAqAUAAAAA&#10;">
                  <v:fill on="t" focussize="0,0"/>
                  <v:stroke color="#000000" joinstyle="miter"/>
                  <v:imagedata o:title=""/>
                  <o:lock v:ext="edit" aspectratio="f"/>
                  <v:textbox>
                    <w:txbxContent>
                      <w:p w14:paraId="3A39127B">
                        <w:pPr>
                          <w:ind w:firstLine="630" w:firstLineChars="300"/>
                          <w:rPr>
                            <w:szCs w:val="21"/>
                          </w:rPr>
                        </w:pPr>
                        <w:r>
                          <w:rPr>
                            <w:rFonts w:hint="eastAsia"/>
                            <w:szCs w:val="21"/>
                          </w:rPr>
                          <w:t>确定安全评价方法</w:t>
                        </w:r>
                      </w:p>
                    </w:txbxContent>
                  </v:textbox>
                </v:rect>
                <v:rect id="矩形 457" o:spid="_x0000_s1026" o:spt="1" style="position:absolute;left:2514397;top:2971576;height:299636;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QLxUDVAAAABQEAAA8AAAAAAAAAAQAg&#10;AAAAIgAAAGRycy9kb3ducmV2LnhtbFBLAQIUABQAAAAIAIdO4kCFI6xZEQIAADgEAAAOAAAAAAAA&#10;AAEAIAAAACQBAABkcnMvZTJvRG9jLnhtbFBLBQYAAAAABgAGAFkBAACnBQAAAAA=&#10;">
                  <v:fill on="t" focussize="0,0"/>
                  <v:stroke color="#000000" joinstyle="miter"/>
                  <v:imagedata o:title=""/>
                  <o:lock v:ext="edit" aspectratio="f"/>
                  <v:textbox>
                    <w:txbxContent>
                      <w:p w14:paraId="6D355841">
                        <w:pPr>
                          <w:jc w:val="center"/>
                        </w:pPr>
                        <w:r>
                          <w:rPr>
                            <w:rFonts w:hint="eastAsia"/>
                            <w:szCs w:val="21"/>
                          </w:rPr>
                          <w:t>定性、定量分析危险、有害程度</w:t>
                        </w:r>
                      </w:p>
                      <w:p w14:paraId="785E34C9"/>
                    </w:txbxContent>
                  </v:textbox>
                </v:rect>
                <v:rect id="矩形 458" o:spid="_x0000_s1026" o:spt="1" style="position:absolute;left:2514397;top:3565745;height:298907;width:205869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pAvFQNUAAAAFAQAADwAAAAAAAAABACAA&#10;AAAiAAAAZHJzL2Rvd25yZXYueG1sUEsBAhQAFAAAAAgAh07iQAo6ehYQAgAAOAQAAA4AAAAAAAAA&#10;AQAgAAAAJAEAAGRycy9lMm9Eb2MueG1sUEsFBgAAAAAGAAYAWQEAAKYFAAAAAA==&#10;">
                  <v:fill on="t" focussize="0,0"/>
                  <v:stroke color="#000000" joinstyle="miter"/>
                  <v:imagedata o:title=""/>
                  <o:lock v:ext="edit" aspectratio="f"/>
                  <v:textbox>
                    <w:txbxContent>
                      <w:p w14:paraId="2FF5301B">
                        <w:pPr>
                          <w:jc w:val="center"/>
                          <w:rPr>
                            <w:szCs w:val="21"/>
                          </w:rPr>
                        </w:pPr>
                        <w:r>
                          <w:rPr>
                            <w:rFonts w:hint="eastAsia"/>
                            <w:szCs w:val="21"/>
                          </w:rPr>
                          <w:t>分析安全条件和安全生产条件</w:t>
                        </w:r>
                      </w:p>
                      <w:p w14:paraId="5C44CA9F"/>
                    </w:txbxContent>
                  </v:textbox>
                </v:rect>
                <v:rect id="矩形 459" o:spid="_x0000_s1026" o:spt="1" style="position:absolute;left:2514397;top:4160643;height:298907;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QLxUDVAAAABQEAAA8AAAAAAAAAAQAg&#10;AAAAIgAAAGRycy9kb3ducmV2LnhtbFBLAQIUABQAAAAIAIdO4kCX/iWDEQIAADgEAAAOAAAAAAAA&#10;AAEAIAAAACQBAABkcnMvZTJvRG9jLnhtbFBLBQYAAAAABgAGAFkBAACnBQAAAAA=&#10;">
                  <v:fill on="t" focussize="0,0"/>
                  <v:stroke color="#000000" joinstyle="miter"/>
                  <v:imagedata o:title=""/>
                  <o:lock v:ext="edit" aspectratio="f"/>
                  <v:textbox>
                    <w:txbxContent>
                      <w:p w14:paraId="20BFFFE5">
                        <w:pPr>
                          <w:jc w:val="center"/>
                          <w:rPr>
                            <w:szCs w:val="21"/>
                          </w:rPr>
                        </w:pPr>
                        <w:r>
                          <w:rPr>
                            <w:rFonts w:hint="eastAsia"/>
                            <w:szCs w:val="21"/>
                          </w:rPr>
                          <w:t>提出安全对策与建议</w:t>
                        </w:r>
                      </w:p>
                      <w:p w14:paraId="159A9645"/>
                    </w:txbxContent>
                  </v:textbox>
                </v:rect>
                <v:line id="直线 460" o:spid="_x0000_s1026" o:spt="20" style="position:absolute;left:1028982;top:693319;height:2278257;width:730;" filled="f" stroked="t" coordsize="21600,21600" o:gfxdata="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7BtCitgAAAAFAQAADwAAAAAAAAABACAAAAAiAAAAZHJzL2Rvd25yZXYueG1sUEsB&#10;AhQAFAAAAAgAh07iQMYgsWr1AQAA4wMAAA4AAAAAAAAAAQAgAAAAJwEAAGRycy9lMm9Eb2MueG1s&#10;UEsFBgAAAAAGAAYAWQEAAI4FAAAAAA==&#10;">
                  <v:fill on="f" focussize="0,0"/>
                  <v:stroke color="#000000" joinstyle="round" endarrow="block"/>
                  <v:imagedata o:title=""/>
                  <o:lock v:ext="edit" aspectratio="f"/>
                </v:line>
                <v:rect id="矩形 466" o:spid="_x0000_s1026" o:spt="1" style="position:absolute;left:228582;top:5348982;height:298907;width:1486145;"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kC8VA1QAAAAUBAAAPAAAAAAAAAAEAIAAA&#10;ACIAAABkcnMvZG93bnJldi54bWxQSwECFAAUAAAACACHTuJADf8eMQ8CAAA3BAAADgAAAAAAAAAB&#10;ACAAAAAkAQAAZHJzL2Uyb0RvYy54bWxQSwUGAAAAAAYABgBZAQAApQUAAAAA&#10;">
                  <v:fill on="t" focussize="0,0"/>
                  <v:stroke color="#000000" joinstyle="miter"/>
                  <v:imagedata o:title=""/>
                  <o:lock v:ext="edit" aspectratio="f"/>
                  <v:textbox>
                    <w:txbxContent>
                      <w:p w14:paraId="68A8A8F5">
                        <w:r>
                          <w:rPr>
                            <w:rFonts w:hint="eastAsia"/>
                            <w:szCs w:val="21"/>
                          </w:rPr>
                          <w:t>与建设单位交换意见</w:t>
                        </w:r>
                      </w:p>
                    </w:txbxContent>
                  </v:textbox>
                </v:rect>
                <v:rect id="矩形 467" o:spid="_x0000_s1026" o:spt="1" style="position:absolute;left:228582;top:6042301;height:298178;width:1486145;"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kC8VA1QAAAAUBAAAPAAAAAAAAAAEAIAAA&#10;ACIAAABkcnMvZG93bnJldi54bWxQSwECFAAUAAAACACHTuJAeqc7Vw8CAAA3BAAADgAAAAAAAAAB&#10;ACAAAAAkAQAAZHJzL2Uyb0RvYy54bWxQSwUGAAAAAAYABgBZAQAApQUAAAAA&#10;">
                  <v:fill on="t" focussize="0,0"/>
                  <v:stroke color="#000000" joinstyle="miter"/>
                  <v:imagedata o:title=""/>
                  <o:lock v:ext="edit" aspectratio="f"/>
                  <v:textbox>
                    <w:txbxContent>
                      <w:p w14:paraId="46EA38BB">
                        <w:pPr>
                          <w:ind w:firstLine="105" w:firstLineChars="50"/>
                        </w:pPr>
                        <w:r>
                          <w:rPr>
                            <w:rFonts w:hint="eastAsia"/>
                            <w:szCs w:val="21"/>
                          </w:rPr>
                          <w:t>编制安全评价报告</w:t>
                        </w:r>
                      </w:p>
                    </w:txbxContent>
                  </v:textbox>
                </v:rect>
                <v:line id="直线 468" o:spid="_x0000_s1026" o:spt="20" style="position:absolute;left:1028982;top:5646431;height:395141;width:730;" filled="f" stroked="t" coordsize="21600,21600" o:gfxdata="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OwbQorYAAAABQEAAA8AAAAAAAAAAQAgAAAAIgAAAGRycy9kb3ducmV2Lnht&#10;bFBLAQIUABQAAAAIAIdO4kC9YkLh+QEAAOMDAAAOAAAAAAAAAAEAIAAAACcBAABkcnMvZTJvRG9j&#10;LnhtbFBLBQYAAAAABgAGAFkBAACSBQAAAAA=&#10;">
                  <v:fill on="f" focussize="0,0"/>
                  <v:stroke color="#000000" joinstyle="round" endarrow="block"/>
                  <v:imagedata o:title=""/>
                  <o:lock v:ext="edit" aspectratio="f"/>
                </v:line>
                <v:rect id="矩形 469" o:spid="_x0000_s1026" o:spt="1" style="position:absolute;left:343237;top:2971576;height:296720;width:1256103;"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QLxUDVAAAABQEAAA8AAAAAAAAAAQAg&#10;AAAAIgAAAGRycy9kb3ducmV2LnhtbFBLAQIUABQAAAAIAIdO4kBIS9rNEQIAADcEAAAOAAAAAAAA&#10;AAEAIAAAACQBAABkcnMvZTJvRG9jLnhtbFBLBQYAAAAABgAGAFkBAACnBQAAAAA=&#10;">
                  <v:fill on="t" focussize="0,0"/>
                  <v:stroke color="#000000" joinstyle="miter"/>
                  <v:imagedata o:title=""/>
                  <o:lock v:ext="edit" aspectratio="f"/>
                  <v:textbox>
                    <w:txbxContent>
                      <w:p w14:paraId="33AFC66B">
                        <w:pPr>
                          <w:jc w:val="center"/>
                          <w:rPr>
                            <w:szCs w:val="21"/>
                          </w:rPr>
                        </w:pPr>
                        <w:r>
                          <w:rPr>
                            <w:rFonts w:hint="eastAsia"/>
                            <w:szCs w:val="21"/>
                          </w:rPr>
                          <w:t>安全评价</w:t>
                        </w:r>
                      </w:p>
                    </w:txbxContent>
                  </v:textbox>
                </v:rect>
                <v:line id="直线 470" o:spid="_x0000_s1026" o:spt="20" style="position:absolute;left:2057234;top:1287488;height:3566474;width:730;"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N9v4erVAAAABQEAAA8AAAAAAAAAAQAgAAAAIgAAAGRycy9kb3ducmV2LnhtbFBLAQIUABQAAAAI&#10;AIdO4kCj1i738AEAAOADAAAOAAAAAAAAAAEAIAAAACQBAABkcnMvZTJvRG9jLnhtbFBLBQYAAAAA&#10;BgAGAFkBAACGBQAAAAA=&#10;">
                  <v:fill on="f" focussize="0,0"/>
                  <v:stroke color="#000000" joinstyle="round"/>
                  <v:imagedata o:title=""/>
                  <o:lock v:ext="edit" aspectratio="f"/>
                </v:line>
                <v:line id="直线 471" o:spid="_x0000_s1026" o:spt="20" style="position:absolute;left:2057234;top:1287488;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uFiyK/EBAADdAwAADgAAAAAAAAABACAAAAAkAQAAZHJzL2Uyb0RvYy54bWxQSwUGAAAA&#10;AAYABgBZAQAAhwUAAAAA&#10;">
                  <v:fill on="f" focussize="0,0"/>
                  <v:stroke color="#000000" joinstyle="round"/>
                  <v:imagedata o:title=""/>
                  <o:lock v:ext="edit" aspectratio="f"/>
                </v:line>
                <v:line id="直线 472" o:spid="_x0000_s1026" o:spt="20" style="position:absolute;left:2057234;top:1882387;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yPOzyPEBAADdAwAADgAAAAAAAAABACAAAAAkAQAAZHJzL2Uyb0RvYy54bWxQSwUGAAAA&#10;AAYABgBZAQAAhwUAAAAA&#10;">
                  <v:fill on="f" focussize="0,0"/>
                  <v:stroke color="#000000" joinstyle="round"/>
                  <v:imagedata o:title=""/>
                  <o:lock v:ext="edit" aspectratio="f"/>
                </v:line>
                <v:line id="直线 473" o:spid="_x0000_s1026" o:spt="20" style="position:absolute;left:2057234;top:2575706;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N9v4erVAAAABQEAAA8AAAAAAAAAAQAgAAAAIgAAAGRycy9kb3ducmV2LnhtbFBLAQIUABQAAAAI&#10;AIdO4kBfrWJ98AEAAN0DAAAOAAAAAAAAAAEAIAAAACQBAABkcnMvZTJvRG9jLnhtbFBLBQYAAAAA&#10;BgAGAFkBAACGBQAAAAA=&#10;">
                  <v:fill on="f" focussize="0,0"/>
                  <v:stroke color="#000000" joinstyle="round"/>
                  <v:imagedata o:title=""/>
                  <o:lock v:ext="edit" aspectratio="f"/>
                </v:line>
                <v:line id="直线 474" o:spid="_x0000_s1026" o:spt="20" style="position:absolute;left:2057234;top:3070725;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N9v4erVAAAABQEAAA8AAAAAAAAAAQAgAAAAIgAAAGRycy9kb3ducmV2LnhtbFBLAQIUABQAAAAI&#10;AIdO4kBFQute8AEAAN0DAAAOAAAAAAAAAAEAIAAAACQBAABkcnMvZTJvRG9jLnhtbFBLBQYAAAAA&#10;BgAGAFkBAACGBQAAAAA=&#10;">
                  <v:fill on="f" focussize="0,0"/>
                  <v:stroke color="#000000" joinstyle="round"/>
                  <v:imagedata o:title=""/>
                  <o:lock v:ext="edit" aspectratio="f"/>
                </v:line>
                <v:line id="直线 475" o:spid="_x0000_s1026" o:spt="20" style="position:absolute;left:2057234;top:3665624;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u3XS/fEBAADdAwAADgAAAAAAAAABACAAAAAkAQAAZHJzL2Uyb0RvYy54bWxQSwUGAAAA&#10;AAYABgBZAQAAhwUAAAAA&#10;">
                  <v:fill on="f" focussize="0,0"/>
                  <v:stroke color="#000000" joinstyle="round"/>
                  <v:imagedata o:title=""/>
                  <o:lock v:ext="edit" aspectratio="f"/>
                </v:line>
                <v:line id="直线 476" o:spid="_x0000_s1026" o:spt="20" style="position:absolute;left:1600071;top:3070725;height:729;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h+i84PEBAADfAwAADgAAAAAAAAABACAAAAAkAQAAZHJzL2Uyb0RvYy54bWxQSwUGAAAA&#10;AAYABgBZAQAAhwUAAAAA&#10;">
                  <v:fill on="f" focussize="0,0"/>
                  <v:stroke color="#000000" joinstyle="round"/>
                  <v:imagedata o:title=""/>
                  <o:lock v:ext="edit" aspectratio="f"/>
                </v:line>
                <v:line id="直线 477" o:spid="_x0000_s1026" o:spt="20" style="position:absolute;left:1600071;top:495020;height:729;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f&#10;b+Hq1QAAAAUBAAAPAAAAAAAAAAEAIAAAACIAAABkcnMvZG93bnJldi54bWxQSwECFAAUAAAACACH&#10;TuJAcnkko+4BAADeAwAADgAAAAAAAAABACAAAAAkAQAAZHJzL2Uyb0RvYy54bWxQSwUGAAAAAAYA&#10;BgBZAQAAhAUAAAAA&#10;">
                  <v:fill on="f" focussize="0,0"/>
                  <v:stroke color="#000000" joinstyle="round"/>
                  <v:imagedata o:title=""/>
                  <o:lock v:ext="edit" aspectratio="f"/>
                </v:line>
                <v:line id="直线 478" o:spid="_x0000_s1026" o:spt="20" style="position:absolute;left:2057234;top:198299;height:594169;width:730;"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2/h6tUAAAAFAQAADwAAAAAAAAABACAAAAAiAAAAZHJzL2Rvd25yZXYueG1sUEsBAhQAFAAA&#10;AAgAh07iQIgN9/zyAQAA3gMAAA4AAAAAAAAAAQAgAAAAJAEAAGRycy9lMm9Eb2MueG1sUEsFBgAA&#10;AAAGAAYAWQEAAIgFAAAAAA==&#10;">
                  <v:fill on="f" focussize="0,0"/>
                  <v:stroke color="#000000" joinstyle="round"/>
                  <v:imagedata o:title=""/>
                  <o:lock v:ext="edit" aspectratio="f"/>
                </v:line>
                <v:rect id="矩形 479" o:spid="_x0000_s1026" o:spt="1" style="position:absolute;left:2514397;top:99150;height:297449;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pAvFQNUAAAAFAQAADwAAAAAAAAABACAA&#10;AAAiAAAAZHJzL2Rvd25yZXYueG1sUEsBAhQAFAAAAAgAh07iQKbm6uwQAgAANgQAAA4AAAAAAAAA&#10;AQAgAAAAJAEAAGRycy9lMm9Eb2MueG1sUEsFBgAAAAAGAAYAWQEAAKYFAAAAAA==&#10;">
                  <v:fill on="t" focussize="0,0"/>
                  <v:stroke color="#000000" joinstyle="miter"/>
                  <v:imagedata o:title=""/>
                  <o:lock v:ext="edit" aspectratio="f"/>
                  <v:textbox>
                    <w:txbxContent>
                      <w:p w14:paraId="74339130">
                        <w:pPr>
                          <w:jc w:val="center"/>
                          <w:rPr>
                            <w:szCs w:val="21"/>
                          </w:rPr>
                        </w:pPr>
                        <w:r>
                          <w:rPr>
                            <w:rFonts w:hint="eastAsia"/>
                            <w:szCs w:val="21"/>
                          </w:rPr>
                          <w:t>确定安全评价对象和范围</w:t>
                        </w:r>
                      </w:p>
                    </w:txbxContent>
                  </v:textbox>
                </v:rect>
                <v:rect id="矩形 480" o:spid="_x0000_s1026" o:spt="1" style="position:absolute;left:2514397;top:693319;height:298178;width:2057964;"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QLxUDVAAAABQEAAA8AAAAAAAAAAQAgAAAA&#10;IgAAAGRycy9kb3ducmV2LnhtbFBLAQIUABQAAAAIAIdO4kAl5tOqDgIAADcEAAAOAAAAAAAAAAEA&#10;IAAAACQBAABkcnMvZTJvRG9jLnhtbFBLBQYAAAAABgAGAFkBAACkBQAAAAA=&#10;">
                  <v:fill on="t" focussize="0,0"/>
                  <v:stroke color="#000000" joinstyle="miter"/>
                  <v:imagedata o:title=""/>
                  <o:lock v:ext="edit" aspectratio="f"/>
                  <v:textbox>
                    <w:txbxContent>
                      <w:p w14:paraId="42A92FDF">
                        <w:pPr>
                          <w:jc w:val="center"/>
                          <w:rPr>
                            <w:szCs w:val="21"/>
                          </w:rPr>
                        </w:pPr>
                        <w:r>
                          <w:rPr>
                            <w:rFonts w:hint="eastAsia"/>
                            <w:szCs w:val="21"/>
                          </w:rPr>
                          <w:t>收集、整理安全评价所需资料</w:t>
                        </w:r>
                      </w:p>
                    </w:txbxContent>
                  </v:textbox>
                </v:rect>
                <v:line id="直线 481" o:spid="_x0000_s1026" o:spt="20" style="position:absolute;left:2057234;top:792469;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X1UgoPEBAADcAwAADgAAAAAAAAABACAAAAAkAQAAZHJzL2Uyb0RvYy54bWxQSwUGAAAA&#10;AAYABgBZAQAAhwUAAAAA&#10;">
                  <v:fill on="f" focussize="0,0"/>
                  <v:stroke color="#000000" joinstyle="round"/>
                  <v:imagedata o:title=""/>
                  <o:lock v:ext="edit" aspectratio="f"/>
                </v:line>
                <v:line id="直线 482" o:spid="_x0000_s1026" o:spt="20" style="position:absolute;left:2057234;top:198299;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cMM+aPEBAADcAwAADgAAAAAAAAABACAAAAAkAQAAZHJzL2Uyb0RvYy54bWxQSwUGAAAA&#10;AAYABgBZAQAAhwUAAAAA&#10;">
                  <v:fill on="f" focussize="0,0"/>
                  <v:stroke color="#000000" joinstyle="round"/>
                  <v:imagedata o:title=""/>
                  <o:lock v:ext="edit" aspectratio="f"/>
                </v:line>
                <v:rect id="矩形 484" o:spid="_x0000_s1026" o:spt="1" style="position:absolute;left:2514397;top:4754813;height:298907;width:2059425;" fillcolor="#FFFFFF" filled="t" stroked="t" coordsize="21600,21600" o:gfxdata="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pAvFQNUAAAAFAQAADwAAAAAAAAABACAA&#10;AAAiAAAAZHJzL2Rvd25yZXYueG1sUEsBAhQAFAAAAAgAh07iQA1u63UQAgAAOAQAAA4AAAAAAAAA&#10;AQAgAAAAJAEAAGRycy9lMm9Eb2MueG1sUEsFBgAAAAAGAAYAWQEAAKYFAAAAAA==&#10;">
                  <v:fill on="t" focussize="0,0"/>
                  <v:stroke color="#000000" joinstyle="miter"/>
                  <v:imagedata o:title=""/>
                  <o:lock v:ext="edit" aspectratio="f"/>
                  <v:textbox>
                    <w:txbxContent>
                      <w:p w14:paraId="2684F70A">
                        <w:pPr>
                          <w:jc w:val="center"/>
                          <w:rPr>
                            <w:szCs w:val="21"/>
                          </w:rPr>
                        </w:pPr>
                        <w:r>
                          <w:rPr>
                            <w:rFonts w:hint="eastAsia"/>
                            <w:szCs w:val="21"/>
                          </w:rPr>
                          <w:t>整理、归纳安全评价结论</w:t>
                        </w:r>
                      </w:p>
                      <w:p w14:paraId="05D341A8"/>
                    </w:txbxContent>
                  </v:textbox>
                </v:rect>
                <v:line id="直线 485" o:spid="_x0000_s1026" o:spt="20" style="position:absolute;left:2057234;top:4358943;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b+Hq1QAAAAUBAAAPAAAAAAAAAAEAIAAAACIAAABkcnMvZG93bnJldi54bWxQSwECFAAUAAAA&#10;CACHTuJARW5vf/EBAADdAwAADgAAAAAAAAABACAAAAAkAQAAZHJzL2Uyb0RvYy54bWxQSwUGAAAA&#10;AAYABgBZAQAAhwUAAAAA&#10;">
                  <v:fill on="f" focussize="0,0"/>
                  <v:stroke color="#000000" joinstyle="round"/>
                  <v:imagedata o:title=""/>
                  <o:lock v:ext="edit" aspectratio="f"/>
                </v:line>
                <v:line id="直线 486" o:spid="_x0000_s1026" o:spt="20" style="position:absolute;left:2057234;top:4853962;height:0;width:457163;" filled="f" stroked="t" coordsize="21600,21600" o:gfxdata="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2/h6tUAAAAFAQAADwAAAAAAAAABACAAAAAiAAAAZHJzL2Rvd25yZXYueG1sUEsBAhQAFAAA&#10;AAgAh07iQNShmfbyAQAA3QMAAA4AAAAAAAAAAQAgAAAAJAEAAGRycy9lMm9Eb2MueG1sUEsFBgAA&#10;AAAGAAYAWQEAAIgFAAAAAA==&#10;">
                  <v:fill on="f" focussize="0,0"/>
                  <v:stroke color="#000000" joinstyle="round"/>
                  <v:imagedata o:title=""/>
                  <o:lock v:ext="edit" aspectratio="f"/>
                </v:line>
                <v:line id="直线 487" o:spid="_x0000_s1026" o:spt="20" style="position:absolute;left:1028982;top:3269025;height:2079957;width:730;" filled="f" stroked="t" coordsize="21600,21600" o:gfxdata="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sG0KK2AAAAAUBAAAPAAAAAAAAAAEAIAAAACIAAABkcnMvZG93bnJldi54&#10;bWxQSwECFAAUAAAACACHTuJAlEjyY/oBAADkAwAADgAAAAAAAAABACAAAAAnAQAAZHJzL2Uyb0Rv&#10;Yy54bWxQSwUGAAAAAAYABgBZAQAAkwUAAAAA&#10;">
                  <v:fill on="f" focussize="0,0"/>
                  <v:stroke color="#000000" joinstyle="round" endarrow="block"/>
                  <v:imagedata o:title=""/>
                  <o:lock v:ext="edit" aspectratio="f"/>
                </v:line>
                <w10:wrap type="none"/>
                <w10:anchorlock/>
              </v:group>
            </w:pict>
          </mc:Fallback>
        </mc:AlternateContent>
      </w:r>
    </w:p>
    <w:p w14:paraId="00B657E7">
      <w:pPr>
        <w:keepNext w:val="0"/>
        <w:keepLines w:val="0"/>
        <w:pageBreakBefore w:val="0"/>
        <w:widowControl w:val="0"/>
        <w:kinsoku/>
        <w:wordWrap/>
        <w:overflowPunct/>
        <w:topLinePunct w:val="0"/>
        <w:autoSpaceDE/>
        <w:autoSpaceDN/>
        <w:bidi w:val="0"/>
        <w:adjustRightInd w:val="0"/>
        <w:snapToGrid/>
        <w:spacing w:before="157" w:beforeLines="50" w:after="157" w:afterLines="50" w:line="240" w:lineRule="auto"/>
        <w:jc w:val="center"/>
        <w:textAlignment w:val="auto"/>
        <w:rPr>
          <w:rFonts w:hint="default" w:ascii="Times New Roman" w:hAnsi="Times New Roman" w:eastAsia="黑体" w:cs="Times New Roman"/>
          <w:b w:val="0"/>
          <w:bCs w:val="0"/>
          <w:spacing w:val="0"/>
          <w:sz w:val="24"/>
          <w:szCs w:val="24"/>
        </w:rPr>
      </w:pPr>
      <w:r>
        <w:rPr>
          <w:rFonts w:hint="default" w:ascii="Times New Roman" w:hAnsi="Times New Roman" w:eastAsia="黑体" w:cs="Times New Roman"/>
          <w:b w:val="0"/>
          <w:bCs w:val="0"/>
          <w:spacing w:val="0"/>
          <w:sz w:val="24"/>
          <w:szCs w:val="24"/>
        </w:rPr>
        <w:t>图1</w:t>
      </w:r>
      <w:r>
        <w:rPr>
          <w:rFonts w:hint="default" w:ascii="Times New Roman" w:hAnsi="Times New Roman" w:eastAsia="黑体" w:cs="Times New Roman"/>
          <w:b w:val="0"/>
          <w:bCs w:val="0"/>
          <w:spacing w:val="0"/>
          <w:sz w:val="24"/>
          <w:szCs w:val="24"/>
          <w:lang w:val="en-US" w:eastAsia="zh-CN"/>
        </w:rPr>
        <w:t>.4</w:t>
      </w:r>
      <w:r>
        <w:rPr>
          <w:rFonts w:hint="default" w:ascii="Times New Roman" w:hAnsi="Times New Roman" w:eastAsia="黑体" w:cs="Times New Roman"/>
          <w:b w:val="0"/>
          <w:bCs w:val="0"/>
          <w:spacing w:val="0"/>
          <w:sz w:val="24"/>
          <w:szCs w:val="24"/>
        </w:rPr>
        <w:t>-1 评价程序图</w:t>
      </w:r>
    </w:p>
    <w:p w14:paraId="248DE10E">
      <w:pPr>
        <w:keepNext w:val="0"/>
        <w:keepLines w:val="0"/>
        <w:pageBreakBefore w:val="0"/>
        <w:widowControl w:val="0"/>
        <w:kinsoku/>
        <w:wordWrap/>
        <w:overflowPunct/>
        <w:topLinePunct w:val="0"/>
        <w:autoSpaceDE/>
        <w:autoSpaceDN/>
        <w:bidi w:val="0"/>
        <w:adjustRightInd/>
        <w:snapToGrid/>
        <w:spacing w:before="490" w:beforeLines="150" w:after="490" w:afterLines="150" w:line="360" w:lineRule="auto"/>
        <w:ind w:firstLine="0"/>
        <w:jc w:val="center"/>
        <w:textAlignment w:val="auto"/>
        <w:outlineLvl w:val="0"/>
        <w:rPr>
          <w:rFonts w:hint="default" w:ascii="Times New Roman" w:hAnsi="Times New Roman" w:eastAsia="黑体" w:cs="Times New Roman"/>
          <w:b/>
          <w:bCs/>
          <w:sz w:val="32"/>
          <w:szCs w:val="32"/>
        </w:rPr>
      </w:pPr>
      <w:r>
        <w:rPr>
          <w:rFonts w:hint="default" w:ascii="Times New Roman" w:hAnsi="Times New Roman" w:cs="Times New Roman"/>
          <w:sz w:val="28"/>
          <w:szCs w:val="28"/>
        </w:rPr>
        <w:br w:type="page"/>
      </w:r>
      <w:bookmarkStart w:id="40" w:name="_Toc2790"/>
      <w:bookmarkStart w:id="41" w:name="_Toc41246660"/>
      <w:bookmarkStart w:id="42" w:name="_Toc17597"/>
      <w:r>
        <w:rPr>
          <w:rFonts w:hint="default" w:ascii="Times New Roman" w:hAnsi="Times New Roman" w:eastAsia="黑体" w:cs="Times New Roman"/>
          <w:b/>
          <w:bCs w:val="0"/>
          <w:kern w:val="32"/>
          <w:sz w:val="32"/>
          <w:szCs w:val="32"/>
          <w:lang w:val="en-US" w:eastAsia="zh-CN" w:bidi="ar-SA"/>
        </w:rPr>
        <w:t>2建设项目概况</w:t>
      </w:r>
      <w:bookmarkEnd w:id="8"/>
      <w:bookmarkEnd w:id="9"/>
      <w:bookmarkEnd w:id="40"/>
      <w:bookmarkEnd w:id="41"/>
      <w:bookmarkEnd w:id="42"/>
    </w:p>
    <w:p w14:paraId="4A7E715F">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rPr>
      </w:pPr>
      <w:bookmarkStart w:id="43" w:name="_Toc17109"/>
      <w:bookmarkStart w:id="44" w:name="_Toc29278"/>
      <w:r>
        <w:rPr>
          <w:rFonts w:hint="default" w:ascii="Times New Roman" w:hAnsi="Times New Roman" w:eastAsia="楷体" w:cs="Times New Roman"/>
          <w:color w:val="auto"/>
          <w:sz w:val="32"/>
          <w:szCs w:val="32"/>
          <w:lang w:val="en-US" w:eastAsia="zh-CN"/>
        </w:rPr>
        <w:t>2.1</w:t>
      </w:r>
      <w:r>
        <w:rPr>
          <w:rFonts w:hint="default" w:ascii="Times New Roman" w:hAnsi="Times New Roman" w:eastAsia="楷体" w:cs="Times New Roman"/>
          <w:color w:val="auto"/>
          <w:sz w:val="32"/>
          <w:szCs w:val="32"/>
        </w:rPr>
        <w:t>建设单位概况</w:t>
      </w:r>
      <w:bookmarkEnd w:id="43"/>
      <w:bookmarkEnd w:id="44"/>
    </w:p>
    <w:p w14:paraId="2456436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val="en-US" w:eastAsia="zh-CN"/>
          <w14:textFill>
            <w14:solidFill>
              <w14:schemeClr w14:val="tx1"/>
            </w14:solidFill>
          </w14:textFill>
        </w:rPr>
      </w:pPr>
      <w:r>
        <w:rPr>
          <w:rFonts w:hint="eastAsia" w:cs="Times New Roman"/>
          <w:bCs/>
          <w:kern w:val="0"/>
          <w:sz w:val="28"/>
          <w:szCs w:val="28"/>
          <w:lang w:eastAsia="zh-CN"/>
        </w:rPr>
        <w:t>中国石油天然气股份有限公司河北销售绥中第二加油站成立于2005年12月30日，注册地位于绥中县绥中镇商业路，法定代表人为吴冰。经营范围包括许可项目：危险化学品经营；成品油零售；成品油批发；烟草制品零售；食品销售；酒类经营；餐饮服务。（依法须经批准的项目，经相关部门批准后方可开展经营活动，具体经营项目以相关部门批准文件或许可证件为准）</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w:t>
      </w:r>
    </w:p>
    <w:p w14:paraId="489BC64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val="en-US" w:eastAsia="zh-CN"/>
          <w14:textFill>
            <w14:solidFill>
              <w14:schemeClr w14:val="tx1"/>
            </w14:solidFill>
          </w14:textFill>
        </w:rPr>
      </w:pPr>
      <w:r>
        <w:rPr>
          <w:rFonts w:hint="default" w:ascii="Times New Roman" w:hAnsi="Times New Roman" w:cs="Times New Roman"/>
          <w:bCs/>
          <w:color w:val="000000" w:themeColor="text1"/>
          <w:kern w:val="0"/>
          <w:sz w:val="28"/>
          <w:szCs w:val="28"/>
          <w:lang w:val="en-US" w:eastAsia="zh-CN"/>
          <w14:textFill>
            <w14:solidFill>
              <w14:schemeClr w14:val="tx1"/>
            </w14:solidFill>
          </w14:textFill>
        </w:rPr>
        <w:t>该站内现有一</w:t>
      </w:r>
      <w:r>
        <w:rPr>
          <w:rFonts w:hint="eastAsia" w:cs="Times New Roman"/>
          <w:bCs/>
          <w:color w:val="000000" w:themeColor="text1"/>
          <w:kern w:val="0"/>
          <w:sz w:val="28"/>
          <w:szCs w:val="28"/>
          <w:lang w:val="en-US" w:eastAsia="zh-CN"/>
          <w14:textFill>
            <w14:solidFill>
              <w14:schemeClr w14:val="tx1"/>
            </w14:solidFill>
          </w14:textFill>
        </w:rPr>
        <w:t>座</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罩棚、一座站房、一座</w:t>
      </w:r>
      <w:r>
        <w:rPr>
          <w:rFonts w:hint="eastAsia" w:cs="Times New Roman"/>
          <w:bCs/>
          <w:color w:val="000000" w:themeColor="text1"/>
          <w:kern w:val="0"/>
          <w:sz w:val="28"/>
          <w:szCs w:val="28"/>
          <w:lang w:val="en-US" w:eastAsia="zh-CN"/>
          <w14:textFill>
            <w14:solidFill>
              <w14:schemeClr w14:val="tx1"/>
            </w14:solidFill>
          </w14:textFill>
        </w:rPr>
        <w:t>埋地罐区（内设3座30m</w:t>
      </w:r>
      <w:r>
        <w:rPr>
          <w:rFonts w:hint="eastAsia" w:cs="Times New Roman"/>
          <w:bCs/>
          <w:color w:val="000000" w:themeColor="text1"/>
          <w:kern w:val="0"/>
          <w:sz w:val="28"/>
          <w:szCs w:val="28"/>
          <w:vertAlign w:val="superscript"/>
          <w:lang w:val="en-US" w:eastAsia="zh-CN"/>
          <w14:textFill>
            <w14:solidFill>
              <w14:schemeClr w14:val="tx1"/>
            </w14:solidFill>
          </w14:textFill>
        </w:rPr>
        <w:t>3</w:t>
      </w:r>
      <w:r>
        <w:rPr>
          <w:rFonts w:hint="eastAsia" w:cs="Times New Roman"/>
          <w:bCs/>
          <w:color w:val="000000" w:themeColor="text1"/>
          <w:kern w:val="0"/>
          <w:sz w:val="28"/>
          <w:szCs w:val="28"/>
          <w:vertAlign w:val="baseline"/>
          <w:lang w:val="en-US" w:eastAsia="zh-CN"/>
          <w14:textFill>
            <w14:solidFill>
              <w14:schemeClr w14:val="tx1"/>
            </w14:solidFill>
          </w14:textFill>
        </w:rPr>
        <w:t>乙醇汽油储罐、1座30m</w:t>
      </w:r>
      <w:r>
        <w:rPr>
          <w:rFonts w:hint="eastAsia" w:cs="Times New Roman"/>
          <w:bCs/>
          <w:color w:val="000000" w:themeColor="text1"/>
          <w:kern w:val="0"/>
          <w:sz w:val="28"/>
          <w:szCs w:val="28"/>
          <w:vertAlign w:val="superscript"/>
          <w:lang w:val="en-US" w:eastAsia="zh-CN"/>
          <w14:textFill>
            <w14:solidFill>
              <w14:schemeClr w14:val="tx1"/>
            </w14:solidFill>
          </w14:textFill>
        </w:rPr>
        <w:t>3</w:t>
      </w:r>
      <w:r>
        <w:rPr>
          <w:rFonts w:hint="eastAsia" w:cs="Times New Roman"/>
          <w:bCs/>
          <w:color w:val="000000" w:themeColor="text1"/>
          <w:kern w:val="0"/>
          <w:sz w:val="28"/>
          <w:szCs w:val="28"/>
          <w:vertAlign w:val="baseline"/>
          <w:lang w:val="en-US" w:eastAsia="zh-CN"/>
          <w14:textFill>
            <w14:solidFill>
              <w14:schemeClr w14:val="tx1"/>
            </w14:solidFill>
          </w14:textFill>
        </w:rPr>
        <w:t>柴油储罐</w:t>
      </w:r>
      <w:r>
        <w:rPr>
          <w:rFonts w:hint="eastAsia" w:cs="Times New Roman"/>
          <w:bCs/>
          <w:color w:val="000000" w:themeColor="text1"/>
          <w:kern w:val="0"/>
          <w:sz w:val="28"/>
          <w:szCs w:val="28"/>
          <w:lang w:val="en-US" w:eastAsia="zh-CN"/>
          <w14:textFill>
            <w14:solidFill>
              <w14:schemeClr w14:val="tx1"/>
            </w14:solidFill>
          </w14:textFill>
        </w:rPr>
        <w:t>）</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及</w:t>
      </w:r>
      <w:r>
        <w:rPr>
          <w:rFonts w:hint="eastAsia" w:cs="Times New Roman"/>
          <w:bCs/>
          <w:color w:val="000000" w:themeColor="text1"/>
          <w:kern w:val="0"/>
          <w:sz w:val="28"/>
          <w:szCs w:val="28"/>
          <w:lang w:val="en-US" w:eastAsia="zh-CN"/>
          <w14:textFill>
            <w14:solidFill>
              <w14:schemeClr w14:val="tx1"/>
            </w14:solidFill>
          </w14:textFill>
        </w:rPr>
        <w:t>4台</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加油</w:t>
      </w:r>
      <w:r>
        <w:rPr>
          <w:rFonts w:hint="eastAsia" w:cs="Times New Roman"/>
          <w:bCs/>
          <w:color w:val="000000" w:themeColor="text1"/>
          <w:kern w:val="0"/>
          <w:sz w:val="28"/>
          <w:szCs w:val="28"/>
          <w:lang w:val="en-US" w:eastAsia="zh-CN"/>
          <w14:textFill>
            <w14:solidFill>
              <w14:schemeClr w14:val="tx1"/>
            </w14:solidFill>
          </w14:textFill>
        </w:rPr>
        <w:t>机（3台乙醇汽油加油机和1台柴油加油机）</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w:t>
      </w:r>
      <w:r>
        <w:rPr>
          <w:rFonts w:hint="eastAsia" w:cs="Times New Roman"/>
          <w:bCs/>
          <w:color w:val="000000" w:themeColor="text1"/>
          <w:kern w:val="0"/>
          <w:sz w:val="28"/>
          <w:szCs w:val="28"/>
          <w:lang w:val="en-US" w:eastAsia="zh-CN"/>
          <w14:textFill>
            <w14:solidFill>
              <w14:schemeClr w14:val="tx1"/>
            </w14:solidFill>
          </w14:textFill>
        </w:rPr>
        <w:t>现由于</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加油站建成时间较早，部分设施设备已接近使用年限，原有加油机位、罐区、罩棚布局不合理</w:t>
      </w:r>
      <w:r>
        <w:rPr>
          <w:rFonts w:hint="eastAsia" w:cs="Times New Roman"/>
          <w:bCs/>
          <w:color w:val="000000" w:themeColor="text1"/>
          <w:kern w:val="0"/>
          <w:sz w:val="28"/>
          <w:szCs w:val="28"/>
          <w:lang w:val="en-US" w:eastAsia="zh-CN"/>
          <w14:textFill>
            <w14:solidFill>
              <w14:schemeClr w14:val="tx1"/>
            </w14:solidFill>
          </w14:textFill>
        </w:rPr>
        <w:t>，</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拟对该加油站进行原址改</w:t>
      </w:r>
      <w:r>
        <w:rPr>
          <w:rFonts w:hint="eastAsia" w:cs="Times New Roman"/>
          <w:bCs/>
          <w:color w:val="000000" w:themeColor="text1"/>
          <w:kern w:val="0"/>
          <w:sz w:val="28"/>
          <w:szCs w:val="28"/>
          <w:lang w:val="en-US" w:eastAsia="zh-CN"/>
          <w14:textFill>
            <w14:solidFill>
              <w14:schemeClr w14:val="tx1"/>
            </w14:solidFill>
          </w14:textFill>
        </w:rPr>
        <w:t>建</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w:t>
      </w:r>
    </w:p>
    <w:p w14:paraId="6D01C2C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val="en-US" w:eastAsia="zh-CN"/>
          <w14:textFill>
            <w14:solidFill>
              <w14:schemeClr w14:val="tx1"/>
            </w14:solidFill>
          </w14:textFill>
        </w:rPr>
      </w:pPr>
      <w:r>
        <w:rPr>
          <w:rFonts w:hint="default" w:ascii="Times New Roman" w:hAnsi="Times New Roman" w:cs="Times New Roman"/>
          <w:bCs/>
          <w:color w:val="000000" w:themeColor="text1"/>
          <w:kern w:val="0"/>
          <w:sz w:val="28"/>
          <w:szCs w:val="28"/>
          <w:lang w:val="en-US" w:eastAsia="zh-CN"/>
          <w14:textFill>
            <w14:solidFill>
              <w14:schemeClr w14:val="tx1"/>
            </w14:solidFill>
          </w14:textFill>
        </w:rPr>
        <w:t>改建后，升级替换老化的储油罐、输油管线、加油机、阀门等核心设备，改建为F</w:t>
      </w:r>
      <w:r>
        <w:rPr>
          <w:rFonts w:hint="eastAsia" w:cs="Times New Roman"/>
          <w:bCs/>
          <w:color w:val="000000" w:themeColor="text1"/>
          <w:kern w:val="0"/>
          <w:sz w:val="28"/>
          <w:szCs w:val="28"/>
          <w:lang w:val="en-US" w:eastAsia="zh-CN"/>
          <w14:textFill>
            <w14:solidFill>
              <w14:schemeClr w14:val="tx1"/>
            </w14:solidFill>
          </w14:textFill>
        </w:rPr>
        <w:t>F</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承重罐区、网架式罩棚、砖混站房。全面优化油气回收系统、液位仪系统、监控及消防设施、防静电接地系统等安全装置。提升站内智能化水平，增设零售3.0系统，优化车辆通行流线。完善站房、功能区等基础设施，实现站内环境整洁可控、标准化运营。</w:t>
      </w:r>
    </w:p>
    <w:p w14:paraId="52337BA4">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45" w:name="_Toc3875"/>
      <w:bookmarkStart w:id="46" w:name="_Toc6771"/>
      <w:bookmarkStart w:id="47" w:name="_Toc22456"/>
      <w:bookmarkStart w:id="48" w:name="_Toc10669"/>
      <w:bookmarkStart w:id="49" w:name="_Toc41246662"/>
      <w:bookmarkStart w:id="50" w:name="_Toc41246663"/>
      <w:bookmarkStart w:id="51" w:name="_Toc415147565"/>
      <w:bookmarkStart w:id="52" w:name="_Toc495931467"/>
      <w:bookmarkStart w:id="53" w:name="_Toc495931425"/>
      <w:r>
        <w:rPr>
          <w:rFonts w:hint="default" w:ascii="Times New Roman" w:hAnsi="Times New Roman" w:eastAsia="楷体" w:cs="Times New Roman"/>
          <w:color w:val="auto"/>
          <w:sz w:val="32"/>
          <w:szCs w:val="32"/>
          <w:lang w:val="en-US" w:eastAsia="zh-CN"/>
        </w:rPr>
        <w:t>2.2建设项目概况</w:t>
      </w:r>
      <w:bookmarkEnd w:id="45"/>
      <w:bookmarkEnd w:id="46"/>
    </w:p>
    <w:p w14:paraId="67A5361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eastAsia="zh-CN"/>
        </w:rPr>
        <w:t>项目名称：</w:t>
      </w:r>
      <w:r>
        <w:rPr>
          <w:rFonts w:hint="eastAsia" w:cs="Times New Roman"/>
          <w:bCs/>
          <w:kern w:val="0"/>
          <w:sz w:val="28"/>
          <w:szCs w:val="28"/>
          <w:lang w:eastAsia="zh-CN"/>
        </w:rPr>
        <w:t>改建项目</w:t>
      </w:r>
    </w:p>
    <w:p w14:paraId="2398544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建设</w:t>
      </w:r>
      <w:r>
        <w:rPr>
          <w:rFonts w:hint="eastAsia" w:cs="Times New Roman"/>
          <w:bCs/>
          <w:kern w:val="0"/>
          <w:sz w:val="28"/>
          <w:szCs w:val="28"/>
          <w:lang w:val="en-US" w:eastAsia="zh-CN"/>
        </w:rPr>
        <w:t>项目</w:t>
      </w:r>
      <w:r>
        <w:rPr>
          <w:rFonts w:hint="default" w:ascii="Times New Roman" w:hAnsi="Times New Roman" w:cs="Times New Roman"/>
          <w:bCs/>
          <w:kern w:val="0"/>
          <w:sz w:val="28"/>
          <w:szCs w:val="28"/>
          <w:lang w:eastAsia="zh-CN"/>
        </w:rPr>
        <w:t>单位：</w:t>
      </w:r>
      <w:r>
        <w:rPr>
          <w:rFonts w:hint="eastAsia" w:cs="Times New Roman"/>
          <w:bCs/>
          <w:kern w:val="0"/>
          <w:sz w:val="28"/>
          <w:szCs w:val="28"/>
          <w:lang w:eastAsia="zh-CN"/>
        </w:rPr>
        <w:t>中国石油天然气股份有限公司河北销售绥中第二加油站</w:t>
      </w:r>
    </w:p>
    <w:p w14:paraId="572D907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eastAsia="zh-CN"/>
        </w:rPr>
        <w:t>项目地点：</w:t>
      </w:r>
      <w:r>
        <w:rPr>
          <w:rFonts w:hint="default" w:ascii="Times New Roman" w:hAnsi="Times New Roman" w:cs="Times New Roman"/>
          <w:bCs/>
          <w:kern w:val="0"/>
          <w:sz w:val="28"/>
          <w:szCs w:val="28"/>
          <w:lang w:val="en-US" w:eastAsia="zh-CN"/>
        </w:rPr>
        <w:t>绥中县绥中镇商业路</w:t>
      </w:r>
    </w:p>
    <w:p w14:paraId="7CAB6D1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建设性质：</w:t>
      </w:r>
      <w:r>
        <w:rPr>
          <w:rFonts w:hint="eastAsia" w:cs="Times New Roman"/>
          <w:bCs/>
          <w:kern w:val="0"/>
          <w:sz w:val="28"/>
          <w:szCs w:val="28"/>
          <w:lang w:val="en-US" w:eastAsia="zh-CN"/>
        </w:rPr>
        <w:t>改</w:t>
      </w:r>
      <w:r>
        <w:rPr>
          <w:rFonts w:hint="default" w:ascii="Times New Roman" w:hAnsi="Times New Roman" w:cs="Times New Roman"/>
          <w:bCs/>
          <w:kern w:val="0"/>
          <w:sz w:val="28"/>
          <w:szCs w:val="28"/>
          <w:lang w:eastAsia="zh-CN"/>
        </w:rPr>
        <w:t>建项目</w:t>
      </w:r>
    </w:p>
    <w:p w14:paraId="4BFB7CF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highlight w:val="none"/>
          <w:lang w:eastAsia="zh-CN"/>
        </w:rPr>
      </w:pPr>
      <w:r>
        <w:rPr>
          <w:rFonts w:hint="default" w:ascii="Times New Roman" w:hAnsi="Times New Roman" w:cs="Times New Roman"/>
          <w:bCs/>
          <w:kern w:val="0"/>
          <w:sz w:val="28"/>
          <w:szCs w:val="28"/>
          <w:highlight w:val="none"/>
          <w:lang w:eastAsia="zh-CN"/>
        </w:rPr>
        <w:t>项目总投资：</w:t>
      </w:r>
      <w:r>
        <w:rPr>
          <w:rFonts w:hint="eastAsia" w:cs="Times New Roman"/>
          <w:bCs/>
          <w:kern w:val="0"/>
          <w:sz w:val="28"/>
          <w:szCs w:val="28"/>
          <w:highlight w:val="none"/>
          <w:lang w:val="en-US" w:eastAsia="zh-CN"/>
        </w:rPr>
        <w:t>200</w:t>
      </w:r>
      <w:r>
        <w:rPr>
          <w:rFonts w:hint="default" w:ascii="Times New Roman" w:hAnsi="Times New Roman" w:cs="Times New Roman"/>
          <w:bCs/>
          <w:kern w:val="0"/>
          <w:sz w:val="28"/>
          <w:szCs w:val="28"/>
          <w:highlight w:val="none"/>
          <w:lang w:eastAsia="zh-CN"/>
        </w:rPr>
        <w:t>.</w:t>
      </w:r>
      <w:r>
        <w:rPr>
          <w:rFonts w:hint="default" w:ascii="Times New Roman" w:hAnsi="Times New Roman" w:cs="Times New Roman"/>
          <w:bCs/>
          <w:kern w:val="0"/>
          <w:sz w:val="28"/>
          <w:szCs w:val="28"/>
          <w:highlight w:val="none"/>
          <w:lang w:val="en-US" w:eastAsia="zh-CN"/>
        </w:rPr>
        <w:t>00</w:t>
      </w:r>
      <w:r>
        <w:rPr>
          <w:rFonts w:hint="default" w:ascii="Times New Roman" w:hAnsi="Times New Roman" w:cs="Times New Roman"/>
          <w:bCs/>
          <w:kern w:val="0"/>
          <w:sz w:val="28"/>
          <w:szCs w:val="28"/>
          <w:highlight w:val="none"/>
          <w:lang w:eastAsia="zh-CN"/>
        </w:rPr>
        <w:t>万元</w:t>
      </w:r>
    </w:p>
    <w:p w14:paraId="7F94A5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eastAsia="zh-CN"/>
        </w:rPr>
        <w:t>占地面积：</w:t>
      </w:r>
      <w:r>
        <w:rPr>
          <w:rFonts w:hint="eastAsia" w:cs="Times New Roman"/>
          <w:bCs/>
          <w:kern w:val="0"/>
          <w:sz w:val="28"/>
          <w:szCs w:val="28"/>
          <w:lang w:val="en-US" w:eastAsia="zh-CN"/>
        </w:rPr>
        <w:t>371.14m</w:t>
      </w:r>
      <w:r>
        <w:rPr>
          <w:rFonts w:hint="eastAsia" w:cs="Times New Roman"/>
          <w:bCs/>
          <w:kern w:val="0"/>
          <w:sz w:val="28"/>
          <w:szCs w:val="28"/>
          <w:vertAlign w:val="superscript"/>
          <w:lang w:val="en-US" w:eastAsia="zh-CN"/>
        </w:rPr>
        <w:t>2</w:t>
      </w:r>
    </w:p>
    <w:p w14:paraId="6A433F7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cs="宋体"/>
          <w:b w:val="0"/>
          <w:bCs w:val="0"/>
          <w:color w:val="000000" w:themeColor="text1"/>
          <w:spacing w:val="0"/>
          <w:sz w:val="28"/>
          <w:szCs w:val="28"/>
          <w:highlight w:val="none"/>
          <w:lang w:val="en-US" w:eastAsia="zh-CN"/>
          <w14:textFill>
            <w14:solidFill>
              <w14:schemeClr w14:val="tx1"/>
            </w14:solidFill>
          </w14:textFill>
        </w:rPr>
      </w:pPr>
      <w:r>
        <w:rPr>
          <w:rFonts w:hint="default" w:ascii="Times New Roman" w:hAnsi="Times New Roman" w:cs="Times New Roman"/>
          <w:bCs/>
          <w:kern w:val="0"/>
          <w:sz w:val="28"/>
          <w:szCs w:val="28"/>
          <w:lang w:eastAsia="zh-CN"/>
        </w:rPr>
        <w:t>建设内容：</w:t>
      </w:r>
      <w:r>
        <w:rPr>
          <w:rFonts w:hint="eastAsia" w:cs="宋体"/>
          <w:b w:val="0"/>
          <w:bCs w:val="0"/>
          <w:color w:val="000000" w:themeColor="text1"/>
          <w:spacing w:val="0"/>
          <w:sz w:val="28"/>
          <w:szCs w:val="28"/>
          <w:highlight w:val="none"/>
          <w:lang w:val="en-US" w:eastAsia="zh-CN"/>
          <w14:textFill>
            <w14:solidFill>
              <w14:schemeClr w14:val="tx1"/>
            </w14:solidFill>
          </w14:textFill>
        </w:rPr>
        <w:t>①新建1座承重罐区，内设</w:t>
      </w:r>
      <w:r>
        <w:rPr>
          <w:rFonts w:hint="eastAsia" w:ascii="Times New Roman" w:hAnsi="Times New Roman" w:cs="Times New Roman"/>
          <w:bCs/>
          <w:kern w:val="0"/>
          <w:sz w:val="28"/>
          <w:szCs w:val="28"/>
          <w:lang w:val="en-US" w:eastAsia="zh-CN"/>
        </w:rPr>
        <w:t>4座</w:t>
      </w:r>
      <w:r>
        <w:rPr>
          <w:rFonts w:hint="eastAsia" w:cs="宋体"/>
          <w:b w:val="0"/>
          <w:bCs w:val="0"/>
          <w:color w:val="000000" w:themeColor="text1"/>
          <w:spacing w:val="0"/>
          <w:sz w:val="28"/>
          <w:szCs w:val="28"/>
          <w:highlight w:val="none"/>
          <w:lang w:val="en-US" w:eastAsia="zh-CN"/>
          <w14:textFill>
            <w14:solidFill>
              <w14:schemeClr w14:val="tx1"/>
            </w14:solidFill>
          </w14:textFill>
        </w:rPr>
        <w:t>FF</w:t>
      </w:r>
      <w:r>
        <w:rPr>
          <w:rFonts w:hint="default" w:ascii="Times New Roman" w:hAnsi="Times New Roman" w:cs="Times New Roman"/>
          <w:bCs/>
          <w:kern w:val="0"/>
          <w:sz w:val="28"/>
          <w:szCs w:val="28"/>
          <w:lang w:eastAsia="zh-CN"/>
        </w:rPr>
        <w:t>双层油罐</w:t>
      </w:r>
      <w:r>
        <w:rPr>
          <w:rFonts w:hint="eastAsia" w:cs="Times New Roman"/>
          <w:bCs/>
          <w:kern w:val="0"/>
          <w:sz w:val="28"/>
          <w:szCs w:val="28"/>
          <w:lang w:eastAsia="zh-CN"/>
        </w:rPr>
        <w:t>，</w:t>
      </w:r>
      <w:r>
        <w:rPr>
          <w:rFonts w:hint="eastAsia" w:cs="Times New Roman"/>
          <w:bCs/>
          <w:kern w:val="0"/>
          <w:sz w:val="28"/>
          <w:szCs w:val="28"/>
          <w:lang w:val="en-US" w:eastAsia="zh-CN"/>
        </w:rPr>
        <w:t>其中3座30m</w:t>
      </w:r>
      <w:r>
        <w:rPr>
          <w:rFonts w:hint="eastAsia" w:cs="Times New Roman"/>
          <w:bCs/>
          <w:kern w:val="0"/>
          <w:sz w:val="28"/>
          <w:szCs w:val="28"/>
          <w:vertAlign w:val="superscript"/>
          <w:lang w:val="en-US" w:eastAsia="zh-CN"/>
        </w:rPr>
        <w:t>3</w:t>
      </w:r>
      <w:r>
        <w:rPr>
          <w:rFonts w:hint="eastAsia" w:cs="Times New Roman"/>
          <w:bCs/>
          <w:kern w:val="0"/>
          <w:sz w:val="28"/>
          <w:szCs w:val="28"/>
          <w:vertAlign w:val="baseline"/>
          <w:lang w:val="en-US" w:eastAsia="zh-CN"/>
        </w:rPr>
        <w:t>乙醇汽油储罐、1座30m</w:t>
      </w:r>
      <w:r>
        <w:rPr>
          <w:rFonts w:hint="eastAsia" w:cs="Times New Roman"/>
          <w:bCs/>
          <w:kern w:val="0"/>
          <w:sz w:val="28"/>
          <w:szCs w:val="28"/>
          <w:vertAlign w:val="superscript"/>
          <w:lang w:val="en-US" w:eastAsia="zh-CN"/>
        </w:rPr>
        <w:t>3</w:t>
      </w:r>
      <w:r>
        <w:rPr>
          <w:rFonts w:hint="eastAsia" w:cs="Times New Roman"/>
          <w:bCs/>
          <w:kern w:val="0"/>
          <w:sz w:val="28"/>
          <w:szCs w:val="28"/>
          <w:vertAlign w:val="baseline"/>
          <w:lang w:val="en-US" w:eastAsia="zh-CN"/>
        </w:rPr>
        <w:t>柴油储罐</w:t>
      </w:r>
      <w:r>
        <w:rPr>
          <w:rFonts w:hint="eastAsia" w:cs="Times New Roman"/>
          <w:bCs/>
          <w:kern w:val="0"/>
          <w:sz w:val="28"/>
          <w:szCs w:val="28"/>
          <w:lang w:eastAsia="zh-CN"/>
        </w:rPr>
        <w:t>；</w:t>
      </w:r>
      <w:r>
        <w:rPr>
          <w:rFonts w:hint="eastAsia" w:cs="Times New Roman"/>
          <w:sz w:val="28"/>
          <w:szCs w:val="28"/>
          <w:vertAlign w:val="baseline"/>
          <w:lang w:val="en-US" w:eastAsia="zh-CN"/>
        </w:rPr>
        <w:t>②</w:t>
      </w:r>
      <w:r>
        <w:rPr>
          <w:rFonts w:hint="eastAsia" w:cs="宋体"/>
          <w:b w:val="0"/>
          <w:bCs w:val="0"/>
          <w:color w:val="000000" w:themeColor="text1"/>
          <w:spacing w:val="0"/>
          <w:sz w:val="28"/>
          <w:szCs w:val="28"/>
          <w:highlight w:val="none"/>
          <w:lang w:val="en-US" w:eastAsia="zh-CN"/>
          <w14:textFill>
            <w14:solidFill>
              <w14:schemeClr w14:val="tx1"/>
            </w14:solidFill>
          </w14:textFill>
        </w:rPr>
        <w:t>新建1座站房；</w:t>
      </w:r>
      <w:r>
        <w:rPr>
          <w:rFonts w:hint="eastAsia" w:cs="Times New Roman"/>
          <w:sz w:val="28"/>
          <w:szCs w:val="28"/>
          <w:vertAlign w:val="baseline"/>
          <w:lang w:val="en-US" w:eastAsia="zh-CN"/>
        </w:rPr>
        <w:t>③</w:t>
      </w:r>
      <w:r>
        <w:rPr>
          <w:rFonts w:hint="eastAsia" w:cs="宋体"/>
          <w:b w:val="0"/>
          <w:bCs w:val="0"/>
          <w:color w:val="000000" w:themeColor="text1"/>
          <w:spacing w:val="0"/>
          <w:sz w:val="28"/>
          <w:szCs w:val="28"/>
          <w:highlight w:val="none"/>
          <w:lang w:val="en-US" w:eastAsia="zh-CN"/>
          <w14:textFill>
            <w14:solidFill>
              <w14:schemeClr w14:val="tx1"/>
            </w14:solidFill>
          </w14:textFill>
        </w:rPr>
        <w:t>新建1座罩棚，罩棚下设4台双枪自吸式加油机；④加油工艺管线重新敷设。</w:t>
      </w:r>
    </w:p>
    <w:p w14:paraId="1FF98C4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cs="Times New Roman"/>
          <w:sz w:val="28"/>
          <w:szCs w:val="28"/>
          <w:vertAlign w:val="baseline"/>
          <w:lang w:val="en-US" w:eastAsia="zh-CN"/>
        </w:rPr>
      </w:pPr>
      <w:r>
        <w:rPr>
          <w:rFonts w:hint="eastAsia" w:cs="Times New Roman"/>
          <w:sz w:val="28"/>
          <w:szCs w:val="28"/>
          <w:vertAlign w:val="baseline"/>
          <w:lang w:val="en-US" w:eastAsia="zh-CN"/>
        </w:rPr>
        <w:t>根据《汽车加油加气加氢站技术标准》（GB50156-2021）3.0.9中规定，则该加油站油罐总容积为105m³（柴油罐容积折半计入），故</w:t>
      </w:r>
      <w:r>
        <w:rPr>
          <w:rFonts w:hint="eastAsia" w:cs="Times New Roman"/>
          <w:bCs/>
          <w:kern w:val="0"/>
          <w:sz w:val="28"/>
          <w:szCs w:val="28"/>
          <w:lang w:eastAsia="zh-CN"/>
        </w:rPr>
        <w:t>绥中第二加油站</w:t>
      </w:r>
      <w:r>
        <w:rPr>
          <w:rFonts w:hint="eastAsia" w:cs="Times New Roman"/>
          <w:sz w:val="28"/>
          <w:szCs w:val="28"/>
          <w:vertAlign w:val="baseline"/>
          <w:lang w:val="en-US" w:eastAsia="zh-CN"/>
        </w:rPr>
        <w:t>为二级加油站。</w:t>
      </w:r>
    </w:p>
    <w:p w14:paraId="06D9EFA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cs="Times New Roman"/>
          <w:sz w:val="28"/>
          <w:szCs w:val="28"/>
          <w:vertAlign w:val="baseline"/>
          <w:lang w:val="en-US" w:eastAsia="zh-CN"/>
        </w:rPr>
      </w:pPr>
      <w:r>
        <w:rPr>
          <w:rFonts w:hint="eastAsia" w:cs="Times New Roman"/>
          <w:sz w:val="28"/>
          <w:szCs w:val="28"/>
          <w:vertAlign w:val="baseline"/>
          <w:lang w:val="en-US" w:eastAsia="zh-CN"/>
        </w:rPr>
        <w:t>该站拟设置手机支付及自助加油功能。</w:t>
      </w:r>
    </w:p>
    <w:bookmarkEnd w:id="47"/>
    <w:bookmarkEnd w:id="48"/>
    <w:bookmarkEnd w:id="49"/>
    <w:p w14:paraId="27990224">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54" w:name="_Toc4522"/>
      <w:bookmarkStart w:id="55" w:name="_Toc22811"/>
      <w:r>
        <w:rPr>
          <w:rFonts w:hint="default" w:ascii="Times New Roman" w:hAnsi="Times New Roman" w:eastAsia="楷体" w:cs="Times New Roman"/>
          <w:color w:val="auto"/>
          <w:sz w:val="32"/>
          <w:szCs w:val="32"/>
          <w:lang w:val="en-US" w:eastAsia="zh-CN"/>
        </w:rPr>
        <w:t>2.3采用的主要技术、工艺和同类项目水平对比情况</w:t>
      </w:r>
      <w:bookmarkEnd w:id="50"/>
      <w:bookmarkEnd w:id="51"/>
      <w:bookmarkEnd w:id="52"/>
      <w:bookmarkEnd w:id="53"/>
      <w:bookmarkEnd w:id="54"/>
      <w:bookmarkEnd w:id="55"/>
    </w:p>
    <w:p w14:paraId="122C7F45">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rPr>
      </w:pPr>
      <w:bookmarkStart w:id="56" w:name="_Toc410311871"/>
      <w:bookmarkStart w:id="57" w:name="_Toc410311948"/>
      <w:bookmarkStart w:id="58" w:name="_Toc25360"/>
      <w:bookmarkStart w:id="59" w:name="_Toc41246667"/>
      <w:r>
        <w:rPr>
          <w:rFonts w:hint="default" w:ascii="Times New Roman" w:hAnsi="Times New Roman" w:eastAsia="黑体" w:cs="Times New Roman"/>
          <w:b/>
          <w:bCs/>
          <w:color w:val="auto"/>
          <w:sz w:val="28"/>
          <w:szCs w:val="32"/>
          <w:lang w:val="en-US" w:eastAsia="zh-CN"/>
        </w:rPr>
        <w:t>2.3.1</w:t>
      </w:r>
      <w:r>
        <w:rPr>
          <w:rFonts w:hint="default" w:ascii="Times New Roman" w:hAnsi="Times New Roman" w:eastAsia="黑体" w:cs="Times New Roman"/>
          <w:b/>
          <w:bCs/>
          <w:color w:val="auto"/>
          <w:sz w:val="28"/>
          <w:szCs w:val="32"/>
        </w:rPr>
        <w:t>国内、外同类建设项目水平对比情况</w:t>
      </w:r>
    </w:p>
    <w:p w14:paraId="5BC0A52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加油站主要为车辆提供加油服务，核心设备为加油机和油罐，主要工艺由油品卸车、油品储存及输送、油品付出等环节组成。目前，国内外加油站在油品卸车环节中均采用自流密闭卸油方式，并设置液位监测报警系统，当油罐容量达到90％的液位时触动声光报警器，同时储罐设置防溢满措施，当油料达到油罐容量的95％时，应能自动停止油料继续进罐，目前采用较多的是一种机械装置——防溢流阀，安装在卸油管中，当油料达到油罐容量的95％时，防溢流阀自动关闭，阻止油品继续进罐；在油品储存及输送环节，储罐和输送管道均采用埋地方式设置</w:t>
      </w:r>
      <w:r>
        <w:rPr>
          <w:rFonts w:hint="eastAsia" w:ascii="Times New Roman" w:hAnsi="Times New Roman" w:cs="Times New Roman"/>
          <w:bCs/>
          <w:kern w:val="0"/>
          <w:sz w:val="28"/>
          <w:szCs w:val="28"/>
          <w:lang w:eastAsia="zh-CN"/>
        </w:rPr>
        <w:t>。</w:t>
      </w:r>
    </w:p>
    <w:p w14:paraId="7C3D67E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本项目</w:t>
      </w:r>
      <w:r>
        <w:rPr>
          <w:rFonts w:hint="default" w:ascii="Times New Roman" w:hAnsi="Times New Roman" w:cs="Times New Roman"/>
          <w:bCs/>
          <w:kern w:val="0"/>
          <w:sz w:val="28"/>
          <w:szCs w:val="28"/>
          <w:lang w:val="en-US" w:eastAsia="zh-CN"/>
        </w:rPr>
        <w:t>拟</w:t>
      </w:r>
      <w:r>
        <w:rPr>
          <w:rFonts w:hint="default" w:ascii="Times New Roman" w:hAnsi="Times New Roman" w:cs="Times New Roman"/>
          <w:bCs/>
          <w:kern w:val="0"/>
          <w:sz w:val="28"/>
          <w:szCs w:val="28"/>
          <w:lang w:eastAsia="zh-CN"/>
        </w:rPr>
        <w:t>采用</w:t>
      </w:r>
      <w:r>
        <w:rPr>
          <w:rFonts w:hint="default" w:ascii="Times New Roman" w:hAnsi="Times New Roman" w:cs="Times New Roman"/>
          <w:bCs/>
          <w:kern w:val="0"/>
          <w:sz w:val="28"/>
          <w:szCs w:val="28"/>
          <w:lang w:val="en-US" w:eastAsia="zh-CN"/>
        </w:rPr>
        <w:t>的自吸式</w:t>
      </w:r>
      <w:r>
        <w:rPr>
          <w:rFonts w:hint="default" w:ascii="Times New Roman" w:hAnsi="Times New Roman" w:cs="Times New Roman"/>
          <w:bCs/>
          <w:kern w:val="0"/>
          <w:sz w:val="28"/>
          <w:szCs w:val="28"/>
          <w:lang w:eastAsia="zh-CN"/>
        </w:rPr>
        <w:t>工艺技术为国内、外通用的油品储存、装卸及加油技术，在国内外均有大量成熟工艺。同时，为贯彻落实国务院《水污染防治行动计划》（国发[2015]17号，</w:t>
      </w:r>
      <w:r>
        <w:rPr>
          <w:rFonts w:hint="default" w:ascii="Times New Roman" w:hAnsi="Times New Roman" w:cs="Times New Roman"/>
          <w:bCs/>
          <w:kern w:val="0"/>
          <w:sz w:val="28"/>
          <w:szCs w:val="28"/>
          <w:lang w:val="en-US" w:eastAsia="zh-CN"/>
        </w:rPr>
        <w:t>2015年04月02日施行</w:t>
      </w:r>
      <w:r>
        <w:rPr>
          <w:rFonts w:hint="default" w:ascii="Times New Roman" w:hAnsi="Times New Roman" w:cs="Times New Roman"/>
          <w:bCs/>
          <w:kern w:val="0"/>
          <w:sz w:val="28"/>
          <w:szCs w:val="28"/>
          <w:lang w:eastAsia="zh-CN"/>
        </w:rPr>
        <w:t>）第八条二十四款中关于“加油站地下油罐应于2017年底前全部更新为双层罐或完成防渗池设置”的相关要求，本项目</w:t>
      </w:r>
      <w:r>
        <w:rPr>
          <w:rFonts w:hint="default" w:ascii="Times New Roman" w:hAnsi="Times New Roman" w:cs="Times New Roman"/>
          <w:bCs/>
          <w:kern w:val="0"/>
          <w:sz w:val="28"/>
          <w:szCs w:val="28"/>
          <w:lang w:val="en-US" w:eastAsia="zh-CN"/>
        </w:rPr>
        <w:t>的</w:t>
      </w:r>
      <w:r>
        <w:rPr>
          <w:rFonts w:hint="default" w:ascii="Times New Roman" w:hAnsi="Times New Roman" w:cs="Times New Roman"/>
          <w:bCs/>
          <w:kern w:val="0"/>
          <w:sz w:val="28"/>
          <w:szCs w:val="28"/>
          <w:lang w:eastAsia="zh-CN"/>
        </w:rPr>
        <w:t>储罐采用双层油罐，管道采用双</w:t>
      </w:r>
      <w:r>
        <w:rPr>
          <w:rFonts w:hint="default" w:ascii="Times New Roman" w:hAnsi="Times New Roman" w:cs="Times New Roman"/>
          <w:bCs/>
          <w:kern w:val="0"/>
          <w:sz w:val="28"/>
          <w:szCs w:val="28"/>
          <w:lang w:val="en-US" w:eastAsia="zh-CN"/>
        </w:rPr>
        <w:t>层</w:t>
      </w:r>
      <w:r>
        <w:rPr>
          <w:rFonts w:hint="default" w:ascii="Times New Roman" w:hAnsi="Times New Roman" w:cs="Times New Roman"/>
          <w:bCs/>
          <w:kern w:val="0"/>
          <w:sz w:val="28"/>
          <w:szCs w:val="28"/>
          <w:lang w:eastAsia="zh-CN"/>
        </w:rPr>
        <w:t>管道，其中双层罐拟选用埋地玻璃纤维增强塑料双层油罐，双层管道拟选用双层导静电热塑性管道，在防止油罐和管道出现渗漏方面具有双保险作用，并可实施在线监测和人工检测，无论是内层还是外层发生渗漏，都能在贯通间隙内被发现，从而可有效地避免渗漏油品进入环境，污染环境和地下水。此外，由于玻璃纤维增强塑料罐体、双层导静电热塑性管道的抗土壤和化学腐蚀方面远远优于钢制油罐和钢制管道，故其使用年限比直接接触土壤的钢制油罐和钢制管道要长。</w:t>
      </w:r>
    </w:p>
    <w:p w14:paraId="6DD0219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目前，大多数加油站均采用上述油品储存、装卸及加油技术，并采用埋地双层油罐和双层管道，设置了油气回收系统，至今未发生过任何安全生产事故和油品泄漏、渗漏事故，各系统运行正常。故本项目</w:t>
      </w:r>
      <w:r>
        <w:rPr>
          <w:rFonts w:hint="default" w:ascii="Times New Roman" w:hAnsi="Times New Roman" w:cs="Times New Roman"/>
          <w:bCs/>
          <w:kern w:val="0"/>
          <w:sz w:val="28"/>
          <w:szCs w:val="28"/>
          <w:lang w:val="en-US" w:eastAsia="zh-CN"/>
        </w:rPr>
        <w:t>拟</w:t>
      </w:r>
      <w:r>
        <w:rPr>
          <w:rFonts w:hint="default" w:ascii="Times New Roman" w:hAnsi="Times New Roman" w:cs="Times New Roman"/>
          <w:bCs/>
          <w:kern w:val="0"/>
          <w:sz w:val="28"/>
          <w:szCs w:val="28"/>
          <w:lang w:eastAsia="zh-CN"/>
        </w:rPr>
        <w:t>采用的工艺、设备成熟可靠，从本质安全和环境保护均具有一定的先进性。</w:t>
      </w:r>
    </w:p>
    <w:p w14:paraId="174D531C">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60" w:name="_Toc41246665"/>
      <w:bookmarkStart w:id="61" w:name="_Toc796"/>
      <w:r>
        <w:rPr>
          <w:rFonts w:hint="default" w:ascii="Times New Roman" w:hAnsi="Times New Roman" w:eastAsia="黑体" w:cs="Times New Roman"/>
          <w:b/>
          <w:bCs/>
          <w:color w:val="auto"/>
          <w:sz w:val="28"/>
          <w:szCs w:val="32"/>
          <w:lang w:val="en-US" w:eastAsia="zh-CN"/>
        </w:rPr>
        <w:t>2.3.2本项目采用的工艺路线及特点</w:t>
      </w:r>
      <w:bookmarkEnd w:id="60"/>
      <w:bookmarkEnd w:id="61"/>
    </w:p>
    <w:p w14:paraId="4B49CAE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cs="Times New Roman"/>
          <w:bCs/>
          <w:kern w:val="0"/>
          <w:sz w:val="28"/>
          <w:szCs w:val="28"/>
          <w:lang w:val="zh-CN" w:eastAsia="zh-CN"/>
        </w:rPr>
      </w:pPr>
      <w:r>
        <w:rPr>
          <w:rFonts w:hint="default" w:ascii="Times New Roman" w:hAnsi="Times New Roman" w:cs="Times New Roman"/>
          <w:bCs/>
          <w:kern w:val="0"/>
          <w:sz w:val="28"/>
          <w:szCs w:val="28"/>
          <w:lang w:eastAsia="zh-CN"/>
        </w:rPr>
        <w:t>本项目拟采用国内常用的加油工艺和卸油工艺，并设置油气回收系统。采用的</w:t>
      </w:r>
      <w:r>
        <w:rPr>
          <w:rFonts w:hint="default" w:ascii="Times New Roman" w:hAnsi="Times New Roman" w:cs="Times New Roman"/>
          <w:bCs/>
          <w:kern w:val="0"/>
          <w:sz w:val="28"/>
          <w:szCs w:val="28"/>
          <w:lang w:val="zh-CN" w:eastAsia="zh-CN"/>
        </w:rPr>
        <w:t>油气回收系统为一次油气回收、二次油气回收。一次油气回收即汽油卸油油气回收，二次油气回收即汽油加油油气回收</w:t>
      </w:r>
      <w:r>
        <w:rPr>
          <w:rFonts w:hint="eastAsia" w:cs="Times New Roman"/>
          <w:bCs/>
          <w:kern w:val="0"/>
          <w:sz w:val="28"/>
          <w:szCs w:val="28"/>
          <w:lang w:val="zh-CN" w:eastAsia="zh-CN"/>
        </w:rPr>
        <w:t>。</w:t>
      </w:r>
    </w:p>
    <w:p w14:paraId="52A0254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加油工艺拟采用</w:t>
      </w:r>
      <w:r>
        <w:rPr>
          <w:rFonts w:hint="default" w:ascii="Times New Roman" w:hAnsi="Times New Roman" w:cs="Times New Roman"/>
          <w:bCs/>
          <w:kern w:val="0"/>
          <w:sz w:val="28"/>
          <w:szCs w:val="28"/>
          <w:lang w:val="en-US" w:eastAsia="zh-CN"/>
        </w:rPr>
        <w:t>自吸</w:t>
      </w:r>
      <w:r>
        <w:rPr>
          <w:rFonts w:hint="default" w:ascii="Times New Roman" w:hAnsi="Times New Roman" w:cs="Times New Roman"/>
          <w:bCs/>
          <w:kern w:val="0"/>
          <w:sz w:val="28"/>
          <w:szCs w:val="28"/>
          <w:lang w:eastAsia="zh-CN"/>
        </w:rPr>
        <w:t>式加油，</w:t>
      </w:r>
      <w:r>
        <w:rPr>
          <w:rFonts w:hint="default" w:ascii="Times New Roman" w:hAnsi="Times New Roman" w:cs="Times New Roman"/>
          <w:bCs/>
          <w:kern w:val="0"/>
          <w:sz w:val="28"/>
          <w:szCs w:val="28"/>
          <w:lang w:val="en-US" w:eastAsia="zh-CN"/>
        </w:rPr>
        <w:t>自吸泵</w:t>
      </w:r>
      <w:r>
        <w:rPr>
          <w:rFonts w:hint="default" w:ascii="Times New Roman" w:hAnsi="Times New Roman" w:cs="Times New Roman"/>
          <w:bCs/>
          <w:kern w:val="0"/>
          <w:sz w:val="28"/>
          <w:szCs w:val="28"/>
          <w:lang w:eastAsia="zh-CN"/>
        </w:rPr>
        <w:t>将地下储油罐中的燃油经过滤吸入泵腔，油液在泵内被增压，进入油气分离器，油液中的气体被分离并排出。不含气的油液进入测量变换器并推动其中的计量活塞移动，同时输出与被计量燃油体积量相应的输出轴角位移信号，经传感器转换为电脉冲信号后，传给电子计数指示装置，该装置可记录并显示当次和累计的加油量与金额，经计量的燃油</w:t>
      </w:r>
      <w:r>
        <w:rPr>
          <w:rFonts w:hint="default" w:ascii="Times New Roman" w:hAnsi="Times New Roman" w:cs="Times New Roman"/>
          <w:bCs/>
          <w:kern w:val="0"/>
          <w:sz w:val="28"/>
          <w:szCs w:val="28"/>
          <w:lang w:val="en-US" w:eastAsia="zh-CN"/>
        </w:rPr>
        <w:t>最后通过</w:t>
      </w:r>
      <w:r>
        <w:rPr>
          <w:rFonts w:hint="default" w:ascii="Times New Roman" w:hAnsi="Times New Roman" w:cs="Times New Roman"/>
          <w:bCs/>
          <w:kern w:val="0"/>
          <w:sz w:val="28"/>
          <w:szCs w:val="28"/>
          <w:lang w:eastAsia="zh-CN"/>
        </w:rPr>
        <w:t>加油枪排出。</w:t>
      </w:r>
    </w:p>
    <w:p w14:paraId="19A9955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eastAsia="zh-CN"/>
        </w:rPr>
        <w:t>卸油工艺拟采用油罐车经连通软管与油罐卸油孔连通后自流密闭卸油，并设置液位监测报警系统，当油罐容量达到90％的液位时触动声光报警器，同时储罐拟设置防溢满措施，即一种机械装置——防溢流阀，安装在卸油管中，当油料达到油罐容量的95％时，防溢流阀自动关闭，阻止油品继续进罐。</w:t>
      </w:r>
    </w:p>
    <w:p w14:paraId="39926B6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eastAsia="zh-CN"/>
        </w:rPr>
      </w:pPr>
      <w:r>
        <w:rPr>
          <w:rFonts w:hint="default" w:ascii="Times New Roman" w:hAnsi="Times New Roman" w:cs="Times New Roman"/>
          <w:bCs/>
          <w:kern w:val="0"/>
          <w:sz w:val="28"/>
          <w:szCs w:val="28"/>
          <w:lang w:val="zh-CN" w:eastAsia="zh-CN"/>
        </w:rPr>
        <w:t>一次油气回收阶段是通过压力平衡原理，将在卸油过程中挥发的油气收集到油罐车内，运回储油库进行油气回收处理的过程。</w:t>
      </w:r>
    </w:p>
    <w:p w14:paraId="3CE0852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zh-CN" w:eastAsia="zh-CN"/>
        </w:rPr>
      </w:pPr>
      <w:r>
        <w:rPr>
          <w:rFonts w:hint="default" w:ascii="Times New Roman" w:hAnsi="Times New Roman" w:cs="Times New Roman"/>
          <w:bCs/>
          <w:kern w:val="0"/>
          <w:sz w:val="28"/>
          <w:szCs w:val="28"/>
          <w:lang w:val="zh-CN" w:eastAsia="zh-CN"/>
        </w:rPr>
        <w:t>二次油气回收阶段是采用真空辅助式油气回收设备，将在加油过程中挥发的油气通过地下油气回收管线收集到地下储罐的油气回收过程。</w:t>
      </w:r>
    </w:p>
    <w:p w14:paraId="2DF7BA45">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62" w:name="_Toc17404"/>
      <w:bookmarkStart w:id="63" w:name="_Toc41246666"/>
      <w:r>
        <w:rPr>
          <w:rFonts w:hint="default" w:ascii="Times New Roman" w:hAnsi="Times New Roman" w:eastAsia="黑体" w:cs="Times New Roman"/>
          <w:b/>
          <w:bCs/>
          <w:color w:val="auto"/>
          <w:sz w:val="28"/>
          <w:szCs w:val="32"/>
          <w:lang w:val="en-US" w:eastAsia="zh-CN"/>
        </w:rPr>
        <w:t>2.3.3分析结果</w:t>
      </w:r>
      <w:bookmarkEnd w:id="62"/>
      <w:bookmarkEnd w:id="63"/>
    </w:p>
    <w:p w14:paraId="39FADD9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eastAsia="zh-CN"/>
        </w:rPr>
        <w:t>本项目拟采用的工艺技术属于国、内外较为成熟、可靠的工艺技术，在国内同行业中已被广泛采用。根据《产业结构调整指导目录（2024年本）》（国家发展和改革委员会令第7号，2024年02月01日施行）、《应急管理部办公厅关于印发&lt;淘汰落后危险化学品安全生产工艺技术设备目录（第一批）&gt;的通知》（应急厅〔2020〕38号，2020年10月23日施行）</w:t>
      </w:r>
      <w:r>
        <w:rPr>
          <w:rFonts w:hint="default" w:ascii="Times New Roman" w:hAnsi="Times New Roman" w:cs="Times New Roman"/>
          <w:bCs/>
          <w:kern w:val="0"/>
          <w:sz w:val="28"/>
          <w:szCs w:val="28"/>
          <w:lang w:val="en-US" w:eastAsia="zh-CN"/>
        </w:rPr>
        <w:t>和《应急管理部办公厅关于印发&lt;淘汰落后危险化学品安全生产工艺技术设备目录（第二批）&gt;的通知》（应急厅〔2024〕86号，2024年03月08日施行）</w:t>
      </w:r>
      <w:r>
        <w:rPr>
          <w:rFonts w:hint="default" w:ascii="Times New Roman" w:hAnsi="Times New Roman" w:cs="Times New Roman"/>
          <w:bCs/>
          <w:kern w:val="0"/>
          <w:sz w:val="28"/>
          <w:szCs w:val="28"/>
          <w:lang w:eastAsia="zh-CN"/>
        </w:rPr>
        <w:t>，拟采用的工艺不属于国家限制类或淘汰类</w:t>
      </w:r>
      <w:r>
        <w:rPr>
          <w:rFonts w:hint="default" w:ascii="Times New Roman" w:hAnsi="Times New Roman" w:cs="Times New Roman"/>
          <w:bCs/>
          <w:kern w:val="0"/>
          <w:sz w:val="28"/>
          <w:szCs w:val="28"/>
          <w:lang w:val="en-US" w:eastAsia="zh-CN"/>
        </w:rPr>
        <w:t>工艺</w:t>
      </w:r>
      <w:r>
        <w:rPr>
          <w:rFonts w:hint="default" w:ascii="Times New Roman" w:hAnsi="Times New Roman" w:cs="Times New Roman"/>
          <w:bCs/>
          <w:kern w:val="0"/>
          <w:sz w:val="28"/>
          <w:szCs w:val="28"/>
          <w:lang w:eastAsia="zh-CN"/>
        </w:rPr>
        <w:t>，拟选用的设备也不属于淘汰落后设备。</w:t>
      </w:r>
    </w:p>
    <w:p w14:paraId="489F0372">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64" w:name="_Toc25139"/>
      <w:r>
        <w:rPr>
          <w:rFonts w:hint="default" w:ascii="Times New Roman" w:hAnsi="Times New Roman" w:eastAsia="楷体" w:cs="Times New Roman"/>
          <w:color w:val="auto"/>
          <w:sz w:val="32"/>
          <w:szCs w:val="32"/>
          <w:lang w:val="en-US" w:eastAsia="zh-CN"/>
        </w:rPr>
        <w:t>2.4建设项目所在地理位置、用地面积、生产</w:t>
      </w:r>
      <w:bookmarkEnd w:id="56"/>
      <w:bookmarkEnd w:id="57"/>
      <w:r>
        <w:rPr>
          <w:rFonts w:hint="default" w:ascii="Times New Roman" w:hAnsi="Times New Roman" w:eastAsia="楷体" w:cs="Times New Roman"/>
          <w:color w:val="auto"/>
          <w:sz w:val="32"/>
          <w:szCs w:val="32"/>
          <w:lang w:val="en-US" w:eastAsia="zh-CN"/>
        </w:rPr>
        <w:t>或者储存规模</w:t>
      </w:r>
      <w:bookmarkEnd w:id="58"/>
      <w:bookmarkEnd w:id="59"/>
      <w:bookmarkEnd w:id="64"/>
    </w:p>
    <w:p w14:paraId="0C5AF8E2">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65" w:name="_Toc2832"/>
      <w:bookmarkStart w:id="66" w:name="_Toc146488831"/>
      <w:bookmarkStart w:id="67" w:name="_Toc24229"/>
      <w:bookmarkStart w:id="68" w:name="_Toc41246668"/>
      <w:r>
        <w:rPr>
          <w:rFonts w:hint="default" w:ascii="Times New Roman" w:hAnsi="Times New Roman" w:eastAsia="黑体" w:cs="Times New Roman"/>
          <w:b/>
          <w:bCs/>
          <w:color w:val="auto"/>
          <w:sz w:val="28"/>
          <w:szCs w:val="32"/>
          <w:lang w:val="en-US" w:eastAsia="zh-CN"/>
        </w:rPr>
        <w:t>2.4.1地理位置</w:t>
      </w:r>
      <w:bookmarkEnd w:id="65"/>
      <w:bookmarkEnd w:id="66"/>
      <w:bookmarkEnd w:id="67"/>
      <w:bookmarkEnd w:id="68"/>
    </w:p>
    <w:p w14:paraId="598ABF7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eastAsia" w:ascii="Times New Roman" w:hAnsi="Times New Roman" w:cs="Times New Roman"/>
          <w:bCs/>
          <w:kern w:val="0"/>
          <w:sz w:val="28"/>
          <w:szCs w:val="28"/>
          <w:lang w:val="en-US" w:eastAsia="zh-CN"/>
        </w:rPr>
        <w:t>该项目</w:t>
      </w:r>
      <w:r>
        <w:rPr>
          <w:rFonts w:hint="default" w:ascii="Times New Roman" w:hAnsi="Times New Roman" w:cs="Times New Roman"/>
          <w:bCs/>
          <w:kern w:val="0"/>
          <w:sz w:val="28"/>
          <w:szCs w:val="28"/>
          <w:lang w:eastAsia="zh-CN"/>
        </w:rPr>
        <w:t>位于绥中县绥中镇商业路，站区</w:t>
      </w:r>
      <w:r>
        <w:rPr>
          <w:rFonts w:hint="default" w:ascii="Times New Roman" w:hAnsi="Times New Roman" w:cs="Times New Roman"/>
          <w:bCs/>
          <w:kern w:val="0"/>
          <w:sz w:val="28"/>
          <w:szCs w:val="28"/>
          <w:lang w:val="en-US" w:eastAsia="zh-CN"/>
        </w:rPr>
        <w:t>北侧</w:t>
      </w:r>
      <w:r>
        <w:rPr>
          <w:rFonts w:hint="eastAsia" w:cs="Times New Roman"/>
          <w:bCs/>
          <w:kern w:val="0"/>
          <w:sz w:val="28"/>
          <w:szCs w:val="28"/>
          <w:lang w:val="en-US" w:eastAsia="zh-CN"/>
        </w:rPr>
        <w:t>为医院门诊楼（一类保护物）；南侧现为空地；西侧为商业路（主干路）；东侧为居民楼（二类保护物）</w:t>
      </w:r>
      <w:r>
        <w:rPr>
          <w:rFonts w:hint="default" w:ascii="Times New Roman" w:hAnsi="Times New Roman" w:cs="Times New Roman"/>
          <w:bCs/>
          <w:kern w:val="0"/>
          <w:sz w:val="28"/>
          <w:szCs w:val="28"/>
          <w:lang w:val="en-US" w:eastAsia="zh-CN"/>
        </w:rPr>
        <w:t>。</w:t>
      </w:r>
    </w:p>
    <w:p w14:paraId="095E52C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黑体" w:hAnsi="黑体" w:eastAsia="黑体" w:cs="黑体"/>
          <w:sz w:val="24"/>
          <w:szCs w:val="24"/>
        </w:rPr>
      </w:pPr>
      <w:r>
        <w:rPr>
          <w:rFonts w:hint="default" w:ascii="Times New Roman" w:hAnsi="Times New Roman" w:cs="Times New Roman"/>
          <w:bCs/>
          <w:kern w:val="0"/>
          <w:sz w:val="28"/>
          <w:szCs w:val="28"/>
          <w:lang w:eastAsia="zh-CN"/>
        </w:rPr>
        <w:t>该站周边无自然保护区、风景名胜区、水源保护区等需要特殊保护的用地。项目地理位置见图2</w:t>
      </w:r>
      <w:r>
        <w:rPr>
          <w:rFonts w:hint="default" w:ascii="Times New Roman" w:hAnsi="Times New Roman" w:cs="Times New Roman"/>
          <w:bCs/>
          <w:kern w:val="0"/>
          <w:sz w:val="28"/>
          <w:szCs w:val="28"/>
          <w:lang w:val="en-US" w:eastAsia="zh-CN"/>
        </w:rPr>
        <w:t>.4</w:t>
      </w:r>
      <w:r>
        <w:rPr>
          <w:rFonts w:hint="default" w:ascii="Times New Roman" w:hAnsi="Times New Roman" w:cs="Times New Roman"/>
          <w:bCs/>
          <w:kern w:val="0"/>
          <w:sz w:val="28"/>
          <w:szCs w:val="28"/>
          <w:lang w:eastAsia="zh-CN"/>
        </w:rPr>
        <w:t>-1</w:t>
      </w:r>
      <w:r>
        <w:rPr>
          <w:rFonts w:hint="default" w:ascii="Times New Roman" w:hAnsi="Times New Roman" w:cs="Times New Roman"/>
          <w:bCs/>
          <w:kern w:val="0"/>
          <w:sz w:val="28"/>
          <w:szCs w:val="28"/>
          <w:lang w:val="en-US" w:eastAsia="zh-CN"/>
        </w:rPr>
        <w:t>和图2.4-2</w:t>
      </w:r>
      <w:r>
        <w:rPr>
          <w:rFonts w:hint="default" w:ascii="Times New Roman" w:hAnsi="Times New Roman" w:cs="Times New Roman"/>
          <w:bCs/>
          <w:kern w:val="0"/>
          <w:sz w:val="28"/>
          <w:szCs w:val="28"/>
          <w:lang w:eastAsia="zh-CN"/>
        </w:rPr>
        <w:t>。</w:t>
      </w:r>
      <w:bookmarkStart w:id="69" w:name="_Toc1076"/>
      <w:bookmarkStart w:id="70" w:name="_Toc146488832"/>
      <w:bookmarkStart w:id="71" w:name="_Toc41246669"/>
    </w:p>
    <w:p w14:paraId="3BC5025A">
      <w:pPr>
        <w:pStyle w:val="5"/>
        <w:ind w:firstLine="0" w:firstLineChars="0"/>
        <w:jc w:val="center"/>
        <w:rPr>
          <w:rFonts w:hint="eastAsia" w:ascii="黑体" w:hAnsi="黑体" w:eastAsia="黑体" w:cs="黑体"/>
          <w:sz w:val="24"/>
          <w:szCs w:val="24"/>
          <w:lang w:val="en-US"/>
        </w:rPr>
      </w:pPr>
      <w:r>
        <w:rPr>
          <w:rFonts w:hint="eastAsia" w:ascii="黑体" w:hAnsi="黑体" w:eastAsia="黑体" w:cs="黑体"/>
          <w:sz w:val="24"/>
          <w:szCs w:val="24"/>
        </w:rPr>
        <w:t>图</w:t>
      </w:r>
      <w:r>
        <w:rPr>
          <w:rFonts w:hint="default" w:ascii="Times New Roman" w:hAnsi="Times New Roman" w:eastAsia="黑体" w:cs="Times New Roman"/>
          <w:sz w:val="24"/>
          <w:szCs w:val="24"/>
        </w:rPr>
        <w:t>2</w:t>
      </w:r>
      <w:r>
        <w:rPr>
          <w:rFonts w:hint="default" w:ascii="Times New Roman" w:hAnsi="Times New Roman" w:eastAsia="黑体" w:cs="Times New Roman"/>
          <w:sz w:val="24"/>
          <w:szCs w:val="24"/>
          <w:lang w:val="en-US" w:eastAsia="zh-CN"/>
        </w:rPr>
        <w:t>.4</w:t>
      </w:r>
      <w:r>
        <w:rPr>
          <w:rFonts w:hint="default" w:ascii="Times New Roman" w:hAnsi="Times New Roman" w:eastAsia="黑体" w:cs="Times New Roman"/>
          <w:sz w:val="24"/>
          <w:szCs w:val="24"/>
        </w:rPr>
        <w:t>-</w:t>
      </w:r>
      <w:r>
        <w:rPr>
          <w:rFonts w:hint="default" w:ascii="Times New Roman" w:hAnsi="Times New Roman" w:eastAsia="黑体" w:cs="Times New Roman"/>
          <w:sz w:val="24"/>
          <w:szCs w:val="24"/>
          <w:lang w:val="en-US" w:eastAsia="zh-CN"/>
        </w:rPr>
        <w:t>2  周边环境示</w:t>
      </w:r>
      <w:r>
        <w:rPr>
          <w:rFonts w:hint="eastAsia" w:ascii="黑体" w:hAnsi="黑体" w:eastAsia="黑体" w:cs="黑体"/>
          <w:sz w:val="24"/>
          <w:szCs w:val="24"/>
          <w:lang w:val="en-US" w:eastAsia="zh-CN"/>
        </w:rPr>
        <w:t>意图</w:t>
      </w:r>
    </w:p>
    <w:p w14:paraId="7F619D28">
      <w:pPr>
        <w:outlineLvl w:val="9"/>
        <w:rPr>
          <w:rFonts w:hint="default" w:ascii="Times New Roman" w:hAnsi="Times New Roman" w:eastAsia="黑体" w:cs="Times New Roman"/>
          <w:sz w:val="28"/>
          <w:szCs w:val="28"/>
        </w:rPr>
        <w:sectPr>
          <w:headerReference r:id="rId6" w:type="default"/>
          <w:footerReference r:id="rId7" w:type="default"/>
          <w:pgSz w:w="11906" w:h="16838"/>
          <w:pgMar w:top="1417" w:right="1134" w:bottom="1134" w:left="1587"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28623219">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72" w:name="_Toc31225"/>
      <w:r>
        <w:rPr>
          <w:rFonts w:hint="default" w:ascii="Times New Roman" w:hAnsi="Times New Roman" w:eastAsia="黑体" w:cs="Times New Roman"/>
          <w:b/>
          <w:bCs/>
          <w:color w:val="auto"/>
          <w:sz w:val="28"/>
          <w:szCs w:val="32"/>
          <w:lang w:val="en-US" w:eastAsia="zh-CN"/>
        </w:rPr>
        <w:t>2.4.2用地面积</w:t>
      </w:r>
      <w:bookmarkEnd w:id="69"/>
      <w:bookmarkEnd w:id="70"/>
      <w:bookmarkEnd w:id="71"/>
      <w:bookmarkEnd w:id="72"/>
    </w:p>
    <w:p w14:paraId="3981FE1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val="en-US" w:eastAsia="zh-CN"/>
        </w:rPr>
        <w:t>项目</w:t>
      </w:r>
      <w:r>
        <w:rPr>
          <w:rFonts w:hint="eastAsia" w:cs="Times New Roman"/>
          <w:bCs/>
          <w:kern w:val="0"/>
          <w:sz w:val="28"/>
          <w:szCs w:val="28"/>
          <w:lang w:val="en-US" w:eastAsia="zh-CN"/>
        </w:rPr>
        <w:t>总用地</w:t>
      </w:r>
      <w:r>
        <w:rPr>
          <w:rFonts w:hint="default" w:ascii="Times New Roman" w:hAnsi="Times New Roman" w:cs="Times New Roman"/>
          <w:bCs/>
          <w:kern w:val="0"/>
          <w:sz w:val="28"/>
          <w:szCs w:val="28"/>
          <w:lang w:val="en-US" w:eastAsia="zh-CN"/>
        </w:rPr>
        <w:t>面积为</w:t>
      </w:r>
      <w:r>
        <w:rPr>
          <w:rFonts w:hint="eastAsia" w:cs="Times New Roman"/>
          <w:bCs/>
          <w:kern w:val="0"/>
          <w:sz w:val="28"/>
          <w:szCs w:val="28"/>
          <w:lang w:val="en-US" w:eastAsia="zh-CN"/>
        </w:rPr>
        <w:t>654.38m</w:t>
      </w:r>
      <w:r>
        <w:rPr>
          <w:rFonts w:hint="eastAsia" w:cs="Times New Roman"/>
          <w:bCs/>
          <w:kern w:val="0"/>
          <w:sz w:val="28"/>
          <w:szCs w:val="28"/>
          <w:vertAlign w:val="superscript"/>
          <w:lang w:val="en-US" w:eastAsia="zh-CN"/>
        </w:rPr>
        <w:t>2</w:t>
      </w:r>
      <w:r>
        <w:rPr>
          <w:rFonts w:hint="eastAsia" w:cs="Times New Roman"/>
          <w:bCs/>
          <w:kern w:val="0"/>
          <w:sz w:val="28"/>
          <w:szCs w:val="28"/>
          <w:vertAlign w:val="baseline"/>
          <w:lang w:val="en-US" w:eastAsia="zh-CN"/>
        </w:rPr>
        <w:t>，总占地面积为371.14m</w:t>
      </w:r>
      <w:r>
        <w:rPr>
          <w:rFonts w:hint="eastAsia" w:cs="Times New Roman"/>
          <w:bCs/>
          <w:kern w:val="0"/>
          <w:sz w:val="28"/>
          <w:szCs w:val="28"/>
          <w:vertAlign w:val="superscript"/>
          <w:lang w:val="en-US" w:eastAsia="zh-CN"/>
        </w:rPr>
        <w:t>2</w:t>
      </w:r>
      <w:r>
        <w:rPr>
          <w:rFonts w:hint="default" w:ascii="Times New Roman" w:hAnsi="Times New Roman" w:cs="Times New Roman"/>
          <w:bCs/>
          <w:kern w:val="0"/>
          <w:sz w:val="28"/>
          <w:szCs w:val="28"/>
          <w:lang w:val="en-US" w:eastAsia="zh-CN"/>
        </w:rPr>
        <w:t>。</w:t>
      </w:r>
    </w:p>
    <w:p w14:paraId="712BD473">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73" w:name="_Toc41246670"/>
      <w:bookmarkStart w:id="74" w:name="_Toc11890"/>
      <w:bookmarkStart w:id="75" w:name="_Toc736"/>
      <w:bookmarkStart w:id="76" w:name="_Toc146488833"/>
      <w:bookmarkStart w:id="77" w:name="_Toc41246671"/>
      <w:r>
        <w:rPr>
          <w:rFonts w:hint="default" w:ascii="Times New Roman" w:hAnsi="Times New Roman" w:eastAsia="黑体" w:cs="Times New Roman"/>
          <w:b/>
          <w:bCs/>
          <w:color w:val="auto"/>
          <w:sz w:val="28"/>
          <w:szCs w:val="32"/>
          <w:lang w:val="en-US" w:eastAsia="zh-CN"/>
        </w:rPr>
        <w:t>2.4.3储存规模</w:t>
      </w:r>
      <w:bookmarkEnd w:id="73"/>
      <w:bookmarkEnd w:id="74"/>
      <w:bookmarkEnd w:id="75"/>
      <w:bookmarkEnd w:id="76"/>
    </w:p>
    <w:p w14:paraId="064BCB7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val="en-US" w:eastAsia="zh-CN"/>
        </w:rPr>
        <w:t>储存规模：4座埋地</w:t>
      </w:r>
      <w:r>
        <w:rPr>
          <w:rFonts w:hint="eastAsia" w:cs="Times New Roman"/>
          <w:bCs/>
          <w:kern w:val="0"/>
          <w:sz w:val="28"/>
          <w:szCs w:val="28"/>
          <w:lang w:val="en-US" w:eastAsia="zh-CN"/>
        </w:rPr>
        <w:t>F</w:t>
      </w:r>
      <w:r>
        <w:rPr>
          <w:rFonts w:hint="default" w:ascii="Times New Roman" w:hAnsi="Times New Roman" w:cs="Times New Roman"/>
          <w:bCs/>
          <w:kern w:val="0"/>
          <w:sz w:val="28"/>
          <w:szCs w:val="28"/>
          <w:lang w:val="en-US" w:eastAsia="zh-CN"/>
        </w:rPr>
        <w:t>F双层储罐，其中</w:t>
      </w:r>
      <w:r>
        <w:rPr>
          <w:rFonts w:hint="eastAsia" w:cs="Times New Roman"/>
          <w:bCs/>
          <w:kern w:val="0"/>
          <w:sz w:val="28"/>
          <w:szCs w:val="28"/>
          <w:lang w:val="en-US" w:eastAsia="zh-CN"/>
        </w:rPr>
        <w:t>3</w:t>
      </w:r>
      <w:r>
        <w:rPr>
          <w:rFonts w:hint="default" w:ascii="Times New Roman" w:hAnsi="Times New Roman" w:cs="Times New Roman"/>
          <w:bCs/>
          <w:kern w:val="0"/>
          <w:sz w:val="28"/>
          <w:szCs w:val="28"/>
          <w:lang w:val="en-US" w:eastAsia="zh-CN"/>
        </w:rPr>
        <w:t>座</w:t>
      </w:r>
      <w:r>
        <w:rPr>
          <w:rFonts w:hint="eastAsia" w:cs="Times New Roman"/>
          <w:bCs/>
          <w:kern w:val="0"/>
          <w:sz w:val="28"/>
          <w:szCs w:val="28"/>
          <w:lang w:val="en-US" w:eastAsia="zh-CN"/>
        </w:rPr>
        <w:t>乙醇汽油</w:t>
      </w:r>
      <w:r>
        <w:rPr>
          <w:rFonts w:hint="default" w:ascii="Times New Roman" w:hAnsi="Times New Roman" w:cs="Times New Roman"/>
          <w:bCs/>
          <w:kern w:val="0"/>
          <w:sz w:val="28"/>
          <w:szCs w:val="28"/>
          <w:lang w:val="en-US" w:eastAsia="zh-CN"/>
        </w:rPr>
        <w:t>储罐，储量均为</w:t>
      </w:r>
      <w:r>
        <w:rPr>
          <w:rFonts w:hint="eastAsia" w:cs="Times New Roman"/>
          <w:bCs/>
          <w:kern w:val="0"/>
          <w:sz w:val="28"/>
          <w:szCs w:val="28"/>
          <w:lang w:val="en-US" w:eastAsia="zh-CN"/>
        </w:rPr>
        <w:t>3</w:t>
      </w:r>
      <w:r>
        <w:rPr>
          <w:rFonts w:hint="default" w:ascii="Times New Roman" w:hAnsi="Times New Roman" w:cs="Times New Roman"/>
          <w:bCs/>
          <w:kern w:val="0"/>
          <w:sz w:val="28"/>
          <w:szCs w:val="28"/>
          <w:lang w:val="en-US" w:eastAsia="zh-CN"/>
        </w:rPr>
        <w:t>0m³，即</w:t>
      </w:r>
      <w:r>
        <w:rPr>
          <w:rFonts w:hint="eastAsia" w:cs="Times New Roman"/>
          <w:bCs/>
          <w:kern w:val="0"/>
          <w:sz w:val="28"/>
          <w:szCs w:val="28"/>
          <w:lang w:val="en-US" w:eastAsia="zh-CN"/>
        </w:rPr>
        <w:t>乙醇汽油</w:t>
      </w:r>
      <w:r>
        <w:rPr>
          <w:rFonts w:hint="default" w:ascii="Times New Roman" w:hAnsi="Times New Roman" w:cs="Times New Roman"/>
          <w:bCs/>
          <w:kern w:val="0"/>
          <w:sz w:val="28"/>
          <w:szCs w:val="28"/>
          <w:lang w:val="en-US" w:eastAsia="zh-CN"/>
        </w:rPr>
        <w:t>储罐总容积为</w:t>
      </w:r>
      <w:r>
        <w:rPr>
          <w:rFonts w:hint="eastAsia" w:cs="Times New Roman"/>
          <w:bCs/>
          <w:kern w:val="0"/>
          <w:sz w:val="28"/>
          <w:szCs w:val="28"/>
          <w:lang w:val="en-US" w:eastAsia="zh-CN"/>
        </w:rPr>
        <w:t>9</w:t>
      </w:r>
      <w:r>
        <w:rPr>
          <w:rFonts w:hint="default" w:ascii="Times New Roman" w:hAnsi="Times New Roman" w:cs="Times New Roman"/>
          <w:bCs/>
          <w:kern w:val="0"/>
          <w:sz w:val="28"/>
          <w:szCs w:val="28"/>
          <w:lang w:val="en-US" w:eastAsia="zh-CN"/>
        </w:rPr>
        <w:t>0m³，</w:t>
      </w:r>
      <w:r>
        <w:rPr>
          <w:rFonts w:hint="eastAsia" w:cs="Times New Roman"/>
          <w:bCs/>
          <w:kern w:val="0"/>
          <w:sz w:val="28"/>
          <w:szCs w:val="28"/>
          <w:lang w:val="en-US" w:eastAsia="zh-CN"/>
        </w:rPr>
        <w:t>乙醇汽油密度为0.80 t</w:t>
      </w:r>
      <w:r>
        <w:rPr>
          <w:rFonts w:hint="default" w:ascii="Times New Roman" w:hAnsi="Times New Roman" w:eastAsia="宋体" w:cs="Times New Roman"/>
          <w:kern w:val="2"/>
          <w:sz w:val="28"/>
          <w:szCs w:val="28"/>
          <w:lang w:val="en-US" w:eastAsia="zh-CN"/>
        </w:rPr>
        <w:t>/m</w:t>
      </w:r>
      <w:r>
        <w:rPr>
          <w:rFonts w:hint="default" w:ascii="Times New Roman" w:hAnsi="Times New Roman" w:eastAsia="宋体" w:cs="Times New Roman"/>
          <w:kern w:val="2"/>
          <w:vertAlign w:val="superscript"/>
          <w:lang w:val="en-US" w:eastAsia="zh-CN"/>
        </w:rPr>
        <w:t>3</w:t>
      </w:r>
      <w:r>
        <w:rPr>
          <w:rFonts w:hint="eastAsia" w:cs="Times New Roman"/>
          <w:bCs/>
          <w:kern w:val="0"/>
          <w:sz w:val="28"/>
          <w:szCs w:val="28"/>
          <w:lang w:val="en-US" w:eastAsia="zh-CN"/>
        </w:rPr>
        <w:t>，</w:t>
      </w:r>
      <w:r>
        <w:rPr>
          <w:rFonts w:hint="default" w:ascii="Times New Roman" w:hAnsi="Times New Roman" w:cs="Times New Roman"/>
          <w:bCs/>
          <w:kern w:val="0"/>
          <w:sz w:val="28"/>
          <w:szCs w:val="28"/>
          <w:lang w:val="en-US" w:eastAsia="zh-CN"/>
        </w:rPr>
        <w:t>折合质量为</w:t>
      </w:r>
      <w:r>
        <w:rPr>
          <w:rFonts w:hint="eastAsia" w:cs="Times New Roman"/>
          <w:bCs/>
          <w:kern w:val="0"/>
          <w:sz w:val="28"/>
          <w:szCs w:val="28"/>
          <w:lang w:val="en-US" w:eastAsia="zh-CN"/>
        </w:rPr>
        <w:t>72</w:t>
      </w:r>
      <w:r>
        <w:rPr>
          <w:rFonts w:hint="default" w:ascii="Times New Roman" w:hAnsi="Times New Roman" w:cs="Times New Roman"/>
          <w:bCs/>
          <w:kern w:val="0"/>
          <w:sz w:val="28"/>
          <w:szCs w:val="28"/>
          <w:lang w:val="en-US" w:eastAsia="zh-CN"/>
        </w:rPr>
        <w:t>t；</w:t>
      </w:r>
      <w:r>
        <w:rPr>
          <w:rFonts w:hint="eastAsia" w:cs="Times New Roman"/>
          <w:bCs/>
          <w:kern w:val="0"/>
          <w:sz w:val="28"/>
          <w:szCs w:val="28"/>
          <w:lang w:val="en-US" w:eastAsia="zh-CN"/>
        </w:rPr>
        <w:t>1</w:t>
      </w:r>
      <w:r>
        <w:rPr>
          <w:rFonts w:hint="default" w:ascii="Times New Roman" w:hAnsi="Times New Roman" w:cs="Times New Roman"/>
          <w:bCs/>
          <w:kern w:val="0"/>
          <w:sz w:val="28"/>
          <w:szCs w:val="28"/>
          <w:lang w:val="en-US" w:eastAsia="zh-CN"/>
        </w:rPr>
        <w:t>座柴油储罐，储量均为</w:t>
      </w:r>
      <w:r>
        <w:rPr>
          <w:rFonts w:hint="eastAsia" w:cs="Times New Roman"/>
          <w:bCs/>
          <w:kern w:val="0"/>
          <w:sz w:val="28"/>
          <w:szCs w:val="28"/>
          <w:lang w:val="en-US" w:eastAsia="zh-CN"/>
        </w:rPr>
        <w:t>30</w:t>
      </w:r>
      <w:r>
        <w:rPr>
          <w:rFonts w:hint="default" w:ascii="Times New Roman" w:hAnsi="Times New Roman" w:cs="Times New Roman"/>
          <w:bCs/>
          <w:kern w:val="0"/>
          <w:sz w:val="28"/>
          <w:szCs w:val="28"/>
          <w:lang w:val="en-US" w:eastAsia="zh-CN"/>
        </w:rPr>
        <w:t>m³，</w:t>
      </w:r>
      <w:r>
        <w:rPr>
          <w:rFonts w:hint="eastAsia" w:cs="Times New Roman"/>
          <w:bCs/>
          <w:kern w:val="0"/>
          <w:sz w:val="28"/>
          <w:szCs w:val="28"/>
          <w:lang w:val="en-US" w:eastAsia="zh-CN"/>
        </w:rPr>
        <w:t>柴油密度为0.85</w:t>
      </w:r>
      <w:r>
        <w:rPr>
          <w:rFonts w:hint="default" w:ascii="Times New Roman" w:hAnsi="Times New Roman" w:eastAsia="宋体" w:cs="Times New Roman"/>
          <w:kern w:val="2"/>
          <w:sz w:val="28"/>
          <w:szCs w:val="28"/>
          <w:lang w:val="en-US" w:eastAsia="zh-CN"/>
        </w:rPr>
        <w:t>t/m</w:t>
      </w:r>
      <w:r>
        <w:rPr>
          <w:rFonts w:hint="default" w:ascii="Times New Roman" w:hAnsi="Times New Roman" w:eastAsia="宋体" w:cs="Times New Roman"/>
          <w:kern w:val="2"/>
          <w:sz w:val="28"/>
          <w:szCs w:val="28"/>
          <w:vertAlign w:val="superscript"/>
          <w:lang w:val="en-US" w:eastAsia="zh-CN"/>
        </w:rPr>
        <w:t>3</w:t>
      </w:r>
      <w:r>
        <w:rPr>
          <w:rFonts w:hint="eastAsia" w:cs="Times New Roman"/>
          <w:bCs/>
          <w:kern w:val="0"/>
          <w:sz w:val="28"/>
          <w:szCs w:val="28"/>
          <w:lang w:val="en-US" w:eastAsia="zh-CN"/>
        </w:rPr>
        <w:t>，</w:t>
      </w:r>
      <w:r>
        <w:rPr>
          <w:rFonts w:hint="default" w:ascii="Times New Roman" w:hAnsi="Times New Roman" w:cs="Times New Roman"/>
          <w:bCs/>
          <w:kern w:val="0"/>
          <w:sz w:val="28"/>
          <w:szCs w:val="28"/>
          <w:lang w:val="en-US" w:eastAsia="zh-CN"/>
        </w:rPr>
        <w:t>即柴油储罐总容积为</w:t>
      </w:r>
      <w:r>
        <w:rPr>
          <w:rFonts w:hint="eastAsia" w:cs="Times New Roman"/>
          <w:bCs/>
          <w:kern w:val="0"/>
          <w:sz w:val="28"/>
          <w:szCs w:val="28"/>
          <w:lang w:val="en-US" w:eastAsia="zh-CN"/>
        </w:rPr>
        <w:t>30</w:t>
      </w:r>
      <w:r>
        <w:rPr>
          <w:rFonts w:hint="default" w:ascii="Times New Roman" w:hAnsi="Times New Roman" w:cs="Times New Roman"/>
          <w:bCs/>
          <w:kern w:val="0"/>
          <w:sz w:val="28"/>
          <w:szCs w:val="28"/>
          <w:lang w:val="en-US" w:eastAsia="zh-CN"/>
        </w:rPr>
        <w:t>m³，折合质量为</w:t>
      </w:r>
      <w:r>
        <w:rPr>
          <w:rFonts w:hint="eastAsia" w:cs="Times New Roman"/>
          <w:bCs/>
          <w:kern w:val="0"/>
          <w:sz w:val="28"/>
          <w:szCs w:val="28"/>
          <w:lang w:val="en-US" w:eastAsia="zh-CN"/>
        </w:rPr>
        <w:t>25.5</w:t>
      </w:r>
      <w:r>
        <w:rPr>
          <w:rFonts w:hint="default" w:ascii="Times New Roman" w:hAnsi="Times New Roman" w:cs="Times New Roman"/>
          <w:bCs/>
          <w:kern w:val="0"/>
          <w:sz w:val="28"/>
          <w:szCs w:val="28"/>
          <w:lang w:val="en-US" w:eastAsia="zh-CN"/>
        </w:rPr>
        <w:t>t。</w:t>
      </w:r>
    </w:p>
    <w:bookmarkEnd w:id="77"/>
    <w:p w14:paraId="3922F435">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78" w:name="_Toc146488834"/>
      <w:bookmarkStart w:id="79" w:name="_Toc11166"/>
      <w:bookmarkStart w:id="80" w:name="_Toc6787"/>
      <w:bookmarkStart w:id="81" w:name="_Toc410311949"/>
      <w:bookmarkStart w:id="82" w:name="_Toc410311872"/>
      <w:bookmarkStart w:id="83" w:name="_Toc41246672"/>
      <w:r>
        <w:rPr>
          <w:rFonts w:hint="default" w:ascii="Times New Roman" w:hAnsi="Times New Roman" w:eastAsia="黑体" w:cs="Times New Roman"/>
          <w:b/>
          <w:bCs/>
          <w:color w:val="auto"/>
          <w:sz w:val="28"/>
          <w:szCs w:val="32"/>
          <w:lang w:val="en-US" w:eastAsia="zh-CN"/>
        </w:rPr>
        <w:t>2.4.4主要物料名称、数量和储存</w:t>
      </w:r>
      <w:bookmarkEnd w:id="78"/>
      <w:bookmarkEnd w:id="79"/>
    </w:p>
    <w:p w14:paraId="6BD76AD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kern w:val="0"/>
          <w:sz w:val="28"/>
          <w:szCs w:val="28"/>
          <w:lang w:val="en-US" w:eastAsia="zh-CN"/>
        </w:rPr>
      </w:pPr>
      <w:r>
        <w:rPr>
          <w:rFonts w:hint="default" w:ascii="Times New Roman" w:hAnsi="Times New Roman" w:cs="Times New Roman"/>
          <w:bCs/>
          <w:kern w:val="0"/>
          <w:sz w:val="28"/>
          <w:szCs w:val="28"/>
          <w:lang w:val="en-US" w:eastAsia="zh-CN"/>
        </w:rPr>
        <w:t>该站涉及的主要物料名称、数量，储存情况，见表2.4-1。</w:t>
      </w:r>
    </w:p>
    <w:p w14:paraId="16528772">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表2</w:t>
      </w:r>
      <w:r>
        <w:rPr>
          <w:rFonts w:hint="default" w:ascii="Times New Roman" w:hAnsi="Times New Roman" w:eastAsia="黑体" w:cs="Times New Roman"/>
          <w:sz w:val="24"/>
          <w:szCs w:val="24"/>
          <w:lang w:val="en-US" w:eastAsia="zh-CN"/>
        </w:rPr>
        <w:t xml:space="preserve">.4-1  </w:t>
      </w:r>
      <w:r>
        <w:rPr>
          <w:rFonts w:hint="default" w:ascii="Times New Roman" w:hAnsi="Times New Roman" w:eastAsia="黑体" w:cs="Times New Roman"/>
          <w:sz w:val="24"/>
          <w:szCs w:val="24"/>
        </w:rPr>
        <w:t>主要物料名称、数量和储存情况一览表</w:t>
      </w:r>
    </w:p>
    <w:tbl>
      <w:tblPr>
        <w:tblStyle w:val="1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28" w:type="dxa"/>
          <w:left w:w="28" w:type="dxa"/>
          <w:bottom w:w="28" w:type="dxa"/>
          <w:right w:w="28" w:type="dxa"/>
        </w:tblCellMar>
      </w:tblPr>
      <w:tblGrid>
        <w:gridCol w:w="750"/>
        <w:gridCol w:w="1506"/>
        <w:gridCol w:w="1257"/>
        <w:gridCol w:w="1669"/>
        <w:gridCol w:w="1534"/>
        <w:gridCol w:w="1258"/>
        <w:gridCol w:w="1259"/>
      </w:tblGrid>
      <w:tr w14:paraId="5768F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406" w:type="pct"/>
            <w:shd w:val="clear" w:color="auto" w:fill="auto"/>
            <w:vAlign w:val="center"/>
          </w:tcPr>
          <w:p w14:paraId="3E8AE461">
            <w:pPr>
              <w:pStyle w:val="19"/>
              <w:adjustRightInd/>
              <w:spacing w:line="240" w:lineRule="auto"/>
              <w:ind w:firstLine="211"/>
              <w:rPr>
                <w:rFonts w:hint="default" w:ascii="Times New Roman" w:hAnsi="Times New Roman" w:cs="Times New Roman"/>
                <w:b w:val="0"/>
                <w:bCs/>
                <w:color w:val="auto"/>
                <w:sz w:val="21"/>
                <w:szCs w:val="21"/>
              </w:rPr>
            </w:pPr>
            <w:r>
              <w:rPr>
                <w:rFonts w:hint="default" w:ascii="Times New Roman" w:hAnsi="Times New Roman" w:cs="Times New Roman"/>
                <w:b w:val="0"/>
                <w:bCs/>
                <w:color w:val="auto"/>
                <w:kern w:val="0"/>
                <w:sz w:val="21"/>
                <w:szCs w:val="21"/>
              </w:rPr>
              <w:t>序号</w:t>
            </w:r>
          </w:p>
        </w:tc>
        <w:tc>
          <w:tcPr>
            <w:tcW w:w="815" w:type="pct"/>
            <w:shd w:val="clear" w:color="auto" w:fill="auto"/>
            <w:vAlign w:val="center"/>
          </w:tcPr>
          <w:p w14:paraId="7DEE747E">
            <w:pPr>
              <w:pStyle w:val="19"/>
              <w:adjustRightInd/>
              <w:spacing w:line="240" w:lineRule="auto"/>
              <w:ind w:firstLine="211"/>
              <w:rPr>
                <w:rFonts w:hint="default" w:ascii="Times New Roman" w:hAnsi="Times New Roman" w:cs="Times New Roman"/>
                <w:b w:val="0"/>
                <w:bCs/>
                <w:color w:val="auto"/>
                <w:sz w:val="21"/>
                <w:szCs w:val="21"/>
              </w:rPr>
            </w:pPr>
            <w:r>
              <w:rPr>
                <w:rFonts w:hint="default" w:ascii="Times New Roman" w:hAnsi="Times New Roman" w:cs="Times New Roman"/>
                <w:b w:val="0"/>
                <w:bCs/>
                <w:color w:val="auto"/>
                <w:kern w:val="0"/>
                <w:sz w:val="21"/>
                <w:szCs w:val="21"/>
              </w:rPr>
              <w:t>物料名称</w:t>
            </w:r>
          </w:p>
        </w:tc>
        <w:tc>
          <w:tcPr>
            <w:tcW w:w="680" w:type="pct"/>
            <w:shd w:val="clear" w:color="auto" w:fill="auto"/>
            <w:vAlign w:val="center"/>
          </w:tcPr>
          <w:p w14:paraId="2B1B3A9F">
            <w:pPr>
              <w:pStyle w:val="19"/>
              <w:adjustRightInd/>
              <w:spacing w:line="240" w:lineRule="auto"/>
              <w:ind w:firstLine="211"/>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t>储存场所</w:t>
            </w:r>
          </w:p>
        </w:tc>
        <w:tc>
          <w:tcPr>
            <w:tcW w:w="903" w:type="pct"/>
            <w:shd w:val="clear" w:color="auto" w:fill="auto"/>
            <w:vAlign w:val="center"/>
          </w:tcPr>
          <w:p w14:paraId="1E3127E0">
            <w:pPr>
              <w:pStyle w:val="19"/>
              <w:adjustRightInd/>
              <w:spacing w:line="240" w:lineRule="auto"/>
              <w:ind w:firstLine="211"/>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t>储存量（t）</w:t>
            </w:r>
          </w:p>
        </w:tc>
        <w:tc>
          <w:tcPr>
            <w:tcW w:w="830" w:type="pct"/>
            <w:shd w:val="clear" w:color="auto" w:fill="auto"/>
            <w:vAlign w:val="center"/>
          </w:tcPr>
          <w:p w14:paraId="2289BF66">
            <w:pPr>
              <w:pStyle w:val="19"/>
              <w:adjustRightInd/>
              <w:spacing w:line="240" w:lineRule="auto"/>
              <w:ind w:firstLine="211"/>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t>火灾危险性</w:t>
            </w:r>
          </w:p>
        </w:tc>
        <w:tc>
          <w:tcPr>
            <w:tcW w:w="681" w:type="pct"/>
          </w:tcPr>
          <w:p w14:paraId="3DF8415B">
            <w:pPr>
              <w:pStyle w:val="19"/>
              <w:adjustRightInd/>
              <w:spacing w:line="240" w:lineRule="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t>密 度（g/ml）</w:t>
            </w:r>
          </w:p>
        </w:tc>
        <w:tc>
          <w:tcPr>
            <w:tcW w:w="681" w:type="pct"/>
            <w:vAlign w:val="center"/>
          </w:tcPr>
          <w:p w14:paraId="7135C6B6">
            <w:pPr>
              <w:pStyle w:val="19"/>
              <w:adjustRightInd/>
              <w:spacing w:line="240" w:lineRule="auto"/>
              <w:rPr>
                <w:rFonts w:hint="default" w:ascii="Times New Roman" w:hAnsi="Times New Roman" w:cs="Times New Roman"/>
                <w:b w:val="0"/>
                <w:bCs/>
                <w:color w:val="auto"/>
                <w:sz w:val="21"/>
                <w:szCs w:val="21"/>
              </w:rPr>
            </w:pPr>
            <w:r>
              <w:rPr>
                <w:rFonts w:hint="default" w:ascii="Times New Roman" w:hAnsi="Times New Roman" w:cs="Times New Roman"/>
                <w:b w:val="0"/>
                <w:bCs/>
                <w:color w:val="auto"/>
                <w:sz w:val="21"/>
                <w:szCs w:val="21"/>
              </w:rPr>
              <w:t>备 注</w:t>
            </w:r>
          </w:p>
        </w:tc>
      </w:tr>
      <w:tr w14:paraId="48B13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408" w:hRule="atLeast"/>
          <w:jc w:val="center"/>
        </w:trPr>
        <w:tc>
          <w:tcPr>
            <w:tcW w:w="406" w:type="pct"/>
            <w:vAlign w:val="center"/>
          </w:tcPr>
          <w:p w14:paraId="43F6CA34">
            <w:pPr>
              <w:widowControl/>
              <w:jc w:val="center"/>
              <w:rPr>
                <w:rFonts w:hint="default" w:ascii="Times New Roman" w:hAnsi="Times New Roman" w:cs="Times New Roman"/>
                <w:kern w:val="0"/>
                <w:szCs w:val="21"/>
              </w:rPr>
            </w:pPr>
            <w:r>
              <w:rPr>
                <w:rFonts w:hint="default" w:ascii="Times New Roman" w:hAnsi="Times New Roman" w:cs="Times New Roman"/>
                <w:kern w:val="0"/>
                <w:szCs w:val="21"/>
              </w:rPr>
              <w:t>1</w:t>
            </w:r>
          </w:p>
        </w:tc>
        <w:tc>
          <w:tcPr>
            <w:tcW w:w="815" w:type="pct"/>
            <w:vAlign w:val="center"/>
          </w:tcPr>
          <w:p w14:paraId="33AB078B">
            <w:pPr>
              <w:widowControl/>
              <w:jc w:val="center"/>
              <w:rPr>
                <w:rFonts w:hint="eastAsia" w:ascii="Times New Roman" w:hAnsi="Times New Roman" w:eastAsia="宋体" w:cs="Times New Roman"/>
                <w:kern w:val="0"/>
                <w:szCs w:val="21"/>
                <w:lang w:eastAsia="zh-CN"/>
              </w:rPr>
            </w:pPr>
            <w:r>
              <w:rPr>
                <w:rFonts w:hint="eastAsia" w:cs="Times New Roman"/>
                <w:kern w:val="0"/>
                <w:szCs w:val="21"/>
                <w:lang w:eastAsia="zh-CN"/>
              </w:rPr>
              <w:t>乙醇汽油</w:t>
            </w:r>
          </w:p>
        </w:tc>
        <w:tc>
          <w:tcPr>
            <w:tcW w:w="680" w:type="pct"/>
            <w:vAlign w:val="center"/>
          </w:tcPr>
          <w:p w14:paraId="0DAAEF93">
            <w:pPr>
              <w:widowControl/>
              <w:jc w:val="center"/>
              <w:rPr>
                <w:rFonts w:hint="default" w:ascii="Times New Roman" w:hAnsi="Times New Roman" w:cs="Times New Roman"/>
                <w:kern w:val="0"/>
                <w:szCs w:val="21"/>
              </w:rPr>
            </w:pPr>
            <w:r>
              <w:rPr>
                <w:rFonts w:hint="default" w:ascii="Times New Roman" w:hAnsi="Times New Roman" w:cs="Times New Roman"/>
                <w:kern w:val="0"/>
                <w:szCs w:val="21"/>
              </w:rPr>
              <w:t>埋地储罐</w:t>
            </w:r>
          </w:p>
        </w:tc>
        <w:tc>
          <w:tcPr>
            <w:tcW w:w="903" w:type="pct"/>
            <w:vAlign w:val="center"/>
          </w:tcPr>
          <w:p w14:paraId="21F3674F">
            <w:pPr>
              <w:jc w:val="center"/>
              <w:rPr>
                <w:rFonts w:hint="default" w:ascii="Times New Roman" w:hAnsi="Times New Roman" w:cs="Times New Roman"/>
                <w:szCs w:val="21"/>
                <w:lang w:val="en-US"/>
              </w:rPr>
            </w:pPr>
            <w:r>
              <w:rPr>
                <w:rFonts w:hint="eastAsia" w:cs="Times New Roman"/>
                <w:szCs w:val="21"/>
                <w:lang w:val="en-US" w:eastAsia="zh-CN"/>
              </w:rPr>
              <w:t>72t</w:t>
            </w:r>
          </w:p>
        </w:tc>
        <w:tc>
          <w:tcPr>
            <w:tcW w:w="830" w:type="pct"/>
            <w:vAlign w:val="center"/>
          </w:tcPr>
          <w:p w14:paraId="223B9946">
            <w:pPr>
              <w:jc w:val="center"/>
              <w:rPr>
                <w:rFonts w:hint="default" w:ascii="Times New Roman" w:hAnsi="Times New Roman" w:cs="Times New Roman"/>
                <w:szCs w:val="21"/>
              </w:rPr>
            </w:pPr>
            <w:r>
              <w:rPr>
                <w:rFonts w:hint="default" w:ascii="Times New Roman" w:hAnsi="Times New Roman" w:cs="Times New Roman"/>
                <w:szCs w:val="21"/>
              </w:rPr>
              <w:t>甲类</w:t>
            </w:r>
          </w:p>
        </w:tc>
        <w:tc>
          <w:tcPr>
            <w:tcW w:w="681" w:type="pct"/>
          </w:tcPr>
          <w:p w14:paraId="05876673">
            <w:pPr>
              <w:jc w:val="center"/>
              <w:rPr>
                <w:rFonts w:hint="default" w:ascii="Times New Roman" w:hAnsi="Times New Roman" w:cs="Times New Roman"/>
                <w:szCs w:val="21"/>
              </w:rPr>
            </w:pPr>
            <w:r>
              <w:rPr>
                <w:rFonts w:hint="default" w:ascii="Times New Roman" w:hAnsi="Times New Roman" w:cs="Times New Roman"/>
                <w:kern w:val="0"/>
                <w:sz w:val="22"/>
                <w:szCs w:val="22"/>
              </w:rPr>
              <w:t>0.70～0.80</w:t>
            </w:r>
          </w:p>
        </w:tc>
        <w:tc>
          <w:tcPr>
            <w:tcW w:w="681" w:type="pct"/>
          </w:tcPr>
          <w:p w14:paraId="759C1805">
            <w:pPr>
              <w:jc w:val="center"/>
              <w:rPr>
                <w:rFonts w:hint="default" w:ascii="Times New Roman" w:hAnsi="Times New Roman" w:cs="Times New Roman"/>
                <w:szCs w:val="21"/>
              </w:rPr>
            </w:pPr>
          </w:p>
        </w:tc>
      </w:tr>
      <w:tr w14:paraId="375BB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58" w:hRule="atLeast"/>
          <w:jc w:val="center"/>
        </w:trPr>
        <w:tc>
          <w:tcPr>
            <w:tcW w:w="406" w:type="pct"/>
            <w:vAlign w:val="center"/>
          </w:tcPr>
          <w:p w14:paraId="3504CF2C">
            <w:pPr>
              <w:widowControl/>
              <w:jc w:val="center"/>
              <w:rPr>
                <w:rFonts w:hint="default" w:ascii="Times New Roman" w:hAnsi="Times New Roman" w:cs="Times New Roman"/>
                <w:kern w:val="0"/>
                <w:szCs w:val="21"/>
              </w:rPr>
            </w:pPr>
            <w:r>
              <w:rPr>
                <w:rFonts w:hint="default" w:ascii="Times New Roman" w:hAnsi="Times New Roman" w:cs="Times New Roman"/>
                <w:kern w:val="0"/>
                <w:szCs w:val="21"/>
              </w:rPr>
              <w:t>2</w:t>
            </w:r>
          </w:p>
        </w:tc>
        <w:tc>
          <w:tcPr>
            <w:tcW w:w="815" w:type="pct"/>
            <w:vAlign w:val="center"/>
          </w:tcPr>
          <w:p w14:paraId="5200F9EC">
            <w:pPr>
              <w:widowControl/>
              <w:jc w:val="center"/>
              <w:rPr>
                <w:rFonts w:hint="default" w:ascii="Times New Roman" w:hAnsi="Times New Roman" w:cs="Times New Roman"/>
                <w:kern w:val="0"/>
                <w:szCs w:val="21"/>
              </w:rPr>
            </w:pPr>
            <w:r>
              <w:rPr>
                <w:rFonts w:hint="default" w:ascii="Times New Roman" w:hAnsi="Times New Roman" w:cs="Times New Roman"/>
                <w:kern w:val="0"/>
                <w:szCs w:val="21"/>
              </w:rPr>
              <w:t>柴油</w:t>
            </w:r>
          </w:p>
        </w:tc>
        <w:tc>
          <w:tcPr>
            <w:tcW w:w="680" w:type="pct"/>
            <w:vAlign w:val="center"/>
          </w:tcPr>
          <w:p w14:paraId="7BE78939">
            <w:pPr>
              <w:widowControl/>
              <w:jc w:val="center"/>
              <w:rPr>
                <w:rFonts w:hint="default" w:ascii="Times New Roman" w:hAnsi="Times New Roman" w:cs="Times New Roman"/>
                <w:kern w:val="0"/>
                <w:szCs w:val="21"/>
              </w:rPr>
            </w:pPr>
            <w:r>
              <w:rPr>
                <w:rFonts w:hint="default" w:ascii="Times New Roman" w:hAnsi="Times New Roman" w:cs="Times New Roman"/>
                <w:kern w:val="0"/>
                <w:szCs w:val="21"/>
              </w:rPr>
              <w:t>埋地储罐</w:t>
            </w:r>
          </w:p>
        </w:tc>
        <w:tc>
          <w:tcPr>
            <w:tcW w:w="903" w:type="pct"/>
            <w:vAlign w:val="center"/>
          </w:tcPr>
          <w:p w14:paraId="12FA8C51">
            <w:pPr>
              <w:jc w:val="center"/>
              <w:rPr>
                <w:rFonts w:hint="default" w:ascii="Times New Roman" w:hAnsi="Times New Roman" w:cs="Times New Roman"/>
                <w:szCs w:val="21"/>
                <w:lang w:val="en-US"/>
              </w:rPr>
            </w:pPr>
            <w:r>
              <w:rPr>
                <w:rFonts w:hint="eastAsia" w:cs="Times New Roman"/>
                <w:szCs w:val="21"/>
                <w:lang w:val="en-US" w:eastAsia="zh-CN"/>
              </w:rPr>
              <w:t>25.5t</w:t>
            </w:r>
          </w:p>
        </w:tc>
        <w:tc>
          <w:tcPr>
            <w:tcW w:w="830" w:type="pct"/>
            <w:vAlign w:val="center"/>
          </w:tcPr>
          <w:p w14:paraId="59B2E07F">
            <w:pPr>
              <w:jc w:val="center"/>
              <w:rPr>
                <w:rFonts w:hint="default" w:ascii="Times New Roman" w:hAnsi="Times New Roman" w:cs="Times New Roman"/>
                <w:szCs w:val="21"/>
              </w:rPr>
            </w:pPr>
            <w:r>
              <w:rPr>
                <w:rFonts w:hint="default" w:ascii="Times New Roman" w:hAnsi="Times New Roman" w:cs="Times New Roman"/>
                <w:szCs w:val="21"/>
              </w:rPr>
              <w:t>乙类/丙类</w:t>
            </w:r>
          </w:p>
        </w:tc>
        <w:tc>
          <w:tcPr>
            <w:tcW w:w="681" w:type="pct"/>
          </w:tcPr>
          <w:p w14:paraId="17A06C3F">
            <w:pPr>
              <w:jc w:val="center"/>
              <w:rPr>
                <w:rFonts w:hint="default" w:ascii="Times New Roman" w:hAnsi="Times New Roman" w:cs="Times New Roman"/>
                <w:szCs w:val="21"/>
              </w:rPr>
            </w:pPr>
            <w:r>
              <w:rPr>
                <w:rFonts w:hint="default" w:ascii="Times New Roman" w:hAnsi="Times New Roman" w:cs="Times New Roman"/>
                <w:kern w:val="0"/>
                <w:sz w:val="22"/>
                <w:szCs w:val="22"/>
              </w:rPr>
              <w:t>0.79～0.85</w:t>
            </w:r>
          </w:p>
        </w:tc>
        <w:tc>
          <w:tcPr>
            <w:tcW w:w="681" w:type="pct"/>
          </w:tcPr>
          <w:p w14:paraId="1E7E9E8C">
            <w:pPr>
              <w:jc w:val="center"/>
              <w:rPr>
                <w:rFonts w:hint="default" w:ascii="Times New Roman" w:hAnsi="Times New Roman" w:cs="Times New Roman"/>
                <w:szCs w:val="21"/>
              </w:rPr>
            </w:pPr>
          </w:p>
        </w:tc>
      </w:tr>
    </w:tbl>
    <w:p w14:paraId="4CED06AC">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84" w:name="_Toc31983"/>
      <w:r>
        <w:rPr>
          <w:rFonts w:hint="default" w:ascii="Times New Roman" w:hAnsi="Times New Roman" w:eastAsia="楷体" w:cs="Times New Roman"/>
          <w:color w:val="auto"/>
          <w:sz w:val="32"/>
          <w:szCs w:val="32"/>
          <w:lang w:val="en-US" w:eastAsia="zh-CN"/>
        </w:rPr>
        <w:t>2.5工艺流程和主要设备及设施的布局及</w:t>
      </w:r>
      <w:bookmarkEnd w:id="80"/>
      <w:bookmarkStart w:id="85" w:name="_Toc14346"/>
      <w:r>
        <w:rPr>
          <w:rFonts w:hint="default" w:ascii="Times New Roman" w:hAnsi="Times New Roman" w:eastAsia="楷体" w:cs="Times New Roman"/>
          <w:color w:val="auto"/>
          <w:sz w:val="32"/>
          <w:szCs w:val="32"/>
          <w:lang w:val="en-US" w:eastAsia="zh-CN"/>
        </w:rPr>
        <w:t>其上下游生产装置的关系</w:t>
      </w:r>
      <w:bookmarkEnd w:id="81"/>
      <w:bookmarkEnd w:id="82"/>
      <w:bookmarkEnd w:id="83"/>
      <w:bookmarkEnd w:id="84"/>
      <w:bookmarkEnd w:id="85"/>
    </w:p>
    <w:p w14:paraId="2985EBA3">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86" w:name="_Toc2177"/>
      <w:bookmarkStart w:id="87" w:name="_Toc41246673"/>
      <w:bookmarkStart w:id="88" w:name="_Toc9897"/>
      <w:bookmarkStart w:id="89" w:name="_Toc146488836"/>
      <w:r>
        <w:rPr>
          <w:rFonts w:hint="default" w:ascii="Times New Roman" w:hAnsi="Times New Roman" w:eastAsia="黑体" w:cs="Times New Roman"/>
          <w:b/>
          <w:bCs/>
          <w:color w:val="auto"/>
          <w:sz w:val="28"/>
          <w:szCs w:val="32"/>
          <w:lang w:val="en-US" w:eastAsia="zh-CN"/>
        </w:rPr>
        <w:t>2.5.1工艺流程</w:t>
      </w:r>
      <w:bookmarkEnd w:id="86"/>
      <w:bookmarkEnd w:id="87"/>
      <w:bookmarkEnd w:id="88"/>
      <w:bookmarkEnd w:id="89"/>
    </w:p>
    <w:p w14:paraId="35C2BC44">
      <w:pPr>
        <w:pStyle w:val="20"/>
        <w:rPr>
          <w:rFonts w:hint="default" w:ascii="Times New Roman" w:hAnsi="Times New Roman" w:cs="Times New Roman"/>
        </w:rPr>
      </w:pPr>
      <w:bookmarkStart w:id="90" w:name="_Toc9105"/>
      <w:bookmarkStart w:id="91" w:name="_Toc41246674"/>
      <w:r>
        <w:rPr>
          <w:rFonts w:hint="default" w:ascii="Times New Roman" w:hAnsi="Times New Roman" w:cs="Times New Roman"/>
        </w:rPr>
        <w:t>加油站工艺过程主要指完成油品卸入（埋地储油罐）和油品付出（经营销售）的整个过程，其工艺过程见图2</w:t>
      </w:r>
      <w:r>
        <w:rPr>
          <w:rFonts w:hint="default" w:ascii="Times New Roman" w:hAnsi="Times New Roman" w:cs="Times New Roman"/>
          <w:lang w:val="en-US" w:eastAsia="zh-CN"/>
        </w:rPr>
        <w:t>.5-1</w:t>
      </w:r>
      <w:r>
        <w:rPr>
          <w:rFonts w:hint="default" w:ascii="Times New Roman" w:hAnsi="Times New Roman" w:cs="Times New Roman"/>
        </w:rPr>
        <w:t>、图2</w:t>
      </w:r>
      <w:r>
        <w:rPr>
          <w:rFonts w:hint="default" w:ascii="Times New Roman" w:hAnsi="Times New Roman" w:cs="Times New Roman"/>
          <w:lang w:val="en-US" w:eastAsia="zh-CN"/>
        </w:rPr>
        <w:t>.5-2</w:t>
      </w:r>
      <w:r>
        <w:rPr>
          <w:rFonts w:hint="default" w:ascii="Times New Roman" w:hAnsi="Times New Roman" w:cs="Times New Roman"/>
        </w:rPr>
        <w:t>、图2</w:t>
      </w:r>
      <w:r>
        <w:rPr>
          <w:rFonts w:hint="default" w:ascii="Times New Roman" w:hAnsi="Times New Roman" w:cs="Times New Roman"/>
          <w:lang w:val="en-US" w:eastAsia="zh-CN"/>
        </w:rPr>
        <w:t>.5-3</w:t>
      </w:r>
      <w:r>
        <w:rPr>
          <w:rFonts w:hint="default" w:ascii="Times New Roman" w:hAnsi="Times New Roman" w:cs="Times New Roman"/>
        </w:rPr>
        <w:t>和图2</w:t>
      </w:r>
      <w:r>
        <w:rPr>
          <w:rFonts w:hint="default" w:ascii="Times New Roman" w:hAnsi="Times New Roman" w:cs="Times New Roman"/>
          <w:lang w:val="en-US" w:eastAsia="zh-CN"/>
        </w:rPr>
        <w:t>.5-4</w:t>
      </w:r>
      <w:r>
        <w:rPr>
          <w:rFonts w:hint="default" w:ascii="Times New Roman" w:hAnsi="Times New Roman" w:cs="Times New Roman"/>
        </w:rPr>
        <w:t>。</w:t>
      </w:r>
    </w:p>
    <w:p w14:paraId="0B92D3E1">
      <w:pPr>
        <w:pStyle w:val="20"/>
        <w:rPr>
          <w:rFonts w:hint="default" w:ascii="Times New Roman" w:hAnsi="Times New Roman" w:cs="Times New Roman"/>
        </w:rPr>
      </w:pPr>
      <w:bookmarkStart w:id="92" w:name="_Toc3620"/>
      <w:bookmarkStart w:id="93" w:name="_Toc27177"/>
      <w:r>
        <w:rPr>
          <w:rFonts w:hint="default" w:ascii="Times New Roman" w:hAnsi="Times New Roman" w:cs="Times New Roman"/>
        </w:rPr>
        <w:t>（1）</w:t>
      </w:r>
      <w:bookmarkEnd w:id="92"/>
      <w:bookmarkEnd w:id="93"/>
      <w:r>
        <w:rPr>
          <w:rFonts w:hint="default" w:ascii="Times New Roman" w:hAnsi="Times New Roman" w:cs="Times New Roman"/>
        </w:rPr>
        <w:t>卸油及卸油油气回收</w:t>
      </w:r>
    </w:p>
    <w:p w14:paraId="27F82CD5">
      <w:pPr>
        <w:pStyle w:val="20"/>
        <w:rPr>
          <w:rFonts w:hint="default" w:ascii="Times New Roman" w:hAnsi="Times New Roman" w:cs="Times New Roman"/>
        </w:rPr>
      </w:pPr>
      <w:bookmarkStart w:id="94" w:name="_Toc24544"/>
      <w:bookmarkStart w:id="95" w:name="_Toc853"/>
      <w:r>
        <w:rPr>
          <w:rFonts w:hint="default" w:ascii="Times New Roman" w:hAnsi="Times New Roman" w:cs="Times New Roman"/>
        </w:rPr>
        <w:t>卸油：加油站人员在确认油罐车（</w:t>
      </w:r>
      <w:r>
        <w:rPr>
          <w:rFonts w:hint="eastAsia" w:hAnsi="Times New Roman" w:cs="Times New Roman"/>
          <w:lang w:eastAsia="zh-CN"/>
        </w:rPr>
        <w:t>乙醇汽油</w:t>
      </w:r>
      <w:r>
        <w:rPr>
          <w:rFonts w:hint="default" w:ascii="Times New Roman" w:hAnsi="Times New Roman" w:cs="Times New Roman"/>
        </w:rPr>
        <w:t>、柴油）无油品泄漏后，引导油罐车进入卸油作业区，油罐车在站内车速不应大于5km/h。油罐车停于卸油停车位，熄火并拉上手刹，车轮处宜放置与最大允许总质量和车轮尺寸相匹配的轮挡，车钥匙放置指定位置管控。卸油人员将防静电跨接线连接到油罐车专用接地端，并确认接触良好。油罐车静置进行静电释放5min后，在进行卸油作业。</w:t>
      </w:r>
    </w:p>
    <w:p w14:paraId="6863DE64">
      <w:pPr>
        <w:pStyle w:val="20"/>
        <w:rPr>
          <w:rFonts w:hint="default" w:ascii="Times New Roman" w:hAnsi="Times New Roman" w:cs="Times New Roman"/>
        </w:rPr>
      </w:pPr>
      <w:r>
        <w:rPr>
          <w:rFonts w:hint="default" w:ascii="Times New Roman" w:hAnsi="Times New Roman" w:cs="Times New Roman"/>
        </w:rPr>
        <w:t>卸油作业现场设隔离警示标识。手提式灭火器摆放在距卸油口2-3m处。</w:t>
      </w:r>
    </w:p>
    <w:p w14:paraId="0AA964D4">
      <w:pPr>
        <w:pStyle w:val="20"/>
        <w:rPr>
          <w:rFonts w:hint="default" w:ascii="Times New Roman" w:hAnsi="Times New Roman" w:cs="Times New Roman"/>
        </w:rPr>
      </w:pPr>
      <w:r>
        <w:rPr>
          <w:rFonts w:hint="default" w:ascii="Times New Roman" w:hAnsi="Times New Roman" w:cs="Times New Roman"/>
        </w:rPr>
        <w:t>检查确认油罐计量孔密闭良好，</w:t>
      </w:r>
      <w:r>
        <w:rPr>
          <w:rFonts w:hint="eastAsia" w:hAnsi="Times New Roman" w:cs="Times New Roman"/>
          <w:lang w:eastAsia="zh-CN"/>
        </w:rPr>
        <w:t>乙醇汽油</w:t>
      </w:r>
      <w:r>
        <w:rPr>
          <w:rFonts w:hint="default" w:ascii="Times New Roman" w:hAnsi="Times New Roman" w:cs="Times New Roman"/>
        </w:rPr>
        <w:t>罐通气管上阀门处于关闭状态，关闭呼吸阀的通气管上阀门处于开启状态。卸油前，计量油罐的存油量，确认有足够的剩余容量，并核对罐车单据与油罐中油品的名称、牌号是否一致。卸油人员按工艺流程将卸油软管和汽油油气回收软管与油罐车和埋地油罐紧密连接，保持卸油软管自然弯曲。</w:t>
      </w:r>
    </w:p>
    <w:p w14:paraId="7435C728">
      <w:pPr>
        <w:pStyle w:val="20"/>
        <w:rPr>
          <w:rFonts w:hint="default" w:ascii="Times New Roman" w:hAnsi="Times New Roman" w:cs="Times New Roman"/>
        </w:rPr>
      </w:pPr>
      <w:r>
        <w:rPr>
          <w:rFonts w:hint="default" w:ascii="Times New Roman" w:hAnsi="Times New Roman" w:cs="Times New Roman"/>
        </w:rPr>
        <w:t>经双方检查确认具备开阀卸油条件后，将卸油口对应油罐进油阀门打开（卸</w:t>
      </w:r>
      <w:r>
        <w:rPr>
          <w:rFonts w:hint="eastAsia" w:hAnsi="Times New Roman" w:cs="Times New Roman"/>
          <w:lang w:eastAsia="zh-CN"/>
        </w:rPr>
        <w:t>乙醇汽油</w:t>
      </w:r>
      <w:r>
        <w:rPr>
          <w:rFonts w:hint="default" w:ascii="Times New Roman" w:hAnsi="Times New Roman" w:cs="Times New Roman"/>
        </w:rPr>
        <w:t>时先打开气路阀门），再缓慢开启油罐车卸油阀门。通过采取调节阀门开度等措施控制卸油流速不大于4.5m/s。</w:t>
      </w:r>
    </w:p>
    <w:p w14:paraId="5C36FB49">
      <w:pPr>
        <w:pStyle w:val="20"/>
        <w:rPr>
          <w:rFonts w:hint="default" w:ascii="Times New Roman" w:hAnsi="Times New Roman" w:cs="Times New Roman"/>
        </w:rPr>
      </w:pPr>
      <w:r>
        <w:rPr>
          <w:rFonts w:hint="default" w:ascii="Times New Roman" w:hAnsi="Times New Roman" w:cs="Times New Roman"/>
        </w:rPr>
        <w:t>油罐采取卸油时的防满溢措施。油料达到油罐容量的90%时，能触动高液位报警装置；油料达到油罐容量95%时，能自动停止油料继续进罐。</w:t>
      </w:r>
    </w:p>
    <w:p w14:paraId="7E8291AA">
      <w:pPr>
        <w:pStyle w:val="20"/>
        <w:rPr>
          <w:rFonts w:hint="default" w:ascii="Times New Roman" w:hAnsi="Times New Roman" w:cs="Times New Roman"/>
        </w:rPr>
      </w:pPr>
      <w:r>
        <w:rPr>
          <w:rFonts w:hint="default" w:ascii="Times New Roman" w:hAnsi="Times New Roman" w:cs="Times New Roman"/>
        </w:rPr>
        <w:t>卸油结束后，卸油员应全面检查并确认状态正常，方可引导油罐车启动车辆、离站，并清理卸油现场，将应急器材放回原位。</w:t>
      </w:r>
    </w:p>
    <w:p w14:paraId="3E28BDA9">
      <w:pPr>
        <w:pStyle w:val="20"/>
        <w:rPr>
          <w:rFonts w:hint="default" w:ascii="Times New Roman" w:hAnsi="Times New Roman" w:cs="Times New Roman"/>
        </w:rPr>
      </w:pPr>
      <w:r>
        <w:rPr>
          <w:rFonts w:hint="default" w:ascii="Times New Roman" w:hAnsi="Times New Roman" w:cs="Times New Roman"/>
        </w:rPr>
        <w:t>卸油作业过程中有专人监护，油罐车驾驶员和押运员不应同时离开作业现场。无人监护时，应停止作业。</w:t>
      </w:r>
    </w:p>
    <w:p w14:paraId="3437D30E">
      <w:pPr>
        <w:pStyle w:val="20"/>
        <w:rPr>
          <w:rFonts w:hint="default" w:ascii="Times New Roman" w:hAnsi="Times New Roman" w:cs="Times New Roman"/>
        </w:rPr>
      </w:pPr>
      <w:r>
        <w:rPr>
          <w:rFonts w:hint="default" w:ascii="Times New Roman" w:hAnsi="Times New Roman" w:cs="Times New Roman"/>
        </w:rPr>
        <w:t>卸油时若发生油料溅溢或其他影响卸油安全情况时，应立</w:t>
      </w:r>
      <w:r>
        <w:rPr>
          <w:rFonts w:hint="eastAsia" w:hAnsi="Times New Roman" w:cs="Times New Roman"/>
          <w:lang w:val="en-US" w:eastAsia="zh-CN"/>
        </w:rPr>
        <w:t>即</w:t>
      </w:r>
      <w:r>
        <w:rPr>
          <w:rFonts w:hint="default" w:ascii="Times New Roman" w:hAnsi="Times New Roman" w:cs="Times New Roman"/>
        </w:rPr>
        <w:t>停止作业并及时处理。若发生事故，立即停止作业，并按应急预案进行应急处置。卸油时，不应开启计量孔，不应修理、擦洗油罐车，不应鸣笛；使用器具时要轻拿轻放；与该罐连接且无防水杂措施的加油机停止加油作业。</w:t>
      </w:r>
    </w:p>
    <w:p w14:paraId="3E385A4F">
      <w:pPr>
        <w:pStyle w:val="20"/>
        <w:rPr>
          <w:rFonts w:hint="default" w:ascii="Times New Roman" w:hAnsi="Times New Roman" w:cs="Times New Roman"/>
        </w:rPr>
      </w:pPr>
      <w:r>
        <w:rPr>
          <w:rFonts w:hint="default" w:ascii="Times New Roman" w:hAnsi="Times New Roman" w:cs="Times New Roman"/>
        </w:rPr>
        <w:t>卸油油气回收：</w:t>
      </w:r>
      <w:r>
        <w:rPr>
          <w:rFonts w:hint="eastAsia" w:hAnsi="Times New Roman" w:cs="Times New Roman"/>
          <w:lang w:eastAsia="zh-CN"/>
        </w:rPr>
        <w:t>乙醇汽油</w:t>
      </w:r>
      <w:r>
        <w:rPr>
          <w:rFonts w:hint="default" w:ascii="Times New Roman" w:hAnsi="Times New Roman" w:cs="Times New Roman"/>
        </w:rPr>
        <w:t>油罐车卸下一定数量的油品，就需吸入大致相等的气体补充到槽车内部，加油站内的埋地油罐也因注入油品而向外排出相当数量的油气。通过安装一根气相管线，将油槽车与</w:t>
      </w:r>
      <w:r>
        <w:rPr>
          <w:rFonts w:hint="eastAsia" w:hAnsi="Times New Roman" w:cs="Times New Roman"/>
          <w:lang w:eastAsia="zh-CN"/>
        </w:rPr>
        <w:t>乙醇汽油</w:t>
      </w:r>
      <w:r>
        <w:rPr>
          <w:rFonts w:hint="default" w:ascii="Times New Roman" w:hAnsi="Times New Roman" w:cs="Times New Roman"/>
        </w:rPr>
        <w:t>储罐连通，卸车过程中，油槽车内部的</w:t>
      </w:r>
      <w:r>
        <w:rPr>
          <w:rFonts w:hint="eastAsia" w:hAnsi="Times New Roman" w:cs="Times New Roman"/>
          <w:lang w:eastAsia="zh-CN"/>
        </w:rPr>
        <w:t>乙醇汽油</w:t>
      </w:r>
      <w:r>
        <w:rPr>
          <w:rFonts w:hint="default" w:ascii="Times New Roman" w:hAnsi="Times New Roman" w:cs="Times New Roman"/>
        </w:rPr>
        <w:t>通过卸车管线进入储罐，储罐的油气经过气相管线输回油罐车内，完成密闭式卸油过程。油罐车密闭卸油及卸油油气回收工艺流程见图2</w:t>
      </w:r>
      <w:r>
        <w:rPr>
          <w:rFonts w:hint="default" w:ascii="Times New Roman" w:hAnsi="Times New Roman" w:cs="Times New Roman"/>
          <w:lang w:val="en-US" w:eastAsia="zh-CN"/>
        </w:rPr>
        <w:t>.5-1</w:t>
      </w:r>
      <w:r>
        <w:rPr>
          <w:rFonts w:hint="default" w:ascii="Times New Roman" w:hAnsi="Times New Roman" w:cs="Times New Roman"/>
        </w:rPr>
        <w:t>、图2</w:t>
      </w:r>
      <w:r>
        <w:rPr>
          <w:rFonts w:hint="default" w:ascii="Times New Roman" w:hAnsi="Times New Roman" w:cs="Times New Roman"/>
          <w:lang w:val="en-US" w:eastAsia="zh-CN"/>
        </w:rPr>
        <w:t>.5-2</w:t>
      </w:r>
      <w:r>
        <w:rPr>
          <w:rFonts w:hint="default" w:ascii="Times New Roman" w:hAnsi="Times New Roman" w:cs="Times New Roman"/>
        </w:rPr>
        <w:t>：</w:t>
      </w:r>
    </w:p>
    <w:bookmarkEnd w:id="94"/>
    <w:bookmarkEnd w:id="95"/>
    <w:p w14:paraId="3CBF351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96" w:name="_Toc28196"/>
      <w:bookmarkStart w:id="97" w:name="_Toc5911"/>
      <w:r>
        <w:rPr>
          <w:rFonts w:hint="default" w:ascii="Times New Roman" w:hAnsi="Times New Roman" w:cs="Times New Roman"/>
          <w:sz w:val="28"/>
          <w:szCs w:val="28"/>
        </w:rPr>
        <w:t>（2）加油及加油油气回收工艺</w:t>
      </w:r>
    </w:p>
    <w:p w14:paraId="52D73EE7">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default" w:ascii="Times New Roman" w:hAnsi="Times New Roman" w:cs="Times New Roman"/>
        </w:rPr>
        <w:t>加油：社会车辆驶入加油站时，加油员主动引导车辆进入加油位置。</w:t>
      </w:r>
    </w:p>
    <w:p w14:paraId="198BB6B2">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default" w:ascii="Times New Roman" w:hAnsi="Times New Roman" w:cs="Times New Roman"/>
        </w:rPr>
        <w:t>加油作业前，加油员确认车辆停稳、熄火；摩托车驾驶人和乘坐人员应离开座位，并将车辆熄火、放置平稳；加油员与客户确认油品的名称和牌号等信息，并提示客户在靠近油箱口前先释放人体静电。</w:t>
      </w:r>
    </w:p>
    <w:p w14:paraId="0320CE55">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default" w:ascii="Times New Roman" w:hAnsi="Times New Roman" w:cs="Times New Roman"/>
        </w:rPr>
        <w:t>通过带有计量、计价和税控装置的</w:t>
      </w:r>
      <w:r>
        <w:rPr>
          <w:rFonts w:hint="default" w:ascii="Times New Roman" w:hAnsi="Times New Roman" w:cs="Times New Roman"/>
          <w:lang w:val="en-US" w:eastAsia="zh-CN"/>
        </w:rPr>
        <w:t>自吸</w:t>
      </w:r>
      <w:r>
        <w:rPr>
          <w:rFonts w:hint="default" w:ascii="Times New Roman" w:hAnsi="Times New Roman" w:cs="Times New Roman"/>
        </w:rPr>
        <w:t>式加油机将储罐内的油料</w:t>
      </w:r>
      <w:r>
        <w:rPr>
          <w:rFonts w:hint="default" w:ascii="Times New Roman" w:hAnsi="Times New Roman" w:cs="Times New Roman"/>
          <w:lang w:val="en-US" w:eastAsia="zh-CN"/>
        </w:rPr>
        <w:t>吸</w:t>
      </w:r>
      <w:r>
        <w:rPr>
          <w:rFonts w:hint="default" w:ascii="Times New Roman" w:hAnsi="Times New Roman" w:cs="Times New Roman"/>
        </w:rPr>
        <w:t>出，实现为汽车油箱充装</w:t>
      </w:r>
      <w:r>
        <w:rPr>
          <w:rFonts w:hint="eastAsia" w:hAnsi="Times New Roman" w:cs="Times New Roman"/>
          <w:lang w:eastAsia="zh-CN"/>
        </w:rPr>
        <w:t>乙醇汽油</w:t>
      </w:r>
      <w:r>
        <w:rPr>
          <w:rFonts w:hint="default" w:ascii="Times New Roman" w:hAnsi="Times New Roman" w:cs="Times New Roman"/>
        </w:rPr>
        <w:t>或柴油的付出（经营销售）作业。</w:t>
      </w:r>
    </w:p>
    <w:p w14:paraId="311B25CB">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default" w:ascii="Times New Roman" w:hAnsi="Times New Roman" w:cs="Times New Roman"/>
        </w:rPr>
        <w:t>加完油后，立即将加油枪复位于加油机。</w:t>
      </w:r>
    </w:p>
    <w:p w14:paraId="66157749">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eastAsia" w:hAnsi="Times New Roman" w:cs="Times New Roman"/>
          <w:lang w:eastAsia="zh-CN"/>
        </w:rPr>
        <w:t>乙醇汽油</w:t>
      </w:r>
      <w:r>
        <w:rPr>
          <w:rFonts w:hint="default" w:ascii="Times New Roman" w:hAnsi="Times New Roman" w:cs="Times New Roman"/>
        </w:rPr>
        <w:t>加油油气回收：汽车加油过程中，将原来油箱口散溢的油气，通过油气回收专用加油枪收集，利用动力设备（如真空泵）经油气回收管线输送至</w:t>
      </w:r>
      <w:r>
        <w:rPr>
          <w:rFonts w:hint="eastAsia" w:hAnsi="Times New Roman" w:cs="Times New Roman"/>
          <w:lang w:eastAsia="zh-CN"/>
        </w:rPr>
        <w:t>乙醇汽油</w:t>
      </w:r>
      <w:r>
        <w:rPr>
          <w:rFonts w:hint="default" w:ascii="Times New Roman" w:hAnsi="Times New Roman" w:cs="Times New Roman"/>
        </w:rPr>
        <w:t>储罐，实现加油与油气等体积置换。</w:t>
      </w:r>
    </w:p>
    <w:p w14:paraId="5A61EF2F">
      <w:pPr>
        <w:pStyle w:val="20"/>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rPr>
      </w:pPr>
      <w:r>
        <w:rPr>
          <w:rFonts w:hint="default" w:ascii="Times New Roman" w:hAnsi="Times New Roman" w:cs="Times New Roman"/>
        </w:rPr>
        <w:t>加油及加油油气回收工艺流程见图2</w:t>
      </w:r>
      <w:r>
        <w:rPr>
          <w:rFonts w:hint="default" w:ascii="Times New Roman" w:hAnsi="Times New Roman" w:cs="Times New Roman"/>
          <w:lang w:val="en-US" w:eastAsia="zh-CN"/>
        </w:rPr>
        <w:t>.5-3</w:t>
      </w:r>
      <w:r>
        <w:rPr>
          <w:rFonts w:hint="default" w:ascii="Times New Roman" w:hAnsi="Times New Roman" w:cs="Times New Roman"/>
        </w:rPr>
        <w:t>、2</w:t>
      </w:r>
      <w:r>
        <w:rPr>
          <w:rFonts w:hint="default" w:ascii="Times New Roman" w:hAnsi="Times New Roman" w:cs="Times New Roman"/>
          <w:lang w:val="en-US" w:eastAsia="zh-CN"/>
        </w:rPr>
        <w:t>.5-4</w:t>
      </w:r>
      <w:r>
        <w:rPr>
          <w:rFonts w:hint="default" w:ascii="Times New Roman" w:hAnsi="Times New Roman" w:cs="Times New Roman"/>
        </w:rPr>
        <w:t>：</w:t>
      </w:r>
    </w:p>
    <w:p w14:paraId="31CC8B4B">
      <w:pPr>
        <w:pStyle w:val="20"/>
        <w:keepNext w:val="0"/>
        <w:keepLines w:val="0"/>
        <w:pageBreakBefore w:val="0"/>
        <w:widowControl w:val="0"/>
        <w:kinsoku/>
        <w:wordWrap/>
        <w:overflowPunct/>
        <w:topLinePunct w:val="0"/>
        <w:autoSpaceDE/>
        <w:autoSpaceDN/>
        <w:bidi w:val="0"/>
        <w:adjustRightInd w:val="0"/>
        <w:snapToGrid w:val="0"/>
        <w:ind w:left="0" w:leftChars="0" w:firstLine="0" w:firstLineChars="0"/>
        <w:textAlignment w:val="auto"/>
        <w:rPr>
          <w:rFonts w:hint="default" w:ascii="Times New Roman" w:hAnsi="Times New Roman" w:cs="Times New Roman"/>
        </w:rPr>
      </w:pPr>
    </w:p>
    <w:p w14:paraId="293B9200">
      <w:pPr>
        <w:pStyle w:val="5"/>
        <w:ind w:firstLine="480"/>
        <w:rPr>
          <w:rFonts w:hint="default" w:ascii="Times New Roman" w:hAnsi="Times New Roman" w:eastAsia="黑体" w:cs="Times New Roman"/>
          <w:b w:val="0"/>
          <w:bCs w:val="0"/>
          <w:spacing w:val="0"/>
          <w:kern w:val="2"/>
          <w:sz w:val="24"/>
          <w:szCs w:val="24"/>
          <w:lang w:val="en-US" w:eastAsia="zh-CN" w:bidi="ar-SA"/>
        </w:rPr>
      </w:pPr>
      <w:r>
        <w:rPr>
          <w:rFonts w:hint="default" w:ascii="Times New Roman" w:hAnsi="Times New Roman" w:eastAsia="黑体" w:cs="Times New Roman"/>
          <w:b w:val="0"/>
          <w:bCs w:val="0"/>
          <w:spacing w:val="0"/>
          <w:kern w:val="2"/>
          <w:sz w:val="24"/>
          <w:szCs w:val="24"/>
          <w:lang w:val="en-US" w:eastAsia="zh-CN" w:bidi="ar-SA"/>
        </w:rPr>
        <w:t xml:space="preserve">图2.5-3  </w:t>
      </w:r>
      <w:r>
        <w:rPr>
          <w:rFonts w:hint="eastAsia" w:eastAsia="黑体" w:cs="Times New Roman"/>
          <w:b w:val="0"/>
          <w:bCs w:val="0"/>
          <w:spacing w:val="0"/>
          <w:kern w:val="2"/>
          <w:sz w:val="24"/>
          <w:szCs w:val="24"/>
          <w:lang w:val="en-US" w:eastAsia="zh-CN" w:bidi="ar-SA"/>
        </w:rPr>
        <w:t>乙醇汽油</w:t>
      </w:r>
      <w:r>
        <w:rPr>
          <w:rFonts w:hint="default" w:ascii="Times New Roman" w:hAnsi="Times New Roman" w:eastAsia="黑体" w:cs="Times New Roman"/>
          <w:b w:val="0"/>
          <w:bCs w:val="0"/>
          <w:spacing w:val="0"/>
          <w:kern w:val="2"/>
          <w:sz w:val="24"/>
          <w:szCs w:val="24"/>
          <w:lang w:val="en-US" w:eastAsia="zh-CN" w:bidi="ar-SA"/>
        </w:rPr>
        <w:t>加油工艺流程框图</w:t>
      </w:r>
    </w:p>
    <w:p w14:paraId="4D45C98D">
      <w:pPr>
        <w:adjustRightInd w:val="0"/>
        <w:snapToGrid w:val="0"/>
        <w:spacing w:before="163" w:beforeLines="50" w:after="163" w:afterLines="50"/>
        <w:jc w:val="center"/>
        <w:rPr>
          <w:rFonts w:hint="default" w:ascii="Times New Roman" w:hAnsi="Times New Roman" w:cs="Times New Roman"/>
        </w:rPr>
      </w:pPr>
    </w:p>
    <w:p w14:paraId="75074523">
      <w:pPr>
        <w:pStyle w:val="5"/>
        <w:ind w:firstLine="480"/>
        <w:rPr>
          <w:rFonts w:hint="default" w:ascii="Times New Roman" w:hAnsi="Times New Roman" w:eastAsia="黑体" w:cs="Times New Roman"/>
          <w:b w:val="0"/>
          <w:bCs w:val="0"/>
          <w:spacing w:val="0"/>
          <w:kern w:val="2"/>
          <w:sz w:val="24"/>
          <w:szCs w:val="24"/>
          <w:lang w:val="en-US" w:eastAsia="zh-CN" w:bidi="ar-SA"/>
        </w:rPr>
      </w:pPr>
      <w:r>
        <w:rPr>
          <w:rFonts w:hint="default" w:ascii="Times New Roman" w:hAnsi="Times New Roman" w:eastAsia="黑体" w:cs="Times New Roman"/>
          <w:b w:val="0"/>
          <w:bCs w:val="0"/>
          <w:spacing w:val="0"/>
          <w:kern w:val="2"/>
          <w:sz w:val="24"/>
          <w:szCs w:val="24"/>
          <w:lang w:val="en-US" w:eastAsia="zh-CN" w:bidi="ar-SA"/>
        </w:rPr>
        <w:t>图2.5-4  柴油加油工艺流程框图</w:t>
      </w:r>
    </w:p>
    <w:bookmarkEnd w:id="96"/>
    <w:bookmarkEnd w:id="97"/>
    <w:p w14:paraId="79E1EDCB">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98" w:name="_Toc9444"/>
      <w:bookmarkStart w:id="99" w:name="_Toc146488837"/>
      <w:r>
        <w:rPr>
          <w:rFonts w:hint="default" w:ascii="Times New Roman" w:hAnsi="Times New Roman" w:eastAsia="黑体" w:cs="Times New Roman"/>
          <w:b/>
          <w:bCs/>
          <w:color w:val="auto"/>
          <w:sz w:val="28"/>
          <w:szCs w:val="32"/>
          <w:lang w:val="en-US" w:eastAsia="zh-CN"/>
        </w:rPr>
        <w:t>2.5.2主要建（构）筑物</w:t>
      </w:r>
      <w:bookmarkEnd w:id="98"/>
      <w:bookmarkEnd w:id="99"/>
    </w:p>
    <w:p w14:paraId="74AD5641">
      <w:pPr>
        <w:adjustRightInd w:val="0"/>
        <w:snapToGrid w:val="0"/>
        <w:spacing w:line="360" w:lineRule="auto"/>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主要建（构）筑物情况详见下表。</w:t>
      </w:r>
    </w:p>
    <w:p w14:paraId="614DD95E">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w:t>
      </w:r>
      <w:r>
        <w:rPr>
          <w:rFonts w:hint="default" w:ascii="Times New Roman" w:hAnsi="Times New Roman" w:eastAsia="黑体" w:cs="Times New Roman"/>
          <w:sz w:val="24"/>
          <w:szCs w:val="24"/>
          <w:lang w:val="en-US" w:eastAsia="zh-CN"/>
        </w:rPr>
        <w:t xml:space="preserve">2.5-1  </w:t>
      </w:r>
      <w:r>
        <w:rPr>
          <w:rFonts w:hint="default" w:ascii="Times New Roman" w:hAnsi="Times New Roman" w:eastAsia="黑体" w:cs="Times New Roman"/>
          <w:sz w:val="24"/>
          <w:szCs w:val="24"/>
        </w:rPr>
        <w:t>主要建（构）筑物情况一览表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6"/>
        <w:gridCol w:w="1073"/>
        <w:gridCol w:w="710"/>
        <w:gridCol w:w="870"/>
        <w:gridCol w:w="813"/>
        <w:gridCol w:w="979"/>
        <w:gridCol w:w="1105"/>
        <w:gridCol w:w="1162"/>
        <w:gridCol w:w="994"/>
        <w:gridCol w:w="1218"/>
      </w:tblGrid>
      <w:tr w14:paraId="72C57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53" w:type="pct"/>
            <w:vAlign w:val="center"/>
          </w:tcPr>
          <w:p w14:paraId="402F566C">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序号</w:t>
            </w:r>
          </w:p>
        </w:tc>
        <w:tc>
          <w:tcPr>
            <w:tcW w:w="570" w:type="pct"/>
            <w:vAlign w:val="center"/>
          </w:tcPr>
          <w:p w14:paraId="1A980DB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建（构）筑物名称</w:t>
            </w:r>
          </w:p>
        </w:tc>
        <w:tc>
          <w:tcPr>
            <w:tcW w:w="377" w:type="pct"/>
            <w:vAlign w:val="center"/>
          </w:tcPr>
          <w:p w14:paraId="7F2CD4D2">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层数</w:t>
            </w:r>
          </w:p>
        </w:tc>
        <w:tc>
          <w:tcPr>
            <w:tcW w:w="462" w:type="pct"/>
            <w:vAlign w:val="center"/>
          </w:tcPr>
          <w:p w14:paraId="5CAA768C">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结构</w:t>
            </w:r>
          </w:p>
          <w:p w14:paraId="71CD3CCE">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型式</w:t>
            </w:r>
          </w:p>
        </w:tc>
        <w:tc>
          <w:tcPr>
            <w:tcW w:w="432" w:type="pct"/>
            <w:vAlign w:val="center"/>
          </w:tcPr>
          <w:p w14:paraId="169622AA">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高度</w:t>
            </w:r>
          </w:p>
          <w:p w14:paraId="7389D04D">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（m）</w:t>
            </w:r>
          </w:p>
        </w:tc>
        <w:tc>
          <w:tcPr>
            <w:tcW w:w="520" w:type="pct"/>
            <w:vAlign w:val="center"/>
          </w:tcPr>
          <w:p w14:paraId="4C4BB772">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建筑</w:t>
            </w:r>
          </w:p>
          <w:p w14:paraId="0DC6DE8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面积</w:t>
            </w:r>
          </w:p>
          <w:p w14:paraId="651399B0">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（m</w:t>
            </w:r>
            <w:r>
              <w:rPr>
                <w:rFonts w:hint="default" w:ascii="Times New Roman" w:hAnsi="Times New Roman" w:cs="Times New Roman"/>
                <w:b w:val="0"/>
                <w:bCs w:val="0"/>
                <w:szCs w:val="21"/>
                <w:vertAlign w:val="superscript"/>
              </w:rPr>
              <w:t>2</w:t>
            </w:r>
            <w:r>
              <w:rPr>
                <w:rFonts w:hint="default" w:ascii="Times New Roman" w:hAnsi="Times New Roman" w:cs="Times New Roman"/>
                <w:b w:val="0"/>
                <w:bCs w:val="0"/>
                <w:szCs w:val="21"/>
              </w:rPr>
              <w:t>）</w:t>
            </w:r>
          </w:p>
        </w:tc>
        <w:tc>
          <w:tcPr>
            <w:tcW w:w="587" w:type="pct"/>
            <w:vAlign w:val="center"/>
          </w:tcPr>
          <w:p w14:paraId="087B034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占地</w:t>
            </w:r>
          </w:p>
          <w:p w14:paraId="56C3A89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面积</w:t>
            </w:r>
          </w:p>
          <w:p w14:paraId="1EE5572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（m</w:t>
            </w:r>
            <w:r>
              <w:rPr>
                <w:rFonts w:hint="default" w:ascii="Times New Roman" w:hAnsi="Times New Roman" w:cs="Times New Roman"/>
                <w:b w:val="0"/>
                <w:bCs w:val="0"/>
                <w:szCs w:val="21"/>
                <w:vertAlign w:val="superscript"/>
              </w:rPr>
              <w:t>2</w:t>
            </w:r>
            <w:r>
              <w:rPr>
                <w:rFonts w:hint="default" w:ascii="Times New Roman" w:hAnsi="Times New Roman" w:cs="Times New Roman"/>
                <w:b w:val="0"/>
                <w:bCs w:val="0"/>
                <w:szCs w:val="21"/>
              </w:rPr>
              <w:t>）</w:t>
            </w:r>
          </w:p>
        </w:tc>
        <w:tc>
          <w:tcPr>
            <w:tcW w:w="617" w:type="pct"/>
            <w:vAlign w:val="center"/>
          </w:tcPr>
          <w:p w14:paraId="42B79BA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耐火</w:t>
            </w:r>
          </w:p>
          <w:p w14:paraId="3E291D6A">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等级</w:t>
            </w:r>
          </w:p>
        </w:tc>
        <w:tc>
          <w:tcPr>
            <w:tcW w:w="528" w:type="pct"/>
            <w:vAlign w:val="center"/>
          </w:tcPr>
          <w:p w14:paraId="0AB4BC78">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火灾</w:t>
            </w:r>
          </w:p>
          <w:p w14:paraId="0AC0DBBC">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危险性</w:t>
            </w:r>
          </w:p>
        </w:tc>
        <w:tc>
          <w:tcPr>
            <w:tcW w:w="647" w:type="pct"/>
            <w:vAlign w:val="center"/>
          </w:tcPr>
          <w:p w14:paraId="220DC64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备注</w:t>
            </w:r>
          </w:p>
        </w:tc>
      </w:tr>
      <w:tr w14:paraId="114E5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blHeader/>
          <w:jc w:val="center"/>
        </w:trPr>
        <w:tc>
          <w:tcPr>
            <w:tcW w:w="253" w:type="pct"/>
            <w:vAlign w:val="center"/>
          </w:tcPr>
          <w:p w14:paraId="3773A279">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1</w:t>
            </w:r>
          </w:p>
        </w:tc>
        <w:tc>
          <w:tcPr>
            <w:tcW w:w="570" w:type="pct"/>
            <w:vAlign w:val="center"/>
          </w:tcPr>
          <w:p w14:paraId="1C1872AE">
            <w:pPr>
              <w:ind w:firstLine="220"/>
              <w:rPr>
                <w:rFonts w:hint="default" w:ascii="Times New Roman" w:hAnsi="Times New Roman" w:cs="Times New Roman"/>
                <w:b w:val="0"/>
                <w:bCs w:val="0"/>
                <w:sz w:val="22"/>
                <w:szCs w:val="22"/>
              </w:rPr>
            </w:pPr>
            <w:r>
              <w:rPr>
                <w:rFonts w:hint="default" w:ascii="Times New Roman" w:hAnsi="Times New Roman" w:cs="Times New Roman"/>
                <w:b w:val="0"/>
                <w:bCs w:val="0"/>
                <w:szCs w:val="21"/>
              </w:rPr>
              <w:t>站房</w:t>
            </w:r>
          </w:p>
        </w:tc>
        <w:tc>
          <w:tcPr>
            <w:tcW w:w="377" w:type="pct"/>
            <w:vAlign w:val="center"/>
          </w:tcPr>
          <w:p w14:paraId="288DF706">
            <w:pPr>
              <w:jc w:val="both"/>
              <w:rPr>
                <w:rFonts w:hint="default" w:ascii="Times New Roman" w:hAnsi="Times New Roman" w:eastAsia="宋体" w:cs="Times New Roman"/>
                <w:b w:val="0"/>
                <w:bCs w:val="0"/>
                <w:sz w:val="22"/>
                <w:szCs w:val="22"/>
                <w:lang w:val="en-US" w:eastAsia="zh-CN"/>
              </w:rPr>
            </w:pPr>
            <w:r>
              <w:rPr>
                <w:rFonts w:hint="eastAsia" w:cs="Times New Roman"/>
                <w:b w:val="0"/>
                <w:bCs w:val="0"/>
                <w:sz w:val="22"/>
                <w:szCs w:val="22"/>
                <w:lang w:val="en-US" w:eastAsia="zh-CN"/>
              </w:rPr>
              <w:t>单层</w:t>
            </w:r>
          </w:p>
        </w:tc>
        <w:tc>
          <w:tcPr>
            <w:tcW w:w="462" w:type="pct"/>
            <w:vAlign w:val="center"/>
          </w:tcPr>
          <w:p w14:paraId="2CFFA613">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框架</w:t>
            </w:r>
          </w:p>
        </w:tc>
        <w:tc>
          <w:tcPr>
            <w:tcW w:w="432" w:type="pct"/>
            <w:vAlign w:val="center"/>
          </w:tcPr>
          <w:p w14:paraId="3CDF26BF">
            <w:pPr>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4.85</w:t>
            </w:r>
          </w:p>
        </w:tc>
        <w:tc>
          <w:tcPr>
            <w:tcW w:w="520" w:type="pct"/>
            <w:vAlign w:val="center"/>
          </w:tcPr>
          <w:p w14:paraId="64634EAA">
            <w:pPr>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74.5</w:t>
            </w:r>
          </w:p>
        </w:tc>
        <w:tc>
          <w:tcPr>
            <w:tcW w:w="587" w:type="pct"/>
            <w:vAlign w:val="center"/>
          </w:tcPr>
          <w:p w14:paraId="2916931F">
            <w:pPr>
              <w:jc w:val="center"/>
              <w:rPr>
                <w:rFonts w:hint="default"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74.5</w:t>
            </w:r>
          </w:p>
        </w:tc>
        <w:tc>
          <w:tcPr>
            <w:tcW w:w="617" w:type="pct"/>
            <w:vAlign w:val="center"/>
          </w:tcPr>
          <w:p w14:paraId="4CC9D5EF">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二级</w:t>
            </w:r>
          </w:p>
        </w:tc>
        <w:tc>
          <w:tcPr>
            <w:tcW w:w="528" w:type="pct"/>
            <w:vAlign w:val="center"/>
          </w:tcPr>
          <w:p w14:paraId="74470BDC">
            <w:pPr>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丙类</w:t>
            </w:r>
          </w:p>
        </w:tc>
        <w:tc>
          <w:tcPr>
            <w:tcW w:w="647" w:type="pct"/>
            <w:vAlign w:val="center"/>
          </w:tcPr>
          <w:p w14:paraId="316D8E8A">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新建</w:t>
            </w:r>
          </w:p>
        </w:tc>
      </w:tr>
      <w:tr w14:paraId="117E7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253" w:type="pct"/>
            <w:vAlign w:val="center"/>
          </w:tcPr>
          <w:p w14:paraId="6D9CFC13">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2</w:t>
            </w:r>
          </w:p>
        </w:tc>
        <w:tc>
          <w:tcPr>
            <w:tcW w:w="570" w:type="pct"/>
            <w:vAlign w:val="center"/>
          </w:tcPr>
          <w:p w14:paraId="1DEFFC4B">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加油</w:t>
            </w:r>
            <w:r>
              <w:rPr>
                <w:rFonts w:hint="default" w:ascii="Times New Roman" w:hAnsi="Times New Roman" w:cs="Times New Roman"/>
                <w:b w:val="0"/>
                <w:bCs w:val="0"/>
                <w:szCs w:val="21"/>
              </w:rPr>
              <w:t>罩棚</w:t>
            </w:r>
          </w:p>
        </w:tc>
        <w:tc>
          <w:tcPr>
            <w:tcW w:w="377" w:type="pct"/>
            <w:vAlign w:val="center"/>
          </w:tcPr>
          <w:p w14:paraId="17133761">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w:t>
            </w:r>
          </w:p>
        </w:tc>
        <w:tc>
          <w:tcPr>
            <w:tcW w:w="462" w:type="pct"/>
            <w:vAlign w:val="center"/>
          </w:tcPr>
          <w:p w14:paraId="4B7ED0D9">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钢框架</w:t>
            </w:r>
          </w:p>
        </w:tc>
        <w:tc>
          <w:tcPr>
            <w:tcW w:w="432" w:type="pct"/>
            <w:vAlign w:val="center"/>
          </w:tcPr>
          <w:p w14:paraId="597A5AB0">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7</w:t>
            </w:r>
          </w:p>
        </w:tc>
        <w:tc>
          <w:tcPr>
            <w:tcW w:w="520" w:type="pct"/>
            <w:vAlign w:val="center"/>
          </w:tcPr>
          <w:p w14:paraId="44607BFD">
            <w:pPr>
              <w:jc w:val="center"/>
              <w:rPr>
                <w:rFonts w:hint="default" w:ascii="Times New Roman" w:hAnsi="Times New Roman" w:eastAsia="宋体" w:cs="Times New Roman"/>
                <w:b w:val="0"/>
                <w:bCs w:val="0"/>
                <w:szCs w:val="21"/>
                <w:highlight w:val="none"/>
                <w:lang w:val="en-US" w:eastAsia="zh-CN"/>
              </w:rPr>
            </w:pPr>
            <w:r>
              <w:rPr>
                <w:rFonts w:hint="eastAsia" w:cs="Times New Roman"/>
                <w:b w:val="0"/>
                <w:bCs w:val="0"/>
                <w:szCs w:val="21"/>
                <w:highlight w:val="none"/>
                <w:lang w:val="en-US" w:eastAsia="zh-CN"/>
              </w:rPr>
              <w:t>91.14</w:t>
            </w:r>
          </w:p>
        </w:tc>
        <w:tc>
          <w:tcPr>
            <w:tcW w:w="587" w:type="pct"/>
            <w:vAlign w:val="center"/>
          </w:tcPr>
          <w:p w14:paraId="28696601">
            <w:pPr>
              <w:jc w:val="center"/>
              <w:rPr>
                <w:rFonts w:hint="default" w:ascii="Times New Roman" w:hAnsi="Times New Roman" w:eastAsia="宋体" w:cs="Times New Roman"/>
                <w:b w:val="0"/>
                <w:bCs w:val="0"/>
                <w:color w:val="000000" w:themeColor="text1"/>
                <w:szCs w:val="21"/>
                <w:highlight w:val="none"/>
                <w:lang w:val="en-US" w:eastAsia="zh-CN"/>
                <w14:textFill>
                  <w14:solidFill>
                    <w14:schemeClr w14:val="tx1"/>
                  </w14:solidFill>
                </w14:textFill>
              </w:rPr>
            </w:pPr>
            <w:r>
              <w:rPr>
                <w:rFonts w:hint="eastAsia" w:cs="Times New Roman"/>
                <w:b w:val="0"/>
                <w:bCs w:val="0"/>
                <w:color w:val="000000" w:themeColor="text1"/>
                <w:szCs w:val="21"/>
                <w:highlight w:val="none"/>
                <w:lang w:val="en-US" w:eastAsia="zh-CN"/>
                <w14:textFill>
                  <w14:solidFill>
                    <w14:schemeClr w14:val="tx1"/>
                  </w14:solidFill>
                </w14:textFill>
              </w:rPr>
              <w:t>296.64</w:t>
            </w:r>
          </w:p>
        </w:tc>
        <w:tc>
          <w:tcPr>
            <w:tcW w:w="617" w:type="pct"/>
            <w:vAlign w:val="center"/>
          </w:tcPr>
          <w:p w14:paraId="070CE21F">
            <w:pPr>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不燃烧体</w:t>
            </w:r>
          </w:p>
        </w:tc>
        <w:tc>
          <w:tcPr>
            <w:tcW w:w="528" w:type="pct"/>
            <w:vAlign w:val="center"/>
          </w:tcPr>
          <w:p w14:paraId="1CFF793C">
            <w:pPr>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w:t>
            </w:r>
          </w:p>
        </w:tc>
        <w:tc>
          <w:tcPr>
            <w:tcW w:w="647" w:type="pct"/>
            <w:vAlign w:val="center"/>
          </w:tcPr>
          <w:p w14:paraId="2CB0D971">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新建</w:t>
            </w:r>
            <w:r>
              <w:rPr>
                <w:rFonts w:hint="eastAsia" w:cs="Times New Roman"/>
                <w:b w:val="0"/>
                <w:bCs w:val="0"/>
                <w:szCs w:val="21"/>
                <w:lang w:val="en-US" w:eastAsia="zh-CN"/>
              </w:rPr>
              <w:t>，建筑面积为柱围合面积</w:t>
            </w:r>
          </w:p>
        </w:tc>
      </w:tr>
      <w:tr w14:paraId="1838D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blHeader/>
          <w:jc w:val="center"/>
        </w:trPr>
        <w:tc>
          <w:tcPr>
            <w:tcW w:w="253" w:type="pct"/>
            <w:vAlign w:val="center"/>
          </w:tcPr>
          <w:p w14:paraId="4340B8AE">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3</w:t>
            </w:r>
          </w:p>
        </w:tc>
        <w:tc>
          <w:tcPr>
            <w:tcW w:w="570" w:type="pct"/>
            <w:vAlign w:val="center"/>
          </w:tcPr>
          <w:p w14:paraId="384934A7">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承重埋地罐区</w:t>
            </w:r>
          </w:p>
        </w:tc>
        <w:tc>
          <w:tcPr>
            <w:tcW w:w="377" w:type="pct"/>
            <w:vAlign w:val="center"/>
          </w:tcPr>
          <w:p w14:paraId="17BC7C72">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w:t>
            </w:r>
          </w:p>
        </w:tc>
        <w:tc>
          <w:tcPr>
            <w:tcW w:w="462" w:type="pct"/>
            <w:vAlign w:val="center"/>
          </w:tcPr>
          <w:p w14:paraId="6FB2613D">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地埋</w:t>
            </w:r>
          </w:p>
        </w:tc>
        <w:tc>
          <w:tcPr>
            <w:tcW w:w="432" w:type="pct"/>
            <w:vAlign w:val="center"/>
          </w:tcPr>
          <w:p w14:paraId="7704B159">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w:t>
            </w:r>
          </w:p>
        </w:tc>
        <w:tc>
          <w:tcPr>
            <w:tcW w:w="520" w:type="pct"/>
            <w:vAlign w:val="center"/>
          </w:tcPr>
          <w:p w14:paraId="39A9777D">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w:t>
            </w:r>
          </w:p>
        </w:tc>
        <w:tc>
          <w:tcPr>
            <w:tcW w:w="587" w:type="pct"/>
            <w:vAlign w:val="center"/>
          </w:tcPr>
          <w:p w14:paraId="2177110A">
            <w:pPr>
              <w:jc w:val="center"/>
              <w:rPr>
                <w:rFonts w:hint="default"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82.96</w:t>
            </w:r>
          </w:p>
        </w:tc>
        <w:tc>
          <w:tcPr>
            <w:tcW w:w="617" w:type="pct"/>
            <w:vAlign w:val="center"/>
          </w:tcPr>
          <w:p w14:paraId="7078B2A6">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w:t>
            </w:r>
          </w:p>
        </w:tc>
        <w:tc>
          <w:tcPr>
            <w:tcW w:w="528" w:type="pct"/>
            <w:vAlign w:val="center"/>
          </w:tcPr>
          <w:p w14:paraId="05EF44E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甲类</w:t>
            </w:r>
          </w:p>
        </w:tc>
        <w:tc>
          <w:tcPr>
            <w:tcW w:w="647" w:type="pct"/>
            <w:vAlign w:val="center"/>
          </w:tcPr>
          <w:p w14:paraId="52AF5073">
            <w:pPr>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新建</w:t>
            </w:r>
          </w:p>
        </w:tc>
      </w:tr>
    </w:tbl>
    <w:p w14:paraId="4512B7AA">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00" w:name="_Toc146488838"/>
      <w:bookmarkStart w:id="101" w:name="_Toc19348"/>
      <w:r>
        <w:rPr>
          <w:rFonts w:hint="default" w:ascii="Times New Roman" w:hAnsi="Times New Roman" w:eastAsia="黑体" w:cs="Times New Roman"/>
          <w:b/>
          <w:bCs/>
          <w:color w:val="auto"/>
          <w:sz w:val="28"/>
          <w:szCs w:val="32"/>
          <w:lang w:val="en-US" w:eastAsia="zh-CN"/>
        </w:rPr>
        <w:t>2.5.</w:t>
      </w:r>
      <w:bookmarkStart w:id="102" w:name="_Toc410311951"/>
      <w:bookmarkStart w:id="103" w:name="_Toc410311874"/>
      <w:r>
        <w:rPr>
          <w:rFonts w:hint="default" w:ascii="Times New Roman" w:hAnsi="Times New Roman" w:eastAsia="黑体" w:cs="Times New Roman"/>
          <w:b/>
          <w:bCs/>
          <w:color w:val="auto"/>
          <w:sz w:val="28"/>
          <w:szCs w:val="32"/>
          <w:lang w:val="en-US" w:eastAsia="zh-CN"/>
        </w:rPr>
        <w:t>3主要设备及设施的布局及其上下游生产装置的关系</w:t>
      </w:r>
      <w:bookmarkEnd w:id="90"/>
      <w:bookmarkEnd w:id="91"/>
      <w:bookmarkEnd w:id="100"/>
      <w:bookmarkEnd w:id="101"/>
      <w:bookmarkEnd w:id="102"/>
      <w:bookmarkEnd w:id="103"/>
    </w:p>
    <w:p w14:paraId="4FA94CE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bookmarkStart w:id="104" w:name="_Toc27804"/>
      <w:r>
        <w:rPr>
          <w:rFonts w:hint="default" w:ascii="Times New Roman" w:hAnsi="Times New Roman" w:cs="Times New Roman"/>
          <w:sz w:val="28"/>
          <w:szCs w:val="28"/>
          <w:lang w:val="en-US" w:eastAsia="zh-CN"/>
        </w:rPr>
        <w:t>本站位于绥中县绥中镇商业路，加油站罩棚位于加油站中部，储罐区位于罩棚下，站房位于罩棚</w:t>
      </w:r>
      <w:r>
        <w:rPr>
          <w:rFonts w:hint="eastAsia" w:cs="Times New Roman"/>
          <w:sz w:val="28"/>
          <w:szCs w:val="28"/>
          <w:lang w:val="en-US" w:eastAsia="zh-CN"/>
        </w:rPr>
        <w:t>东</w:t>
      </w:r>
      <w:r>
        <w:rPr>
          <w:rFonts w:hint="default" w:ascii="Times New Roman" w:hAnsi="Times New Roman" w:cs="Times New Roman"/>
          <w:sz w:val="28"/>
          <w:szCs w:val="28"/>
          <w:lang w:val="en-US" w:eastAsia="zh-CN"/>
        </w:rPr>
        <w:t>侧。北侧、</w:t>
      </w:r>
      <w:r>
        <w:rPr>
          <w:rFonts w:hint="eastAsia" w:cs="Times New Roman"/>
          <w:sz w:val="28"/>
          <w:szCs w:val="28"/>
          <w:lang w:val="en-US" w:eastAsia="zh-CN"/>
        </w:rPr>
        <w:t>南</w:t>
      </w:r>
      <w:r>
        <w:rPr>
          <w:rFonts w:hint="default" w:ascii="Times New Roman" w:hAnsi="Times New Roman" w:cs="Times New Roman"/>
          <w:sz w:val="28"/>
          <w:szCs w:val="28"/>
          <w:lang w:val="en-US" w:eastAsia="zh-CN"/>
        </w:rPr>
        <w:t>侧、东侧</w:t>
      </w:r>
      <w:r>
        <w:rPr>
          <w:rFonts w:hint="eastAsia" w:cs="Times New Roman"/>
          <w:sz w:val="28"/>
          <w:szCs w:val="28"/>
          <w:lang w:val="en-US" w:eastAsia="zh-CN"/>
        </w:rPr>
        <w:t>均</w:t>
      </w:r>
      <w:r>
        <w:rPr>
          <w:rFonts w:hint="default" w:ascii="Times New Roman" w:hAnsi="Times New Roman" w:cs="Times New Roman"/>
          <w:sz w:val="28"/>
          <w:szCs w:val="28"/>
          <w:lang w:val="en-US" w:eastAsia="zh-CN"/>
        </w:rPr>
        <w:t>设置</w:t>
      </w:r>
      <w:r>
        <w:rPr>
          <w:rFonts w:hint="eastAsia" w:cs="Times New Roman"/>
          <w:sz w:val="28"/>
          <w:szCs w:val="28"/>
          <w:lang w:val="en-US" w:eastAsia="zh-CN"/>
        </w:rPr>
        <w:t>实体</w:t>
      </w:r>
      <w:r>
        <w:rPr>
          <w:rFonts w:hint="default" w:ascii="Times New Roman" w:hAnsi="Times New Roman" w:cs="Times New Roman"/>
          <w:sz w:val="28"/>
          <w:szCs w:val="28"/>
          <w:lang w:val="en-US" w:eastAsia="zh-CN"/>
        </w:rPr>
        <w:t>围墙</w:t>
      </w:r>
      <w:r>
        <w:rPr>
          <w:rFonts w:hint="eastAsia" w:cs="Times New Roman"/>
          <w:sz w:val="28"/>
          <w:szCs w:val="28"/>
          <w:lang w:val="en-US" w:eastAsia="zh-CN"/>
        </w:rPr>
        <w:t>，</w:t>
      </w:r>
      <w:r>
        <w:rPr>
          <w:rFonts w:hint="default" w:ascii="Times New Roman" w:hAnsi="Times New Roman" w:cs="Times New Roman"/>
          <w:sz w:val="28"/>
          <w:szCs w:val="28"/>
          <w:lang w:val="en-US" w:eastAsia="zh-CN"/>
        </w:rPr>
        <w:t>面向</w:t>
      </w:r>
      <w:r>
        <w:rPr>
          <w:rFonts w:hint="eastAsia" w:cs="Times New Roman"/>
          <w:sz w:val="28"/>
          <w:szCs w:val="28"/>
          <w:lang w:val="en-US" w:eastAsia="zh-CN"/>
        </w:rPr>
        <w:t>商业路</w:t>
      </w:r>
      <w:r>
        <w:rPr>
          <w:rFonts w:hint="default" w:ascii="Times New Roman" w:hAnsi="Times New Roman" w:cs="Times New Roman"/>
          <w:sz w:val="28"/>
          <w:szCs w:val="28"/>
          <w:lang w:val="en-US" w:eastAsia="zh-CN"/>
        </w:rPr>
        <w:t>设置出入口。</w:t>
      </w:r>
      <w:r>
        <w:rPr>
          <w:color w:val="auto"/>
          <w:sz w:val="28"/>
          <w:szCs w:val="28"/>
          <w:highlight w:val="none"/>
          <w:lang w:val="zh-CN"/>
        </w:rPr>
        <w:t>站区内部形成顺畅的加油车辆作业通道，道路为贯通式，消防道路呈环形布置</w:t>
      </w:r>
      <w:r>
        <w:rPr>
          <w:rFonts w:hint="default" w:ascii="Times New Roman" w:hAnsi="Times New Roman" w:cs="Times New Roman"/>
          <w:sz w:val="28"/>
          <w:szCs w:val="28"/>
          <w:lang w:val="en-US" w:eastAsia="zh-CN"/>
        </w:rPr>
        <w:t>。</w:t>
      </w:r>
    </w:p>
    <w:p w14:paraId="48FD73D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加油站总平面布置详见图2.5-5。</w:t>
      </w:r>
    </w:p>
    <w:p w14:paraId="04B97D8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p>
    <w:p w14:paraId="703FB66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sectPr>
          <w:footerReference r:id="rId8"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p>
    <w:bookmarkEnd w:id="104"/>
    <w:p w14:paraId="031CC0B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危险化学品专用罐车将</w:t>
      </w:r>
      <w:r>
        <w:rPr>
          <w:rFonts w:hint="eastAsia" w:cs="Times New Roman"/>
          <w:sz w:val="28"/>
          <w:szCs w:val="28"/>
          <w:lang w:eastAsia="zh-CN"/>
        </w:rPr>
        <w:t>乙醇汽油</w:t>
      </w:r>
      <w:r>
        <w:rPr>
          <w:rFonts w:hint="default" w:ascii="Times New Roman" w:hAnsi="Times New Roman" w:cs="Times New Roman"/>
          <w:sz w:val="28"/>
          <w:szCs w:val="28"/>
        </w:rPr>
        <w:t>、柴油运送至站内，采用密闭卸油方式按油品品种分别存放在站内储罐中，再经加油机计量加入进站加油车辆的油箱内。不涉及上下游生产装置关系。</w:t>
      </w:r>
    </w:p>
    <w:p w14:paraId="094C8BC9">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105" w:name="_Toc410311875"/>
      <w:bookmarkStart w:id="106" w:name="_Toc410311952"/>
      <w:bookmarkStart w:id="107" w:name="_Toc2468"/>
      <w:bookmarkStart w:id="108" w:name="_Toc13416"/>
      <w:bookmarkStart w:id="109" w:name="_Toc41246675"/>
      <w:r>
        <w:rPr>
          <w:rFonts w:hint="default" w:ascii="Times New Roman" w:hAnsi="Times New Roman" w:eastAsia="楷体" w:cs="Times New Roman"/>
          <w:color w:val="auto"/>
          <w:sz w:val="32"/>
          <w:szCs w:val="32"/>
          <w:lang w:val="en-US" w:eastAsia="zh-CN"/>
        </w:rPr>
        <w:t>2.</w:t>
      </w:r>
      <w:bookmarkEnd w:id="105"/>
      <w:bookmarkEnd w:id="106"/>
      <w:r>
        <w:rPr>
          <w:rFonts w:hint="default" w:ascii="Times New Roman" w:hAnsi="Times New Roman" w:eastAsia="楷体" w:cs="Times New Roman"/>
          <w:color w:val="auto"/>
          <w:sz w:val="32"/>
          <w:szCs w:val="32"/>
          <w:lang w:val="en-US" w:eastAsia="zh-CN"/>
        </w:rPr>
        <w:t>6配套和辅助工程名称、能力、介质来源</w:t>
      </w:r>
      <w:bookmarkEnd w:id="107"/>
      <w:bookmarkEnd w:id="108"/>
      <w:bookmarkEnd w:id="109"/>
    </w:p>
    <w:p w14:paraId="01C2F71D">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10" w:name="_Toc41246676"/>
      <w:bookmarkStart w:id="111" w:name="_Toc13560"/>
      <w:bookmarkStart w:id="112" w:name="_Toc146488840"/>
      <w:bookmarkStart w:id="113" w:name="_Toc12786"/>
      <w:r>
        <w:rPr>
          <w:rFonts w:hint="default" w:ascii="Times New Roman" w:hAnsi="Times New Roman" w:eastAsia="黑体" w:cs="Times New Roman"/>
          <w:b/>
          <w:bCs/>
          <w:color w:val="auto"/>
          <w:sz w:val="28"/>
          <w:szCs w:val="32"/>
          <w:lang w:val="en-US" w:eastAsia="zh-CN"/>
        </w:rPr>
        <w:t>2.6.1给排水</w:t>
      </w:r>
      <w:bookmarkEnd w:id="110"/>
      <w:bookmarkEnd w:id="111"/>
      <w:bookmarkEnd w:id="112"/>
      <w:bookmarkEnd w:id="113"/>
    </w:p>
    <w:p w14:paraId="72BAC45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114" w:name="_Toc19518"/>
      <w:r>
        <w:rPr>
          <w:rFonts w:hint="default" w:ascii="Times New Roman" w:hAnsi="Times New Roman" w:cs="Times New Roman"/>
          <w:sz w:val="28"/>
          <w:szCs w:val="28"/>
        </w:rPr>
        <w:t>（1）给水</w:t>
      </w:r>
      <w:bookmarkEnd w:id="114"/>
    </w:p>
    <w:p w14:paraId="51B438F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sz w:val="28"/>
          <w:szCs w:val="28"/>
        </w:rPr>
      </w:pPr>
      <w:bookmarkStart w:id="115" w:name="_Toc29105"/>
      <w:bookmarkStart w:id="116" w:name="_Toc5565"/>
      <w:r>
        <w:rPr>
          <w:rFonts w:hint="eastAsia"/>
          <w:sz w:val="28"/>
          <w:szCs w:val="28"/>
        </w:rPr>
        <w:t>加油站</w:t>
      </w:r>
      <w:r>
        <w:rPr>
          <w:sz w:val="28"/>
          <w:szCs w:val="28"/>
        </w:rPr>
        <w:t>内用水主要为生活用水，站内给水依托</w:t>
      </w:r>
      <w:r>
        <w:rPr>
          <w:rFonts w:hint="default" w:ascii="Times New Roman" w:hAnsi="Times New Roman" w:cs="Times New Roman"/>
          <w:sz w:val="28"/>
          <w:szCs w:val="28"/>
        </w:rPr>
        <w:t>市政给水管线供给</w:t>
      </w:r>
      <w:r>
        <w:rPr>
          <w:sz w:val="28"/>
          <w:szCs w:val="28"/>
        </w:rPr>
        <w:t>。</w:t>
      </w:r>
    </w:p>
    <w:p w14:paraId="349363A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（2）排水</w:t>
      </w:r>
      <w:bookmarkEnd w:id="115"/>
      <w:bookmarkEnd w:id="116"/>
    </w:p>
    <w:p w14:paraId="30286B6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sz w:val="28"/>
          <w:szCs w:val="28"/>
        </w:rPr>
      </w:pPr>
      <w:bookmarkStart w:id="117" w:name="_Toc14660"/>
      <w:bookmarkStart w:id="118" w:name="_Toc41246677"/>
      <w:r>
        <w:rPr>
          <w:rFonts w:hint="eastAsia"/>
          <w:sz w:val="28"/>
          <w:szCs w:val="28"/>
        </w:rPr>
        <w:t>加油站</w:t>
      </w:r>
      <w:r>
        <w:rPr>
          <w:sz w:val="28"/>
          <w:szCs w:val="28"/>
        </w:rPr>
        <w:t>排水包括</w:t>
      </w:r>
      <w:r>
        <w:rPr>
          <w:rFonts w:hint="eastAsia"/>
          <w:sz w:val="28"/>
          <w:szCs w:val="28"/>
        </w:rPr>
        <w:t>生产污水</w:t>
      </w:r>
      <w:r>
        <w:rPr>
          <w:sz w:val="28"/>
          <w:szCs w:val="28"/>
        </w:rPr>
        <w:t>、雨水系统及生活污水系统</w:t>
      </w:r>
      <w:r>
        <w:rPr>
          <w:rFonts w:hint="eastAsia"/>
          <w:sz w:val="28"/>
          <w:szCs w:val="28"/>
        </w:rPr>
        <w:t>。</w:t>
      </w:r>
    </w:p>
    <w:p w14:paraId="74A5330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sz w:val="28"/>
          <w:szCs w:val="28"/>
        </w:rPr>
        <w:t>生产污水主要源自储罐清洗（一般为每5年清洗一次）。清洗油罐时采用活动式回收桶回收，并用车运至污水处理厂处理。</w:t>
      </w:r>
    </w:p>
    <w:p w14:paraId="79B01E6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sz w:val="28"/>
          <w:szCs w:val="28"/>
        </w:rPr>
        <w:t>站内生活污水排入</w:t>
      </w:r>
      <w:r>
        <w:rPr>
          <w:rFonts w:hint="eastAsia"/>
          <w:sz w:val="28"/>
          <w:szCs w:val="28"/>
          <w:lang w:val="en-US" w:eastAsia="zh-CN"/>
        </w:rPr>
        <w:t>市政污水管网</w:t>
      </w:r>
      <w:r>
        <w:rPr>
          <w:sz w:val="28"/>
          <w:szCs w:val="28"/>
        </w:rPr>
        <w:t>。</w:t>
      </w:r>
    </w:p>
    <w:p w14:paraId="733A6A6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sz w:val="28"/>
          <w:szCs w:val="28"/>
        </w:rPr>
        <w:t>站内雨水散排。</w:t>
      </w:r>
    </w:p>
    <w:p w14:paraId="2024A400">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19" w:name="_Toc146488841"/>
      <w:bookmarkStart w:id="120" w:name="_Toc25911"/>
      <w:r>
        <w:rPr>
          <w:rFonts w:hint="default" w:ascii="Times New Roman" w:hAnsi="Times New Roman" w:eastAsia="黑体" w:cs="Times New Roman"/>
          <w:b/>
          <w:bCs/>
          <w:color w:val="auto"/>
          <w:sz w:val="28"/>
          <w:szCs w:val="32"/>
          <w:lang w:val="en-US" w:eastAsia="zh-CN"/>
        </w:rPr>
        <w:t>2.6.2供配电</w:t>
      </w:r>
      <w:bookmarkEnd w:id="117"/>
      <w:bookmarkEnd w:id="118"/>
      <w:bookmarkEnd w:id="119"/>
      <w:bookmarkEnd w:id="120"/>
    </w:p>
    <w:p w14:paraId="03B6C0E9">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sz w:val="28"/>
          <w:szCs w:val="28"/>
        </w:rPr>
      </w:pPr>
      <w:r>
        <w:rPr>
          <w:rFonts w:hint="eastAsia"/>
          <w:sz w:val="28"/>
          <w:szCs w:val="28"/>
        </w:rPr>
        <w:t>（1）供电负荷及供电方案</w:t>
      </w:r>
    </w:p>
    <w:p w14:paraId="45AFD3F9">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hint="eastAsia"/>
          <w:sz w:val="28"/>
          <w:szCs w:val="28"/>
        </w:rPr>
      </w:pPr>
      <w:r>
        <w:rPr>
          <w:rFonts w:hint="eastAsia"/>
          <w:sz w:val="28"/>
          <w:szCs w:val="28"/>
        </w:rPr>
        <w:t>供电负荷：该站供电负荷等级为三级。</w:t>
      </w:r>
    </w:p>
    <w:p w14:paraId="0A77A0DD">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hint="default" w:eastAsia="宋体"/>
          <w:sz w:val="28"/>
          <w:szCs w:val="28"/>
          <w:lang w:val="en-US" w:eastAsia="zh-CN"/>
        </w:rPr>
      </w:pPr>
      <w:r>
        <w:rPr>
          <w:rFonts w:hint="eastAsia"/>
          <w:sz w:val="28"/>
          <w:szCs w:val="28"/>
        </w:rPr>
        <w:t>供电方案：由市政供电，380/220V配电系统接地型式采用TN-S系统。站内站房设置配电箱，用电负荷能够满足要求。信息系统采用UPS备用电源供电</w:t>
      </w:r>
      <w:bookmarkStart w:id="121" w:name="_Hlk163988582"/>
      <w:r>
        <w:rPr>
          <w:rFonts w:hint="eastAsia"/>
          <w:sz w:val="28"/>
          <w:szCs w:val="28"/>
          <w:lang w:eastAsia="zh-CN"/>
        </w:rPr>
        <w:t>，</w:t>
      </w:r>
      <w:r>
        <w:rPr>
          <w:rFonts w:hint="eastAsia"/>
          <w:sz w:val="28"/>
          <w:szCs w:val="28"/>
          <w:lang w:val="en-US" w:eastAsia="zh-CN"/>
        </w:rPr>
        <w:t>最低供电时间不少于60min。</w:t>
      </w:r>
    </w:p>
    <w:bookmarkEnd w:id="121"/>
    <w:p w14:paraId="5D783AFE">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rFonts w:hint="eastAsia"/>
          <w:sz w:val="28"/>
          <w:szCs w:val="28"/>
        </w:rPr>
        <w:t>（2）主要配电设备的选择</w:t>
      </w:r>
    </w:p>
    <w:p w14:paraId="4CA73805">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sz w:val="28"/>
          <w:szCs w:val="28"/>
        </w:rPr>
        <w:t>站房、罩棚</w:t>
      </w:r>
      <w:r>
        <w:rPr>
          <w:rFonts w:hint="eastAsia"/>
          <w:sz w:val="28"/>
          <w:szCs w:val="28"/>
        </w:rPr>
        <w:t>和控制室</w:t>
      </w:r>
      <w:r>
        <w:rPr>
          <w:rFonts w:hint="eastAsia"/>
          <w:sz w:val="28"/>
          <w:szCs w:val="28"/>
          <w:lang w:eastAsia="zh-CN"/>
        </w:rPr>
        <w:t>、</w:t>
      </w:r>
      <w:r>
        <w:rPr>
          <w:rFonts w:hint="eastAsia"/>
          <w:sz w:val="28"/>
          <w:szCs w:val="28"/>
          <w:lang w:val="en-US" w:eastAsia="zh-CN"/>
        </w:rPr>
        <w:t>配电室</w:t>
      </w:r>
      <w:r>
        <w:rPr>
          <w:sz w:val="28"/>
          <w:szCs w:val="28"/>
        </w:rPr>
        <w:t>设应急照明灯，应急照明电源采用自带蓄电池，连续供电时间不少于90min。</w:t>
      </w:r>
    </w:p>
    <w:p w14:paraId="11263A48">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sz w:val="28"/>
          <w:szCs w:val="28"/>
        </w:rPr>
      </w:pPr>
      <w:r>
        <w:rPr>
          <w:rFonts w:hint="eastAsia"/>
          <w:sz w:val="28"/>
          <w:szCs w:val="28"/>
        </w:rPr>
        <w:t>罩棚、站房等建构筑物的照明灯具，选用非防爆型，罩棚下的灯具选用防护等级I</w:t>
      </w:r>
      <w:r>
        <w:rPr>
          <w:sz w:val="28"/>
          <w:szCs w:val="28"/>
        </w:rPr>
        <w:t>P44</w:t>
      </w:r>
      <w:r>
        <w:rPr>
          <w:rFonts w:hint="eastAsia"/>
          <w:sz w:val="28"/>
          <w:szCs w:val="28"/>
        </w:rPr>
        <w:t>的节能型照明灯具。</w:t>
      </w:r>
    </w:p>
    <w:p w14:paraId="4ADB6A7B">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eastAsia" w:eastAsia="宋体"/>
          <w:sz w:val="28"/>
          <w:szCs w:val="28"/>
          <w:highlight w:val="none"/>
          <w:lang w:eastAsia="zh-CN"/>
        </w:rPr>
      </w:pPr>
      <w:bookmarkStart w:id="122" w:name="_Hlk163988683"/>
      <w:r>
        <w:rPr>
          <w:sz w:val="28"/>
          <w:szCs w:val="28"/>
        </w:rPr>
        <w:t>爆炸危险区域内安装的电气设备、仪表选用</w:t>
      </w:r>
      <w:r>
        <w:rPr>
          <w:rFonts w:hint="eastAsia"/>
          <w:sz w:val="28"/>
          <w:szCs w:val="28"/>
        </w:rPr>
        <w:t>符合相应等级的防爆型设备</w:t>
      </w:r>
      <w:r>
        <w:rPr>
          <w:sz w:val="28"/>
          <w:szCs w:val="28"/>
        </w:rPr>
        <w:t>，爆炸危险区域电气设备电缆接线采用防爆挠性管保护，电气线路套管穿过不同区域之间的孔洞采用非燃性材料严密封堵，</w:t>
      </w:r>
      <w:r>
        <w:rPr>
          <w:sz w:val="28"/>
          <w:szCs w:val="28"/>
          <w:lang w:val="zh-CN"/>
        </w:rPr>
        <w:t>在爆炸性气体环境1区、2区内钢管配线的电气线路</w:t>
      </w:r>
      <w:r>
        <w:rPr>
          <w:sz w:val="28"/>
          <w:szCs w:val="28"/>
        </w:rPr>
        <w:t>用</w:t>
      </w:r>
      <w:r>
        <w:rPr>
          <w:rFonts w:hint="eastAsia"/>
          <w:sz w:val="28"/>
          <w:szCs w:val="28"/>
        </w:rPr>
        <w:t>防爆螺栓做</w:t>
      </w:r>
      <w:r>
        <w:rPr>
          <w:sz w:val="28"/>
          <w:szCs w:val="28"/>
          <w:lang w:val="zh-CN"/>
        </w:rPr>
        <w:t>隔离密封</w:t>
      </w:r>
      <w:r>
        <w:rPr>
          <w:sz w:val="28"/>
          <w:szCs w:val="28"/>
        </w:rPr>
        <w:t>。</w:t>
      </w:r>
      <w:r>
        <w:rPr>
          <w:rFonts w:hint="eastAsia"/>
          <w:sz w:val="28"/>
          <w:szCs w:val="28"/>
          <w:highlight w:val="none"/>
        </w:rPr>
        <w:t>电气电缆埋地选用铠装电缆，其它电缆选用聚氯乙烯电缆</w:t>
      </w:r>
      <w:r>
        <w:rPr>
          <w:rFonts w:hint="eastAsia"/>
          <w:sz w:val="28"/>
          <w:szCs w:val="28"/>
          <w:highlight w:val="none"/>
          <w:lang w:eastAsia="zh-CN"/>
        </w:rPr>
        <w:t>。</w:t>
      </w:r>
      <w:r>
        <w:rPr>
          <w:rFonts w:hint="eastAsia"/>
          <w:sz w:val="28"/>
          <w:szCs w:val="28"/>
        </w:rPr>
        <w:t>仪表电缆及导线均采用阻燃型、聚氯乙烯绝缘聚氯乙烯护套，护套颜色采用天兰色；其他回路选用一般控制电缆，护套颜色采用黑色。在1区内应采用铜芯电缆；除本质安全电路外，在2区内宜采用铜芯电缆，当采用铝芯电缆时，其截面不得小于16mm</w:t>
      </w:r>
      <w:r>
        <w:rPr>
          <w:rFonts w:hint="eastAsia"/>
          <w:sz w:val="28"/>
          <w:szCs w:val="28"/>
          <w:vertAlign w:val="superscript"/>
        </w:rPr>
        <w:t>2</w:t>
      </w:r>
      <w:r>
        <w:rPr>
          <w:rFonts w:hint="eastAsia"/>
          <w:sz w:val="28"/>
          <w:szCs w:val="28"/>
        </w:rPr>
        <w:t>，且与电气设备的连接应采用铜-铝过渡接头。</w:t>
      </w:r>
    </w:p>
    <w:bookmarkEnd w:id="122"/>
    <w:p w14:paraId="22D28C61">
      <w:pPr>
        <w:keepNext w:val="0"/>
        <w:keepLines w:val="0"/>
        <w:pageBreakBefore w:val="0"/>
        <w:kinsoku/>
        <w:wordWrap/>
        <w:overflowPunct/>
        <w:topLinePunct w:val="0"/>
        <w:autoSpaceDE/>
        <w:autoSpaceDN/>
        <w:bidi w:val="0"/>
        <w:adjustRightInd w:val="0"/>
        <w:snapToGrid w:val="0"/>
        <w:spacing w:line="360" w:lineRule="auto"/>
        <w:ind w:firstLine="560" w:firstLineChars="200"/>
        <w:jc w:val="left"/>
        <w:textAlignment w:val="auto"/>
        <w:rPr>
          <w:sz w:val="28"/>
          <w:szCs w:val="28"/>
          <w:highlight w:val="none"/>
        </w:rPr>
      </w:pPr>
      <w:r>
        <w:rPr>
          <w:sz w:val="28"/>
          <w:szCs w:val="28"/>
          <w:highlight w:val="none"/>
        </w:rPr>
        <w:t>爆炸</w:t>
      </w:r>
      <w:r>
        <w:rPr>
          <w:rFonts w:hint="eastAsia"/>
          <w:sz w:val="28"/>
          <w:szCs w:val="28"/>
          <w:highlight w:val="none"/>
        </w:rPr>
        <w:t>危险</w:t>
      </w:r>
      <w:r>
        <w:rPr>
          <w:sz w:val="28"/>
          <w:szCs w:val="28"/>
          <w:highlight w:val="none"/>
        </w:rPr>
        <w:t>区域照明灯具选用防爆型灯具，其防爆等级不低于Exd</w:t>
      </w:r>
      <w:r>
        <w:rPr>
          <w:sz w:val="28"/>
          <w:szCs w:val="28"/>
          <w:highlight w:val="none"/>
        </w:rPr>
        <w:fldChar w:fldCharType="begin"/>
      </w:r>
      <w:r>
        <w:rPr>
          <w:sz w:val="28"/>
          <w:szCs w:val="28"/>
          <w:highlight w:val="none"/>
        </w:rPr>
        <w:instrText xml:space="preserve">= 2 \* ROMAN</w:instrText>
      </w:r>
      <w:r>
        <w:rPr>
          <w:sz w:val="28"/>
          <w:szCs w:val="28"/>
          <w:highlight w:val="none"/>
        </w:rPr>
        <w:fldChar w:fldCharType="separate"/>
      </w:r>
      <w:r>
        <w:rPr>
          <w:sz w:val="28"/>
          <w:szCs w:val="28"/>
          <w:highlight w:val="none"/>
        </w:rPr>
        <w:t>II</w:t>
      </w:r>
      <w:r>
        <w:rPr>
          <w:sz w:val="28"/>
          <w:szCs w:val="28"/>
          <w:highlight w:val="none"/>
        </w:rPr>
        <w:fldChar w:fldCharType="end"/>
      </w:r>
      <w:r>
        <w:rPr>
          <w:sz w:val="28"/>
          <w:szCs w:val="28"/>
          <w:highlight w:val="none"/>
        </w:rPr>
        <w:t>BT4级。</w:t>
      </w:r>
    </w:p>
    <w:p w14:paraId="40E1236E">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r>
        <w:rPr>
          <w:rFonts w:hint="default" w:ascii="Times New Roman" w:hAnsi="Times New Roman" w:eastAsia="黑体" w:cs="Times New Roman"/>
          <w:b/>
          <w:bCs/>
          <w:color w:val="auto"/>
          <w:sz w:val="28"/>
          <w:szCs w:val="32"/>
          <w:lang w:val="en-US" w:eastAsia="zh-CN"/>
        </w:rPr>
        <w:t>2.6.3防雷、防静电及接地</w:t>
      </w:r>
    </w:p>
    <w:p w14:paraId="4B44F91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站房为砖混结构，其屋面设有避雷带。罩棚为二类防雷构筑物，利用钢结构支柱及基础圈梁内的钢筋作接地极，组成防雷接地系统；埋地油罐区的油罐做防雷接地，埋地油罐和罐内的各金属部件，与非埋地部分的工艺金属管道相互做电气连接并接地。</w:t>
      </w:r>
    </w:p>
    <w:p w14:paraId="71F64DF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防雷接地、防静电接地、电气设备的工作接地、保护接地及信息系统的接地采用共用接地装置，接地电阻不应大于4Ω。</w:t>
      </w:r>
    </w:p>
    <w:p w14:paraId="11EB71D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装有阻火器的通气管与接地装置可靠连接；卸油场地设有卸车静电接地报警器和本安型人体导除静电装置。</w:t>
      </w:r>
    </w:p>
    <w:p w14:paraId="0244238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对金属管道的法兰等的连接处采取导线跨接；在供配电系统的电源端安装与设备耐压水平相适应的过电压（电涌）保护器。</w:t>
      </w:r>
    </w:p>
    <w:p w14:paraId="0957D09A">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23" w:name="_Toc3054"/>
      <w:bookmarkStart w:id="124" w:name="_Toc146488842"/>
      <w:r>
        <w:rPr>
          <w:rFonts w:hint="default" w:ascii="Times New Roman" w:hAnsi="Times New Roman" w:eastAsia="黑体" w:cs="Times New Roman"/>
          <w:b/>
          <w:bCs/>
          <w:color w:val="auto"/>
          <w:sz w:val="28"/>
          <w:szCs w:val="32"/>
          <w:lang w:val="en-US" w:eastAsia="zh-CN"/>
        </w:rPr>
        <w:t>2.6.4采暖</w:t>
      </w:r>
      <w:bookmarkEnd w:id="123"/>
      <w:bookmarkEnd w:id="124"/>
    </w:p>
    <w:p w14:paraId="73BA1DC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eastAsia"/>
          <w:sz w:val="28"/>
          <w:szCs w:val="28"/>
          <w:lang w:val="zh-CN"/>
        </w:rPr>
        <w:t>冬季采暖依托市政供暖。</w:t>
      </w:r>
    </w:p>
    <w:p w14:paraId="0BE3FA8F">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25" w:name="_Toc22351"/>
      <w:bookmarkStart w:id="126" w:name="_Toc41246679"/>
      <w:bookmarkStart w:id="127" w:name="_Toc18853"/>
      <w:bookmarkStart w:id="128" w:name="_Toc146488843"/>
      <w:r>
        <w:rPr>
          <w:rFonts w:hint="default" w:ascii="Times New Roman" w:hAnsi="Times New Roman" w:eastAsia="黑体" w:cs="Times New Roman"/>
          <w:b/>
          <w:bCs/>
          <w:color w:val="auto"/>
          <w:sz w:val="28"/>
          <w:szCs w:val="32"/>
          <w:lang w:val="en-US" w:eastAsia="zh-CN"/>
        </w:rPr>
        <w:t>2.6.</w:t>
      </w:r>
      <w:bookmarkEnd w:id="125"/>
      <w:bookmarkEnd w:id="126"/>
      <w:r>
        <w:rPr>
          <w:rFonts w:hint="eastAsia" w:eastAsia="黑体" w:cs="Times New Roman"/>
          <w:b/>
          <w:bCs/>
          <w:color w:val="auto"/>
          <w:sz w:val="28"/>
          <w:szCs w:val="32"/>
          <w:lang w:val="en-US" w:eastAsia="zh-CN"/>
        </w:rPr>
        <w:t>5</w:t>
      </w:r>
      <w:r>
        <w:rPr>
          <w:rFonts w:hint="default" w:ascii="Times New Roman" w:hAnsi="Times New Roman" w:eastAsia="黑体" w:cs="Times New Roman"/>
          <w:b/>
          <w:bCs/>
          <w:color w:val="auto"/>
          <w:sz w:val="28"/>
          <w:szCs w:val="32"/>
          <w:lang w:val="en-US" w:eastAsia="zh-CN"/>
        </w:rPr>
        <w:t>自动控制</w:t>
      </w:r>
      <w:bookmarkEnd w:id="127"/>
      <w:bookmarkEnd w:id="128"/>
    </w:p>
    <w:p w14:paraId="293CF3E7">
      <w:pPr>
        <w:pStyle w:val="5"/>
        <w:keepNext w:val="0"/>
        <w:keepLines w:val="0"/>
        <w:pageBreakBefore w:val="0"/>
        <w:widowControl w:val="0"/>
        <w:kinsoku/>
        <w:wordWrap/>
        <w:overflowPunct/>
        <w:topLinePunct w:val="0"/>
        <w:autoSpaceDE/>
        <w:autoSpaceDN/>
        <w:bidi w:val="0"/>
        <w:adjustRightInd w:val="0"/>
        <w:snapToGrid w:val="0"/>
        <w:spacing w:line="360" w:lineRule="auto"/>
        <w:ind w:left="0" w:leftChars="0" w:firstLine="560" w:firstLineChars="200"/>
        <w:jc w:val="both"/>
        <w:textAlignment w:val="auto"/>
        <w:rPr>
          <w:rFonts w:hint="default" w:ascii="Times New Roman" w:hAnsi="Times New Roman" w:cs="Times New Roman"/>
          <w:lang w:eastAsia="zh-CN"/>
        </w:rPr>
      </w:pPr>
      <w:bookmarkStart w:id="129" w:name="_Toc31981"/>
      <w:bookmarkStart w:id="130" w:name="_Toc146488844"/>
      <w:bookmarkStart w:id="131" w:name="_Toc41246682"/>
      <w:bookmarkStart w:id="132" w:name="_Toc30140"/>
      <w:bookmarkStart w:id="133" w:name="_Toc24728"/>
      <w:r>
        <w:rPr>
          <w:rFonts w:hint="default" w:ascii="Times New Roman" w:hAnsi="Times New Roman" w:cs="Times New Roman"/>
        </w:rPr>
        <w:t>站内设置监测及信息管理系统。包括油罐液位监测系统、防渗检测系统、视频监控系统和紧急切断装置。</w:t>
      </w:r>
      <w:bookmarkEnd w:id="129"/>
      <w:bookmarkStart w:id="134" w:name="_Toc41246680"/>
      <w:bookmarkStart w:id="135" w:name="_Toc32440"/>
    </w:p>
    <w:p w14:paraId="0F8CC73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（1）液位监测系统</w:t>
      </w:r>
    </w:p>
    <w:p w14:paraId="478B9E2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油罐液位显示报警系统由磁致伸缩液位计、液位监控仪、声光报警器等组成，设置磁致伸缩液位计，分别安装在油罐区的</w:t>
      </w:r>
      <w:r>
        <w:rPr>
          <w:rFonts w:hint="eastAsia" w:ascii="Times New Roman" w:hAnsi="Times New Roman" w:eastAsia="宋体" w:cs="Times New Roman"/>
          <w:bCs/>
          <w:kern w:val="0"/>
          <w:sz w:val="28"/>
          <w:szCs w:val="28"/>
          <w:lang w:val="en-US" w:eastAsia="zh-CN" w:bidi="ar-SA"/>
        </w:rPr>
        <w:t>4</w:t>
      </w:r>
      <w:r>
        <w:rPr>
          <w:rFonts w:hint="default" w:ascii="Times New Roman" w:hAnsi="Times New Roman" w:eastAsia="宋体" w:cs="Times New Roman"/>
          <w:bCs/>
          <w:kern w:val="0"/>
          <w:sz w:val="28"/>
          <w:szCs w:val="28"/>
          <w:lang w:val="en-US" w:eastAsia="zh-CN" w:bidi="ar-SA"/>
        </w:rPr>
        <w:t>台储油罐上，磁致伸缩液位计上传的数据在液位监控界面进行连续监视以及超限集中报警；双层油罐设置渗漏检测立管，并设置在线监测系统，保证油罐内、外壁任何部位出现渗漏均能被发现。双层管道系统的最低点设置检漏点，并设置在线检测系统，保证内、外层管任何部位出现泄漏均能在检漏点处被发现。</w:t>
      </w:r>
    </w:p>
    <w:p w14:paraId="45D0D09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（2）防渗检测系统</w:t>
      </w:r>
    </w:p>
    <w:p w14:paraId="5FBE068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油罐和双层管道分别设有油气渗漏检测报警装置。</w:t>
      </w:r>
    </w:p>
    <w:p w14:paraId="690B9EC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双层油罐设置渗漏检测立管，并设置在线监测系统，保证油罐内、外壁任何部位出现渗漏均能被发现。双层管道系统的最低点设置检漏点，并设置在线检测系统，保证内、外层管任何部位出现泄漏均能在检漏点处被发现。</w:t>
      </w:r>
    </w:p>
    <w:p w14:paraId="6BFB9B4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双层管道泄漏检测系统由泄漏检测仪、泄漏探测器和集液罐组成，完成对双层管道的泄漏检测。泄漏探测器、集液罐安装在输油管道最低点处，泄漏检测仪设置在站房控制室内。泄漏检测仪具有RS-485通讯接口、声光报警、消音、故障自诊断等功能。</w:t>
      </w:r>
    </w:p>
    <w:p w14:paraId="5A4F532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（3）视频监控系统</w:t>
      </w:r>
    </w:p>
    <w:p w14:paraId="614962E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kern w:val="0"/>
          <w:sz w:val="28"/>
          <w:szCs w:val="28"/>
          <w:lang w:val="en-US" w:eastAsia="zh-CN" w:bidi="ar-SA"/>
        </w:rPr>
      </w:pPr>
      <w:r>
        <w:rPr>
          <w:rFonts w:hint="default" w:ascii="Times New Roman" w:hAnsi="Times New Roman" w:eastAsia="宋体" w:cs="Times New Roman"/>
          <w:bCs/>
          <w:kern w:val="0"/>
          <w:sz w:val="28"/>
          <w:szCs w:val="28"/>
          <w:lang w:val="en-US" w:eastAsia="zh-CN" w:bidi="ar-SA"/>
        </w:rPr>
        <w:t>该站</w:t>
      </w:r>
      <w:r>
        <w:rPr>
          <w:rFonts w:hint="eastAsia" w:cs="Times New Roman"/>
          <w:bCs/>
          <w:kern w:val="0"/>
          <w:sz w:val="28"/>
          <w:szCs w:val="28"/>
          <w:lang w:val="en-US" w:eastAsia="zh-CN" w:bidi="ar-SA"/>
        </w:rPr>
        <w:t>拟设</w:t>
      </w:r>
      <w:r>
        <w:rPr>
          <w:rFonts w:hint="default" w:ascii="Times New Roman" w:hAnsi="Times New Roman" w:eastAsia="宋体" w:cs="Times New Roman"/>
          <w:bCs/>
          <w:kern w:val="0"/>
          <w:sz w:val="28"/>
          <w:szCs w:val="28"/>
          <w:lang w:val="en-US" w:eastAsia="zh-CN" w:bidi="ar-SA"/>
        </w:rPr>
        <w:t>视频监控系统，设有监控摄像头10个</w:t>
      </w:r>
      <w:r>
        <w:rPr>
          <w:rFonts w:hint="eastAsia" w:cs="Times New Roman"/>
          <w:bCs/>
          <w:kern w:val="0"/>
          <w:sz w:val="28"/>
          <w:szCs w:val="28"/>
          <w:lang w:val="en-US" w:eastAsia="zh-CN" w:bidi="ar-SA"/>
        </w:rPr>
        <w:t>，</w:t>
      </w:r>
      <w:r>
        <w:rPr>
          <w:rFonts w:hint="default" w:ascii="Times New Roman" w:hAnsi="Times New Roman" w:eastAsia="宋体" w:cs="Times New Roman"/>
          <w:bCs/>
          <w:kern w:val="0"/>
          <w:sz w:val="28"/>
          <w:szCs w:val="28"/>
          <w:lang w:val="en-US" w:eastAsia="zh-CN" w:bidi="ar-SA"/>
        </w:rPr>
        <w:t>实现对卸油区、加油区、站房的全天候全方位的动态监视。视频监控系统电源引自UPS不间断电源</w:t>
      </w:r>
      <w:r>
        <w:rPr>
          <w:rFonts w:hint="eastAsia" w:cs="Times New Roman"/>
          <w:bCs/>
          <w:kern w:val="0"/>
          <w:sz w:val="28"/>
          <w:szCs w:val="28"/>
          <w:lang w:val="en-US" w:eastAsia="zh-CN" w:bidi="ar-SA"/>
        </w:rPr>
        <w:t>，</w:t>
      </w:r>
      <w:r>
        <w:rPr>
          <w:rFonts w:hint="default" w:ascii="Times New Roman" w:hAnsi="Times New Roman" w:eastAsia="宋体" w:cs="Times New Roman"/>
          <w:bCs/>
          <w:kern w:val="0"/>
          <w:sz w:val="28"/>
          <w:szCs w:val="28"/>
          <w:lang w:val="en-US" w:eastAsia="zh-CN" w:bidi="ar-SA"/>
        </w:rPr>
        <w:t>录像存储时间不少于30天。</w:t>
      </w:r>
    </w:p>
    <w:p w14:paraId="047E9A3E">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firstLine="560" w:firstLineChars="200"/>
        <w:textAlignment w:val="auto"/>
        <w:rPr>
          <w:rFonts w:hint="eastAsia" w:cs="Times New Roman"/>
          <w:bCs/>
          <w:kern w:val="0"/>
          <w:sz w:val="28"/>
          <w:szCs w:val="28"/>
          <w:lang w:val="en-US" w:eastAsia="zh-CN" w:bidi="ar-SA"/>
        </w:rPr>
      </w:pPr>
      <w:r>
        <w:rPr>
          <w:rFonts w:hint="eastAsia" w:cs="Times New Roman"/>
          <w:bCs/>
          <w:kern w:val="0"/>
          <w:sz w:val="28"/>
          <w:szCs w:val="28"/>
          <w:lang w:val="en-US" w:eastAsia="zh-CN" w:bidi="ar-SA"/>
        </w:rPr>
        <w:t>紧急切断系统</w:t>
      </w:r>
    </w:p>
    <w:p w14:paraId="26AF460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cs="Times New Roman"/>
          <w:bCs/>
          <w:kern w:val="0"/>
          <w:sz w:val="28"/>
          <w:szCs w:val="28"/>
          <w:lang w:val="en-US" w:eastAsia="zh-CN" w:bidi="ar-SA"/>
        </w:rPr>
      </w:pPr>
      <w:r>
        <w:rPr>
          <w:rFonts w:hint="default" w:cs="Times New Roman"/>
          <w:bCs/>
          <w:kern w:val="0"/>
          <w:sz w:val="28"/>
          <w:szCs w:val="28"/>
          <w:lang w:val="en-US" w:eastAsia="zh-CN" w:bidi="ar-SA"/>
        </w:rPr>
        <w:t>该系统在事故状态下实现紧急停车和关闭紧急切断阀的保护功能，紧急切断系统只能手动复位。拟在罩棚立柱、营业室等有人员值守的位置设置紧急切断按钮。</w:t>
      </w:r>
    </w:p>
    <w:p w14:paraId="2A73C9D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cs="Times New Roman"/>
          <w:bCs/>
          <w:kern w:val="0"/>
          <w:sz w:val="28"/>
          <w:szCs w:val="28"/>
          <w:lang w:val="en-US" w:eastAsia="zh-CN" w:bidi="ar-SA"/>
        </w:rPr>
      </w:pPr>
      <w:r>
        <w:rPr>
          <w:rFonts w:hint="default" w:cs="Times New Roman"/>
          <w:bCs/>
          <w:kern w:val="0"/>
          <w:sz w:val="28"/>
          <w:szCs w:val="28"/>
          <w:lang w:val="en-US" w:eastAsia="zh-CN" w:bidi="ar-SA"/>
        </w:rPr>
        <w:t>（5）可燃气体报警系统</w:t>
      </w:r>
    </w:p>
    <w:p w14:paraId="0DE165D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cs="Times New Roman"/>
          <w:bCs/>
          <w:kern w:val="0"/>
          <w:sz w:val="28"/>
          <w:szCs w:val="28"/>
          <w:lang w:val="en-US" w:eastAsia="zh-CN" w:bidi="ar-SA"/>
        </w:rPr>
      </w:pPr>
      <w:r>
        <w:rPr>
          <w:rFonts w:hint="default" w:cs="Times New Roman"/>
          <w:bCs/>
          <w:kern w:val="0"/>
          <w:sz w:val="28"/>
          <w:szCs w:val="28"/>
          <w:lang w:val="en-US" w:eastAsia="zh-CN" w:bidi="ar-SA"/>
        </w:rPr>
        <w:t>可燃气体浓度报警</w:t>
      </w:r>
      <w:r>
        <w:rPr>
          <w:rFonts w:hint="eastAsia" w:cs="Times New Roman"/>
          <w:bCs/>
          <w:kern w:val="0"/>
          <w:sz w:val="28"/>
          <w:szCs w:val="28"/>
          <w:lang w:val="en-US" w:eastAsia="zh-CN" w:bidi="ar-SA"/>
        </w:rPr>
        <w:t>器拟</w:t>
      </w:r>
      <w:r>
        <w:rPr>
          <w:rFonts w:hint="default" w:cs="Times New Roman"/>
          <w:bCs/>
          <w:kern w:val="0"/>
          <w:sz w:val="28"/>
          <w:szCs w:val="28"/>
          <w:lang w:val="en-US" w:eastAsia="zh-CN" w:bidi="ar-SA"/>
        </w:rPr>
        <w:t>安装在加油机地面上方0.3-0.6m处。报警信号引至</w:t>
      </w:r>
      <w:r>
        <w:rPr>
          <w:rFonts w:hint="eastAsia" w:cs="Times New Roman"/>
          <w:bCs/>
          <w:kern w:val="0"/>
          <w:sz w:val="28"/>
          <w:szCs w:val="28"/>
          <w:lang w:val="en-US" w:eastAsia="zh-CN" w:bidi="ar-SA"/>
        </w:rPr>
        <w:t>站房</w:t>
      </w:r>
      <w:r>
        <w:rPr>
          <w:rFonts w:hint="default" w:cs="Times New Roman"/>
          <w:bCs/>
          <w:kern w:val="0"/>
          <w:sz w:val="28"/>
          <w:szCs w:val="28"/>
          <w:lang w:val="en-US" w:eastAsia="zh-CN" w:bidi="ar-SA"/>
        </w:rPr>
        <w:t>内，可燃气体的检测报警分为两级，可燃气体的一级报警设定值小于或等于25%LEL</w:t>
      </w:r>
      <w:r>
        <w:rPr>
          <w:rFonts w:hint="eastAsia" w:cs="Times New Roman"/>
          <w:bCs/>
          <w:kern w:val="0"/>
          <w:sz w:val="28"/>
          <w:szCs w:val="28"/>
          <w:lang w:val="en-US" w:eastAsia="zh-CN" w:bidi="ar-SA"/>
        </w:rPr>
        <w:t>，</w:t>
      </w:r>
      <w:r>
        <w:rPr>
          <w:rFonts w:hint="default" w:cs="Times New Roman"/>
          <w:bCs/>
          <w:kern w:val="0"/>
          <w:sz w:val="28"/>
          <w:szCs w:val="28"/>
          <w:lang w:val="en-US" w:eastAsia="zh-CN" w:bidi="ar-SA"/>
        </w:rPr>
        <w:t>可燃气体的二级报警设定值小于或等于50%LEL。并配备UPS电源供电。</w:t>
      </w:r>
    </w:p>
    <w:p w14:paraId="0C8574E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cs="Times New Roman"/>
          <w:bCs/>
          <w:kern w:val="0"/>
          <w:sz w:val="28"/>
          <w:szCs w:val="28"/>
          <w:lang w:val="en-US" w:eastAsia="zh-CN" w:bidi="ar-SA"/>
        </w:rPr>
      </w:pPr>
      <w:r>
        <w:rPr>
          <w:rFonts w:hint="default" w:cs="Times New Roman"/>
          <w:bCs/>
          <w:kern w:val="0"/>
          <w:sz w:val="28"/>
          <w:szCs w:val="28"/>
          <w:lang w:val="en-US" w:eastAsia="zh-CN" w:bidi="ar-SA"/>
        </w:rPr>
        <w:t>本项目的</w:t>
      </w:r>
      <w:r>
        <w:rPr>
          <w:rFonts w:hint="eastAsia" w:cs="Times New Roman"/>
          <w:bCs/>
          <w:kern w:val="0"/>
          <w:sz w:val="28"/>
          <w:szCs w:val="28"/>
          <w:lang w:val="en-US" w:eastAsia="zh-CN" w:bidi="ar-SA"/>
        </w:rPr>
        <w:t>办公室</w:t>
      </w:r>
      <w:r>
        <w:rPr>
          <w:rFonts w:hint="default" w:cs="Times New Roman"/>
          <w:bCs/>
          <w:kern w:val="0"/>
          <w:sz w:val="28"/>
          <w:szCs w:val="28"/>
          <w:lang w:val="en-US" w:eastAsia="zh-CN" w:bidi="ar-SA"/>
        </w:rPr>
        <w:t>设置在站房内，各系统的数据均送至操作室内进行集中</w:t>
      </w:r>
    </w:p>
    <w:p w14:paraId="6639AFD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default"/>
          <w:lang w:val="en-US" w:eastAsia="zh-CN"/>
        </w:rPr>
      </w:pPr>
      <w:r>
        <w:rPr>
          <w:rFonts w:hint="default" w:cs="Times New Roman"/>
          <w:bCs/>
          <w:kern w:val="0"/>
          <w:sz w:val="28"/>
          <w:szCs w:val="28"/>
          <w:lang w:val="en-US" w:eastAsia="zh-CN" w:bidi="ar-SA"/>
        </w:rPr>
        <w:t>实时监测、并记录各主要设备的运转参</w:t>
      </w:r>
      <w:r>
        <w:rPr>
          <w:rFonts w:hint="eastAsia" w:cs="Times New Roman"/>
          <w:bCs/>
          <w:kern w:val="0"/>
          <w:sz w:val="28"/>
          <w:szCs w:val="28"/>
          <w:lang w:val="en-US" w:eastAsia="zh-CN" w:bidi="ar-SA"/>
        </w:rPr>
        <w:t>数</w:t>
      </w:r>
      <w:r>
        <w:rPr>
          <w:rFonts w:hint="default" w:cs="Times New Roman"/>
          <w:bCs/>
          <w:kern w:val="0"/>
          <w:sz w:val="28"/>
          <w:szCs w:val="28"/>
          <w:lang w:val="en-US" w:eastAsia="zh-CN" w:bidi="ar-SA"/>
        </w:rPr>
        <w:t>。</w:t>
      </w:r>
    </w:p>
    <w:bookmarkEnd w:id="134"/>
    <w:bookmarkEnd w:id="135"/>
    <w:p w14:paraId="637B5FF4">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firstLine="281" w:firstLineChars="100"/>
        <w:textAlignment w:val="auto"/>
        <w:rPr>
          <w:rFonts w:hint="default" w:ascii="Times New Roman" w:hAnsi="Times New Roman" w:eastAsia="黑体" w:cs="Times New Roman"/>
          <w:b/>
          <w:bCs/>
          <w:color w:val="auto"/>
          <w:sz w:val="28"/>
          <w:szCs w:val="32"/>
          <w:highlight w:val="none"/>
          <w:lang w:val="en-US" w:eastAsia="zh-CN"/>
        </w:rPr>
      </w:pPr>
      <w:r>
        <w:rPr>
          <w:rFonts w:hint="default" w:ascii="Times New Roman" w:hAnsi="Times New Roman" w:eastAsia="黑体" w:cs="Times New Roman"/>
          <w:b/>
          <w:bCs/>
          <w:color w:val="auto"/>
          <w:sz w:val="28"/>
          <w:szCs w:val="32"/>
          <w:highlight w:val="none"/>
          <w:lang w:val="en-US" w:eastAsia="zh-CN"/>
        </w:rPr>
        <w:t>2.6.</w:t>
      </w:r>
      <w:r>
        <w:rPr>
          <w:rFonts w:hint="eastAsia" w:eastAsia="黑体" w:cs="Times New Roman"/>
          <w:b/>
          <w:bCs/>
          <w:color w:val="auto"/>
          <w:sz w:val="28"/>
          <w:szCs w:val="32"/>
          <w:highlight w:val="none"/>
          <w:lang w:val="en-US" w:eastAsia="zh-CN"/>
        </w:rPr>
        <w:t>6</w:t>
      </w:r>
      <w:r>
        <w:rPr>
          <w:rFonts w:hint="default" w:ascii="Times New Roman" w:hAnsi="Times New Roman" w:eastAsia="黑体" w:cs="Times New Roman"/>
          <w:b/>
          <w:bCs/>
          <w:color w:val="auto"/>
          <w:sz w:val="28"/>
          <w:szCs w:val="32"/>
          <w:highlight w:val="none"/>
          <w:lang w:val="en-US" w:eastAsia="zh-CN"/>
        </w:rPr>
        <w:t>消防</w:t>
      </w:r>
      <w:bookmarkEnd w:id="130"/>
      <w:bookmarkEnd w:id="131"/>
      <w:bookmarkEnd w:id="132"/>
      <w:bookmarkEnd w:id="133"/>
    </w:p>
    <w:p w14:paraId="5521D1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根据《汽车加油加气加氢站技术标准》（GB 50156-2021）第12.2.3条，加油站可不设消防给水系统。</w:t>
      </w:r>
    </w:p>
    <w:p w14:paraId="71BF102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sz w:val="28"/>
          <w:szCs w:val="28"/>
          <w14:textFill>
            <w14:solidFill>
              <w14:schemeClr w14:val="tx1"/>
            </w14:solidFill>
          </w14:textFill>
        </w:rPr>
        <w:t>该站</w:t>
      </w:r>
      <w:r>
        <w:rPr>
          <w:rFonts w:hint="default" w:ascii="Times New Roman" w:hAnsi="Times New Roman" w:cs="Times New Roman"/>
          <w:color w:val="000000" w:themeColor="text1"/>
          <w:sz w:val="28"/>
          <w:szCs w:val="28"/>
          <w:lang w:val="en-US" w:eastAsia="zh-CN"/>
          <w14:textFill>
            <w14:solidFill>
              <w14:schemeClr w14:val="tx1"/>
            </w14:solidFill>
          </w14:textFill>
        </w:rPr>
        <w:t>汽</w:t>
      </w:r>
      <w:r>
        <w:rPr>
          <w:rFonts w:hint="eastAsia" w:cs="Times New Roman"/>
          <w:color w:val="000000" w:themeColor="text1"/>
          <w:sz w:val="28"/>
          <w:szCs w:val="28"/>
          <w:lang w:val="en-US" w:eastAsia="zh-CN"/>
          <w14:textFill>
            <w14:solidFill>
              <w14:schemeClr w14:val="tx1"/>
            </w14:solidFill>
          </w14:textFill>
        </w:rPr>
        <w:t>、</w:t>
      </w:r>
      <w:r>
        <w:rPr>
          <w:rFonts w:hint="default" w:ascii="Times New Roman" w:hAnsi="Times New Roman" w:cs="Times New Roman"/>
          <w:color w:val="000000" w:themeColor="text1"/>
          <w:sz w:val="28"/>
          <w:szCs w:val="28"/>
          <w:lang w:val="en-US" w:eastAsia="zh-CN"/>
          <w14:textFill>
            <w14:solidFill>
              <w14:schemeClr w14:val="tx1"/>
            </w14:solidFill>
          </w14:textFill>
        </w:rPr>
        <w:t>柴油</w:t>
      </w:r>
      <w:r>
        <w:rPr>
          <w:rFonts w:hint="default" w:ascii="Times New Roman" w:hAnsi="Times New Roman" w:cs="Times New Roman"/>
          <w:color w:val="000000" w:themeColor="text1"/>
          <w:sz w:val="28"/>
          <w:szCs w:val="28"/>
          <w14:textFill>
            <w14:solidFill>
              <w14:schemeClr w14:val="tx1"/>
            </w14:solidFill>
          </w14:textFill>
        </w:rPr>
        <w:t>储罐区配备2台35kg推车式干粉灭火器</w:t>
      </w:r>
      <w:r>
        <w:rPr>
          <w:rFonts w:hint="eastAsia" w:cs="Times New Roman"/>
          <w:color w:val="000000" w:themeColor="text1"/>
          <w:sz w:val="28"/>
          <w:szCs w:val="28"/>
          <w:lang w:val="en-US" w:eastAsia="zh-CN"/>
          <w14:textFill>
            <w14:solidFill>
              <w14:schemeClr w14:val="tx1"/>
            </w14:solidFill>
          </w14:textFill>
        </w:rPr>
        <w:t>，</w:t>
      </w:r>
      <w:r>
        <w:rPr>
          <w:rFonts w:hint="default" w:ascii="Times New Roman" w:hAnsi="Times New Roman" w:cs="Times New Roman"/>
          <w:color w:val="000000" w:themeColor="text1"/>
          <w:sz w:val="28"/>
          <w:szCs w:val="28"/>
          <w14:textFill>
            <w14:solidFill>
              <w14:schemeClr w14:val="tx1"/>
            </w14:solidFill>
          </w14:textFill>
        </w:rPr>
        <w:t>加油</w:t>
      </w:r>
      <w:r>
        <w:rPr>
          <w:rFonts w:hint="eastAsia" w:cs="Times New Roman"/>
          <w:color w:val="000000" w:themeColor="text1"/>
          <w:sz w:val="28"/>
          <w:szCs w:val="28"/>
          <w:lang w:val="en-US" w:eastAsia="zh-CN"/>
          <w14:textFill>
            <w14:solidFill>
              <w14:schemeClr w14:val="tx1"/>
            </w14:solidFill>
          </w14:textFill>
        </w:rPr>
        <w:t>机附近</w:t>
      </w:r>
      <w:r>
        <w:rPr>
          <w:rFonts w:hint="default" w:ascii="Times New Roman" w:hAnsi="Times New Roman" w:cs="Times New Roman"/>
          <w:color w:val="000000" w:themeColor="text1"/>
          <w:sz w:val="28"/>
          <w:szCs w:val="28"/>
          <w14:textFill>
            <w14:solidFill>
              <w14:schemeClr w14:val="tx1"/>
            </w14:solidFill>
          </w14:textFill>
        </w:rPr>
        <w:t>配备</w:t>
      </w:r>
      <w:r>
        <w:rPr>
          <w:rFonts w:hint="eastAsia" w:cs="Times New Roman"/>
          <w:color w:val="000000" w:themeColor="text1"/>
          <w:sz w:val="28"/>
          <w:szCs w:val="28"/>
          <w:lang w:val="en-US" w:eastAsia="zh-CN"/>
          <w14:textFill>
            <w14:solidFill>
              <w14:schemeClr w14:val="tx1"/>
            </w14:solidFill>
          </w14:textFill>
        </w:rPr>
        <w:t>8</w:t>
      </w:r>
      <w:r>
        <w:rPr>
          <w:rFonts w:hint="default" w:ascii="Times New Roman" w:hAnsi="Times New Roman" w:cs="Times New Roman"/>
          <w:color w:val="000000" w:themeColor="text1"/>
          <w:sz w:val="28"/>
          <w:szCs w:val="28"/>
          <w14:textFill>
            <w14:solidFill>
              <w14:schemeClr w14:val="tx1"/>
            </w14:solidFill>
          </w14:textFill>
        </w:rPr>
        <w:t>具MF/ABC5</w:t>
      </w:r>
      <w:r>
        <w:rPr>
          <w:rFonts w:hint="default" w:ascii="Times New Roman" w:hAnsi="Times New Roman" w:cs="Times New Roman"/>
          <w:color w:val="000000" w:themeColor="text1"/>
          <w:sz w:val="28"/>
          <w:szCs w:val="28"/>
          <w:lang w:val="en-US" w:eastAsia="zh-CN"/>
          <w14:textFill>
            <w14:solidFill>
              <w14:schemeClr w14:val="tx1"/>
            </w14:solidFill>
          </w14:textFill>
        </w:rPr>
        <w:t>式</w:t>
      </w:r>
      <w:r>
        <w:rPr>
          <w:rFonts w:hint="default" w:ascii="Times New Roman" w:hAnsi="Times New Roman" w:cs="Times New Roman"/>
          <w:color w:val="000000" w:themeColor="text1"/>
          <w:sz w:val="28"/>
          <w:szCs w:val="28"/>
          <w14:textFill>
            <w14:solidFill>
              <w14:schemeClr w14:val="tx1"/>
            </w14:solidFill>
          </w14:textFill>
        </w:rPr>
        <w:t>灭火器，站房配备</w:t>
      </w:r>
      <w:r>
        <w:rPr>
          <w:rFonts w:hint="eastAsia" w:cs="Times New Roman"/>
          <w:color w:val="000000" w:themeColor="text1"/>
          <w:sz w:val="28"/>
          <w:szCs w:val="28"/>
          <w:lang w:val="en-US" w:eastAsia="zh-CN"/>
          <w14:textFill>
            <w14:solidFill>
              <w14:schemeClr w14:val="tx1"/>
            </w14:solidFill>
          </w14:textFill>
        </w:rPr>
        <w:t>6</w:t>
      </w:r>
      <w:r>
        <w:rPr>
          <w:rFonts w:hint="default" w:ascii="Times New Roman" w:hAnsi="Times New Roman" w:cs="Times New Roman"/>
          <w:color w:val="000000" w:themeColor="text1"/>
          <w:sz w:val="28"/>
          <w:szCs w:val="28"/>
          <w14:textFill>
            <w14:solidFill>
              <w14:schemeClr w14:val="tx1"/>
            </w14:solidFill>
          </w14:textFill>
        </w:rPr>
        <w:t>具MF/ABC5</w:t>
      </w:r>
      <w:r>
        <w:rPr>
          <w:rFonts w:hint="default" w:ascii="Times New Roman" w:hAnsi="Times New Roman" w:cs="Times New Roman"/>
          <w:color w:val="000000" w:themeColor="text1"/>
          <w:sz w:val="28"/>
          <w:szCs w:val="28"/>
          <w:lang w:val="en-US" w:eastAsia="zh-CN"/>
          <w14:textFill>
            <w14:solidFill>
              <w14:schemeClr w14:val="tx1"/>
            </w14:solidFill>
          </w14:textFill>
        </w:rPr>
        <w:t>式</w:t>
      </w:r>
      <w:r>
        <w:rPr>
          <w:rFonts w:hint="default" w:ascii="Times New Roman" w:hAnsi="Times New Roman" w:cs="Times New Roman"/>
          <w:color w:val="000000" w:themeColor="text1"/>
          <w:sz w:val="28"/>
          <w:szCs w:val="28"/>
          <w14:textFill>
            <w14:solidFill>
              <w14:schemeClr w14:val="tx1"/>
            </w14:solidFill>
          </w14:textFill>
        </w:rPr>
        <w:t>灭火器</w:t>
      </w:r>
      <w:r>
        <w:rPr>
          <w:rFonts w:hint="default" w:ascii="Times New Roman" w:hAnsi="Times New Roman" w:cs="Times New Roman"/>
          <w:color w:val="000000" w:themeColor="text1"/>
          <w:sz w:val="28"/>
          <w:szCs w:val="28"/>
          <w:lang w:val="en-US" w:eastAsia="zh-CN"/>
          <w14:textFill>
            <w14:solidFill>
              <w14:schemeClr w14:val="tx1"/>
            </w14:solidFill>
          </w14:textFill>
        </w:rPr>
        <w:t>。消防器材箱里配备灭火毯5块、并配备消防斧、消防桶、消防锨、消防钩等消防器材。消防器材箱旁设消防砂2m</w:t>
      </w:r>
      <w:r>
        <w:rPr>
          <w:rFonts w:hint="default" w:ascii="Times New Roman" w:hAnsi="Times New Roman" w:cs="Times New Roman"/>
          <w:color w:val="000000" w:themeColor="text1"/>
          <w:sz w:val="28"/>
          <w:szCs w:val="28"/>
          <w:vertAlign w:val="superscript"/>
          <w:lang w:val="en-US" w:eastAsia="zh-CN"/>
          <w14:textFill>
            <w14:solidFill>
              <w14:schemeClr w14:val="tx1"/>
            </w14:solidFill>
          </w14:textFill>
        </w:rPr>
        <w:t>3</w:t>
      </w:r>
      <w:r>
        <w:rPr>
          <w:rFonts w:hint="default" w:ascii="Times New Roman" w:hAnsi="Times New Roman" w:cs="Times New Roman"/>
          <w:color w:val="000000" w:themeColor="text1"/>
          <w:sz w:val="28"/>
          <w:szCs w:val="28"/>
          <w:lang w:val="en-US" w:eastAsia="zh-CN"/>
          <w14:textFill>
            <w14:solidFill>
              <w14:schemeClr w14:val="tx1"/>
            </w14:solidFill>
          </w14:textFill>
        </w:rPr>
        <w:t>，储砂箱为地上式。</w:t>
      </w:r>
    </w:p>
    <w:p w14:paraId="25C20C39">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36" w:name="_Toc146488845"/>
      <w:bookmarkStart w:id="137" w:name="_Toc14955"/>
      <w:r>
        <w:rPr>
          <w:rFonts w:hint="default" w:ascii="Times New Roman" w:hAnsi="Times New Roman" w:eastAsia="黑体" w:cs="Times New Roman"/>
          <w:b/>
          <w:bCs/>
          <w:color w:val="auto"/>
          <w:sz w:val="28"/>
          <w:szCs w:val="32"/>
          <w:lang w:val="en-US" w:eastAsia="zh-CN"/>
        </w:rPr>
        <w:t>2.6.</w:t>
      </w:r>
      <w:r>
        <w:rPr>
          <w:rFonts w:hint="eastAsia" w:eastAsia="黑体" w:cs="Times New Roman"/>
          <w:b/>
          <w:bCs/>
          <w:color w:val="auto"/>
          <w:sz w:val="28"/>
          <w:szCs w:val="32"/>
          <w:lang w:val="en-US" w:eastAsia="zh-CN"/>
        </w:rPr>
        <w:t>7</w:t>
      </w:r>
      <w:r>
        <w:rPr>
          <w:rFonts w:hint="default" w:ascii="Times New Roman" w:hAnsi="Times New Roman" w:eastAsia="黑体" w:cs="Times New Roman"/>
          <w:b/>
          <w:bCs/>
          <w:color w:val="auto"/>
          <w:sz w:val="28"/>
          <w:szCs w:val="32"/>
          <w:lang w:val="en-US" w:eastAsia="zh-CN"/>
        </w:rPr>
        <w:t>运输方式</w:t>
      </w:r>
      <w:bookmarkEnd w:id="136"/>
      <w:bookmarkEnd w:id="137"/>
    </w:p>
    <w:p w14:paraId="4BA9EA7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该站</w:t>
      </w:r>
      <w:r>
        <w:rPr>
          <w:rFonts w:hint="default" w:ascii="Times New Roman" w:hAnsi="Times New Roman" w:cs="Times New Roman"/>
          <w:sz w:val="28"/>
          <w:szCs w:val="28"/>
        </w:rPr>
        <w:t>不负责所经营的</w:t>
      </w:r>
      <w:r>
        <w:rPr>
          <w:rFonts w:hint="eastAsia" w:cs="Times New Roman"/>
          <w:sz w:val="28"/>
          <w:szCs w:val="28"/>
          <w:lang w:eastAsia="zh-CN"/>
        </w:rPr>
        <w:t>乙醇汽油</w:t>
      </w:r>
      <w:r>
        <w:rPr>
          <w:rFonts w:hint="default" w:ascii="Times New Roman" w:hAnsi="Times New Roman" w:cs="Times New Roman"/>
          <w:sz w:val="28"/>
          <w:szCs w:val="28"/>
        </w:rPr>
        <w:t>、柴油运输，委托有危险化学品运输资质的企业负责运输。</w:t>
      </w:r>
    </w:p>
    <w:p w14:paraId="7164FBD4">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138" w:name="_Toc410311880"/>
      <w:bookmarkStart w:id="139" w:name="_Toc410311957"/>
      <w:bookmarkStart w:id="140" w:name="_Toc41246683"/>
      <w:bookmarkStart w:id="141" w:name="_Toc25633"/>
      <w:bookmarkStart w:id="142" w:name="_Toc1785"/>
      <w:r>
        <w:rPr>
          <w:rFonts w:hint="default" w:ascii="Times New Roman" w:hAnsi="Times New Roman" w:eastAsia="楷体" w:cs="Times New Roman"/>
          <w:color w:val="auto"/>
          <w:sz w:val="32"/>
          <w:szCs w:val="32"/>
          <w:lang w:val="en-US" w:eastAsia="zh-CN"/>
        </w:rPr>
        <w:t>2.7主要装置（设备）设施</w:t>
      </w:r>
      <w:bookmarkEnd w:id="138"/>
      <w:bookmarkEnd w:id="139"/>
      <w:bookmarkEnd w:id="140"/>
      <w:r>
        <w:rPr>
          <w:rFonts w:hint="default" w:ascii="Times New Roman" w:hAnsi="Times New Roman" w:eastAsia="楷体" w:cs="Times New Roman"/>
          <w:color w:val="auto"/>
          <w:sz w:val="32"/>
          <w:szCs w:val="32"/>
          <w:lang w:val="en-US" w:eastAsia="zh-CN"/>
        </w:rPr>
        <w:t>和特种设备</w:t>
      </w:r>
      <w:bookmarkEnd w:id="141"/>
      <w:bookmarkEnd w:id="142"/>
    </w:p>
    <w:p w14:paraId="647A3B4D">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43" w:name="_Toc14634"/>
      <w:bookmarkStart w:id="144" w:name="_Toc41246684"/>
      <w:bookmarkStart w:id="145" w:name="_Toc18402"/>
      <w:bookmarkStart w:id="146" w:name="_Toc146488847"/>
      <w:r>
        <w:rPr>
          <w:rFonts w:hint="default" w:ascii="Times New Roman" w:hAnsi="Times New Roman" w:eastAsia="黑体" w:cs="Times New Roman"/>
          <w:b/>
          <w:bCs/>
          <w:color w:val="auto"/>
          <w:sz w:val="28"/>
          <w:szCs w:val="32"/>
          <w:lang w:val="en-US" w:eastAsia="zh-CN"/>
        </w:rPr>
        <w:t>2.7.1主要设备</w:t>
      </w:r>
      <w:bookmarkEnd w:id="143"/>
      <w:bookmarkEnd w:id="144"/>
      <w:r>
        <w:rPr>
          <w:rFonts w:hint="default" w:ascii="Times New Roman" w:hAnsi="Times New Roman" w:eastAsia="黑体" w:cs="Times New Roman"/>
          <w:b/>
          <w:bCs/>
          <w:color w:val="auto"/>
          <w:sz w:val="28"/>
          <w:szCs w:val="32"/>
          <w:lang w:val="en-US" w:eastAsia="zh-CN"/>
        </w:rPr>
        <w:t>、设施</w:t>
      </w:r>
      <w:bookmarkEnd w:id="145"/>
      <w:bookmarkEnd w:id="146"/>
    </w:p>
    <w:p w14:paraId="36A0DD5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主要设备、设施详见下表。</w:t>
      </w:r>
    </w:p>
    <w:p w14:paraId="0A4D99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p>
    <w:p w14:paraId="23BCB811">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bookmarkStart w:id="147" w:name="_Toc4287"/>
      <w:bookmarkStart w:id="148" w:name="_Toc146488848"/>
      <w:bookmarkStart w:id="149" w:name="_Toc41246685"/>
      <w:bookmarkStart w:id="150" w:name="_Toc9893"/>
      <w:r>
        <w:rPr>
          <w:rFonts w:hint="default" w:ascii="Times New Roman" w:hAnsi="Times New Roman" w:eastAsia="黑体" w:cs="Times New Roman"/>
          <w:sz w:val="24"/>
          <w:szCs w:val="24"/>
        </w:rPr>
        <w:t>表</w:t>
      </w:r>
      <w:r>
        <w:rPr>
          <w:rFonts w:hint="default" w:ascii="Times New Roman" w:hAnsi="Times New Roman" w:eastAsia="黑体" w:cs="Times New Roman"/>
          <w:sz w:val="24"/>
          <w:szCs w:val="24"/>
          <w:lang w:val="en-US" w:eastAsia="zh-CN"/>
        </w:rPr>
        <w:t xml:space="preserve">2.7-1 </w:t>
      </w:r>
      <w:r>
        <w:rPr>
          <w:rFonts w:hint="default" w:ascii="Times New Roman" w:hAnsi="Times New Roman" w:eastAsia="黑体" w:cs="Times New Roman"/>
          <w:sz w:val="24"/>
          <w:szCs w:val="24"/>
        </w:rPr>
        <w:t xml:space="preserve"> 主要设备、设施一览表</w:t>
      </w:r>
    </w:p>
    <w:tbl>
      <w:tblPr>
        <w:tblStyle w:val="13"/>
        <w:tblW w:w="4995"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36"/>
        <w:gridCol w:w="2706"/>
        <w:gridCol w:w="1710"/>
        <w:gridCol w:w="1383"/>
        <w:gridCol w:w="2756"/>
      </w:tblGrid>
      <w:tr w14:paraId="568EED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tblHeader/>
          <w:jc w:val="center"/>
        </w:trPr>
        <w:tc>
          <w:tcPr>
            <w:tcW w:w="445" w:type="pct"/>
            <w:vAlign w:val="center"/>
          </w:tcPr>
          <w:p w14:paraId="4F63F5E0">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序号</w:t>
            </w:r>
          </w:p>
        </w:tc>
        <w:tc>
          <w:tcPr>
            <w:tcW w:w="1440" w:type="pct"/>
            <w:vAlign w:val="center"/>
          </w:tcPr>
          <w:p w14:paraId="33438A2D">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设备、设施名称</w:t>
            </w:r>
          </w:p>
        </w:tc>
        <w:tc>
          <w:tcPr>
            <w:tcW w:w="910" w:type="pct"/>
            <w:vAlign w:val="center"/>
          </w:tcPr>
          <w:p w14:paraId="12CC1B43">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规格型号</w:t>
            </w:r>
          </w:p>
        </w:tc>
        <w:tc>
          <w:tcPr>
            <w:tcW w:w="736" w:type="pct"/>
            <w:vAlign w:val="center"/>
          </w:tcPr>
          <w:p w14:paraId="019C37E0">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单位</w:t>
            </w:r>
          </w:p>
        </w:tc>
        <w:tc>
          <w:tcPr>
            <w:tcW w:w="1467" w:type="pct"/>
            <w:vAlign w:val="center"/>
          </w:tcPr>
          <w:p w14:paraId="16C9810C">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备注</w:t>
            </w:r>
          </w:p>
        </w:tc>
      </w:tr>
      <w:tr w14:paraId="247E8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445" w:type="pct"/>
            <w:vAlign w:val="center"/>
          </w:tcPr>
          <w:p w14:paraId="6F795416">
            <w:pPr>
              <w:pStyle w:val="21"/>
              <w:numPr>
                <w:ilvl w:val="0"/>
                <w:numId w:val="4"/>
              </w:numPr>
              <w:ind w:left="0" w:leftChars="0" w:firstLine="0" w:firstLineChars="0"/>
              <w:jc w:val="center"/>
              <w:rPr>
                <w:rFonts w:hint="default" w:ascii="Times New Roman" w:hAnsi="Times New Roman" w:cs="Times New Roman"/>
                <w:b w:val="0"/>
                <w:bCs/>
              </w:rPr>
            </w:pPr>
          </w:p>
        </w:tc>
        <w:tc>
          <w:tcPr>
            <w:tcW w:w="1440" w:type="pct"/>
            <w:vAlign w:val="center"/>
          </w:tcPr>
          <w:p w14:paraId="1A4E1790">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柴油储罐</w:t>
            </w:r>
          </w:p>
        </w:tc>
        <w:tc>
          <w:tcPr>
            <w:tcW w:w="910" w:type="pct"/>
            <w:vAlign w:val="center"/>
          </w:tcPr>
          <w:p w14:paraId="724F5AE9">
            <w:pPr>
              <w:adjustRightInd w:val="0"/>
              <w:snapToGrid w:val="0"/>
              <w:jc w:val="center"/>
              <w:rPr>
                <w:rFonts w:hint="default" w:ascii="Times New Roman" w:hAnsi="Times New Roman" w:cs="Times New Roman"/>
                <w:b w:val="0"/>
                <w:bCs/>
                <w:szCs w:val="21"/>
              </w:rPr>
            </w:pPr>
            <w:r>
              <w:rPr>
                <w:rFonts w:hint="eastAsia" w:cs="Times New Roman"/>
                <w:b w:val="0"/>
                <w:bCs/>
                <w:szCs w:val="21"/>
                <w:lang w:val="en-US" w:eastAsia="zh-CN"/>
              </w:rPr>
              <w:t>30</w:t>
            </w:r>
            <w:r>
              <w:rPr>
                <w:rFonts w:hint="default" w:ascii="Times New Roman" w:hAnsi="Times New Roman" w:cs="Times New Roman"/>
                <w:b w:val="0"/>
                <w:bCs/>
                <w:szCs w:val="21"/>
              </w:rPr>
              <w:t>m³</w:t>
            </w:r>
          </w:p>
        </w:tc>
        <w:tc>
          <w:tcPr>
            <w:tcW w:w="736" w:type="pct"/>
            <w:vAlign w:val="center"/>
          </w:tcPr>
          <w:p w14:paraId="065E2C1D">
            <w:pPr>
              <w:adjustRightInd w:val="0"/>
              <w:snapToGrid w:val="0"/>
              <w:jc w:val="center"/>
              <w:rPr>
                <w:rFonts w:hint="default" w:ascii="Times New Roman" w:hAnsi="Times New Roman" w:cs="Times New Roman"/>
                <w:b w:val="0"/>
                <w:bCs/>
                <w:szCs w:val="21"/>
              </w:rPr>
            </w:pPr>
            <w:r>
              <w:rPr>
                <w:rFonts w:hint="eastAsia" w:cs="Times New Roman"/>
                <w:b w:val="0"/>
                <w:bCs/>
                <w:szCs w:val="21"/>
                <w:lang w:val="en-US" w:eastAsia="zh-CN"/>
              </w:rPr>
              <w:t>1</w:t>
            </w:r>
            <w:r>
              <w:rPr>
                <w:rFonts w:hint="default" w:ascii="Times New Roman" w:hAnsi="Times New Roman" w:cs="Times New Roman"/>
                <w:b w:val="0"/>
                <w:bCs/>
                <w:szCs w:val="21"/>
              </w:rPr>
              <w:t>座</w:t>
            </w:r>
          </w:p>
        </w:tc>
        <w:tc>
          <w:tcPr>
            <w:tcW w:w="1467" w:type="pct"/>
            <w:vAlign w:val="center"/>
          </w:tcPr>
          <w:p w14:paraId="74456AB2">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埋地、卧式、</w:t>
            </w:r>
            <w:r>
              <w:rPr>
                <w:rFonts w:hint="eastAsia" w:cs="Times New Roman"/>
                <w:b w:val="0"/>
                <w:bCs/>
                <w:szCs w:val="21"/>
                <w:lang w:val="en-US" w:eastAsia="zh-CN"/>
              </w:rPr>
              <w:t>F</w:t>
            </w:r>
            <w:r>
              <w:rPr>
                <w:rFonts w:hint="default" w:ascii="Times New Roman" w:hAnsi="Times New Roman" w:cs="Times New Roman"/>
                <w:b w:val="0"/>
                <w:bCs/>
                <w:szCs w:val="21"/>
              </w:rPr>
              <w:t>F罐</w:t>
            </w:r>
          </w:p>
        </w:tc>
      </w:tr>
      <w:tr w14:paraId="706011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445" w:type="pct"/>
            <w:vAlign w:val="center"/>
          </w:tcPr>
          <w:p w14:paraId="33EE5894">
            <w:pPr>
              <w:pStyle w:val="21"/>
              <w:numPr>
                <w:ilvl w:val="0"/>
                <w:numId w:val="4"/>
              </w:numPr>
              <w:ind w:left="0" w:leftChars="0" w:firstLine="0" w:firstLineChars="0"/>
              <w:jc w:val="center"/>
              <w:rPr>
                <w:rFonts w:hint="default" w:ascii="Times New Roman" w:hAnsi="Times New Roman" w:cs="Times New Roman"/>
                <w:b w:val="0"/>
                <w:bCs/>
              </w:rPr>
            </w:pPr>
          </w:p>
        </w:tc>
        <w:tc>
          <w:tcPr>
            <w:tcW w:w="1440" w:type="pct"/>
            <w:vAlign w:val="center"/>
          </w:tcPr>
          <w:p w14:paraId="6072C31D">
            <w:pPr>
              <w:adjustRightInd w:val="0"/>
              <w:snapToGrid w:val="0"/>
              <w:jc w:val="center"/>
              <w:rPr>
                <w:rFonts w:hint="default" w:ascii="Times New Roman" w:hAnsi="Times New Roman" w:cs="Times New Roman"/>
                <w:b w:val="0"/>
                <w:bCs/>
                <w:szCs w:val="21"/>
              </w:rPr>
            </w:pPr>
            <w:r>
              <w:rPr>
                <w:rFonts w:hint="eastAsia" w:cs="Times New Roman"/>
                <w:b w:val="0"/>
                <w:bCs/>
                <w:szCs w:val="21"/>
                <w:lang w:eastAsia="zh-CN"/>
              </w:rPr>
              <w:t>乙醇汽油</w:t>
            </w:r>
            <w:r>
              <w:rPr>
                <w:rFonts w:hint="default" w:ascii="Times New Roman" w:hAnsi="Times New Roman" w:cs="Times New Roman"/>
                <w:b w:val="0"/>
                <w:bCs/>
                <w:szCs w:val="21"/>
              </w:rPr>
              <w:t>储罐</w:t>
            </w:r>
          </w:p>
        </w:tc>
        <w:tc>
          <w:tcPr>
            <w:tcW w:w="910" w:type="pct"/>
            <w:vAlign w:val="center"/>
          </w:tcPr>
          <w:p w14:paraId="77B47E07">
            <w:pPr>
              <w:adjustRightInd w:val="0"/>
              <w:snapToGrid w:val="0"/>
              <w:jc w:val="center"/>
              <w:rPr>
                <w:rFonts w:hint="default" w:ascii="Times New Roman" w:hAnsi="Times New Roman" w:cs="Times New Roman"/>
                <w:b w:val="0"/>
                <w:bCs/>
                <w:szCs w:val="21"/>
              </w:rPr>
            </w:pPr>
            <w:r>
              <w:rPr>
                <w:rFonts w:hint="eastAsia" w:cs="Times New Roman"/>
                <w:b w:val="0"/>
                <w:bCs/>
                <w:szCs w:val="21"/>
                <w:lang w:val="en-US" w:eastAsia="zh-CN"/>
              </w:rPr>
              <w:t>30</w:t>
            </w:r>
            <w:r>
              <w:rPr>
                <w:rFonts w:hint="default" w:ascii="Times New Roman" w:hAnsi="Times New Roman" w:cs="Times New Roman"/>
                <w:b w:val="0"/>
                <w:bCs/>
                <w:szCs w:val="21"/>
              </w:rPr>
              <w:t>m</w:t>
            </w:r>
            <w:r>
              <w:rPr>
                <w:rFonts w:hint="default" w:ascii="Times New Roman" w:hAnsi="Times New Roman" w:cs="Times New Roman"/>
                <w:b w:val="0"/>
                <w:bCs/>
                <w:szCs w:val="21"/>
                <w:vertAlign w:val="superscript"/>
              </w:rPr>
              <w:t>3</w:t>
            </w:r>
          </w:p>
        </w:tc>
        <w:tc>
          <w:tcPr>
            <w:tcW w:w="736" w:type="pct"/>
            <w:vAlign w:val="center"/>
          </w:tcPr>
          <w:p w14:paraId="51163DF5">
            <w:pPr>
              <w:adjustRightInd w:val="0"/>
              <w:snapToGrid w:val="0"/>
              <w:jc w:val="center"/>
              <w:rPr>
                <w:rFonts w:hint="default" w:ascii="Times New Roman" w:hAnsi="Times New Roman" w:cs="Times New Roman"/>
                <w:b w:val="0"/>
                <w:bCs/>
                <w:szCs w:val="21"/>
              </w:rPr>
            </w:pPr>
            <w:r>
              <w:rPr>
                <w:rFonts w:hint="eastAsia" w:cs="Times New Roman"/>
                <w:b w:val="0"/>
                <w:bCs/>
                <w:szCs w:val="21"/>
                <w:lang w:val="en-US" w:eastAsia="zh-CN"/>
              </w:rPr>
              <w:t>3</w:t>
            </w:r>
            <w:r>
              <w:rPr>
                <w:rFonts w:hint="default" w:ascii="Times New Roman" w:hAnsi="Times New Roman" w:cs="Times New Roman"/>
                <w:b w:val="0"/>
                <w:bCs/>
                <w:szCs w:val="21"/>
              </w:rPr>
              <w:t>座</w:t>
            </w:r>
          </w:p>
        </w:tc>
        <w:tc>
          <w:tcPr>
            <w:tcW w:w="1467" w:type="pct"/>
            <w:vAlign w:val="center"/>
          </w:tcPr>
          <w:p w14:paraId="6CA92C18">
            <w:pPr>
              <w:adjustRightInd w:val="0"/>
              <w:snapToGrid w:val="0"/>
              <w:jc w:val="center"/>
              <w:rPr>
                <w:rFonts w:hint="default" w:ascii="Times New Roman" w:hAnsi="Times New Roman" w:cs="Times New Roman"/>
                <w:b w:val="0"/>
                <w:bCs/>
              </w:rPr>
            </w:pPr>
            <w:r>
              <w:rPr>
                <w:rFonts w:hint="default" w:ascii="Times New Roman" w:hAnsi="Times New Roman" w:cs="Times New Roman"/>
                <w:b w:val="0"/>
                <w:bCs/>
                <w:szCs w:val="21"/>
              </w:rPr>
              <w:t>埋地、卧式、</w:t>
            </w:r>
            <w:r>
              <w:rPr>
                <w:rFonts w:hint="eastAsia" w:cs="Times New Roman"/>
                <w:b w:val="0"/>
                <w:bCs/>
                <w:szCs w:val="21"/>
                <w:lang w:val="en-US" w:eastAsia="zh-CN"/>
              </w:rPr>
              <w:t>F</w:t>
            </w:r>
            <w:r>
              <w:rPr>
                <w:rFonts w:hint="default" w:ascii="Times New Roman" w:hAnsi="Times New Roman" w:cs="Times New Roman"/>
                <w:b w:val="0"/>
                <w:bCs/>
                <w:szCs w:val="21"/>
              </w:rPr>
              <w:t>F罐</w:t>
            </w:r>
          </w:p>
        </w:tc>
      </w:tr>
      <w:tr w14:paraId="11D39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445" w:type="pct"/>
            <w:vAlign w:val="center"/>
          </w:tcPr>
          <w:p w14:paraId="687FE0C7">
            <w:pPr>
              <w:pStyle w:val="21"/>
              <w:numPr>
                <w:ilvl w:val="0"/>
                <w:numId w:val="4"/>
              </w:numPr>
              <w:ind w:left="0" w:leftChars="0" w:firstLine="0" w:firstLineChars="0"/>
              <w:jc w:val="center"/>
              <w:rPr>
                <w:rFonts w:hint="default" w:ascii="Times New Roman" w:hAnsi="Times New Roman" w:cs="Times New Roman"/>
                <w:b w:val="0"/>
                <w:bCs/>
              </w:rPr>
            </w:pPr>
          </w:p>
        </w:tc>
        <w:tc>
          <w:tcPr>
            <w:tcW w:w="1440" w:type="pct"/>
            <w:vAlign w:val="center"/>
          </w:tcPr>
          <w:p w14:paraId="10203043">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lang w:val="en-US" w:eastAsia="zh-CN"/>
              </w:rPr>
              <w:t>双枪</w:t>
            </w:r>
            <w:r>
              <w:rPr>
                <w:rFonts w:hint="eastAsia" w:cs="Times New Roman"/>
                <w:b w:val="0"/>
                <w:bCs/>
                <w:szCs w:val="21"/>
                <w:lang w:val="en-US" w:eastAsia="zh-CN"/>
              </w:rPr>
              <w:t>双油品</w:t>
            </w:r>
            <w:r>
              <w:rPr>
                <w:rFonts w:hint="default" w:ascii="Times New Roman" w:hAnsi="Times New Roman" w:cs="Times New Roman"/>
                <w:b w:val="0"/>
                <w:bCs/>
                <w:szCs w:val="21"/>
              </w:rPr>
              <w:t>加油机</w:t>
            </w:r>
          </w:p>
        </w:tc>
        <w:tc>
          <w:tcPr>
            <w:tcW w:w="910" w:type="pct"/>
            <w:vAlign w:val="center"/>
          </w:tcPr>
          <w:p w14:paraId="099D2F86">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Q=5~</w:t>
            </w:r>
            <w:r>
              <w:rPr>
                <w:rFonts w:hint="eastAsia" w:cs="Times New Roman"/>
                <w:b w:val="0"/>
                <w:bCs/>
                <w:szCs w:val="21"/>
                <w:lang w:val="en-US" w:eastAsia="zh-CN"/>
              </w:rPr>
              <w:t>8</w:t>
            </w:r>
            <w:r>
              <w:rPr>
                <w:rFonts w:hint="default" w:ascii="Times New Roman" w:hAnsi="Times New Roman" w:cs="Times New Roman"/>
                <w:b w:val="0"/>
                <w:bCs/>
                <w:szCs w:val="21"/>
              </w:rPr>
              <w:t>0L/min</w:t>
            </w:r>
          </w:p>
        </w:tc>
        <w:tc>
          <w:tcPr>
            <w:tcW w:w="736" w:type="pct"/>
            <w:vAlign w:val="center"/>
          </w:tcPr>
          <w:p w14:paraId="60FBB4AE">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lang w:val="en-US" w:eastAsia="zh-CN"/>
              </w:rPr>
              <w:t>1</w:t>
            </w:r>
            <w:r>
              <w:rPr>
                <w:rFonts w:hint="default" w:ascii="Times New Roman" w:hAnsi="Times New Roman" w:cs="Times New Roman"/>
                <w:b w:val="0"/>
                <w:bCs/>
                <w:szCs w:val="21"/>
              </w:rPr>
              <w:t>台</w:t>
            </w:r>
          </w:p>
        </w:tc>
        <w:tc>
          <w:tcPr>
            <w:tcW w:w="1467" w:type="pct"/>
            <w:vAlign w:val="center"/>
          </w:tcPr>
          <w:p w14:paraId="7824910E">
            <w:pPr>
              <w:adjustRightInd w:val="0"/>
              <w:snapToGrid w:val="0"/>
              <w:jc w:val="center"/>
              <w:rPr>
                <w:rFonts w:hint="default" w:ascii="Times New Roman" w:hAnsi="Times New Roman" w:eastAsia="宋体" w:cs="Times New Roman"/>
                <w:b w:val="0"/>
                <w:bCs/>
                <w:lang w:val="en-US" w:eastAsia="zh-CN"/>
              </w:rPr>
            </w:pPr>
            <w:r>
              <w:rPr>
                <w:rFonts w:hint="eastAsia" w:cs="Times New Roman"/>
                <w:b w:val="0"/>
                <w:bCs/>
                <w:lang w:val="en-US" w:eastAsia="zh-CN"/>
              </w:rPr>
              <w:t>柴油</w:t>
            </w:r>
          </w:p>
        </w:tc>
      </w:tr>
      <w:tr w14:paraId="3415B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1705DA86">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E6A2422">
            <w:pPr>
              <w:adjustRightInd w:val="0"/>
              <w:snapToGrid w:val="0"/>
              <w:jc w:val="center"/>
              <w:rPr>
                <w:rFonts w:hint="default" w:ascii="Times New Roman" w:hAnsi="Times New Roman" w:cs="Times New Roman"/>
                <w:b w:val="0"/>
                <w:bCs/>
                <w:szCs w:val="21"/>
                <w:lang w:val="en-US" w:eastAsia="zh-CN"/>
              </w:rPr>
            </w:pPr>
            <w:r>
              <w:rPr>
                <w:rFonts w:hint="default" w:ascii="Times New Roman" w:hAnsi="Times New Roman" w:cs="Times New Roman"/>
                <w:b w:val="0"/>
                <w:bCs/>
                <w:szCs w:val="21"/>
                <w:lang w:val="en-US" w:eastAsia="zh-CN"/>
              </w:rPr>
              <w:t>双枪</w:t>
            </w:r>
            <w:r>
              <w:rPr>
                <w:rFonts w:hint="eastAsia" w:cs="Times New Roman"/>
                <w:b w:val="0"/>
                <w:bCs/>
                <w:szCs w:val="21"/>
                <w:lang w:val="en-US" w:eastAsia="zh-CN"/>
              </w:rPr>
              <w:t>双油品</w:t>
            </w:r>
            <w:r>
              <w:rPr>
                <w:rFonts w:hint="default" w:ascii="Times New Roman" w:hAnsi="Times New Roman" w:cs="Times New Roman"/>
                <w:b w:val="0"/>
                <w:bCs/>
                <w:szCs w:val="21"/>
              </w:rPr>
              <w:t>加油机</w:t>
            </w:r>
          </w:p>
        </w:tc>
        <w:tc>
          <w:tcPr>
            <w:tcW w:w="910" w:type="pct"/>
            <w:vAlign w:val="center"/>
          </w:tcPr>
          <w:p w14:paraId="7D57EF87">
            <w:pPr>
              <w:adjustRightInd w:val="0"/>
              <w:snapToGrid w:val="0"/>
              <w:jc w:val="center"/>
              <w:rPr>
                <w:rFonts w:hint="default" w:ascii="Times New Roman" w:hAnsi="Times New Roman" w:cs="Times New Roman"/>
                <w:b w:val="0"/>
                <w:bCs/>
                <w:szCs w:val="21"/>
              </w:rPr>
            </w:pPr>
            <w:r>
              <w:rPr>
                <w:rFonts w:hint="default" w:ascii="Times New Roman" w:hAnsi="Times New Roman" w:cs="Times New Roman"/>
                <w:b w:val="0"/>
                <w:bCs/>
                <w:szCs w:val="21"/>
              </w:rPr>
              <w:t>Q=5~50L/min</w:t>
            </w:r>
          </w:p>
        </w:tc>
        <w:tc>
          <w:tcPr>
            <w:tcW w:w="736" w:type="pct"/>
            <w:vAlign w:val="center"/>
          </w:tcPr>
          <w:p w14:paraId="05B031E7">
            <w:pPr>
              <w:adjustRightInd w:val="0"/>
              <w:snapToGrid w:val="0"/>
              <w:jc w:val="center"/>
              <w:rPr>
                <w:rFonts w:hint="eastAsia" w:cs="Times New Roman"/>
                <w:b w:val="0"/>
                <w:bCs/>
                <w:szCs w:val="21"/>
                <w:lang w:val="en-US" w:eastAsia="zh-CN"/>
              </w:rPr>
            </w:pPr>
            <w:r>
              <w:rPr>
                <w:rFonts w:hint="eastAsia" w:cs="Times New Roman"/>
                <w:b w:val="0"/>
                <w:bCs/>
                <w:szCs w:val="21"/>
                <w:lang w:val="en-US" w:eastAsia="zh-CN"/>
              </w:rPr>
              <w:t>3</w:t>
            </w:r>
            <w:r>
              <w:rPr>
                <w:rFonts w:hint="default" w:ascii="Times New Roman" w:hAnsi="Times New Roman" w:cs="Times New Roman"/>
                <w:b w:val="0"/>
                <w:bCs/>
                <w:szCs w:val="21"/>
              </w:rPr>
              <w:t>台</w:t>
            </w:r>
          </w:p>
        </w:tc>
        <w:tc>
          <w:tcPr>
            <w:tcW w:w="1467" w:type="pct"/>
            <w:vAlign w:val="center"/>
          </w:tcPr>
          <w:p w14:paraId="715B4AB5">
            <w:pPr>
              <w:adjustRightInd w:val="0"/>
              <w:snapToGrid w:val="0"/>
              <w:jc w:val="center"/>
              <w:rPr>
                <w:rFonts w:hint="eastAsia" w:cs="Times New Roman"/>
                <w:b w:val="0"/>
                <w:bCs/>
                <w:szCs w:val="21"/>
                <w:lang w:val="en-US" w:eastAsia="zh-CN"/>
              </w:rPr>
            </w:pPr>
            <w:r>
              <w:rPr>
                <w:rFonts w:hint="eastAsia" w:cs="Times New Roman"/>
                <w:b w:val="0"/>
                <w:bCs/>
                <w:szCs w:val="21"/>
                <w:lang w:val="en-US" w:eastAsia="zh-CN"/>
              </w:rPr>
              <w:t>乙醇汽油</w:t>
            </w:r>
          </w:p>
        </w:tc>
      </w:tr>
      <w:tr w14:paraId="7987A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181587D1">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2883816B">
            <w:pPr>
              <w:adjustRightInd w:val="0"/>
              <w:snapToGrid w:val="0"/>
              <w:jc w:val="center"/>
              <w:rPr>
                <w:rFonts w:hint="default" w:ascii="Times New Roman" w:hAnsi="Times New Roman" w:cs="Times New Roman"/>
                <w:b w:val="0"/>
                <w:bCs/>
                <w:szCs w:val="21"/>
                <w:lang w:val="en-US" w:eastAsia="zh-CN"/>
              </w:rPr>
            </w:pPr>
            <w:r>
              <w:rPr>
                <w:rFonts w:hint="eastAsia"/>
                <w:color w:val="auto"/>
                <w:szCs w:val="21"/>
              </w:rPr>
              <w:t>拉断阀</w:t>
            </w:r>
          </w:p>
        </w:tc>
        <w:tc>
          <w:tcPr>
            <w:tcW w:w="910" w:type="pct"/>
            <w:vAlign w:val="center"/>
          </w:tcPr>
          <w:p w14:paraId="28D65F54">
            <w:pPr>
              <w:adjustRightInd w:val="0"/>
              <w:snapToGrid w:val="0"/>
              <w:jc w:val="center"/>
              <w:rPr>
                <w:rFonts w:hint="default" w:ascii="Times New Roman" w:hAnsi="Times New Roman" w:cs="Times New Roman"/>
                <w:b w:val="0"/>
                <w:bCs/>
                <w:szCs w:val="21"/>
              </w:rPr>
            </w:pPr>
            <w:r>
              <w:rPr>
                <w:rFonts w:hint="eastAsia"/>
                <w:color w:val="auto"/>
                <w:szCs w:val="21"/>
              </w:rPr>
              <w:t>—</w:t>
            </w:r>
          </w:p>
        </w:tc>
        <w:tc>
          <w:tcPr>
            <w:tcW w:w="736" w:type="pct"/>
            <w:vAlign w:val="center"/>
          </w:tcPr>
          <w:p w14:paraId="14E529C6">
            <w:pPr>
              <w:adjustRightInd w:val="0"/>
              <w:snapToGrid w:val="0"/>
              <w:jc w:val="center"/>
              <w:rPr>
                <w:rFonts w:hint="eastAsia" w:cs="Times New Roman"/>
                <w:b w:val="0"/>
                <w:bCs/>
                <w:szCs w:val="21"/>
                <w:lang w:val="en-US" w:eastAsia="zh-CN"/>
              </w:rPr>
            </w:pPr>
            <w:r>
              <w:rPr>
                <w:rFonts w:hint="eastAsia"/>
                <w:color w:val="auto"/>
                <w:szCs w:val="21"/>
                <w:lang w:val="en-US" w:eastAsia="zh-CN"/>
              </w:rPr>
              <w:t>8</w:t>
            </w:r>
            <w:r>
              <w:rPr>
                <w:rFonts w:hint="eastAsia"/>
                <w:color w:val="auto"/>
                <w:szCs w:val="21"/>
              </w:rPr>
              <w:t>个</w:t>
            </w:r>
          </w:p>
        </w:tc>
        <w:tc>
          <w:tcPr>
            <w:tcW w:w="1467" w:type="pct"/>
            <w:vAlign w:val="center"/>
          </w:tcPr>
          <w:p w14:paraId="7A4C95C9">
            <w:pPr>
              <w:adjustRightInd w:val="0"/>
              <w:snapToGrid w:val="0"/>
              <w:jc w:val="center"/>
              <w:rPr>
                <w:rFonts w:hint="eastAsia" w:cs="Times New Roman"/>
                <w:b w:val="0"/>
                <w:bCs/>
                <w:szCs w:val="21"/>
                <w:lang w:val="en-US" w:eastAsia="zh-CN"/>
              </w:rPr>
            </w:pPr>
          </w:p>
        </w:tc>
      </w:tr>
      <w:tr w14:paraId="456B7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FC45852">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58097D28">
            <w:pPr>
              <w:adjustRightInd w:val="0"/>
              <w:snapToGrid w:val="0"/>
              <w:jc w:val="center"/>
              <w:rPr>
                <w:rFonts w:hint="default" w:ascii="Times New Roman" w:hAnsi="Times New Roman" w:cs="Times New Roman"/>
                <w:b w:val="0"/>
                <w:bCs/>
                <w:szCs w:val="21"/>
                <w:lang w:val="en-US" w:eastAsia="zh-CN"/>
              </w:rPr>
            </w:pPr>
            <w:r>
              <w:rPr>
                <w:rFonts w:hint="eastAsia"/>
                <w:szCs w:val="21"/>
              </w:rPr>
              <w:t>高液位报警仪</w:t>
            </w:r>
          </w:p>
        </w:tc>
        <w:tc>
          <w:tcPr>
            <w:tcW w:w="910" w:type="pct"/>
            <w:vAlign w:val="center"/>
          </w:tcPr>
          <w:p w14:paraId="1639E0A6">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7EE85FC1">
            <w:pPr>
              <w:adjustRightInd w:val="0"/>
              <w:snapToGrid w:val="0"/>
              <w:jc w:val="center"/>
              <w:rPr>
                <w:rFonts w:hint="eastAsia" w:cs="Times New Roman"/>
                <w:b w:val="0"/>
                <w:bCs/>
                <w:szCs w:val="21"/>
                <w:lang w:val="en-US" w:eastAsia="zh-CN"/>
              </w:rPr>
            </w:pPr>
            <w:r>
              <w:rPr>
                <w:szCs w:val="21"/>
              </w:rPr>
              <w:t>1套</w:t>
            </w:r>
          </w:p>
        </w:tc>
        <w:tc>
          <w:tcPr>
            <w:tcW w:w="1467" w:type="pct"/>
            <w:vAlign w:val="center"/>
          </w:tcPr>
          <w:p w14:paraId="1EB6D6C3">
            <w:pPr>
              <w:adjustRightInd w:val="0"/>
              <w:snapToGrid w:val="0"/>
              <w:jc w:val="center"/>
              <w:rPr>
                <w:rFonts w:hint="eastAsia" w:cs="Times New Roman"/>
                <w:b w:val="0"/>
                <w:bCs/>
                <w:szCs w:val="21"/>
                <w:lang w:val="en-US" w:eastAsia="zh-CN"/>
              </w:rPr>
            </w:pPr>
          </w:p>
        </w:tc>
      </w:tr>
      <w:tr w14:paraId="7A97B4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6CBC6BB5">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26844FE9">
            <w:pPr>
              <w:adjustRightInd w:val="0"/>
              <w:snapToGrid w:val="0"/>
              <w:jc w:val="center"/>
              <w:rPr>
                <w:rFonts w:hint="default" w:ascii="Times New Roman" w:hAnsi="Times New Roman" w:cs="Times New Roman"/>
                <w:b w:val="0"/>
                <w:bCs/>
                <w:szCs w:val="21"/>
                <w:lang w:val="en-US" w:eastAsia="zh-CN"/>
              </w:rPr>
            </w:pPr>
            <w:r>
              <w:rPr>
                <w:rFonts w:hint="eastAsia"/>
                <w:szCs w:val="21"/>
              </w:rPr>
              <w:t>防爆型磁致伸缩液位探棒</w:t>
            </w:r>
          </w:p>
        </w:tc>
        <w:tc>
          <w:tcPr>
            <w:tcW w:w="910" w:type="pct"/>
            <w:vAlign w:val="center"/>
          </w:tcPr>
          <w:p w14:paraId="60EF2D00">
            <w:pPr>
              <w:adjustRightInd w:val="0"/>
              <w:snapToGrid w:val="0"/>
              <w:jc w:val="center"/>
              <w:rPr>
                <w:rFonts w:hint="default" w:ascii="Times New Roman" w:hAnsi="Times New Roman" w:cs="Times New Roman"/>
                <w:b w:val="0"/>
                <w:bCs/>
                <w:szCs w:val="21"/>
              </w:rPr>
            </w:pPr>
            <w:r>
              <w:rPr>
                <w:rFonts w:hint="eastAsia" w:cs="Arial"/>
                <w:bCs/>
                <w:kern w:val="0"/>
                <w:szCs w:val="21"/>
              </w:rPr>
              <w:t>CRT-M5</w:t>
            </w:r>
          </w:p>
        </w:tc>
        <w:tc>
          <w:tcPr>
            <w:tcW w:w="736" w:type="pct"/>
            <w:vAlign w:val="center"/>
          </w:tcPr>
          <w:p w14:paraId="0D5B4E8A">
            <w:pPr>
              <w:adjustRightInd w:val="0"/>
              <w:snapToGrid w:val="0"/>
              <w:jc w:val="center"/>
              <w:rPr>
                <w:rFonts w:hint="eastAsia" w:cs="Times New Roman"/>
                <w:b w:val="0"/>
                <w:bCs/>
                <w:szCs w:val="21"/>
                <w:lang w:val="en-US" w:eastAsia="zh-CN"/>
              </w:rPr>
            </w:pPr>
            <w:r>
              <w:rPr>
                <w:rFonts w:hint="eastAsia"/>
                <w:szCs w:val="21"/>
                <w:lang w:val="en-US" w:eastAsia="zh-CN"/>
              </w:rPr>
              <w:t>4</w:t>
            </w:r>
            <w:r>
              <w:rPr>
                <w:rFonts w:hint="eastAsia"/>
              </w:rPr>
              <w:t>个</w:t>
            </w:r>
          </w:p>
        </w:tc>
        <w:tc>
          <w:tcPr>
            <w:tcW w:w="1467" w:type="pct"/>
            <w:vAlign w:val="center"/>
          </w:tcPr>
          <w:p w14:paraId="0D42FC5A">
            <w:pPr>
              <w:adjustRightInd w:val="0"/>
              <w:snapToGrid w:val="0"/>
              <w:jc w:val="center"/>
              <w:rPr>
                <w:rFonts w:hint="eastAsia" w:cs="Times New Roman"/>
                <w:b w:val="0"/>
                <w:bCs/>
                <w:szCs w:val="21"/>
                <w:lang w:val="en-US" w:eastAsia="zh-CN"/>
              </w:rPr>
            </w:pPr>
          </w:p>
        </w:tc>
      </w:tr>
      <w:tr w14:paraId="3A975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79A97A7">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1B454899">
            <w:pPr>
              <w:adjustRightInd w:val="0"/>
              <w:snapToGrid w:val="0"/>
              <w:jc w:val="center"/>
              <w:rPr>
                <w:rFonts w:hint="default" w:ascii="Times New Roman" w:hAnsi="Times New Roman" w:cs="Times New Roman"/>
                <w:b w:val="0"/>
                <w:bCs/>
                <w:szCs w:val="21"/>
                <w:lang w:val="en-US" w:eastAsia="zh-CN"/>
              </w:rPr>
            </w:pPr>
            <w:r>
              <w:rPr>
                <w:szCs w:val="21"/>
              </w:rPr>
              <w:t>渗漏监测报警仪</w:t>
            </w:r>
          </w:p>
        </w:tc>
        <w:tc>
          <w:tcPr>
            <w:tcW w:w="910" w:type="pct"/>
            <w:vAlign w:val="center"/>
          </w:tcPr>
          <w:p w14:paraId="3239B8CC">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7A9053A2">
            <w:pPr>
              <w:adjustRightInd w:val="0"/>
              <w:snapToGrid w:val="0"/>
              <w:jc w:val="center"/>
              <w:rPr>
                <w:rFonts w:hint="eastAsia" w:cs="Times New Roman"/>
                <w:b w:val="0"/>
                <w:bCs/>
                <w:szCs w:val="21"/>
                <w:lang w:val="en-US" w:eastAsia="zh-CN"/>
              </w:rPr>
            </w:pPr>
            <w:r>
              <w:rPr>
                <w:szCs w:val="21"/>
              </w:rPr>
              <w:t>2套</w:t>
            </w:r>
          </w:p>
        </w:tc>
        <w:tc>
          <w:tcPr>
            <w:tcW w:w="1467" w:type="pct"/>
            <w:vAlign w:val="center"/>
          </w:tcPr>
          <w:p w14:paraId="5D461A77">
            <w:pPr>
              <w:adjustRightInd w:val="0"/>
              <w:snapToGrid w:val="0"/>
              <w:jc w:val="center"/>
              <w:rPr>
                <w:rFonts w:hint="eastAsia" w:cs="Times New Roman"/>
                <w:b w:val="0"/>
                <w:bCs/>
                <w:szCs w:val="21"/>
                <w:lang w:val="en-US" w:eastAsia="zh-CN"/>
              </w:rPr>
            </w:pPr>
            <w:r>
              <w:rPr>
                <w:szCs w:val="21"/>
              </w:rPr>
              <w:t>管道、储罐</w:t>
            </w:r>
          </w:p>
        </w:tc>
      </w:tr>
      <w:tr w14:paraId="1E798F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1DDF6EF">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2E956EAD">
            <w:pPr>
              <w:adjustRightInd w:val="0"/>
              <w:snapToGrid w:val="0"/>
              <w:jc w:val="center"/>
              <w:rPr>
                <w:rFonts w:hint="default" w:ascii="Times New Roman" w:hAnsi="Times New Roman" w:cs="Times New Roman"/>
                <w:b w:val="0"/>
                <w:bCs/>
                <w:szCs w:val="21"/>
                <w:lang w:val="en-US" w:eastAsia="zh-CN"/>
              </w:rPr>
            </w:pPr>
            <w:r>
              <w:rPr>
                <w:rFonts w:hint="eastAsia"/>
                <w:szCs w:val="21"/>
              </w:rPr>
              <w:t>不间断电源（U</w:t>
            </w:r>
            <w:r>
              <w:t>PS</w:t>
            </w:r>
            <w:r>
              <w:rPr>
                <w:rFonts w:hint="eastAsia"/>
                <w:szCs w:val="21"/>
              </w:rPr>
              <w:t>）</w:t>
            </w:r>
          </w:p>
        </w:tc>
        <w:tc>
          <w:tcPr>
            <w:tcW w:w="910" w:type="pct"/>
            <w:vAlign w:val="center"/>
          </w:tcPr>
          <w:p w14:paraId="058D5AD2">
            <w:pPr>
              <w:adjustRightInd w:val="0"/>
              <w:snapToGrid w:val="0"/>
              <w:jc w:val="center"/>
              <w:rPr>
                <w:rFonts w:hint="default" w:ascii="Times New Roman" w:hAnsi="Times New Roman" w:cs="Times New Roman"/>
                <w:b w:val="0"/>
                <w:bCs/>
                <w:szCs w:val="21"/>
              </w:rPr>
            </w:pPr>
            <w:r>
              <w:rPr>
                <w:rFonts w:hint="eastAsia"/>
                <w:szCs w:val="21"/>
                <w:lang w:val="en-US" w:eastAsia="zh-CN"/>
              </w:rPr>
              <w:t>3</w:t>
            </w:r>
            <w:r>
              <w:rPr>
                <w:rFonts w:hint="eastAsia"/>
                <w:szCs w:val="21"/>
              </w:rPr>
              <w:t>k</w:t>
            </w:r>
            <w:r>
              <w:rPr>
                <w:szCs w:val="21"/>
              </w:rPr>
              <w:t>VA</w:t>
            </w:r>
          </w:p>
        </w:tc>
        <w:tc>
          <w:tcPr>
            <w:tcW w:w="736" w:type="pct"/>
            <w:vAlign w:val="center"/>
          </w:tcPr>
          <w:p w14:paraId="5CCF9964">
            <w:pPr>
              <w:adjustRightInd w:val="0"/>
              <w:snapToGrid w:val="0"/>
              <w:jc w:val="center"/>
              <w:rPr>
                <w:rFonts w:hint="eastAsia" w:cs="Times New Roman"/>
                <w:b w:val="0"/>
                <w:bCs/>
                <w:szCs w:val="21"/>
                <w:lang w:val="en-US" w:eastAsia="zh-CN"/>
              </w:rPr>
            </w:pPr>
            <w:r>
              <w:rPr>
                <w:szCs w:val="21"/>
              </w:rPr>
              <w:t>1套</w:t>
            </w:r>
          </w:p>
        </w:tc>
        <w:tc>
          <w:tcPr>
            <w:tcW w:w="1467" w:type="pct"/>
            <w:vAlign w:val="center"/>
          </w:tcPr>
          <w:p w14:paraId="6AF54407">
            <w:pPr>
              <w:adjustRightInd w:val="0"/>
              <w:snapToGrid w:val="0"/>
              <w:jc w:val="center"/>
              <w:rPr>
                <w:rFonts w:hint="eastAsia" w:cs="Times New Roman"/>
                <w:b w:val="0"/>
                <w:bCs/>
                <w:szCs w:val="21"/>
                <w:lang w:val="en-US" w:eastAsia="zh-CN"/>
              </w:rPr>
            </w:pPr>
          </w:p>
        </w:tc>
      </w:tr>
      <w:tr w14:paraId="1FD58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03F54019">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0AFA221">
            <w:pPr>
              <w:adjustRightInd w:val="0"/>
              <w:snapToGrid w:val="0"/>
              <w:jc w:val="center"/>
              <w:rPr>
                <w:rFonts w:hint="default" w:ascii="Times New Roman" w:hAnsi="Times New Roman" w:cs="Times New Roman"/>
                <w:b w:val="0"/>
                <w:bCs/>
                <w:szCs w:val="21"/>
                <w:lang w:val="en-US" w:eastAsia="zh-CN"/>
              </w:rPr>
            </w:pPr>
            <w:r>
              <w:rPr>
                <w:szCs w:val="21"/>
              </w:rPr>
              <w:t>卸油防溢阀</w:t>
            </w:r>
          </w:p>
        </w:tc>
        <w:tc>
          <w:tcPr>
            <w:tcW w:w="910" w:type="pct"/>
            <w:vAlign w:val="center"/>
          </w:tcPr>
          <w:p w14:paraId="4F89D073">
            <w:pPr>
              <w:adjustRightInd w:val="0"/>
              <w:snapToGrid w:val="0"/>
              <w:jc w:val="center"/>
              <w:rPr>
                <w:rFonts w:hint="default" w:ascii="Times New Roman" w:hAnsi="Times New Roman" w:cs="Times New Roman"/>
                <w:b w:val="0"/>
                <w:bCs/>
                <w:szCs w:val="21"/>
              </w:rPr>
            </w:pPr>
            <w:r>
              <w:rPr>
                <w:szCs w:val="21"/>
              </w:rPr>
              <w:t>DN100</w:t>
            </w:r>
          </w:p>
        </w:tc>
        <w:tc>
          <w:tcPr>
            <w:tcW w:w="736" w:type="pct"/>
            <w:vAlign w:val="center"/>
          </w:tcPr>
          <w:p w14:paraId="5026DED4">
            <w:pPr>
              <w:adjustRightInd w:val="0"/>
              <w:snapToGrid w:val="0"/>
              <w:jc w:val="center"/>
              <w:rPr>
                <w:rFonts w:hint="eastAsia" w:cs="Times New Roman"/>
                <w:b w:val="0"/>
                <w:bCs/>
                <w:szCs w:val="21"/>
                <w:lang w:val="en-US" w:eastAsia="zh-CN"/>
              </w:rPr>
            </w:pPr>
            <w:r>
              <w:rPr>
                <w:rFonts w:hint="eastAsia"/>
                <w:szCs w:val="21"/>
                <w:lang w:val="en-US" w:eastAsia="zh-CN"/>
              </w:rPr>
              <w:t>4</w:t>
            </w:r>
            <w:r>
              <w:rPr>
                <w:szCs w:val="21"/>
              </w:rPr>
              <w:t>个</w:t>
            </w:r>
          </w:p>
        </w:tc>
        <w:tc>
          <w:tcPr>
            <w:tcW w:w="1467" w:type="pct"/>
            <w:vAlign w:val="center"/>
          </w:tcPr>
          <w:p w14:paraId="488DFE90">
            <w:pPr>
              <w:adjustRightInd w:val="0"/>
              <w:snapToGrid w:val="0"/>
              <w:jc w:val="center"/>
              <w:rPr>
                <w:rFonts w:hint="eastAsia" w:cs="Times New Roman"/>
                <w:b w:val="0"/>
                <w:bCs/>
                <w:szCs w:val="21"/>
                <w:lang w:val="en-US" w:eastAsia="zh-CN"/>
              </w:rPr>
            </w:pPr>
          </w:p>
        </w:tc>
      </w:tr>
      <w:tr w14:paraId="3E0C7D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2612A7D">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B9C07F3">
            <w:pPr>
              <w:adjustRightInd w:val="0"/>
              <w:snapToGrid w:val="0"/>
              <w:jc w:val="center"/>
              <w:rPr>
                <w:rFonts w:hint="default" w:ascii="Times New Roman" w:hAnsi="Times New Roman" w:cs="Times New Roman"/>
                <w:b w:val="0"/>
                <w:bCs/>
                <w:szCs w:val="21"/>
                <w:lang w:val="en-US" w:eastAsia="zh-CN"/>
              </w:rPr>
            </w:pPr>
            <w:r>
              <w:rPr>
                <w:rFonts w:hint="eastAsia"/>
                <w:szCs w:val="21"/>
              </w:rPr>
              <w:t>快速密闭卸油接头</w:t>
            </w:r>
          </w:p>
        </w:tc>
        <w:tc>
          <w:tcPr>
            <w:tcW w:w="910" w:type="pct"/>
            <w:vAlign w:val="center"/>
          </w:tcPr>
          <w:p w14:paraId="74D44243">
            <w:pPr>
              <w:adjustRightInd w:val="0"/>
              <w:snapToGrid w:val="0"/>
              <w:jc w:val="center"/>
              <w:rPr>
                <w:rFonts w:hint="default" w:ascii="Times New Roman" w:hAnsi="Times New Roman" w:cs="Times New Roman"/>
                <w:b w:val="0"/>
                <w:bCs/>
                <w:szCs w:val="21"/>
              </w:rPr>
            </w:pPr>
            <w:r>
              <w:rPr>
                <w:rFonts w:hint="eastAsia"/>
                <w:szCs w:val="21"/>
              </w:rPr>
              <w:t>D</w:t>
            </w:r>
            <w:r>
              <w:rPr>
                <w:szCs w:val="21"/>
              </w:rPr>
              <w:t>N100</w:t>
            </w:r>
          </w:p>
        </w:tc>
        <w:tc>
          <w:tcPr>
            <w:tcW w:w="736" w:type="pct"/>
            <w:vAlign w:val="center"/>
          </w:tcPr>
          <w:p w14:paraId="3511ADAC">
            <w:pPr>
              <w:adjustRightInd w:val="0"/>
              <w:snapToGrid w:val="0"/>
              <w:jc w:val="center"/>
              <w:rPr>
                <w:rFonts w:hint="eastAsia" w:cs="Times New Roman"/>
                <w:b w:val="0"/>
                <w:bCs/>
                <w:szCs w:val="21"/>
                <w:lang w:val="en-US" w:eastAsia="zh-CN"/>
              </w:rPr>
            </w:pPr>
            <w:r>
              <w:rPr>
                <w:rFonts w:hint="eastAsia"/>
                <w:szCs w:val="21"/>
                <w:lang w:val="en-US" w:eastAsia="zh-CN"/>
              </w:rPr>
              <w:t>4</w:t>
            </w:r>
            <w:r>
              <w:rPr>
                <w:rFonts w:hint="eastAsia"/>
                <w:szCs w:val="21"/>
              </w:rPr>
              <w:t>个</w:t>
            </w:r>
          </w:p>
        </w:tc>
        <w:tc>
          <w:tcPr>
            <w:tcW w:w="1467" w:type="pct"/>
            <w:vAlign w:val="center"/>
          </w:tcPr>
          <w:p w14:paraId="4C460C60">
            <w:pPr>
              <w:adjustRightInd w:val="0"/>
              <w:snapToGrid w:val="0"/>
              <w:jc w:val="center"/>
              <w:rPr>
                <w:rFonts w:hint="eastAsia" w:cs="Times New Roman"/>
                <w:b w:val="0"/>
                <w:bCs/>
                <w:szCs w:val="21"/>
                <w:lang w:val="en-US" w:eastAsia="zh-CN"/>
              </w:rPr>
            </w:pPr>
          </w:p>
        </w:tc>
      </w:tr>
      <w:tr w14:paraId="5E5A27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5599CD29">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1088439C">
            <w:pPr>
              <w:adjustRightInd w:val="0"/>
              <w:snapToGrid w:val="0"/>
              <w:jc w:val="center"/>
              <w:rPr>
                <w:rFonts w:hint="default" w:ascii="Times New Roman" w:hAnsi="Times New Roman" w:cs="Times New Roman"/>
                <w:b w:val="0"/>
                <w:bCs/>
                <w:szCs w:val="21"/>
                <w:lang w:val="en-US" w:eastAsia="zh-CN"/>
              </w:rPr>
            </w:pPr>
            <w:r>
              <w:rPr>
                <w:rFonts w:hint="eastAsia"/>
                <w:szCs w:val="21"/>
              </w:rPr>
              <w:t>带锁量油器</w:t>
            </w:r>
          </w:p>
        </w:tc>
        <w:tc>
          <w:tcPr>
            <w:tcW w:w="910" w:type="pct"/>
            <w:vAlign w:val="center"/>
          </w:tcPr>
          <w:p w14:paraId="221F75EA">
            <w:pPr>
              <w:adjustRightInd w:val="0"/>
              <w:snapToGrid w:val="0"/>
              <w:jc w:val="center"/>
              <w:rPr>
                <w:rFonts w:hint="default" w:ascii="Times New Roman" w:hAnsi="Times New Roman" w:cs="Times New Roman"/>
                <w:b w:val="0"/>
                <w:bCs/>
                <w:szCs w:val="21"/>
              </w:rPr>
            </w:pPr>
            <w:r>
              <w:rPr>
                <w:rFonts w:hint="eastAsia"/>
                <w:szCs w:val="21"/>
              </w:rPr>
              <w:t>D</w:t>
            </w:r>
            <w:r>
              <w:rPr>
                <w:szCs w:val="21"/>
              </w:rPr>
              <w:t>N100</w:t>
            </w:r>
          </w:p>
        </w:tc>
        <w:tc>
          <w:tcPr>
            <w:tcW w:w="736" w:type="pct"/>
            <w:vAlign w:val="center"/>
          </w:tcPr>
          <w:p w14:paraId="50536AC4">
            <w:pPr>
              <w:adjustRightInd w:val="0"/>
              <w:snapToGrid w:val="0"/>
              <w:jc w:val="center"/>
              <w:rPr>
                <w:rFonts w:hint="eastAsia" w:cs="Times New Roman"/>
                <w:b w:val="0"/>
                <w:bCs/>
                <w:szCs w:val="21"/>
                <w:lang w:val="en-US" w:eastAsia="zh-CN"/>
              </w:rPr>
            </w:pPr>
            <w:r>
              <w:rPr>
                <w:rFonts w:hint="eastAsia"/>
                <w:szCs w:val="21"/>
                <w:lang w:val="en-US" w:eastAsia="zh-CN"/>
              </w:rPr>
              <w:t>4</w:t>
            </w:r>
            <w:r>
              <w:rPr>
                <w:rFonts w:hint="eastAsia"/>
                <w:szCs w:val="21"/>
              </w:rPr>
              <w:t>个</w:t>
            </w:r>
          </w:p>
        </w:tc>
        <w:tc>
          <w:tcPr>
            <w:tcW w:w="1467" w:type="pct"/>
            <w:vAlign w:val="center"/>
          </w:tcPr>
          <w:p w14:paraId="23323B3F">
            <w:pPr>
              <w:adjustRightInd w:val="0"/>
              <w:snapToGrid w:val="0"/>
              <w:jc w:val="center"/>
              <w:rPr>
                <w:rFonts w:hint="eastAsia" w:cs="Times New Roman"/>
                <w:b w:val="0"/>
                <w:bCs/>
                <w:szCs w:val="21"/>
                <w:lang w:val="en-US" w:eastAsia="zh-CN"/>
              </w:rPr>
            </w:pPr>
          </w:p>
        </w:tc>
      </w:tr>
      <w:tr w14:paraId="3F8C8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721B4F8F">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133B262">
            <w:pPr>
              <w:adjustRightInd w:val="0"/>
              <w:snapToGrid w:val="0"/>
              <w:jc w:val="center"/>
              <w:rPr>
                <w:rFonts w:hint="default" w:ascii="Times New Roman" w:hAnsi="Times New Roman" w:cs="Times New Roman"/>
                <w:b w:val="0"/>
                <w:bCs/>
                <w:szCs w:val="21"/>
                <w:lang w:val="en-US" w:eastAsia="zh-CN"/>
              </w:rPr>
            </w:pPr>
            <w:r>
              <w:rPr>
                <w:rStyle w:val="22"/>
                <w:kern w:val="0"/>
                <w:szCs w:val="21"/>
              </w:rPr>
              <w:t>防雨型阻火器</w:t>
            </w:r>
          </w:p>
        </w:tc>
        <w:tc>
          <w:tcPr>
            <w:tcW w:w="910" w:type="pct"/>
            <w:vAlign w:val="center"/>
          </w:tcPr>
          <w:p w14:paraId="69E11FB8">
            <w:pPr>
              <w:adjustRightInd w:val="0"/>
              <w:snapToGrid w:val="0"/>
              <w:jc w:val="center"/>
              <w:rPr>
                <w:rFonts w:hint="default" w:ascii="Times New Roman" w:hAnsi="Times New Roman" w:cs="Times New Roman"/>
                <w:b w:val="0"/>
                <w:bCs/>
                <w:szCs w:val="21"/>
              </w:rPr>
            </w:pPr>
            <w:r>
              <w:rPr>
                <w:rStyle w:val="22"/>
                <w:kern w:val="0"/>
                <w:szCs w:val="21"/>
              </w:rPr>
              <w:t>DN50</w:t>
            </w:r>
          </w:p>
        </w:tc>
        <w:tc>
          <w:tcPr>
            <w:tcW w:w="736" w:type="pct"/>
            <w:vAlign w:val="center"/>
          </w:tcPr>
          <w:p w14:paraId="2E852D27">
            <w:pPr>
              <w:adjustRightInd w:val="0"/>
              <w:snapToGrid w:val="0"/>
              <w:jc w:val="center"/>
              <w:rPr>
                <w:rFonts w:hint="eastAsia" w:cs="Times New Roman"/>
                <w:b w:val="0"/>
                <w:bCs/>
                <w:szCs w:val="21"/>
                <w:lang w:val="en-US" w:eastAsia="zh-CN"/>
              </w:rPr>
            </w:pPr>
            <w:r>
              <w:rPr>
                <w:rFonts w:hint="eastAsia"/>
                <w:szCs w:val="21"/>
                <w:lang w:val="en-US" w:eastAsia="zh-CN"/>
              </w:rPr>
              <w:t>2</w:t>
            </w:r>
            <w:r>
              <w:rPr>
                <w:rFonts w:hint="eastAsia"/>
                <w:szCs w:val="21"/>
              </w:rPr>
              <w:t>个</w:t>
            </w:r>
          </w:p>
        </w:tc>
        <w:tc>
          <w:tcPr>
            <w:tcW w:w="1467" w:type="pct"/>
            <w:vAlign w:val="center"/>
          </w:tcPr>
          <w:p w14:paraId="06AABE2B">
            <w:pPr>
              <w:adjustRightInd w:val="0"/>
              <w:snapToGrid w:val="0"/>
              <w:jc w:val="center"/>
              <w:rPr>
                <w:rFonts w:hint="eastAsia" w:cs="Times New Roman"/>
                <w:b w:val="0"/>
                <w:bCs/>
                <w:szCs w:val="21"/>
                <w:lang w:val="en-US" w:eastAsia="zh-CN"/>
              </w:rPr>
            </w:pPr>
          </w:p>
        </w:tc>
      </w:tr>
      <w:tr w14:paraId="4DB93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D088957">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0199B6CB">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带阻火功能</w:t>
            </w:r>
            <w:r>
              <w:rPr>
                <w:rStyle w:val="22"/>
                <w:rFonts w:hint="eastAsia"/>
                <w:kern w:val="0"/>
                <w:szCs w:val="21"/>
                <w:lang w:val="en-US" w:eastAsia="zh-CN"/>
              </w:rPr>
              <w:t>的</w:t>
            </w:r>
            <w:r>
              <w:rPr>
                <w:rStyle w:val="22"/>
                <w:kern w:val="0"/>
                <w:szCs w:val="21"/>
              </w:rPr>
              <w:t>机械呼吸阀</w:t>
            </w:r>
          </w:p>
        </w:tc>
        <w:tc>
          <w:tcPr>
            <w:tcW w:w="910" w:type="pct"/>
            <w:vAlign w:val="center"/>
          </w:tcPr>
          <w:p w14:paraId="5FFECDA6">
            <w:pPr>
              <w:adjustRightInd w:val="0"/>
              <w:snapToGrid w:val="0"/>
              <w:jc w:val="center"/>
              <w:rPr>
                <w:rFonts w:hint="default" w:ascii="Times New Roman" w:hAnsi="Times New Roman" w:cs="Times New Roman"/>
                <w:b w:val="0"/>
                <w:bCs/>
                <w:szCs w:val="21"/>
              </w:rPr>
            </w:pPr>
            <w:r>
              <w:rPr>
                <w:rStyle w:val="22"/>
                <w:kern w:val="0"/>
                <w:szCs w:val="21"/>
              </w:rPr>
              <w:t>DN50</w:t>
            </w:r>
          </w:p>
        </w:tc>
        <w:tc>
          <w:tcPr>
            <w:tcW w:w="736" w:type="pct"/>
            <w:vAlign w:val="center"/>
          </w:tcPr>
          <w:p w14:paraId="329AFE0D">
            <w:pPr>
              <w:adjustRightInd w:val="0"/>
              <w:snapToGrid w:val="0"/>
              <w:jc w:val="center"/>
              <w:rPr>
                <w:rFonts w:hint="eastAsia" w:cs="Times New Roman"/>
                <w:b w:val="0"/>
                <w:bCs/>
                <w:szCs w:val="21"/>
                <w:lang w:val="en-US" w:eastAsia="zh-CN"/>
              </w:rPr>
            </w:pPr>
            <w:r>
              <w:rPr>
                <w:rFonts w:hint="eastAsia"/>
                <w:szCs w:val="21"/>
              </w:rPr>
              <w:t>1个</w:t>
            </w:r>
          </w:p>
        </w:tc>
        <w:tc>
          <w:tcPr>
            <w:tcW w:w="1467" w:type="pct"/>
            <w:vAlign w:val="center"/>
          </w:tcPr>
          <w:p w14:paraId="5C0FF2D9">
            <w:pPr>
              <w:adjustRightInd w:val="0"/>
              <w:snapToGrid w:val="0"/>
              <w:jc w:val="center"/>
              <w:rPr>
                <w:rFonts w:hint="eastAsia" w:cs="Times New Roman"/>
                <w:b w:val="0"/>
                <w:bCs/>
                <w:szCs w:val="21"/>
                <w:lang w:val="en-US" w:eastAsia="zh-CN"/>
              </w:rPr>
            </w:pPr>
          </w:p>
        </w:tc>
      </w:tr>
      <w:tr w14:paraId="285478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4D9C4419">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6C9DF104">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视频监控系统</w:t>
            </w:r>
          </w:p>
        </w:tc>
        <w:tc>
          <w:tcPr>
            <w:tcW w:w="910" w:type="pct"/>
            <w:vAlign w:val="center"/>
          </w:tcPr>
          <w:p w14:paraId="3609BAC3">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2070A157">
            <w:pPr>
              <w:adjustRightInd w:val="0"/>
              <w:snapToGrid w:val="0"/>
              <w:jc w:val="center"/>
              <w:rPr>
                <w:rFonts w:hint="eastAsia" w:cs="Times New Roman"/>
                <w:b w:val="0"/>
                <w:bCs/>
                <w:szCs w:val="21"/>
                <w:lang w:val="en-US" w:eastAsia="zh-CN"/>
              </w:rPr>
            </w:pPr>
            <w:r>
              <w:rPr>
                <w:rFonts w:hint="eastAsia"/>
                <w:szCs w:val="21"/>
              </w:rPr>
              <w:t>1</w:t>
            </w:r>
            <w:r>
              <w:rPr>
                <w:rFonts w:hint="eastAsia"/>
              </w:rPr>
              <w:t>套</w:t>
            </w:r>
          </w:p>
        </w:tc>
        <w:tc>
          <w:tcPr>
            <w:tcW w:w="1467" w:type="pct"/>
            <w:vAlign w:val="center"/>
          </w:tcPr>
          <w:p w14:paraId="65F313ED">
            <w:pPr>
              <w:adjustRightInd w:val="0"/>
              <w:snapToGrid w:val="0"/>
              <w:jc w:val="center"/>
              <w:rPr>
                <w:rFonts w:hint="eastAsia" w:cs="Times New Roman"/>
                <w:b w:val="0"/>
                <w:bCs/>
                <w:szCs w:val="21"/>
                <w:lang w:val="en-US" w:eastAsia="zh-CN"/>
              </w:rPr>
            </w:pPr>
          </w:p>
        </w:tc>
      </w:tr>
      <w:tr w14:paraId="2A173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1FE77F18">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02B1E21A">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紧急切断按钮</w:t>
            </w:r>
          </w:p>
        </w:tc>
        <w:tc>
          <w:tcPr>
            <w:tcW w:w="910" w:type="pct"/>
            <w:vAlign w:val="center"/>
          </w:tcPr>
          <w:p w14:paraId="1EF4B6C8">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2276D84A">
            <w:pPr>
              <w:adjustRightInd w:val="0"/>
              <w:snapToGrid w:val="0"/>
              <w:jc w:val="center"/>
              <w:rPr>
                <w:rFonts w:hint="eastAsia" w:cs="Times New Roman"/>
                <w:b w:val="0"/>
                <w:bCs/>
                <w:szCs w:val="21"/>
                <w:lang w:val="en-US" w:eastAsia="zh-CN"/>
              </w:rPr>
            </w:pPr>
            <w:r>
              <w:rPr>
                <w:szCs w:val="21"/>
              </w:rPr>
              <w:t>2</w:t>
            </w:r>
            <w:r>
              <w:rPr>
                <w:rFonts w:hint="eastAsia"/>
                <w:szCs w:val="21"/>
              </w:rPr>
              <w:t>个</w:t>
            </w:r>
          </w:p>
        </w:tc>
        <w:tc>
          <w:tcPr>
            <w:tcW w:w="1467" w:type="pct"/>
            <w:vAlign w:val="center"/>
          </w:tcPr>
          <w:p w14:paraId="5DCBF9D8">
            <w:pPr>
              <w:adjustRightInd w:val="0"/>
              <w:snapToGrid w:val="0"/>
              <w:jc w:val="center"/>
              <w:rPr>
                <w:rFonts w:hint="eastAsia" w:cs="Times New Roman"/>
                <w:b w:val="0"/>
                <w:bCs/>
                <w:szCs w:val="21"/>
                <w:lang w:val="en-US" w:eastAsia="zh-CN"/>
              </w:rPr>
            </w:pPr>
            <w:r>
              <w:rPr>
                <w:rFonts w:hint="eastAsia"/>
              </w:rPr>
              <w:t>罩棚支柱和营业厅</w:t>
            </w:r>
          </w:p>
        </w:tc>
      </w:tr>
      <w:tr w14:paraId="48DA15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5ECBEA29">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2858AAF3">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静电接地报警仪</w:t>
            </w:r>
          </w:p>
        </w:tc>
        <w:tc>
          <w:tcPr>
            <w:tcW w:w="910" w:type="pct"/>
            <w:vAlign w:val="center"/>
          </w:tcPr>
          <w:p w14:paraId="6C53C523">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560CD056">
            <w:pPr>
              <w:adjustRightInd w:val="0"/>
              <w:snapToGrid w:val="0"/>
              <w:jc w:val="center"/>
              <w:rPr>
                <w:rFonts w:hint="eastAsia" w:cs="Times New Roman"/>
                <w:b w:val="0"/>
                <w:bCs/>
                <w:szCs w:val="21"/>
                <w:lang w:val="en-US" w:eastAsia="zh-CN"/>
              </w:rPr>
            </w:pPr>
            <w:r>
              <w:rPr>
                <w:rFonts w:hint="eastAsia"/>
                <w:szCs w:val="21"/>
              </w:rPr>
              <w:t>1个</w:t>
            </w:r>
          </w:p>
        </w:tc>
        <w:tc>
          <w:tcPr>
            <w:tcW w:w="1467" w:type="pct"/>
            <w:vAlign w:val="center"/>
          </w:tcPr>
          <w:p w14:paraId="1BE923F6">
            <w:pPr>
              <w:adjustRightInd w:val="0"/>
              <w:snapToGrid w:val="0"/>
              <w:jc w:val="center"/>
              <w:rPr>
                <w:rFonts w:hint="eastAsia" w:cs="Times New Roman"/>
                <w:b w:val="0"/>
                <w:bCs/>
                <w:szCs w:val="21"/>
                <w:lang w:val="en-US" w:eastAsia="zh-CN"/>
              </w:rPr>
            </w:pPr>
          </w:p>
        </w:tc>
      </w:tr>
      <w:tr w14:paraId="353661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381BCD0">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775F3F1">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本安型人体静电消除器</w:t>
            </w:r>
          </w:p>
        </w:tc>
        <w:tc>
          <w:tcPr>
            <w:tcW w:w="910" w:type="pct"/>
            <w:vAlign w:val="center"/>
          </w:tcPr>
          <w:p w14:paraId="1894BD79">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741D7EAA">
            <w:pPr>
              <w:adjustRightInd w:val="0"/>
              <w:snapToGrid w:val="0"/>
              <w:jc w:val="center"/>
              <w:rPr>
                <w:rFonts w:hint="eastAsia" w:cs="Times New Roman"/>
                <w:b w:val="0"/>
                <w:bCs/>
                <w:szCs w:val="21"/>
                <w:lang w:val="en-US" w:eastAsia="zh-CN"/>
              </w:rPr>
            </w:pPr>
            <w:r>
              <w:rPr>
                <w:rFonts w:hint="eastAsia"/>
                <w:szCs w:val="21"/>
              </w:rPr>
              <w:t>1个</w:t>
            </w:r>
          </w:p>
        </w:tc>
        <w:tc>
          <w:tcPr>
            <w:tcW w:w="1467" w:type="pct"/>
            <w:vAlign w:val="center"/>
          </w:tcPr>
          <w:p w14:paraId="35AC6992">
            <w:pPr>
              <w:adjustRightInd w:val="0"/>
              <w:snapToGrid w:val="0"/>
              <w:jc w:val="center"/>
              <w:rPr>
                <w:rFonts w:hint="eastAsia" w:cs="Times New Roman"/>
                <w:b w:val="0"/>
                <w:bCs/>
                <w:szCs w:val="21"/>
                <w:lang w:val="en-US" w:eastAsia="zh-CN"/>
              </w:rPr>
            </w:pPr>
          </w:p>
        </w:tc>
      </w:tr>
      <w:tr w14:paraId="347BC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55ACFE5C">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5439A96A">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二次油气回收系统</w:t>
            </w:r>
          </w:p>
        </w:tc>
        <w:tc>
          <w:tcPr>
            <w:tcW w:w="910" w:type="pct"/>
            <w:vAlign w:val="center"/>
          </w:tcPr>
          <w:p w14:paraId="28C6DA82">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2CD739C3">
            <w:pPr>
              <w:adjustRightInd w:val="0"/>
              <w:snapToGrid w:val="0"/>
              <w:jc w:val="center"/>
              <w:rPr>
                <w:rFonts w:hint="eastAsia" w:cs="Times New Roman"/>
                <w:b w:val="0"/>
                <w:bCs/>
                <w:szCs w:val="21"/>
                <w:lang w:val="en-US" w:eastAsia="zh-CN"/>
              </w:rPr>
            </w:pPr>
            <w:r>
              <w:rPr>
                <w:rFonts w:hint="eastAsia"/>
                <w:szCs w:val="21"/>
              </w:rPr>
              <w:t>1</w:t>
            </w:r>
            <w:r>
              <w:rPr>
                <w:rFonts w:hint="eastAsia"/>
              </w:rPr>
              <w:t>套</w:t>
            </w:r>
          </w:p>
        </w:tc>
        <w:tc>
          <w:tcPr>
            <w:tcW w:w="1467" w:type="pct"/>
            <w:vAlign w:val="center"/>
          </w:tcPr>
          <w:p w14:paraId="738158FB">
            <w:pPr>
              <w:adjustRightInd w:val="0"/>
              <w:snapToGrid w:val="0"/>
              <w:jc w:val="center"/>
              <w:rPr>
                <w:rFonts w:hint="eastAsia" w:cs="Times New Roman"/>
                <w:b w:val="0"/>
                <w:bCs/>
                <w:szCs w:val="21"/>
                <w:lang w:val="en-US" w:eastAsia="zh-CN"/>
              </w:rPr>
            </w:pPr>
          </w:p>
        </w:tc>
      </w:tr>
      <w:tr w14:paraId="591C7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35DEC454">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784B141C">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lang w:eastAsia="zh-CN"/>
              </w:rPr>
              <w:t>乙醇汽油</w:t>
            </w:r>
            <w:r>
              <w:rPr>
                <w:rStyle w:val="22"/>
                <w:rFonts w:hint="eastAsia"/>
                <w:kern w:val="0"/>
                <w:szCs w:val="21"/>
              </w:rPr>
              <w:t>通气管</w:t>
            </w:r>
          </w:p>
        </w:tc>
        <w:tc>
          <w:tcPr>
            <w:tcW w:w="910" w:type="pct"/>
            <w:vAlign w:val="center"/>
          </w:tcPr>
          <w:p w14:paraId="48BC559E">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750855F3">
            <w:pPr>
              <w:adjustRightInd w:val="0"/>
              <w:snapToGrid w:val="0"/>
              <w:jc w:val="center"/>
              <w:rPr>
                <w:rFonts w:hint="eastAsia" w:cs="Times New Roman"/>
                <w:b w:val="0"/>
                <w:bCs/>
                <w:szCs w:val="21"/>
                <w:lang w:val="en-US" w:eastAsia="zh-CN"/>
              </w:rPr>
            </w:pPr>
            <w:r>
              <w:rPr>
                <w:rFonts w:hint="eastAsia"/>
                <w:szCs w:val="21"/>
                <w:lang w:val="en-US" w:eastAsia="zh-CN"/>
              </w:rPr>
              <w:t>2</w:t>
            </w:r>
            <w:r>
              <w:rPr>
                <w:rFonts w:hint="eastAsia"/>
                <w:szCs w:val="21"/>
              </w:rPr>
              <w:t>根</w:t>
            </w:r>
          </w:p>
        </w:tc>
        <w:tc>
          <w:tcPr>
            <w:tcW w:w="1467" w:type="pct"/>
            <w:vAlign w:val="center"/>
          </w:tcPr>
          <w:p w14:paraId="12F5F860">
            <w:pPr>
              <w:adjustRightInd w:val="0"/>
              <w:snapToGrid w:val="0"/>
              <w:jc w:val="center"/>
              <w:rPr>
                <w:rFonts w:hint="eastAsia" w:cs="Times New Roman"/>
                <w:b w:val="0"/>
                <w:bCs/>
                <w:szCs w:val="21"/>
                <w:lang w:val="en-US" w:eastAsia="zh-CN"/>
              </w:rPr>
            </w:pPr>
          </w:p>
        </w:tc>
      </w:tr>
      <w:tr w14:paraId="5152A3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7CD03C5">
            <w:pPr>
              <w:pStyle w:val="21"/>
              <w:numPr>
                <w:ilvl w:val="0"/>
                <w:numId w:val="4"/>
              </w:numPr>
              <w:ind w:left="0" w:leftChars="0" w:firstLine="0" w:firstLineChars="0"/>
              <w:jc w:val="center"/>
              <w:rPr>
                <w:rFonts w:hint="default" w:ascii="Times New Roman" w:hAnsi="Times New Roman" w:cs="Times New Roman"/>
                <w:b w:val="0"/>
                <w:bCs/>
                <w:lang w:eastAsia="zh-CN"/>
              </w:rPr>
            </w:pPr>
          </w:p>
        </w:tc>
        <w:tc>
          <w:tcPr>
            <w:tcW w:w="1440" w:type="pct"/>
            <w:vAlign w:val="center"/>
          </w:tcPr>
          <w:p w14:paraId="31487EA7">
            <w:pPr>
              <w:adjustRightInd w:val="0"/>
              <w:snapToGrid w:val="0"/>
              <w:jc w:val="center"/>
              <w:rPr>
                <w:rFonts w:hint="default" w:ascii="Times New Roman" w:hAnsi="Times New Roman" w:cs="Times New Roman"/>
                <w:b w:val="0"/>
                <w:bCs/>
                <w:szCs w:val="21"/>
                <w:lang w:val="en-US" w:eastAsia="zh-CN"/>
              </w:rPr>
            </w:pPr>
            <w:r>
              <w:rPr>
                <w:rStyle w:val="22"/>
                <w:rFonts w:hint="eastAsia"/>
                <w:kern w:val="0"/>
                <w:szCs w:val="21"/>
              </w:rPr>
              <w:t>柴油通气管</w:t>
            </w:r>
          </w:p>
        </w:tc>
        <w:tc>
          <w:tcPr>
            <w:tcW w:w="910" w:type="pct"/>
            <w:vAlign w:val="center"/>
          </w:tcPr>
          <w:p w14:paraId="51EF061D">
            <w:pPr>
              <w:adjustRightInd w:val="0"/>
              <w:snapToGrid w:val="0"/>
              <w:jc w:val="center"/>
              <w:rPr>
                <w:rFonts w:hint="default" w:ascii="Times New Roman" w:hAnsi="Times New Roman" w:cs="Times New Roman"/>
                <w:b w:val="0"/>
                <w:bCs/>
                <w:szCs w:val="21"/>
              </w:rPr>
            </w:pPr>
            <w:r>
              <w:rPr>
                <w:rFonts w:hint="eastAsia"/>
                <w:szCs w:val="21"/>
              </w:rPr>
              <w:t>—</w:t>
            </w:r>
          </w:p>
        </w:tc>
        <w:tc>
          <w:tcPr>
            <w:tcW w:w="736" w:type="pct"/>
            <w:vAlign w:val="center"/>
          </w:tcPr>
          <w:p w14:paraId="0E554B8A">
            <w:pPr>
              <w:adjustRightInd w:val="0"/>
              <w:snapToGrid w:val="0"/>
              <w:jc w:val="center"/>
              <w:rPr>
                <w:rFonts w:hint="eastAsia" w:cs="Times New Roman"/>
                <w:b w:val="0"/>
                <w:bCs/>
                <w:szCs w:val="21"/>
                <w:lang w:val="en-US" w:eastAsia="zh-CN"/>
              </w:rPr>
            </w:pPr>
            <w:r>
              <w:rPr>
                <w:rFonts w:hint="eastAsia"/>
                <w:szCs w:val="21"/>
                <w:lang w:val="en-US" w:eastAsia="zh-CN"/>
              </w:rPr>
              <w:t>1</w:t>
            </w:r>
            <w:r>
              <w:rPr>
                <w:rFonts w:hint="eastAsia"/>
                <w:szCs w:val="21"/>
              </w:rPr>
              <w:t>根</w:t>
            </w:r>
          </w:p>
        </w:tc>
        <w:tc>
          <w:tcPr>
            <w:tcW w:w="1467" w:type="pct"/>
            <w:vAlign w:val="center"/>
          </w:tcPr>
          <w:p w14:paraId="6E22404A">
            <w:pPr>
              <w:adjustRightInd w:val="0"/>
              <w:snapToGrid w:val="0"/>
              <w:jc w:val="center"/>
              <w:rPr>
                <w:rFonts w:hint="eastAsia" w:cs="Times New Roman"/>
                <w:b w:val="0"/>
                <w:bCs/>
                <w:szCs w:val="21"/>
                <w:lang w:val="en-US" w:eastAsia="zh-CN"/>
              </w:rPr>
            </w:pPr>
          </w:p>
        </w:tc>
      </w:tr>
      <w:tr w14:paraId="4876B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6" w:hRule="atLeast"/>
          <w:jc w:val="center"/>
        </w:trPr>
        <w:tc>
          <w:tcPr>
            <w:tcW w:w="445" w:type="pct"/>
            <w:vAlign w:val="center"/>
          </w:tcPr>
          <w:p w14:paraId="2A9B6FF8">
            <w:pPr>
              <w:pStyle w:val="21"/>
              <w:numPr>
                <w:ilvl w:val="0"/>
                <w:numId w:val="4"/>
              </w:numPr>
              <w:ind w:left="0" w:leftChars="0" w:firstLine="0" w:firstLineChars="0"/>
              <w:jc w:val="center"/>
              <w:rPr>
                <w:rFonts w:hint="default" w:ascii="Times New Roman" w:hAnsi="Times New Roman" w:cs="Times New Roman"/>
                <w:b w:val="0"/>
                <w:bCs/>
                <w:highlight w:val="none"/>
                <w:lang w:eastAsia="zh-CN"/>
              </w:rPr>
            </w:pPr>
          </w:p>
        </w:tc>
        <w:tc>
          <w:tcPr>
            <w:tcW w:w="1440" w:type="pct"/>
            <w:vAlign w:val="center"/>
          </w:tcPr>
          <w:p w14:paraId="515055CE">
            <w:pPr>
              <w:adjustRightInd w:val="0"/>
              <w:snapToGrid w:val="0"/>
              <w:jc w:val="center"/>
              <w:rPr>
                <w:rFonts w:hint="default" w:ascii="Times New Roman" w:hAnsi="Times New Roman" w:cs="Times New Roman"/>
                <w:b w:val="0"/>
                <w:bCs/>
                <w:szCs w:val="21"/>
                <w:highlight w:val="none"/>
                <w:lang w:val="en-US" w:eastAsia="zh-CN"/>
              </w:rPr>
            </w:pPr>
            <w:r>
              <w:rPr>
                <w:rStyle w:val="22"/>
                <w:rFonts w:hint="eastAsia"/>
                <w:kern w:val="0"/>
                <w:szCs w:val="21"/>
                <w:highlight w:val="none"/>
              </w:rPr>
              <w:t>可燃气体报警系统</w:t>
            </w:r>
          </w:p>
        </w:tc>
        <w:tc>
          <w:tcPr>
            <w:tcW w:w="910" w:type="pct"/>
            <w:vAlign w:val="center"/>
          </w:tcPr>
          <w:p w14:paraId="6C3F1F8E">
            <w:pPr>
              <w:adjustRightInd w:val="0"/>
              <w:snapToGrid w:val="0"/>
              <w:jc w:val="center"/>
              <w:rPr>
                <w:rFonts w:hint="default" w:ascii="Times New Roman" w:hAnsi="Times New Roman" w:cs="Times New Roman"/>
                <w:b w:val="0"/>
                <w:bCs/>
                <w:szCs w:val="21"/>
                <w:highlight w:val="none"/>
              </w:rPr>
            </w:pPr>
            <w:r>
              <w:rPr>
                <w:rFonts w:hint="eastAsia"/>
                <w:szCs w:val="21"/>
                <w:highlight w:val="none"/>
              </w:rPr>
              <w:t>—</w:t>
            </w:r>
          </w:p>
        </w:tc>
        <w:tc>
          <w:tcPr>
            <w:tcW w:w="736" w:type="pct"/>
            <w:vAlign w:val="center"/>
          </w:tcPr>
          <w:p w14:paraId="23EA40F8">
            <w:pPr>
              <w:adjustRightInd w:val="0"/>
              <w:snapToGrid w:val="0"/>
              <w:jc w:val="center"/>
              <w:rPr>
                <w:rFonts w:hint="eastAsia" w:cs="Times New Roman"/>
                <w:b w:val="0"/>
                <w:bCs/>
                <w:szCs w:val="21"/>
                <w:highlight w:val="none"/>
                <w:lang w:val="en-US" w:eastAsia="zh-CN"/>
              </w:rPr>
            </w:pPr>
            <w:r>
              <w:rPr>
                <w:rFonts w:hint="eastAsia"/>
                <w:szCs w:val="21"/>
                <w:highlight w:val="none"/>
              </w:rPr>
              <w:t>1套</w:t>
            </w:r>
          </w:p>
        </w:tc>
        <w:tc>
          <w:tcPr>
            <w:tcW w:w="1467" w:type="pct"/>
            <w:vAlign w:val="center"/>
          </w:tcPr>
          <w:p w14:paraId="56BCC8DD">
            <w:pPr>
              <w:adjustRightInd w:val="0"/>
              <w:snapToGrid w:val="0"/>
              <w:jc w:val="center"/>
              <w:rPr>
                <w:rFonts w:hint="eastAsia" w:cs="Times New Roman"/>
                <w:b w:val="0"/>
                <w:bCs/>
                <w:szCs w:val="21"/>
                <w:highlight w:val="yellow"/>
                <w:lang w:val="en-US" w:eastAsia="zh-CN"/>
              </w:rPr>
            </w:pPr>
          </w:p>
        </w:tc>
      </w:tr>
    </w:tbl>
    <w:p w14:paraId="1B439B70">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r>
        <w:rPr>
          <w:rFonts w:hint="default" w:ascii="Times New Roman" w:hAnsi="Times New Roman" w:eastAsia="黑体" w:cs="Times New Roman"/>
          <w:b/>
          <w:bCs/>
          <w:color w:val="auto"/>
          <w:sz w:val="28"/>
          <w:szCs w:val="32"/>
          <w:lang w:val="en-US" w:eastAsia="zh-CN"/>
        </w:rPr>
        <w:t>2.7.2主要特种设备</w:t>
      </w:r>
      <w:bookmarkEnd w:id="147"/>
      <w:bookmarkEnd w:id="148"/>
      <w:bookmarkEnd w:id="149"/>
      <w:bookmarkEnd w:id="150"/>
    </w:p>
    <w:p w14:paraId="7DDF211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eastAsia" w:ascii="Times New Roman" w:hAnsi="Times New Roman" w:cs="Times New Roman"/>
          <w:sz w:val="28"/>
          <w:szCs w:val="28"/>
          <w:lang w:val="en-US" w:eastAsia="zh-CN"/>
        </w:rPr>
        <w:t>本站不涉及特种设备。</w:t>
      </w:r>
    </w:p>
    <w:p w14:paraId="15B4D45F">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151" w:name="_Toc9787"/>
      <w:bookmarkStart w:id="152" w:name="_Toc13835"/>
      <w:r>
        <w:rPr>
          <w:rFonts w:hint="default" w:ascii="Times New Roman" w:hAnsi="Times New Roman" w:eastAsia="楷体" w:cs="Times New Roman"/>
          <w:color w:val="auto"/>
          <w:sz w:val="32"/>
          <w:szCs w:val="32"/>
          <w:lang w:val="en-US" w:eastAsia="zh-CN"/>
        </w:rPr>
        <w:t>2.8劳动定员</w:t>
      </w:r>
      <w:bookmarkEnd w:id="151"/>
      <w:bookmarkEnd w:id="152"/>
    </w:p>
    <w:p w14:paraId="55E9A33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lang w:val="en-US" w:eastAsia="zh-CN"/>
        </w:rPr>
      </w:pPr>
      <w:bookmarkStart w:id="153" w:name="_Toc410311959"/>
      <w:bookmarkStart w:id="154" w:name="_Toc26124"/>
      <w:bookmarkStart w:id="155" w:name="_Toc410311882"/>
      <w:bookmarkStart w:id="156" w:name="_Toc41246692"/>
      <w:r>
        <w:rPr>
          <w:rFonts w:hint="default" w:ascii="Times New Roman" w:hAnsi="Times New Roman" w:cs="Times New Roman"/>
          <w:sz w:val="28"/>
          <w:szCs w:val="28"/>
          <w:highlight w:val="none"/>
          <w:lang w:val="en-US" w:eastAsia="zh-CN"/>
        </w:rPr>
        <w:t>该加油站</w:t>
      </w:r>
      <w:r>
        <w:rPr>
          <w:rFonts w:hint="eastAsia" w:cs="Times New Roman"/>
          <w:sz w:val="28"/>
          <w:szCs w:val="28"/>
          <w:highlight w:val="none"/>
          <w:lang w:val="en-US" w:eastAsia="zh-CN"/>
        </w:rPr>
        <w:t>拟</w:t>
      </w:r>
      <w:r>
        <w:rPr>
          <w:rFonts w:hint="default" w:ascii="Times New Roman" w:hAnsi="Times New Roman" w:cs="Times New Roman"/>
          <w:sz w:val="28"/>
          <w:szCs w:val="28"/>
          <w:highlight w:val="none"/>
          <w:lang w:val="en-US" w:eastAsia="zh-CN"/>
        </w:rPr>
        <w:t>设有职工</w:t>
      </w:r>
      <w:r>
        <w:rPr>
          <w:rFonts w:hint="eastAsia" w:cs="Times New Roman"/>
          <w:sz w:val="28"/>
          <w:szCs w:val="28"/>
          <w:highlight w:val="none"/>
          <w:lang w:val="en-US" w:eastAsia="zh-CN"/>
        </w:rPr>
        <w:t>5</w:t>
      </w:r>
      <w:r>
        <w:rPr>
          <w:rFonts w:hint="default" w:ascii="Times New Roman" w:hAnsi="Times New Roman" w:cs="Times New Roman"/>
          <w:sz w:val="28"/>
          <w:szCs w:val="28"/>
          <w:highlight w:val="none"/>
          <w:lang w:val="en-US" w:eastAsia="zh-CN"/>
        </w:rPr>
        <w:t>人，包括主要负责人1人，</w:t>
      </w:r>
      <w:r>
        <w:rPr>
          <w:rFonts w:hint="eastAsia"/>
          <w:color w:val="auto"/>
          <w:sz w:val="28"/>
          <w:szCs w:val="28"/>
          <w:highlight w:val="none"/>
        </w:rPr>
        <w:t>专职安全管理人员1人</w:t>
      </w:r>
      <w:r>
        <w:rPr>
          <w:rFonts w:hint="default" w:ascii="Times New Roman" w:hAnsi="Times New Roman" w:cs="Times New Roman"/>
          <w:sz w:val="28"/>
          <w:szCs w:val="28"/>
          <w:highlight w:val="none"/>
          <w:lang w:val="en-US" w:eastAsia="zh-CN"/>
        </w:rPr>
        <w:t>，加油员</w:t>
      </w:r>
      <w:r>
        <w:rPr>
          <w:rFonts w:hint="eastAsia" w:cs="Times New Roman"/>
          <w:sz w:val="28"/>
          <w:szCs w:val="28"/>
          <w:highlight w:val="none"/>
          <w:lang w:val="en-US" w:eastAsia="zh-CN"/>
        </w:rPr>
        <w:t>3</w:t>
      </w:r>
      <w:r>
        <w:rPr>
          <w:rFonts w:hint="default" w:ascii="Times New Roman" w:hAnsi="Times New Roman" w:cs="Times New Roman"/>
          <w:sz w:val="28"/>
          <w:szCs w:val="28"/>
          <w:highlight w:val="none"/>
          <w:lang w:val="en-US" w:eastAsia="zh-CN"/>
        </w:rPr>
        <w:t>人。</w:t>
      </w:r>
      <w:r>
        <w:rPr>
          <w:rFonts w:hint="eastAsia" w:cs="Times New Roman"/>
          <w:sz w:val="28"/>
          <w:szCs w:val="28"/>
          <w:highlight w:val="none"/>
          <w:lang w:val="en-US" w:eastAsia="zh-CN"/>
        </w:rPr>
        <w:t>站内人员全年两班制。</w:t>
      </w:r>
    </w:p>
    <w:p w14:paraId="40616DD3">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157" w:name="_Toc16214"/>
      <w:r>
        <w:rPr>
          <w:rFonts w:hint="default" w:ascii="Times New Roman" w:hAnsi="Times New Roman" w:eastAsia="黑体" w:cs="Times New Roman"/>
          <w:b/>
          <w:bCs w:val="0"/>
          <w:kern w:val="32"/>
          <w:sz w:val="32"/>
          <w:szCs w:val="32"/>
          <w:lang w:val="en-US" w:eastAsia="zh-CN"/>
        </w:rPr>
        <w:t>3危险化学品的理化性能指标</w:t>
      </w:r>
      <w:bookmarkEnd w:id="153"/>
      <w:bookmarkEnd w:id="154"/>
      <w:bookmarkEnd w:id="155"/>
      <w:bookmarkEnd w:id="156"/>
      <w:bookmarkEnd w:id="157"/>
    </w:p>
    <w:p w14:paraId="529EC56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根据《危险化学品目录（2015版）》（原国家安全生产监督管理总局等十部门公告[2015]第5号，2015年5月1日起实施）及</w:t>
      </w:r>
      <w:bookmarkStart w:id="158" w:name="_Hlk146479963"/>
      <w:r>
        <w:rPr>
          <w:rFonts w:hint="default" w:ascii="Times New Roman" w:hAnsi="Times New Roman" w:cs="Times New Roman"/>
          <w:sz w:val="28"/>
          <w:szCs w:val="28"/>
          <w:lang w:val="en-US" w:eastAsia="zh-CN"/>
        </w:rPr>
        <w:t>《关于调整危险化学品目录（2015版）的公告》（中华人民共和国应急管理部等十部门公告2022年第8号，2023年01月01日实施）</w:t>
      </w:r>
      <w:bookmarkEnd w:id="158"/>
      <w:r>
        <w:rPr>
          <w:rFonts w:hint="default" w:ascii="Times New Roman" w:hAnsi="Times New Roman" w:cs="Times New Roman"/>
          <w:sz w:val="28"/>
          <w:szCs w:val="28"/>
          <w:lang w:val="en-US" w:eastAsia="zh-CN"/>
        </w:rPr>
        <w:t>，本项目涉及的</w:t>
      </w:r>
      <w:r>
        <w:rPr>
          <w:rFonts w:hint="eastAsia" w:cs="Times New Roman"/>
          <w:sz w:val="28"/>
          <w:szCs w:val="28"/>
          <w:lang w:val="en-US" w:eastAsia="zh-CN"/>
        </w:rPr>
        <w:t>乙醇汽油</w:t>
      </w:r>
      <w:r>
        <w:rPr>
          <w:rFonts w:hint="default" w:ascii="Times New Roman" w:hAnsi="Times New Roman" w:cs="Times New Roman"/>
          <w:sz w:val="28"/>
          <w:szCs w:val="28"/>
          <w:lang w:val="en-US" w:eastAsia="zh-CN"/>
        </w:rPr>
        <w:t>、柴油属于危险化学品。</w:t>
      </w:r>
    </w:p>
    <w:p w14:paraId="31F724E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r>
        <w:rPr>
          <w:rFonts w:hint="default" w:ascii="Times New Roman" w:hAnsi="Times New Roman" w:cs="Times New Roman"/>
          <w:sz w:val="28"/>
          <w:szCs w:val="28"/>
          <w:lang w:val="en-US" w:eastAsia="zh-CN"/>
        </w:rPr>
        <w:t>本项目涉及的</w:t>
      </w:r>
      <w:r>
        <w:rPr>
          <w:rFonts w:hint="eastAsia" w:cs="Times New Roman"/>
          <w:sz w:val="28"/>
          <w:szCs w:val="28"/>
          <w:lang w:val="en-US" w:eastAsia="zh-CN"/>
        </w:rPr>
        <w:t>乙醇汽油</w:t>
      </w:r>
      <w:r>
        <w:rPr>
          <w:rFonts w:hint="default" w:ascii="Times New Roman" w:hAnsi="Times New Roman" w:cs="Times New Roman"/>
          <w:sz w:val="28"/>
          <w:szCs w:val="28"/>
          <w:lang w:val="en-US" w:eastAsia="zh-CN"/>
        </w:rPr>
        <w:t>、柴油的危险特性，详见下表3-1。</w:t>
      </w:r>
    </w:p>
    <w:p w14:paraId="00392EBA">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表3-1 </w:t>
      </w:r>
      <w:r>
        <w:rPr>
          <w:rFonts w:hint="eastAsia"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本项目涉及的主要化学品的危险特性</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955"/>
        <w:gridCol w:w="955"/>
        <w:gridCol w:w="1713"/>
        <w:gridCol w:w="477"/>
        <w:gridCol w:w="1001"/>
        <w:gridCol w:w="882"/>
        <w:gridCol w:w="881"/>
        <w:gridCol w:w="1122"/>
        <w:gridCol w:w="881"/>
        <w:gridCol w:w="1122"/>
        <w:gridCol w:w="662"/>
        <w:gridCol w:w="1281"/>
        <w:gridCol w:w="929"/>
        <w:gridCol w:w="743"/>
      </w:tblGrid>
      <w:tr w14:paraId="1E370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6" w:hRule="atLeast"/>
          <w:tblHeader/>
          <w:jc w:val="center"/>
        </w:trPr>
        <w:tc>
          <w:tcPr>
            <w:tcW w:w="898" w:type="dxa"/>
            <w:vAlign w:val="center"/>
          </w:tcPr>
          <w:p w14:paraId="09AC763F">
            <w:pPr>
              <w:jc w:val="center"/>
              <w:rPr>
                <w:rFonts w:hint="default" w:ascii="Times New Roman" w:hAnsi="Times New Roman" w:cs="Times New Roman"/>
                <w:szCs w:val="21"/>
              </w:rPr>
            </w:pPr>
            <w:r>
              <w:rPr>
                <w:rFonts w:hint="default" w:ascii="Times New Roman" w:hAnsi="Times New Roman" w:cs="Times New Roman"/>
                <w:szCs w:val="21"/>
              </w:rPr>
              <w:t>物料</w:t>
            </w:r>
          </w:p>
          <w:p w14:paraId="0D086C0B">
            <w:pPr>
              <w:jc w:val="center"/>
              <w:rPr>
                <w:rFonts w:hint="default" w:ascii="Times New Roman" w:hAnsi="Times New Roman" w:cs="Times New Roman"/>
                <w:szCs w:val="21"/>
              </w:rPr>
            </w:pPr>
            <w:r>
              <w:rPr>
                <w:rFonts w:hint="default" w:ascii="Times New Roman" w:hAnsi="Times New Roman" w:cs="Times New Roman"/>
                <w:szCs w:val="21"/>
              </w:rPr>
              <w:t>名称</w:t>
            </w:r>
          </w:p>
        </w:tc>
        <w:tc>
          <w:tcPr>
            <w:tcW w:w="955" w:type="dxa"/>
            <w:vAlign w:val="center"/>
          </w:tcPr>
          <w:p w14:paraId="3873D352">
            <w:pPr>
              <w:jc w:val="center"/>
              <w:rPr>
                <w:rFonts w:hint="default" w:ascii="Times New Roman" w:hAnsi="Times New Roman" w:cs="Times New Roman"/>
                <w:szCs w:val="21"/>
              </w:rPr>
            </w:pPr>
            <w:r>
              <w:rPr>
                <w:rFonts w:hint="default" w:ascii="Times New Roman" w:hAnsi="Times New Roman" w:cs="Times New Roman"/>
                <w:szCs w:val="21"/>
              </w:rPr>
              <w:t>CAS号</w:t>
            </w:r>
          </w:p>
        </w:tc>
        <w:tc>
          <w:tcPr>
            <w:tcW w:w="955" w:type="dxa"/>
            <w:vAlign w:val="center"/>
          </w:tcPr>
          <w:p w14:paraId="4E1959CA">
            <w:pPr>
              <w:jc w:val="center"/>
              <w:rPr>
                <w:rFonts w:hint="default" w:ascii="Times New Roman" w:hAnsi="Times New Roman" w:cs="Times New Roman"/>
                <w:szCs w:val="21"/>
              </w:rPr>
            </w:pPr>
            <w:r>
              <w:rPr>
                <w:rFonts w:hint="default" w:ascii="Times New Roman" w:hAnsi="Times New Roman" w:cs="Times New Roman"/>
                <w:szCs w:val="21"/>
              </w:rPr>
              <w:t>危险</w:t>
            </w:r>
          </w:p>
          <w:p w14:paraId="33FF5D9A">
            <w:pPr>
              <w:jc w:val="center"/>
              <w:rPr>
                <w:rFonts w:hint="default" w:ascii="Times New Roman" w:hAnsi="Times New Roman" w:cs="Times New Roman"/>
                <w:szCs w:val="21"/>
              </w:rPr>
            </w:pPr>
            <w:r>
              <w:rPr>
                <w:rFonts w:hint="default" w:ascii="Times New Roman" w:hAnsi="Times New Roman" w:cs="Times New Roman"/>
                <w:szCs w:val="21"/>
              </w:rPr>
              <w:t>化学品</w:t>
            </w:r>
          </w:p>
          <w:p w14:paraId="0F420333">
            <w:pPr>
              <w:jc w:val="center"/>
              <w:rPr>
                <w:rFonts w:hint="default" w:ascii="Times New Roman" w:hAnsi="Times New Roman" w:cs="Times New Roman"/>
                <w:szCs w:val="21"/>
              </w:rPr>
            </w:pPr>
            <w:r>
              <w:rPr>
                <w:rFonts w:hint="default" w:ascii="Times New Roman" w:hAnsi="Times New Roman" w:cs="Times New Roman"/>
                <w:szCs w:val="21"/>
              </w:rPr>
              <w:t>序号</w:t>
            </w:r>
          </w:p>
        </w:tc>
        <w:tc>
          <w:tcPr>
            <w:tcW w:w="1713" w:type="dxa"/>
            <w:vAlign w:val="center"/>
          </w:tcPr>
          <w:p w14:paraId="4E19067A">
            <w:pPr>
              <w:jc w:val="center"/>
              <w:rPr>
                <w:rFonts w:hint="default" w:ascii="Times New Roman" w:hAnsi="Times New Roman" w:cs="Times New Roman"/>
                <w:szCs w:val="21"/>
              </w:rPr>
            </w:pPr>
            <w:r>
              <w:rPr>
                <w:rFonts w:hint="default" w:ascii="Times New Roman" w:hAnsi="Times New Roman" w:cs="Times New Roman"/>
                <w:szCs w:val="21"/>
              </w:rPr>
              <w:t>危险化学品</w:t>
            </w:r>
          </w:p>
          <w:p w14:paraId="17EEA306">
            <w:pPr>
              <w:jc w:val="center"/>
              <w:rPr>
                <w:rFonts w:hint="default" w:ascii="Times New Roman" w:hAnsi="Times New Roman" w:cs="Times New Roman"/>
                <w:szCs w:val="21"/>
              </w:rPr>
            </w:pPr>
            <w:r>
              <w:rPr>
                <w:rFonts w:hint="default" w:ascii="Times New Roman" w:hAnsi="Times New Roman" w:cs="Times New Roman"/>
                <w:szCs w:val="21"/>
              </w:rPr>
              <w:t>分类</w:t>
            </w:r>
          </w:p>
        </w:tc>
        <w:tc>
          <w:tcPr>
            <w:tcW w:w="477" w:type="dxa"/>
            <w:vAlign w:val="center"/>
          </w:tcPr>
          <w:p w14:paraId="38F8C104">
            <w:pPr>
              <w:jc w:val="center"/>
              <w:rPr>
                <w:rFonts w:hint="default" w:ascii="Times New Roman" w:hAnsi="Times New Roman" w:cs="Times New Roman"/>
                <w:szCs w:val="21"/>
              </w:rPr>
            </w:pPr>
            <w:r>
              <w:rPr>
                <w:rFonts w:hint="default" w:ascii="Times New Roman" w:hAnsi="Times New Roman" w:cs="Times New Roman"/>
                <w:szCs w:val="21"/>
              </w:rPr>
              <w:t>相态</w:t>
            </w:r>
          </w:p>
        </w:tc>
        <w:tc>
          <w:tcPr>
            <w:tcW w:w="1001" w:type="dxa"/>
            <w:vAlign w:val="center"/>
          </w:tcPr>
          <w:p w14:paraId="10060BA6">
            <w:pPr>
              <w:jc w:val="center"/>
              <w:rPr>
                <w:rFonts w:hint="default" w:ascii="Times New Roman" w:hAnsi="Times New Roman" w:cs="Times New Roman"/>
                <w:szCs w:val="21"/>
              </w:rPr>
            </w:pPr>
            <w:r>
              <w:rPr>
                <w:rFonts w:hint="default" w:ascii="Times New Roman" w:hAnsi="Times New Roman" w:cs="Times New Roman"/>
                <w:szCs w:val="21"/>
              </w:rPr>
              <w:t>密度（g/ml）</w:t>
            </w:r>
          </w:p>
        </w:tc>
        <w:tc>
          <w:tcPr>
            <w:tcW w:w="882" w:type="dxa"/>
            <w:vAlign w:val="center"/>
          </w:tcPr>
          <w:p w14:paraId="055CDAAB">
            <w:pPr>
              <w:jc w:val="center"/>
              <w:rPr>
                <w:rFonts w:hint="default" w:ascii="Times New Roman" w:hAnsi="Times New Roman" w:cs="Times New Roman"/>
                <w:szCs w:val="21"/>
              </w:rPr>
            </w:pPr>
            <w:r>
              <w:rPr>
                <w:rFonts w:hint="default" w:ascii="Times New Roman" w:hAnsi="Times New Roman" w:cs="Times New Roman"/>
                <w:szCs w:val="21"/>
              </w:rPr>
              <w:t>沸点</w:t>
            </w:r>
          </w:p>
          <w:p w14:paraId="5E766091">
            <w:pPr>
              <w:jc w:val="center"/>
              <w:rPr>
                <w:rFonts w:hint="default" w:ascii="Times New Roman" w:hAnsi="Times New Roman" w:cs="Times New Roman"/>
                <w:szCs w:val="21"/>
              </w:rPr>
            </w:pPr>
            <w:r>
              <w:rPr>
                <w:rFonts w:hint="default" w:ascii="Times New Roman" w:hAnsi="Times New Roman" w:cs="Times New Roman"/>
                <w:szCs w:val="21"/>
              </w:rPr>
              <w:t>（℃）</w:t>
            </w:r>
          </w:p>
        </w:tc>
        <w:tc>
          <w:tcPr>
            <w:tcW w:w="881" w:type="dxa"/>
            <w:vAlign w:val="center"/>
          </w:tcPr>
          <w:p w14:paraId="052EDC55">
            <w:pPr>
              <w:jc w:val="center"/>
              <w:rPr>
                <w:rFonts w:hint="default" w:ascii="Times New Roman" w:hAnsi="Times New Roman" w:cs="Times New Roman"/>
                <w:szCs w:val="21"/>
              </w:rPr>
            </w:pPr>
            <w:r>
              <w:rPr>
                <w:rFonts w:hint="default" w:ascii="Times New Roman" w:hAnsi="Times New Roman" w:cs="Times New Roman"/>
                <w:szCs w:val="21"/>
              </w:rPr>
              <w:t>凝点</w:t>
            </w:r>
          </w:p>
          <w:p w14:paraId="1E32CAFD">
            <w:pPr>
              <w:jc w:val="center"/>
              <w:rPr>
                <w:rFonts w:hint="default" w:ascii="Times New Roman" w:hAnsi="Times New Roman" w:cs="Times New Roman"/>
                <w:szCs w:val="21"/>
              </w:rPr>
            </w:pPr>
            <w:r>
              <w:rPr>
                <w:rFonts w:hint="default" w:ascii="Times New Roman" w:hAnsi="Times New Roman" w:cs="Times New Roman"/>
                <w:szCs w:val="21"/>
              </w:rPr>
              <w:t>（℃）</w:t>
            </w:r>
          </w:p>
        </w:tc>
        <w:tc>
          <w:tcPr>
            <w:tcW w:w="1122" w:type="dxa"/>
            <w:vAlign w:val="center"/>
          </w:tcPr>
          <w:p w14:paraId="0B727DA0">
            <w:pPr>
              <w:jc w:val="center"/>
              <w:rPr>
                <w:rFonts w:hint="default" w:ascii="Times New Roman" w:hAnsi="Times New Roman" w:cs="Times New Roman"/>
                <w:szCs w:val="21"/>
              </w:rPr>
            </w:pPr>
            <w:r>
              <w:rPr>
                <w:rFonts w:hint="default" w:ascii="Times New Roman" w:hAnsi="Times New Roman" w:cs="Times New Roman"/>
                <w:szCs w:val="21"/>
              </w:rPr>
              <w:t>闪点（℃）</w:t>
            </w:r>
          </w:p>
        </w:tc>
        <w:tc>
          <w:tcPr>
            <w:tcW w:w="881" w:type="dxa"/>
            <w:vAlign w:val="center"/>
          </w:tcPr>
          <w:p w14:paraId="12D1228F">
            <w:pPr>
              <w:jc w:val="center"/>
              <w:rPr>
                <w:rFonts w:hint="default" w:ascii="Times New Roman" w:hAnsi="Times New Roman" w:cs="Times New Roman"/>
                <w:szCs w:val="21"/>
              </w:rPr>
            </w:pPr>
            <w:r>
              <w:rPr>
                <w:rFonts w:hint="default" w:ascii="Times New Roman" w:hAnsi="Times New Roman" w:cs="Times New Roman"/>
                <w:szCs w:val="21"/>
              </w:rPr>
              <w:t>自燃点（℃）</w:t>
            </w:r>
          </w:p>
        </w:tc>
        <w:tc>
          <w:tcPr>
            <w:tcW w:w="1122" w:type="dxa"/>
            <w:vAlign w:val="center"/>
          </w:tcPr>
          <w:p w14:paraId="3EE04B6D">
            <w:pPr>
              <w:jc w:val="center"/>
              <w:rPr>
                <w:rFonts w:hint="default" w:ascii="Times New Roman" w:hAnsi="Times New Roman" w:cs="Times New Roman"/>
                <w:szCs w:val="21"/>
              </w:rPr>
            </w:pPr>
            <w:r>
              <w:rPr>
                <w:rFonts w:hint="default" w:ascii="Times New Roman" w:hAnsi="Times New Roman" w:cs="Times New Roman"/>
                <w:szCs w:val="21"/>
              </w:rPr>
              <w:t>职业接触</w:t>
            </w:r>
          </w:p>
          <w:p w14:paraId="5AC8435B">
            <w:pPr>
              <w:jc w:val="center"/>
              <w:rPr>
                <w:rFonts w:hint="default" w:ascii="Times New Roman" w:hAnsi="Times New Roman" w:cs="Times New Roman"/>
                <w:szCs w:val="21"/>
              </w:rPr>
            </w:pPr>
            <w:r>
              <w:rPr>
                <w:rFonts w:hint="default" w:ascii="Times New Roman" w:hAnsi="Times New Roman" w:cs="Times New Roman"/>
                <w:szCs w:val="21"/>
              </w:rPr>
              <w:t>限值</w:t>
            </w:r>
          </w:p>
        </w:tc>
        <w:tc>
          <w:tcPr>
            <w:tcW w:w="662" w:type="dxa"/>
            <w:vAlign w:val="center"/>
          </w:tcPr>
          <w:p w14:paraId="5526A3F3">
            <w:pPr>
              <w:jc w:val="center"/>
              <w:rPr>
                <w:rFonts w:hint="default" w:ascii="Times New Roman" w:hAnsi="Times New Roman" w:cs="Times New Roman"/>
                <w:szCs w:val="21"/>
              </w:rPr>
            </w:pPr>
            <w:r>
              <w:rPr>
                <w:rFonts w:hint="default" w:ascii="Times New Roman" w:hAnsi="Times New Roman" w:cs="Times New Roman"/>
                <w:szCs w:val="21"/>
              </w:rPr>
              <w:t>毒性等级</w:t>
            </w:r>
          </w:p>
        </w:tc>
        <w:tc>
          <w:tcPr>
            <w:tcW w:w="1281" w:type="dxa"/>
            <w:vAlign w:val="center"/>
          </w:tcPr>
          <w:p w14:paraId="775EF1A5">
            <w:pPr>
              <w:jc w:val="center"/>
              <w:rPr>
                <w:rFonts w:hint="default" w:ascii="Times New Roman" w:hAnsi="Times New Roman" w:cs="Times New Roman"/>
                <w:szCs w:val="21"/>
              </w:rPr>
            </w:pPr>
            <w:r>
              <w:rPr>
                <w:rFonts w:hint="default" w:ascii="Times New Roman" w:hAnsi="Times New Roman" w:cs="Times New Roman"/>
                <w:szCs w:val="21"/>
              </w:rPr>
              <w:t>爆炸</w:t>
            </w:r>
          </w:p>
          <w:p w14:paraId="21075DC4">
            <w:pPr>
              <w:jc w:val="center"/>
              <w:rPr>
                <w:rFonts w:hint="default" w:ascii="Times New Roman" w:hAnsi="Times New Roman" w:cs="Times New Roman"/>
                <w:szCs w:val="21"/>
              </w:rPr>
            </w:pPr>
            <w:r>
              <w:rPr>
                <w:rFonts w:hint="default" w:ascii="Times New Roman" w:hAnsi="Times New Roman" w:cs="Times New Roman"/>
                <w:szCs w:val="21"/>
              </w:rPr>
              <w:t>极限</w:t>
            </w:r>
          </w:p>
        </w:tc>
        <w:tc>
          <w:tcPr>
            <w:tcW w:w="929" w:type="dxa"/>
            <w:vAlign w:val="center"/>
          </w:tcPr>
          <w:p w14:paraId="6E52A153">
            <w:pPr>
              <w:jc w:val="center"/>
              <w:rPr>
                <w:rFonts w:hint="default" w:ascii="Times New Roman" w:hAnsi="Times New Roman" w:cs="Times New Roman"/>
                <w:szCs w:val="21"/>
              </w:rPr>
            </w:pPr>
            <w:r>
              <w:rPr>
                <w:rFonts w:hint="default" w:ascii="Times New Roman" w:hAnsi="Times New Roman" w:cs="Times New Roman"/>
                <w:szCs w:val="21"/>
              </w:rPr>
              <w:t>火灾</w:t>
            </w:r>
          </w:p>
          <w:p w14:paraId="5AF100DE">
            <w:pPr>
              <w:jc w:val="center"/>
              <w:rPr>
                <w:rFonts w:hint="default" w:ascii="Times New Roman" w:hAnsi="Times New Roman" w:cs="Times New Roman"/>
                <w:szCs w:val="21"/>
              </w:rPr>
            </w:pPr>
            <w:r>
              <w:rPr>
                <w:rFonts w:hint="default" w:ascii="Times New Roman" w:hAnsi="Times New Roman" w:cs="Times New Roman"/>
                <w:szCs w:val="21"/>
              </w:rPr>
              <w:t>危险性</w:t>
            </w:r>
          </w:p>
          <w:p w14:paraId="4698CB15">
            <w:pPr>
              <w:jc w:val="center"/>
              <w:rPr>
                <w:rFonts w:hint="default" w:ascii="Times New Roman" w:hAnsi="Times New Roman" w:cs="Times New Roman"/>
                <w:szCs w:val="21"/>
              </w:rPr>
            </w:pPr>
            <w:r>
              <w:rPr>
                <w:rFonts w:hint="default" w:ascii="Times New Roman" w:hAnsi="Times New Roman" w:cs="Times New Roman"/>
                <w:szCs w:val="21"/>
              </w:rPr>
              <w:t>分类</w:t>
            </w:r>
          </w:p>
        </w:tc>
        <w:tc>
          <w:tcPr>
            <w:tcW w:w="743" w:type="dxa"/>
            <w:vAlign w:val="center"/>
          </w:tcPr>
          <w:p w14:paraId="306F6B06">
            <w:pPr>
              <w:jc w:val="center"/>
              <w:rPr>
                <w:rFonts w:hint="default" w:ascii="Times New Roman" w:hAnsi="Times New Roman" w:cs="Times New Roman"/>
                <w:szCs w:val="21"/>
              </w:rPr>
            </w:pPr>
            <w:r>
              <w:rPr>
                <w:rFonts w:hint="default" w:ascii="Times New Roman" w:hAnsi="Times New Roman" w:cs="Times New Roman"/>
                <w:szCs w:val="21"/>
              </w:rPr>
              <w:t>危害</w:t>
            </w:r>
          </w:p>
          <w:p w14:paraId="321079C9">
            <w:pPr>
              <w:jc w:val="center"/>
              <w:rPr>
                <w:rFonts w:hint="default" w:ascii="Times New Roman" w:hAnsi="Times New Roman" w:cs="Times New Roman"/>
                <w:szCs w:val="21"/>
              </w:rPr>
            </w:pPr>
            <w:r>
              <w:rPr>
                <w:rFonts w:hint="default" w:ascii="Times New Roman" w:hAnsi="Times New Roman" w:cs="Times New Roman"/>
                <w:szCs w:val="21"/>
              </w:rPr>
              <w:t>特性</w:t>
            </w:r>
          </w:p>
        </w:tc>
      </w:tr>
      <w:tr w14:paraId="5AEAF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898" w:type="dxa"/>
            <w:vAlign w:val="center"/>
          </w:tcPr>
          <w:p w14:paraId="03132755">
            <w:pPr>
              <w:jc w:val="center"/>
              <w:rPr>
                <w:rFonts w:hint="default" w:ascii="Times New Roman" w:hAnsi="Times New Roman" w:cs="Times New Roman"/>
                <w:szCs w:val="21"/>
              </w:rPr>
            </w:pPr>
            <w:r>
              <w:rPr>
                <w:rFonts w:hint="default" w:ascii="Times New Roman" w:hAnsi="Times New Roman" w:cs="Times New Roman"/>
                <w:szCs w:val="21"/>
              </w:rPr>
              <w:t>柴油</w:t>
            </w:r>
          </w:p>
        </w:tc>
        <w:tc>
          <w:tcPr>
            <w:tcW w:w="955" w:type="dxa"/>
            <w:vAlign w:val="center"/>
          </w:tcPr>
          <w:p w14:paraId="2BFFD70B">
            <w:pPr>
              <w:jc w:val="center"/>
              <w:rPr>
                <w:rFonts w:hint="default" w:ascii="Times New Roman" w:hAnsi="Times New Roman" w:cs="Times New Roman"/>
              </w:rPr>
            </w:pPr>
            <w:r>
              <w:rPr>
                <w:rFonts w:hint="default" w:ascii="Times New Roman" w:hAnsi="Times New Roman" w:cs="Times New Roman"/>
                <w:szCs w:val="21"/>
              </w:rPr>
              <w:t>68334-30-5</w:t>
            </w:r>
          </w:p>
        </w:tc>
        <w:tc>
          <w:tcPr>
            <w:tcW w:w="955" w:type="dxa"/>
            <w:vAlign w:val="center"/>
          </w:tcPr>
          <w:p w14:paraId="013792FE">
            <w:pPr>
              <w:jc w:val="center"/>
              <w:rPr>
                <w:rFonts w:hint="default" w:ascii="Times New Roman" w:hAnsi="Times New Roman" w:cs="Times New Roman"/>
              </w:rPr>
            </w:pPr>
            <w:r>
              <w:rPr>
                <w:rFonts w:hint="default" w:ascii="Times New Roman" w:hAnsi="Times New Roman" w:cs="Times New Roman"/>
              </w:rPr>
              <w:t>1674</w:t>
            </w:r>
          </w:p>
        </w:tc>
        <w:tc>
          <w:tcPr>
            <w:tcW w:w="1713" w:type="dxa"/>
            <w:vAlign w:val="center"/>
          </w:tcPr>
          <w:p w14:paraId="08350F37">
            <w:pPr>
              <w:jc w:val="center"/>
              <w:rPr>
                <w:rFonts w:hint="default" w:ascii="Times New Roman" w:hAnsi="Times New Roman" w:cs="Times New Roman"/>
              </w:rPr>
            </w:pPr>
            <w:r>
              <w:rPr>
                <w:rFonts w:hint="default" w:ascii="Times New Roman" w:hAnsi="Times New Roman" w:cs="Times New Roman"/>
              </w:rPr>
              <w:t>易燃液体，类别3</w:t>
            </w:r>
          </w:p>
        </w:tc>
        <w:tc>
          <w:tcPr>
            <w:tcW w:w="477" w:type="dxa"/>
            <w:vAlign w:val="center"/>
          </w:tcPr>
          <w:p w14:paraId="01891830">
            <w:pPr>
              <w:jc w:val="center"/>
              <w:rPr>
                <w:rFonts w:hint="default" w:ascii="Times New Roman" w:hAnsi="Times New Roman" w:cs="Times New Roman"/>
              </w:rPr>
            </w:pPr>
            <w:r>
              <w:rPr>
                <w:rFonts w:hint="default" w:ascii="Times New Roman" w:hAnsi="Times New Roman" w:cs="Times New Roman"/>
              </w:rPr>
              <w:t>液态</w:t>
            </w:r>
          </w:p>
        </w:tc>
        <w:tc>
          <w:tcPr>
            <w:tcW w:w="1001" w:type="dxa"/>
            <w:vAlign w:val="center"/>
          </w:tcPr>
          <w:p w14:paraId="3522DD25">
            <w:pPr>
              <w:ind w:firstLine="220"/>
              <w:jc w:val="center"/>
              <w:rPr>
                <w:rFonts w:hint="default" w:ascii="Times New Roman" w:hAnsi="Times New Roman" w:cs="Times New Roman"/>
                <w:szCs w:val="21"/>
              </w:rPr>
            </w:pPr>
            <w:r>
              <w:rPr>
                <w:rFonts w:hint="default" w:ascii="Times New Roman" w:hAnsi="Times New Roman" w:cs="Times New Roman"/>
                <w:kern w:val="0"/>
                <w:sz w:val="22"/>
                <w:szCs w:val="22"/>
              </w:rPr>
              <w:t>0.79～0.85</w:t>
            </w:r>
          </w:p>
        </w:tc>
        <w:tc>
          <w:tcPr>
            <w:tcW w:w="882" w:type="dxa"/>
            <w:vAlign w:val="center"/>
          </w:tcPr>
          <w:p w14:paraId="29475946">
            <w:pPr>
              <w:jc w:val="center"/>
              <w:rPr>
                <w:rFonts w:hint="default" w:ascii="Times New Roman" w:hAnsi="Times New Roman" w:cs="Times New Roman"/>
              </w:rPr>
            </w:pPr>
            <w:r>
              <w:rPr>
                <w:rFonts w:hint="default" w:ascii="Times New Roman" w:hAnsi="Times New Roman" w:cs="Times New Roman"/>
              </w:rPr>
              <w:t>282-338</w:t>
            </w:r>
          </w:p>
        </w:tc>
        <w:tc>
          <w:tcPr>
            <w:tcW w:w="881" w:type="dxa"/>
            <w:vAlign w:val="center"/>
          </w:tcPr>
          <w:p w14:paraId="6039949D">
            <w:pPr>
              <w:jc w:val="center"/>
              <w:rPr>
                <w:rFonts w:hint="default" w:ascii="Times New Roman" w:hAnsi="Times New Roman" w:cs="Times New Roman"/>
              </w:rPr>
            </w:pPr>
            <w:r>
              <w:rPr>
                <w:rFonts w:hint="default" w:ascii="Times New Roman" w:hAnsi="Times New Roman" w:cs="Times New Roman"/>
              </w:rPr>
              <w:t>5~-35</w:t>
            </w:r>
          </w:p>
        </w:tc>
        <w:tc>
          <w:tcPr>
            <w:tcW w:w="1122" w:type="dxa"/>
            <w:vAlign w:val="center"/>
          </w:tcPr>
          <w:p w14:paraId="656E6658">
            <w:pPr>
              <w:jc w:val="center"/>
              <w:rPr>
                <w:rFonts w:hint="default" w:ascii="Times New Roman" w:hAnsi="Times New Roman" w:cs="Times New Roman"/>
                <w:szCs w:val="21"/>
              </w:rPr>
            </w:pPr>
            <w:r>
              <w:rPr>
                <w:rFonts w:hint="default" w:ascii="Times New Roman" w:hAnsi="Times New Roman" w:cs="Times New Roman"/>
                <w:szCs w:val="21"/>
              </w:rPr>
              <w:t>≥45</w:t>
            </w:r>
          </w:p>
        </w:tc>
        <w:tc>
          <w:tcPr>
            <w:tcW w:w="881" w:type="dxa"/>
            <w:vAlign w:val="center"/>
          </w:tcPr>
          <w:p w14:paraId="3F543E05">
            <w:pPr>
              <w:jc w:val="center"/>
              <w:rPr>
                <w:rFonts w:hint="default" w:ascii="Times New Roman" w:hAnsi="Times New Roman" w:cs="Times New Roman"/>
              </w:rPr>
            </w:pPr>
            <w:r>
              <w:rPr>
                <w:rFonts w:hint="default" w:ascii="Times New Roman" w:hAnsi="Times New Roman" w:cs="Times New Roman"/>
              </w:rPr>
              <w:t>220</w:t>
            </w:r>
          </w:p>
        </w:tc>
        <w:tc>
          <w:tcPr>
            <w:tcW w:w="1122" w:type="dxa"/>
            <w:vAlign w:val="center"/>
          </w:tcPr>
          <w:p w14:paraId="5CB4588D">
            <w:pPr>
              <w:jc w:val="center"/>
              <w:rPr>
                <w:rFonts w:hint="default" w:ascii="Times New Roman" w:hAnsi="Times New Roman" w:cs="Times New Roman"/>
                <w:szCs w:val="21"/>
              </w:rPr>
            </w:pPr>
            <w:r>
              <w:rPr>
                <w:rFonts w:hint="default" w:ascii="Times New Roman" w:hAnsi="Times New Roman" w:cs="Times New Roman"/>
                <w:szCs w:val="21"/>
              </w:rPr>
              <w:t>-</w:t>
            </w:r>
          </w:p>
        </w:tc>
        <w:tc>
          <w:tcPr>
            <w:tcW w:w="662" w:type="dxa"/>
            <w:vAlign w:val="center"/>
          </w:tcPr>
          <w:p w14:paraId="7228E623">
            <w:pPr>
              <w:jc w:val="center"/>
              <w:rPr>
                <w:rFonts w:hint="eastAsia" w:ascii="Times New Roman" w:hAnsi="Times New Roman" w:eastAsia="宋体" w:cs="Times New Roman"/>
                <w:szCs w:val="21"/>
                <w:lang w:val="en-US" w:eastAsia="zh-CN"/>
              </w:rPr>
            </w:pPr>
            <w:r>
              <w:rPr>
                <w:rFonts w:hint="eastAsia" w:cs="Times New Roman"/>
                <w:szCs w:val="21"/>
                <w:lang w:val="en-US" w:eastAsia="zh-CN"/>
              </w:rPr>
              <w:t>轻度</w:t>
            </w:r>
          </w:p>
        </w:tc>
        <w:tc>
          <w:tcPr>
            <w:tcW w:w="1281" w:type="dxa"/>
            <w:vAlign w:val="center"/>
          </w:tcPr>
          <w:p w14:paraId="764EFAD3">
            <w:pPr>
              <w:jc w:val="center"/>
              <w:rPr>
                <w:rFonts w:hint="default" w:ascii="Times New Roman" w:hAnsi="Times New Roman" w:cs="Times New Roman"/>
                <w:szCs w:val="21"/>
              </w:rPr>
            </w:pPr>
            <w:r>
              <w:rPr>
                <w:rFonts w:hint="default" w:ascii="Times New Roman" w:hAnsi="Times New Roman" w:cs="Times New Roman"/>
                <w:szCs w:val="21"/>
              </w:rPr>
              <w:t>0.6%-</w:t>
            </w:r>
            <w:r>
              <w:rPr>
                <w:rFonts w:hint="eastAsia" w:cs="Times New Roman"/>
                <w:szCs w:val="21"/>
                <w:lang w:val="en-US" w:eastAsia="zh-CN"/>
              </w:rPr>
              <w:t>7</w:t>
            </w:r>
            <w:r>
              <w:rPr>
                <w:rFonts w:hint="default" w:ascii="Times New Roman" w:hAnsi="Times New Roman" w:cs="Times New Roman"/>
                <w:szCs w:val="21"/>
              </w:rPr>
              <w:t>.5%</w:t>
            </w:r>
          </w:p>
        </w:tc>
        <w:tc>
          <w:tcPr>
            <w:tcW w:w="929" w:type="dxa"/>
            <w:vAlign w:val="center"/>
          </w:tcPr>
          <w:p w14:paraId="75EA8BCF">
            <w:pPr>
              <w:jc w:val="center"/>
              <w:rPr>
                <w:rFonts w:hint="default" w:ascii="Times New Roman" w:hAnsi="Times New Roman" w:cs="Times New Roman"/>
                <w:szCs w:val="21"/>
              </w:rPr>
            </w:pPr>
            <w:r>
              <w:rPr>
                <w:rFonts w:hint="default" w:ascii="Times New Roman" w:hAnsi="Times New Roman" w:cs="Times New Roman"/>
                <w:szCs w:val="21"/>
              </w:rPr>
              <w:t>乙类/丙类</w:t>
            </w:r>
          </w:p>
        </w:tc>
        <w:tc>
          <w:tcPr>
            <w:tcW w:w="743" w:type="dxa"/>
            <w:vAlign w:val="center"/>
          </w:tcPr>
          <w:p w14:paraId="21E9828F">
            <w:pPr>
              <w:jc w:val="center"/>
              <w:rPr>
                <w:rFonts w:hint="default" w:ascii="Times New Roman" w:hAnsi="Times New Roman" w:cs="Times New Roman"/>
                <w:szCs w:val="21"/>
              </w:rPr>
            </w:pPr>
            <w:r>
              <w:rPr>
                <w:rFonts w:hint="default" w:ascii="Times New Roman" w:hAnsi="Times New Roman" w:cs="Times New Roman"/>
                <w:bCs/>
                <w:szCs w:val="21"/>
              </w:rPr>
              <w:t>易燃、刺激性</w:t>
            </w:r>
          </w:p>
        </w:tc>
      </w:tr>
      <w:tr w14:paraId="0AD3C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898" w:type="dxa"/>
            <w:vAlign w:val="center"/>
          </w:tcPr>
          <w:p w14:paraId="7525457A">
            <w:pPr>
              <w:jc w:val="center"/>
              <w:rPr>
                <w:rFonts w:hint="eastAsia" w:ascii="Times New Roman" w:hAnsi="Times New Roman" w:eastAsia="宋体" w:cs="Times New Roman"/>
                <w:szCs w:val="21"/>
                <w:lang w:eastAsia="zh-CN"/>
              </w:rPr>
            </w:pPr>
            <w:r>
              <w:rPr>
                <w:rFonts w:hint="eastAsia" w:cs="Times New Roman"/>
                <w:szCs w:val="21"/>
                <w:lang w:eastAsia="zh-CN"/>
              </w:rPr>
              <w:t>乙醇汽油</w:t>
            </w:r>
          </w:p>
        </w:tc>
        <w:tc>
          <w:tcPr>
            <w:tcW w:w="955" w:type="dxa"/>
            <w:vAlign w:val="center"/>
          </w:tcPr>
          <w:p w14:paraId="1F11EBB7">
            <w:pPr>
              <w:widowControl/>
              <w:jc w:val="center"/>
              <w:rPr>
                <w:rFonts w:hint="default" w:ascii="Times New Roman" w:hAnsi="Times New Roman" w:cs="Times New Roman"/>
              </w:rPr>
            </w:pPr>
            <w:r>
              <w:rPr>
                <w:rFonts w:hint="default" w:ascii="Times New Roman" w:hAnsi="Times New Roman" w:cs="Times New Roman"/>
                <w:szCs w:val="21"/>
              </w:rPr>
              <w:t>86290-81-5</w:t>
            </w:r>
          </w:p>
        </w:tc>
        <w:tc>
          <w:tcPr>
            <w:tcW w:w="955" w:type="dxa"/>
            <w:vAlign w:val="center"/>
          </w:tcPr>
          <w:p w14:paraId="46184155">
            <w:pPr>
              <w:widowControl/>
              <w:jc w:val="center"/>
              <w:rPr>
                <w:rFonts w:hint="default" w:ascii="Times New Roman" w:hAnsi="Times New Roman" w:cs="Times New Roman"/>
              </w:rPr>
            </w:pPr>
            <w:r>
              <w:rPr>
                <w:rFonts w:hint="default" w:ascii="Times New Roman" w:hAnsi="Times New Roman" w:cs="Times New Roman"/>
              </w:rPr>
              <w:t>1630</w:t>
            </w:r>
          </w:p>
        </w:tc>
        <w:tc>
          <w:tcPr>
            <w:tcW w:w="1713" w:type="dxa"/>
            <w:vAlign w:val="center"/>
          </w:tcPr>
          <w:p w14:paraId="7E729E24">
            <w:pPr>
              <w:widowControl/>
              <w:rPr>
                <w:rFonts w:hint="default" w:ascii="Times New Roman" w:hAnsi="Times New Roman" w:cs="Times New Roman"/>
                <w:kern w:val="0"/>
                <w:sz w:val="20"/>
              </w:rPr>
            </w:pPr>
            <w:r>
              <w:rPr>
                <w:rFonts w:hint="default" w:ascii="Times New Roman" w:hAnsi="Times New Roman" w:cs="Times New Roman"/>
              </w:rPr>
              <w:t>易燃液体，类别2</w:t>
            </w:r>
            <w:r>
              <w:rPr>
                <w:rFonts w:hint="default" w:ascii="Times New Roman" w:hAnsi="Times New Roman" w:cs="Times New Roman"/>
                <w:kern w:val="0"/>
                <w:sz w:val="20"/>
              </w:rPr>
              <w:t>*</w:t>
            </w:r>
          </w:p>
          <w:p w14:paraId="3AB94261">
            <w:pPr>
              <w:widowControl/>
              <w:rPr>
                <w:rFonts w:hint="default" w:ascii="Times New Roman" w:hAnsi="Times New Roman" w:cs="Times New Roman"/>
                <w:kern w:val="0"/>
                <w:sz w:val="20"/>
              </w:rPr>
            </w:pPr>
            <w:r>
              <w:rPr>
                <w:rFonts w:hint="default" w:ascii="Times New Roman" w:hAnsi="Times New Roman" w:cs="Times New Roman"/>
                <w:kern w:val="0"/>
                <w:sz w:val="20"/>
              </w:rPr>
              <w:t>生殖细胞致突变性,类别1B</w:t>
            </w:r>
          </w:p>
          <w:p w14:paraId="26221AF0">
            <w:pPr>
              <w:widowControl/>
              <w:rPr>
                <w:rFonts w:hint="default" w:ascii="Times New Roman" w:hAnsi="Times New Roman" w:cs="Times New Roman"/>
                <w:kern w:val="0"/>
                <w:sz w:val="20"/>
              </w:rPr>
            </w:pPr>
            <w:r>
              <w:rPr>
                <w:rFonts w:hint="default" w:ascii="Times New Roman" w:hAnsi="Times New Roman" w:cs="Times New Roman"/>
                <w:kern w:val="0"/>
                <w:sz w:val="20"/>
              </w:rPr>
              <w:t>致癌性,类别2</w:t>
            </w:r>
          </w:p>
          <w:p w14:paraId="36CE0B8C">
            <w:pPr>
              <w:widowControl/>
              <w:rPr>
                <w:rFonts w:hint="default" w:ascii="Times New Roman" w:hAnsi="Times New Roman" w:cs="Times New Roman"/>
                <w:kern w:val="0"/>
                <w:sz w:val="20"/>
              </w:rPr>
            </w:pPr>
            <w:r>
              <w:rPr>
                <w:rFonts w:hint="default" w:ascii="Times New Roman" w:hAnsi="Times New Roman" w:cs="Times New Roman"/>
                <w:kern w:val="0"/>
                <w:sz w:val="20"/>
              </w:rPr>
              <w:t>危害水生环境-急性危害,类别2</w:t>
            </w:r>
          </w:p>
          <w:p w14:paraId="45115709">
            <w:pPr>
              <w:rPr>
                <w:rFonts w:hint="default" w:ascii="Times New Roman" w:hAnsi="Times New Roman" w:cs="Times New Roman"/>
              </w:rPr>
            </w:pPr>
            <w:r>
              <w:rPr>
                <w:rFonts w:hint="default" w:ascii="Times New Roman" w:hAnsi="Times New Roman" w:cs="Times New Roman"/>
                <w:kern w:val="0"/>
                <w:sz w:val="20"/>
              </w:rPr>
              <w:t>危害水生环境-长期危害,类别2</w:t>
            </w:r>
          </w:p>
        </w:tc>
        <w:tc>
          <w:tcPr>
            <w:tcW w:w="477" w:type="dxa"/>
            <w:vAlign w:val="center"/>
          </w:tcPr>
          <w:p w14:paraId="381D0C4B">
            <w:pPr>
              <w:jc w:val="center"/>
              <w:rPr>
                <w:rFonts w:hint="default" w:ascii="Times New Roman" w:hAnsi="Times New Roman" w:cs="Times New Roman"/>
              </w:rPr>
            </w:pPr>
            <w:r>
              <w:rPr>
                <w:rFonts w:hint="default" w:ascii="Times New Roman" w:hAnsi="Times New Roman" w:cs="Times New Roman"/>
              </w:rPr>
              <w:t>液态</w:t>
            </w:r>
          </w:p>
        </w:tc>
        <w:tc>
          <w:tcPr>
            <w:tcW w:w="1001" w:type="dxa"/>
            <w:vAlign w:val="center"/>
          </w:tcPr>
          <w:p w14:paraId="22001540">
            <w:pPr>
              <w:ind w:firstLine="220"/>
              <w:jc w:val="center"/>
              <w:rPr>
                <w:rFonts w:hint="default" w:ascii="Times New Roman" w:hAnsi="Times New Roman" w:cs="Times New Roman"/>
                <w:szCs w:val="21"/>
              </w:rPr>
            </w:pPr>
            <w:r>
              <w:rPr>
                <w:rFonts w:hint="default" w:ascii="Times New Roman" w:hAnsi="Times New Roman" w:cs="Times New Roman"/>
                <w:kern w:val="0"/>
                <w:sz w:val="22"/>
                <w:szCs w:val="22"/>
              </w:rPr>
              <w:t>0.70～0.80</w:t>
            </w:r>
          </w:p>
        </w:tc>
        <w:tc>
          <w:tcPr>
            <w:tcW w:w="882" w:type="dxa"/>
            <w:vAlign w:val="center"/>
          </w:tcPr>
          <w:p w14:paraId="297377A1">
            <w:pPr>
              <w:jc w:val="center"/>
              <w:rPr>
                <w:rFonts w:hint="default" w:ascii="Times New Roman" w:hAnsi="Times New Roman" w:cs="Times New Roman"/>
              </w:rPr>
            </w:pPr>
            <w:r>
              <w:rPr>
                <w:rFonts w:hint="default" w:ascii="Times New Roman" w:hAnsi="Times New Roman" w:cs="Times New Roman"/>
              </w:rPr>
              <w:t>30-205</w:t>
            </w:r>
          </w:p>
        </w:tc>
        <w:tc>
          <w:tcPr>
            <w:tcW w:w="881" w:type="dxa"/>
            <w:vAlign w:val="center"/>
          </w:tcPr>
          <w:p w14:paraId="457D9F09">
            <w:pPr>
              <w:jc w:val="center"/>
              <w:rPr>
                <w:rFonts w:hint="default" w:ascii="Times New Roman" w:hAnsi="Times New Roman" w:cs="Times New Roman"/>
              </w:rPr>
            </w:pPr>
            <w:r>
              <w:rPr>
                <w:rFonts w:hint="default" w:ascii="Times New Roman" w:hAnsi="Times New Roman" w:cs="Times New Roman"/>
              </w:rPr>
              <w:t>-75</w:t>
            </w:r>
          </w:p>
        </w:tc>
        <w:tc>
          <w:tcPr>
            <w:tcW w:w="1122" w:type="dxa"/>
            <w:vAlign w:val="center"/>
          </w:tcPr>
          <w:p w14:paraId="3AA65203">
            <w:pPr>
              <w:jc w:val="center"/>
              <w:rPr>
                <w:rFonts w:hint="default" w:ascii="Times New Roman" w:hAnsi="Times New Roman" w:cs="Times New Roman"/>
                <w:szCs w:val="21"/>
              </w:rPr>
            </w:pPr>
            <w:r>
              <w:rPr>
                <w:rFonts w:hint="default" w:ascii="Times New Roman" w:hAnsi="Times New Roman" w:cs="Times New Roman"/>
                <w:szCs w:val="21"/>
              </w:rPr>
              <w:t>-46</w:t>
            </w:r>
          </w:p>
        </w:tc>
        <w:tc>
          <w:tcPr>
            <w:tcW w:w="881" w:type="dxa"/>
            <w:vAlign w:val="center"/>
          </w:tcPr>
          <w:p w14:paraId="07608BC8">
            <w:pPr>
              <w:widowControl/>
              <w:jc w:val="center"/>
              <w:rPr>
                <w:rFonts w:hint="default" w:ascii="Times New Roman" w:hAnsi="Times New Roman" w:cs="Times New Roman"/>
              </w:rPr>
            </w:pPr>
            <w:r>
              <w:rPr>
                <w:rFonts w:hint="default" w:ascii="Times New Roman" w:hAnsi="Times New Roman" w:cs="Times New Roman"/>
              </w:rPr>
              <w:t>415-530</w:t>
            </w:r>
          </w:p>
        </w:tc>
        <w:tc>
          <w:tcPr>
            <w:tcW w:w="1122" w:type="dxa"/>
            <w:vAlign w:val="center"/>
          </w:tcPr>
          <w:p w14:paraId="0AE1D06A">
            <w:pPr>
              <w:jc w:val="center"/>
              <w:rPr>
                <w:rFonts w:hint="default" w:ascii="Times New Roman" w:hAnsi="Times New Roman" w:cs="Times New Roman"/>
                <w:szCs w:val="21"/>
              </w:rPr>
            </w:pPr>
            <w:r>
              <w:rPr>
                <w:rFonts w:hint="default" w:ascii="Times New Roman" w:hAnsi="Times New Roman" w:cs="Times New Roman"/>
                <w:szCs w:val="21"/>
              </w:rPr>
              <w:t>PC-TWA：300mg/m³</w:t>
            </w:r>
          </w:p>
        </w:tc>
        <w:tc>
          <w:tcPr>
            <w:tcW w:w="662" w:type="dxa"/>
            <w:vAlign w:val="center"/>
          </w:tcPr>
          <w:p w14:paraId="7E51305B">
            <w:pPr>
              <w:jc w:val="center"/>
              <w:rPr>
                <w:rFonts w:hint="eastAsia" w:ascii="Times New Roman" w:hAnsi="Times New Roman" w:eastAsia="宋体" w:cs="Times New Roman"/>
                <w:szCs w:val="21"/>
                <w:lang w:val="en-US" w:eastAsia="zh-CN"/>
              </w:rPr>
            </w:pPr>
            <w:r>
              <w:rPr>
                <w:rFonts w:hint="eastAsia" w:cs="Times New Roman"/>
                <w:szCs w:val="21"/>
                <w:lang w:val="en-US" w:eastAsia="zh-CN"/>
              </w:rPr>
              <w:t>轻度</w:t>
            </w:r>
          </w:p>
        </w:tc>
        <w:tc>
          <w:tcPr>
            <w:tcW w:w="1281" w:type="dxa"/>
            <w:vAlign w:val="center"/>
          </w:tcPr>
          <w:p w14:paraId="6317EC7B">
            <w:pPr>
              <w:jc w:val="center"/>
              <w:rPr>
                <w:rFonts w:hint="default" w:ascii="Times New Roman" w:hAnsi="Times New Roman" w:cs="Times New Roman"/>
                <w:szCs w:val="21"/>
              </w:rPr>
            </w:pPr>
            <w:r>
              <w:rPr>
                <w:rFonts w:hint="default" w:ascii="Times New Roman" w:hAnsi="Times New Roman" w:cs="Times New Roman"/>
                <w:szCs w:val="21"/>
              </w:rPr>
              <w:t>1.4~7.6%</w:t>
            </w:r>
          </w:p>
        </w:tc>
        <w:tc>
          <w:tcPr>
            <w:tcW w:w="929" w:type="dxa"/>
            <w:vAlign w:val="center"/>
          </w:tcPr>
          <w:p w14:paraId="692B8E00">
            <w:pPr>
              <w:jc w:val="center"/>
              <w:rPr>
                <w:rFonts w:hint="default" w:ascii="Times New Roman" w:hAnsi="Times New Roman" w:cs="Times New Roman"/>
                <w:szCs w:val="21"/>
              </w:rPr>
            </w:pPr>
            <w:r>
              <w:rPr>
                <w:rFonts w:hint="default" w:ascii="Times New Roman" w:hAnsi="Times New Roman" w:cs="Times New Roman"/>
                <w:szCs w:val="21"/>
              </w:rPr>
              <w:t>甲类</w:t>
            </w:r>
          </w:p>
        </w:tc>
        <w:tc>
          <w:tcPr>
            <w:tcW w:w="743" w:type="dxa"/>
            <w:vAlign w:val="center"/>
          </w:tcPr>
          <w:p w14:paraId="26E3E808">
            <w:pPr>
              <w:jc w:val="center"/>
              <w:rPr>
                <w:rFonts w:hint="default" w:ascii="Times New Roman" w:hAnsi="Times New Roman" w:cs="Times New Roman"/>
                <w:szCs w:val="21"/>
              </w:rPr>
            </w:pPr>
            <w:r>
              <w:rPr>
                <w:rFonts w:hint="default" w:ascii="Times New Roman" w:hAnsi="Times New Roman" w:cs="Times New Roman"/>
                <w:szCs w:val="21"/>
              </w:rPr>
              <w:t>高度易燃液体</w:t>
            </w:r>
          </w:p>
        </w:tc>
      </w:tr>
    </w:tbl>
    <w:p w14:paraId="2E053527">
      <w:pPr>
        <w:rPr>
          <w:rFonts w:hint="default" w:ascii="Times New Roman" w:hAnsi="Times New Roman" w:cs="Times New Roman"/>
        </w:rPr>
      </w:pPr>
    </w:p>
    <w:p w14:paraId="2EDF4616">
      <w:pPr>
        <w:pStyle w:val="5"/>
        <w:rPr>
          <w:rFonts w:hint="default" w:ascii="Times New Roman" w:hAnsi="Times New Roman" w:cs="Times New Roman"/>
        </w:rPr>
      </w:pPr>
    </w:p>
    <w:p w14:paraId="2D314995">
      <w:pPr>
        <w:rPr>
          <w:rFonts w:hint="default" w:ascii="Times New Roman" w:hAnsi="Times New Roman" w:cs="Times New Roman"/>
        </w:rPr>
        <w:sectPr>
          <w:footerReference r:id="rId9" w:type="default"/>
          <w:pgSz w:w="16838" w:h="11906" w:orient="landscape"/>
          <w:pgMar w:top="1588" w:right="1418" w:bottom="1134" w:left="1134"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289A853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bookmarkStart w:id="159" w:name="_Toc41246693"/>
      <w:bookmarkStart w:id="160" w:name="_Toc410311960"/>
      <w:bookmarkStart w:id="161" w:name="_Toc410311883"/>
      <w:bookmarkStart w:id="162" w:name="_Toc29772"/>
      <w:r>
        <w:rPr>
          <w:rFonts w:hint="default" w:ascii="Times New Roman" w:hAnsi="Times New Roman" w:cs="Times New Roman"/>
          <w:sz w:val="28"/>
          <w:szCs w:val="28"/>
          <w:lang w:val="en-US" w:eastAsia="zh-CN"/>
        </w:rPr>
        <w:t>该项目所涉及的危险化学品理化性能指标、危险特性、储存注意事项、泄漏应急处理、健康危害和应急处理等数据见附件3。</w:t>
      </w:r>
    </w:p>
    <w:p w14:paraId="3E0F4DB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根据《国家安全监管总局关于公布首批重点监管的危险化学品名录的通知》（国家安全生产监督管理总局 安监总管三〔2011〕95号）、《国家安全监管总局关于公布第二批重点监管危险化学品名录的通知》（国家安全生产监督管理总局 安监总管三〔2013〕12号），该项目中</w:t>
      </w:r>
      <w:r>
        <w:rPr>
          <w:rFonts w:hint="eastAsia" w:cs="Times New Roman"/>
          <w:sz w:val="28"/>
          <w:szCs w:val="28"/>
          <w:lang w:val="en-US" w:eastAsia="zh-CN"/>
        </w:rPr>
        <w:t>乙醇汽油</w:t>
      </w:r>
      <w:r>
        <w:rPr>
          <w:rFonts w:hint="default" w:ascii="Times New Roman" w:hAnsi="Times New Roman" w:cs="Times New Roman"/>
          <w:sz w:val="28"/>
          <w:szCs w:val="28"/>
          <w:lang w:val="en-US" w:eastAsia="zh-CN"/>
        </w:rPr>
        <w:t>为重点监管危险化学品。</w:t>
      </w:r>
    </w:p>
    <w:p w14:paraId="4ACA7D7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cs="Times New Roman"/>
          <w:sz w:val="28"/>
          <w:szCs w:val="28"/>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r>
        <w:rPr>
          <w:rFonts w:hint="default" w:ascii="Times New Roman" w:hAnsi="Times New Roman" w:cs="Times New Roman"/>
          <w:sz w:val="28"/>
          <w:szCs w:val="28"/>
          <w:lang w:val="en-US" w:eastAsia="zh-CN"/>
        </w:rPr>
        <w:t>根据《特别管控危险化学品目录（第一版）》（应急管理部等四部门公告〔2020〕1号），乙醇汽油为特别管控危险化学</w:t>
      </w:r>
      <w:r>
        <w:rPr>
          <w:rFonts w:hint="eastAsia" w:ascii="Times New Roman" w:hAnsi="Times New Roman" w:cs="Times New Roman"/>
          <w:sz w:val="28"/>
          <w:szCs w:val="28"/>
          <w:lang w:val="en-US" w:eastAsia="zh-CN"/>
        </w:rPr>
        <w:t>品。</w:t>
      </w:r>
    </w:p>
    <w:p w14:paraId="421F9DB9">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163" w:name="_Toc31965"/>
      <w:r>
        <w:rPr>
          <w:rFonts w:hint="default" w:ascii="Times New Roman" w:hAnsi="Times New Roman" w:eastAsia="黑体" w:cs="Times New Roman"/>
          <w:b/>
          <w:bCs w:val="0"/>
          <w:kern w:val="32"/>
          <w:sz w:val="32"/>
          <w:szCs w:val="32"/>
          <w:lang w:val="en-US" w:eastAsia="zh-CN"/>
        </w:rPr>
        <w:t>4危险化学品包装、储存、运输的技术要求</w:t>
      </w:r>
      <w:bookmarkEnd w:id="159"/>
      <w:bookmarkEnd w:id="160"/>
      <w:bookmarkEnd w:id="161"/>
      <w:bookmarkEnd w:id="162"/>
      <w:bookmarkEnd w:id="163"/>
    </w:p>
    <w:p w14:paraId="1C19E56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根据《化学品分类和标签规范》、《危险货物运输包装类别划分方法》，并查阅《危险化学品安全技术全书》、《新编危险物品安全手册》等资料，对本项目储存经营过程中涉及危险化学品</w:t>
      </w:r>
      <w:r>
        <w:rPr>
          <w:rFonts w:hint="eastAsia" w:cs="Times New Roman"/>
          <w:sz w:val="28"/>
          <w:szCs w:val="28"/>
          <w:lang w:val="en-US" w:eastAsia="zh-CN"/>
        </w:rPr>
        <w:t>乙醇汽油</w:t>
      </w:r>
      <w:r>
        <w:rPr>
          <w:rFonts w:hint="default" w:ascii="Times New Roman" w:hAnsi="Times New Roman" w:cs="Times New Roman"/>
          <w:sz w:val="28"/>
          <w:szCs w:val="28"/>
          <w:lang w:val="en-US" w:eastAsia="zh-CN"/>
        </w:rPr>
        <w:t>、柴油包装、储存、运输技术要求的分析结果，见表4-1。</w:t>
      </w:r>
    </w:p>
    <w:p w14:paraId="1D17D2C3">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表4-1 危险化学品储存、运输技术要求</w:t>
      </w:r>
    </w:p>
    <w:tbl>
      <w:tblPr>
        <w:tblStyle w:val="13"/>
        <w:tblpPr w:leftFromText="180" w:rightFromText="180" w:vertAnchor="text" w:tblpXSpec="center" w:tblpY="1"/>
        <w:tblOverlap w:val="never"/>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616"/>
        <w:gridCol w:w="7784"/>
      </w:tblGrid>
      <w:tr w14:paraId="52C6BCA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9426" w:type="dxa"/>
            <w:gridSpan w:val="2"/>
          </w:tcPr>
          <w:p w14:paraId="22AD1A22">
            <w:pPr>
              <w:ind w:firstLine="215"/>
              <w:rPr>
                <w:rFonts w:hint="eastAsia" w:ascii="Times New Roman" w:hAnsi="Times New Roman" w:eastAsia="宋体" w:cs="Times New Roman"/>
                <w:b/>
                <w:spacing w:val="2"/>
                <w:kern w:val="0"/>
                <w:szCs w:val="21"/>
                <w:lang w:eastAsia="zh-CN"/>
              </w:rPr>
            </w:pPr>
            <w:r>
              <w:rPr>
                <w:rFonts w:hint="default" w:ascii="Times New Roman" w:hAnsi="Times New Roman" w:cs="Times New Roman"/>
                <w:b w:val="0"/>
                <w:bCs/>
                <w:spacing w:val="2"/>
                <w:kern w:val="0"/>
                <w:szCs w:val="21"/>
              </w:rPr>
              <w:t>一、</w:t>
            </w:r>
            <w:r>
              <w:rPr>
                <w:rFonts w:hint="eastAsia" w:cs="Times New Roman"/>
                <w:b w:val="0"/>
                <w:bCs/>
                <w:spacing w:val="2"/>
                <w:kern w:val="0"/>
                <w:szCs w:val="21"/>
                <w:lang w:eastAsia="zh-CN"/>
              </w:rPr>
              <w:t>乙醇汽油</w:t>
            </w:r>
          </w:p>
        </w:tc>
      </w:tr>
      <w:tr w14:paraId="18D902C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2F997803">
            <w:pPr>
              <w:jc w:val="center"/>
              <w:rPr>
                <w:rFonts w:hint="default" w:ascii="Times New Roman" w:hAnsi="Times New Roman" w:cs="Times New Roman"/>
                <w:szCs w:val="21"/>
              </w:rPr>
            </w:pPr>
            <w:r>
              <w:rPr>
                <w:rFonts w:hint="default" w:ascii="Times New Roman" w:hAnsi="Times New Roman" w:cs="Times New Roman"/>
                <w:szCs w:val="21"/>
              </w:rPr>
              <w:t>包装类别</w:t>
            </w:r>
          </w:p>
        </w:tc>
        <w:tc>
          <w:tcPr>
            <w:tcW w:w="7806" w:type="dxa"/>
          </w:tcPr>
          <w:p w14:paraId="51B8D3B9">
            <w:pPr>
              <w:rPr>
                <w:rFonts w:hint="default" w:ascii="Times New Roman" w:hAnsi="Times New Roman" w:cs="Times New Roman"/>
                <w:szCs w:val="21"/>
              </w:rPr>
            </w:pPr>
            <w:r>
              <w:rPr>
                <w:rFonts w:hint="default" w:ascii="Times New Roman" w:hAnsi="Times New Roman" w:cs="Times New Roman"/>
                <w:szCs w:val="21"/>
              </w:rPr>
              <w:t>Ⅱ类</w:t>
            </w:r>
          </w:p>
        </w:tc>
      </w:tr>
      <w:tr w14:paraId="538A81A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05A0C7AA">
            <w:pPr>
              <w:jc w:val="center"/>
              <w:rPr>
                <w:rFonts w:hint="default" w:ascii="Times New Roman" w:hAnsi="Times New Roman" w:cs="Times New Roman"/>
                <w:szCs w:val="21"/>
              </w:rPr>
            </w:pPr>
            <w:r>
              <w:rPr>
                <w:rFonts w:hint="default" w:ascii="Times New Roman" w:hAnsi="Times New Roman" w:cs="Times New Roman"/>
                <w:szCs w:val="21"/>
              </w:rPr>
              <w:t>危险标志</w:t>
            </w:r>
          </w:p>
        </w:tc>
        <w:tc>
          <w:tcPr>
            <w:tcW w:w="7806" w:type="dxa"/>
          </w:tcPr>
          <w:p w14:paraId="012CAE38">
            <w:pPr>
              <w:rPr>
                <w:rFonts w:hint="default" w:ascii="Times New Roman" w:hAnsi="Times New Roman" w:cs="Times New Roman"/>
                <w:szCs w:val="21"/>
              </w:rPr>
            </w:pPr>
            <w:r>
              <w:rPr>
                <w:rFonts w:hint="default" w:ascii="Times New Roman" w:hAnsi="Times New Roman" w:cs="Times New Roman"/>
                <w:szCs w:val="21"/>
              </w:rPr>
              <w:t>易燃液体</w:t>
            </w:r>
          </w:p>
        </w:tc>
      </w:tr>
      <w:tr w14:paraId="141AD4B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466D4ACC">
            <w:pPr>
              <w:jc w:val="center"/>
              <w:rPr>
                <w:rFonts w:hint="default" w:ascii="Times New Roman" w:hAnsi="Times New Roman" w:cs="Times New Roman"/>
                <w:szCs w:val="21"/>
              </w:rPr>
            </w:pPr>
            <w:r>
              <w:rPr>
                <w:rFonts w:hint="default" w:ascii="Times New Roman" w:hAnsi="Times New Roman" w:cs="Times New Roman"/>
                <w:szCs w:val="21"/>
              </w:rPr>
              <w:t>包装方法</w:t>
            </w:r>
          </w:p>
        </w:tc>
        <w:tc>
          <w:tcPr>
            <w:tcW w:w="7806" w:type="dxa"/>
          </w:tcPr>
          <w:p w14:paraId="63E4E351">
            <w:pPr>
              <w:rPr>
                <w:rFonts w:hint="default" w:ascii="Times New Roman" w:hAnsi="Times New Roman" w:cs="Times New Roman"/>
                <w:szCs w:val="21"/>
              </w:rPr>
            </w:pPr>
            <w:r>
              <w:rPr>
                <w:rFonts w:hint="default" w:ascii="Times New Roman" w:hAnsi="Times New Roman" w:cs="Times New Roman"/>
                <w:szCs w:val="21"/>
              </w:rPr>
              <w:t>罐装</w:t>
            </w:r>
          </w:p>
        </w:tc>
      </w:tr>
      <w:tr w14:paraId="404192F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396047B1">
            <w:pPr>
              <w:jc w:val="center"/>
              <w:rPr>
                <w:rFonts w:hint="default" w:ascii="Times New Roman" w:hAnsi="Times New Roman" w:cs="Times New Roman"/>
                <w:szCs w:val="21"/>
              </w:rPr>
            </w:pPr>
            <w:r>
              <w:rPr>
                <w:rFonts w:hint="default" w:ascii="Times New Roman" w:hAnsi="Times New Roman" w:cs="Times New Roman"/>
                <w:szCs w:val="21"/>
              </w:rPr>
              <w:t>储存、运输技术要求</w:t>
            </w:r>
          </w:p>
        </w:tc>
        <w:tc>
          <w:tcPr>
            <w:tcW w:w="7806" w:type="dxa"/>
          </w:tcPr>
          <w:p w14:paraId="78D6C61A">
            <w:pPr>
              <w:pStyle w:val="23"/>
              <w:widowControl w:val="0"/>
              <w:spacing w:before="0" w:beforeAutospacing="0" w:after="0" w:afterAutospacing="0" w:line="240" w:lineRule="auto"/>
              <w:jc w:val="both"/>
              <w:rPr>
                <w:rFonts w:hint="default" w:ascii="Times New Roman" w:hAnsi="Times New Roman" w:cs="Times New Roman"/>
                <w:sz w:val="21"/>
                <w:szCs w:val="21"/>
              </w:rPr>
            </w:pPr>
            <w:r>
              <w:rPr>
                <w:rFonts w:hint="default" w:ascii="Times New Roman" w:hAnsi="Times New Roman" w:cs="Times New Roman"/>
                <w:sz w:val="21"/>
                <w:szCs w:val="21"/>
              </w:rPr>
              <w:t>1、储存安全</w:t>
            </w:r>
          </w:p>
          <w:p w14:paraId="110223E0">
            <w:pPr>
              <w:pStyle w:val="23"/>
              <w:widowControl w:val="0"/>
              <w:spacing w:before="0" w:beforeAutospacing="0" w:after="0" w:afterAutospacing="0" w:line="240" w:lineRule="auto"/>
              <w:jc w:val="both"/>
              <w:rPr>
                <w:rStyle w:val="24"/>
                <w:rFonts w:hint="default" w:ascii="Times New Roman" w:hAnsi="Times New Roman" w:cs="Times New Roman"/>
                <w:b/>
                <w:sz w:val="21"/>
                <w:szCs w:val="21"/>
              </w:rPr>
            </w:pPr>
            <w:r>
              <w:rPr>
                <w:rStyle w:val="24"/>
                <w:rFonts w:hint="default" w:ascii="Times New Roman" w:hAnsi="Times New Roman" w:cs="Times New Roman"/>
                <w:sz w:val="21"/>
                <w:szCs w:val="21"/>
              </w:rPr>
              <w:t>（1）远离火种、热源。炎热季节应采取喷淋、通风等降温措施。</w:t>
            </w:r>
          </w:p>
          <w:p w14:paraId="0CDD0E95">
            <w:pPr>
              <w:pStyle w:val="12"/>
              <w:spacing w:before="0" w:beforeAutospacing="0" w:after="0" w:afterAutospacing="0"/>
              <w:rPr>
                <w:rStyle w:val="24"/>
                <w:rFonts w:hint="default" w:ascii="Times New Roman" w:hAnsi="Times New Roman" w:cs="Times New Roman"/>
                <w:sz w:val="21"/>
                <w:szCs w:val="21"/>
              </w:rPr>
            </w:pPr>
            <w:r>
              <w:rPr>
                <w:rStyle w:val="24"/>
                <w:rFonts w:hint="default" w:ascii="Times New Roman" w:hAnsi="Times New Roman" w:cs="Times New Roman"/>
                <w:sz w:val="21"/>
                <w:szCs w:val="21"/>
              </w:rPr>
              <w:t>（2）应与氧化剂分开存放，切忌混储。用储罐、铁桶等容器盛装，不要用塑料桶来存放</w:t>
            </w:r>
            <w:r>
              <w:rPr>
                <w:rStyle w:val="24"/>
                <w:rFonts w:hint="eastAsia" w:ascii="Times New Roman" w:hAnsi="Times New Roman" w:cs="Times New Roman"/>
                <w:sz w:val="21"/>
                <w:szCs w:val="21"/>
                <w:lang w:eastAsia="zh-CN"/>
              </w:rPr>
              <w:t>乙醇汽油</w:t>
            </w:r>
            <w:r>
              <w:rPr>
                <w:rStyle w:val="24"/>
                <w:rFonts w:hint="default" w:ascii="Times New Roman" w:hAnsi="Times New Roman" w:cs="Times New Roman"/>
                <w:sz w:val="21"/>
                <w:szCs w:val="21"/>
              </w:rPr>
              <w:t>。盛装时，切不可充满，要留出必要的安全空间。</w:t>
            </w:r>
          </w:p>
          <w:p w14:paraId="2CF1FE92">
            <w:pPr>
              <w:pStyle w:val="12"/>
              <w:spacing w:before="0" w:beforeAutospacing="0" w:after="0" w:afterAutospacing="0"/>
              <w:rPr>
                <w:rStyle w:val="24"/>
                <w:rFonts w:hint="default" w:ascii="Times New Roman" w:hAnsi="Times New Roman" w:cs="Times New Roman"/>
                <w:sz w:val="21"/>
                <w:szCs w:val="21"/>
              </w:rPr>
            </w:pPr>
            <w:r>
              <w:rPr>
                <w:rStyle w:val="24"/>
                <w:rFonts w:hint="default" w:ascii="Times New Roman" w:hAnsi="Times New Roman" w:cs="Times New Roman"/>
                <w:sz w:val="21"/>
                <w:szCs w:val="21"/>
              </w:rPr>
              <w:t>（3）采用防爆型照明、通风设施。禁止使用易产生火花的机械设备和工具。储存区应备有泄漏应急处理设备和合适的收容材料。罐储时要有防火防爆技术措施。</w:t>
            </w:r>
          </w:p>
          <w:p w14:paraId="723B2D90">
            <w:pPr>
              <w:rPr>
                <w:rFonts w:hint="default" w:ascii="Times New Roman" w:hAnsi="Times New Roman" w:cs="Times New Roman"/>
                <w:b/>
                <w:kern w:val="0"/>
                <w:szCs w:val="21"/>
              </w:rPr>
            </w:pPr>
            <w:r>
              <w:rPr>
                <w:rFonts w:hint="default" w:ascii="Times New Roman" w:hAnsi="Times New Roman" w:cs="Times New Roman"/>
                <w:kern w:val="0"/>
                <w:szCs w:val="21"/>
              </w:rPr>
              <w:t>2、运输安全</w:t>
            </w:r>
          </w:p>
          <w:p w14:paraId="16ED8C30">
            <w:pPr>
              <w:pStyle w:val="12"/>
              <w:spacing w:before="0" w:beforeAutospacing="0" w:after="0" w:afterAutospacing="0"/>
              <w:rPr>
                <w:rStyle w:val="24"/>
                <w:rFonts w:hint="default" w:ascii="Times New Roman" w:hAnsi="Times New Roman" w:cs="Times New Roman"/>
                <w:sz w:val="21"/>
                <w:szCs w:val="21"/>
              </w:rPr>
            </w:pPr>
            <w:r>
              <w:rPr>
                <w:rStyle w:val="24"/>
                <w:rFonts w:hint="default" w:ascii="Times New Roman" w:hAnsi="Times New Roman" w:cs="Times New Roman"/>
                <w:sz w:val="21"/>
                <w:szCs w:val="21"/>
              </w:rPr>
              <w:t>（1）运输车辆应有危险货物运输标志、安装具有行驶记录功能的卫星定位装置。未经公安机关批准，运输车辆不得进入危险化学品运输车辆限制通行的区域。</w:t>
            </w:r>
          </w:p>
          <w:p w14:paraId="38B2E804">
            <w:pPr>
              <w:pStyle w:val="12"/>
              <w:spacing w:before="0" w:beforeAutospacing="0" w:after="0" w:afterAutospacing="0"/>
              <w:rPr>
                <w:rStyle w:val="24"/>
                <w:rFonts w:hint="default" w:ascii="Times New Roman" w:hAnsi="Times New Roman" w:cs="Times New Roman"/>
                <w:sz w:val="21"/>
                <w:szCs w:val="21"/>
              </w:rPr>
            </w:pPr>
            <w:r>
              <w:rPr>
                <w:rStyle w:val="24"/>
                <w:rFonts w:hint="default" w:ascii="Times New Roman" w:hAnsi="Times New Roman" w:cs="Times New Roman"/>
                <w:sz w:val="21"/>
                <w:szCs w:val="21"/>
              </w:rPr>
              <w:t>（2）</w:t>
            </w:r>
            <w:r>
              <w:rPr>
                <w:rStyle w:val="24"/>
                <w:rFonts w:hint="eastAsia" w:ascii="Times New Roman" w:hAnsi="Times New Roman" w:cs="Times New Roman"/>
                <w:sz w:val="21"/>
                <w:szCs w:val="21"/>
                <w:lang w:eastAsia="zh-CN"/>
              </w:rPr>
              <w:t>乙醇汽油</w:t>
            </w:r>
            <w:r>
              <w:rPr>
                <w:rStyle w:val="24"/>
                <w:rFonts w:hint="default" w:ascii="Times New Roman" w:hAnsi="Times New Roman" w:cs="Times New Roman"/>
                <w:sz w:val="21"/>
                <w:szCs w:val="21"/>
              </w:rPr>
              <w:t>装于专用的槽车(船)内运输，槽车(船)应定期清理；用其他包装容器运输时，容器须用盖密封。运送</w:t>
            </w:r>
            <w:r>
              <w:rPr>
                <w:rStyle w:val="24"/>
                <w:rFonts w:hint="eastAsia" w:ascii="Times New Roman" w:hAnsi="Times New Roman" w:cs="Times New Roman"/>
                <w:sz w:val="21"/>
                <w:szCs w:val="21"/>
                <w:lang w:eastAsia="zh-CN"/>
              </w:rPr>
              <w:t>乙醇汽油</w:t>
            </w:r>
            <w:r>
              <w:rPr>
                <w:rStyle w:val="24"/>
                <w:rFonts w:hint="default" w:ascii="Times New Roman" w:hAnsi="Times New Roman" w:cs="Times New Roman"/>
                <w:sz w:val="21"/>
                <w:szCs w:val="21"/>
              </w:rPr>
              <w:t>的油罐汽车，必须有导静电拖线。对有每分钟0.5m</w:t>
            </w:r>
            <w:r>
              <w:rPr>
                <w:rStyle w:val="24"/>
                <w:rFonts w:hint="default" w:ascii="Times New Roman" w:hAnsi="Times New Roman" w:cs="Times New Roman"/>
                <w:sz w:val="21"/>
                <w:szCs w:val="21"/>
                <w:vertAlign w:val="superscript"/>
              </w:rPr>
              <w:t>3</w:t>
            </w:r>
            <w:r>
              <w:rPr>
                <w:rStyle w:val="24"/>
                <w:rFonts w:hint="default" w:ascii="Times New Roman" w:hAnsi="Times New Roman" w:cs="Times New Roman"/>
                <w:sz w:val="21"/>
                <w:szCs w:val="21"/>
              </w:rPr>
              <w:t>以上的快速装卸油设备的油罐汽车，在装卸油时，除了保证铁链接地外，更要将车上油罐的接地线插入地下并不得浅于100mm。运输时运输车辆应配备相应品种和数量的消防器材。装运该物品的车辆排气管必须配备阻火装置，禁止使用易产生火花的机械设备和工具装卸。汽车槽罐内可设孔隔板以减少震荡产生静电。</w:t>
            </w:r>
          </w:p>
          <w:p w14:paraId="7A0B7755">
            <w:pPr>
              <w:pStyle w:val="12"/>
              <w:spacing w:before="0" w:beforeAutospacing="0" w:after="0" w:afterAutospacing="0"/>
              <w:rPr>
                <w:rFonts w:hint="default" w:ascii="Times New Roman" w:hAnsi="Times New Roman" w:cs="Times New Roman"/>
                <w:sz w:val="21"/>
                <w:szCs w:val="21"/>
              </w:rPr>
            </w:pPr>
            <w:r>
              <w:rPr>
                <w:rStyle w:val="24"/>
                <w:rFonts w:hint="default" w:ascii="Times New Roman" w:hAnsi="Times New Roman" w:cs="Times New Roman"/>
                <w:sz w:val="21"/>
                <w:szCs w:val="21"/>
              </w:rPr>
              <w:t>（3）严禁与氧化剂等混装混运。夏季最好早晚运输，运输途中应防曝晒、防雨淋、防高温。中途停留时应远离火种、热源、高温区及人口密集地段。</w:t>
            </w:r>
          </w:p>
        </w:tc>
      </w:tr>
      <w:tr w14:paraId="66B49BD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9426" w:type="dxa"/>
            <w:gridSpan w:val="2"/>
          </w:tcPr>
          <w:p w14:paraId="2112B5FC">
            <w:pPr>
              <w:ind w:firstLine="215"/>
              <w:rPr>
                <w:rFonts w:hint="default" w:ascii="Times New Roman" w:hAnsi="Times New Roman" w:cs="Times New Roman"/>
                <w:b/>
                <w:spacing w:val="2"/>
                <w:kern w:val="0"/>
                <w:szCs w:val="21"/>
              </w:rPr>
            </w:pPr>
            <w:r>
              <w:rPr>
                <w:rFonts w:hint="default" w:ascii="Times New Roman" w:hAnsi="Times New Roman" w:cs="Times New Roman"/>
                <w:b w:val="0"/>
                <w:bCs/>
                <w:spacing w:val="2"/>
                <w:kern w:val="0"/>
                <w:szCs w:val="21"/>
              </w:rPr>
              <w:t>二、柴油</w:t>
            </w:r>
          </w:p>
        </w:tc>
      </w:tr>
      <w:tr w14:paraId="4B8AAED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086C251A">
            <w:pPr>
              <w:jc w:val="center"/>
              <w:rPr>
                <w:rFonts w:hint="default" w:ascii="Times New Roman" w:hAnsi="Times New Roman" w:cs="Times New Roman"/>
                <w:szCs w:val="21"/>
              </w:rPr>
            </w:pPr>
            <w:r>
              <w:rPr>
                <w:rFonts w:hint="default" w:ascii="Times New Roman" w:hAnsi="Times New Roman" w:cs="Times New Roman"/>
                <w:szCs w:val="21"/>
              </w:rPr>
              <w:t>包装类别</w:t>
            </w:r>
          </w:p>
        </w:tc>
        <w:tc>
          <w:tcPr>
            <w:tcW w:w="7806" w:type="dxa"/>
          </w:tcPr>
          <w:p w14:paraId="62437F9D">
            <w:pPr>
              <w:rPr>
                <w:rFonts w:hint="default" w:ascii="Times New Roman" w:hAnsi="Times New Roman" w:cs="Times New Roman"/>
                <w:szCs w:val="21"/>
              </w:rPr>
            </w:pPr>
            <w:r>
              <w:rPr>
                <w:rFonts w:hint="default" w:ascii="Times New Roman" w:hAnsi="Times New Roman" w:cs="Times New Roman"/>
                <w:szCs w:val="21"/>
              </w:rPr>
              <w:t>Ⅲ类</w:t>
            </w:r>
          </w:p>
        </w:tc>
      </w:tr>
      <w:tr w14:paraId="4A04526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192476BD">
            <w:pPr>
              <w:jc w:val="center"/>
              <w:rPr>
                <w:rFonts w:hint="default" w:ascii="Times New Roman" w:hAnsi="Times New Roman" w:cs="Times New Roman"/>
                <w:szCs w:val="21"/>
              </w:rPr>
            </w:pPr>
            <w:r>
              <w:rPr>
                <w:rFonts w:hint="default" w:ascii="Times New Roman" w:hAnsi="Times New Roman" w:cs="Times New Roman"/>
                <w:szCs w:val="21"/>
              </w:rPr>
              <w:t>危险标志</w:t>
            </w:r>
          </w:p>
        </w:tc>
        <w:tc>
          <w:tcPr>
            <w:tcW w:w="7806" w:type="dxa"/>
          </w:tcPr>
          <w:p w14:paraId="28ED3BF5">
            <w:pPr>
              <w:rPr>
                <w:rFonts w:hint="default" w:ascii="Times New Roman" w:hAnsi="Times New Roman" w:cs="Times New Roman"/>
                <w:szCs w:val="21"/>
              </w:rPr>
            </w:pPr>
            <w:r>
              <w:rPr>
                <w:rFonts w:hint="default" w:ascii="Times New Roman" w:hAnsi="Times New Roman" w:cs="Times New Roman"/>
                <w:szCs w:val="21"/>
              </w:rPr>
              <w:t>易燃液体</w:t>
            </w:r>
          </w:p>
        </w:tc>
      </w:tr>
      <w:tr w14:paraId="66CD3F2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3DB4D4F2">
            <w:pPr>
              <w:jc w:val="center"/>
              <w:rPr>
                <w:rFonts w:hint="default" w:ascii="Times New Roman" w:hAnsi="Times New Roman" w:cs="Times New Roman"/>
                <w:szCs w:val="21"/>
              </w:rPr>
            </w:pPr>
            <w:r>
              <w:rPr>
                <w:rFonts w:hint="default" w:ascii="Times New Roman" w:hAnsi="Times New Roman" w:cs="Times New Roman"/>
                <w:szCs w:val="21"/>
              </w:rPr>
              <w:t>包装方法</w:t>
            </w:r>
          </w:p>
        </w:tc>
        <w:tc>
          <w:tcPr>
            <w:tcW w:w="7806" w:type="dxa"/>
          </w:tcPr>
          <w:p w14:paraId="2440E22C">
            <w:pPr>
              <w:rPr>
                <w:rFonts w:hint="default" w:ascii="Times New Roman" w:hAnsi="Times New Roman" w:cs="Times New Roman"/>
                <w:szCs w:val="21"/>
              </w:rPr>
            </w:pPr>
            <w:r>
              <w:rPr>
                <w:rFonts w:hint="default" w:ascii="Times New Roman" w:hAnsi="Times New Roman" w:cs="Times New Roman"/>
                <w:szCs w:val="21"/>
              </w:rPr>
              <w:t>罐装</w:t>
            </w:r>
          </w:p>
        </w:tc>
      </w:tr>
      <w:tr w14:paraId="56F4755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jc w:val="center"/>
        </w:trPr>
        <w:tc>
          <w:tcPr>
            <w:tcW w:w="1620" w:type="dxa"/>
            <w:vAlign w:val="center"/>
          </w:tcPr>
          <w:p w14:paraId="4AFE56C9">
            <w:pPr>
              <w:jc w:val="center"/>
              <w:rPr>
                <w:rFonts w:hint="default" w:ascii="Times New Roman" w:hAnsi="Times New Roman" w:cs="Times New Roman"/>
                <w:szCs w:val="21"/>
              </w:rPr>
            </w:pPr>
            <w:r>
              <w:rPr>
                <w:rFonts w:hint="default" w:ascii="Times New Roman" w:hAnsi="Times New Roman" w:cs="Times New Roman"/>
                <w:szCs w:val="21"/>
              </w:rPr>
              <w:t>储存、运输技术要求</w:t>
            </w:r>
          </w:p>
        </w:tc>
        <w:tc>
          <w:tcPr>
            <w:tcW w:w="7806" w:type="dxa"/>
          </w:tcPr>
          <w:p w14:paraId="13C07F48">
            <w:pPr>
              <w:pStyle w:val="23"/>
              <w:widowControl w:val="0"/>
              <w:spacing w:before="0" w:beforeAutospacing="0" w:after="0" w:afterAutospacing="0" w:line="240" w:lineRule="auto"/>
              <w:jc w:val="both"/>
              <w:rPr>
                <w:rFonts w:hint="default" w:ascii="Times New Roman" w:hAnsi="Times New Roman" w:cs="Times New Roman"/>
                <w:sz w:val="21"/>
                <w:szCs w:val="21"/>
              </w:rPr>
            </w:pPr>
            <w:r>
              <w:rPr>
                <w:rFonts w:hint="default" w:ascii="Times New Roman" w:hAnsi="Times New Roman" w:cs="Times New Roman"/>
                <w:sz w:val="21"/>
                <w:szCs w:val="21"/>
              </w:rPr>
              <w:t>1、储存安全</w:t>
            </w:r>
          </w:p>
          <w:p w14:paraId="3FE44746">
            <w:pPr>
              <w:rPr>
                <w:rFonts w:hint="default" w:ascii="Times New Roman" w:hAnsi="Times New Roman" w:cs="Times New Roman"/>
                <w:szCs w:val="21"/>
              </w:rPr>
            </w:pPr>
            <w:r>
              <w:rPr>
                <w:rFonts w:hint="default" w:ascii="Times New Roman" w:hAnsi="Times New Roman" w:cs="Times New Roman"/>
                <w:szCs w:val="21"/>
              </w:rPr>
              <w:t>远离火种、热源。应与氧化剂、卤素分开存放，切忌混储。采用防爆型照明、通风设施。禁止使用易产生火花的机械设备和工具。储区应备有泄漏应急处理设备和合适的收容材料。</w:t>
            </w:r>
          </w:p>
          <w:p w14:paraId="5FE67FAA">
            <w:pPr>
              <w:rPr>
                <w:rFonts w:hint="default" w:ascii="Times New Roman" w:hAnsi="Times New Roman" w:cs="Times New Roman"/>
                <w:szCs w:val="21"/>
              </w:rPr>
            </w:pPr>
            <w:r>
              <w:rPr>
                <w:rFonts w:hint="default" w:ascii="Times New Roman" w:hAnsi="Times New Roman" w:cs="Times New Roman"/>
                <w:szCs w:val="21"/>
              </w:rPr>
              <w:t>2、运输安全</w:t>
            </w:r>
          </w:p>
          <w:p w14:paraId="185B0DBC">
            <w:pPr>
              <w:pStyle w:val="5"/>
              <w:spacing w:line="240" w:lineRule="auto"/>
              <w:ind w:firstLine="420"/>
              <w:rPr>
                <w:rFonts w:hint="default" w:ascii="Times New Roman" w:hAnsi="Times New Roman" w:cs="Times New Roman"/>
                <w:sz w:val="21"/>
                <w:szCs w:val="21"/>
              </w:rPr>
            </w:pPr>
            <w:r>
              <w:rPr>
                <w:rFonts w:hint="default" w:ascii="Times New Roman" w:hAnsi="Times New Roman" w:cs="Times New Roman"/>
                <w:sz w:val="21"/>
                <w:szCs w:val="21"/>
              </w:rPr>
              <w:t>运输前应先检查包装容器是否完整、密封，运输过程中要确保容器不泄漏、不倒塌、不坠落、不损坏。运输时运输车辆应配备相应品种和数量的消防器材及泄漏应急处理设备。夏季最好早晚运输。运输时所用的槽（罐）车应有接地链，槽内可设孔隔板以减少震荡产生静电。严禁与氧化剂、卤素、食用化学品等混装混运。运输途中应防曝晒、雨淋，防高温。中途停留时应远离火种、热源、高温区。装运该物品的车辆排气管必须配备阻火装置，禁止使用易产生火花的机械设备和工具装卸。运输车船必须彻底清洗、消毒，否则不得装运其它物品。船运时，配装位置应远离卧室、厨房，并与机舱、电源、火源等部位隔离。公路运输时要按规定路线行驶。</w:t>
            </w:r>
          </w:p>
        </w:tc>
      </w:tr>
    </w:tbl>
    <w:p w14:paraId="6F3DBB53">
      <w:pPr>
        <w:pStyle w:val="5"/>
        <w:rPr>
          <w:rFonts w:hint="default" w:ascii="Times New Roman" w:hAnsi="Times New Roman" w:cs="Times New Roman"/>
        </w:rPr>
      </w:pPr>
    </w:p>
    <w:p w14:paraId="25066C7B">
      <w:pPr>
        <w:rPr>
          <w:rFonts w:hint="default" w:ascii="Times New Roman" w:hAnsi="Times New Roman" w:cs="Times New Roman"/>
        </w:rPr>
      </w:pPr>
    </w:p>
    <w:p w14:paraId="597684C1">
      <w:pPr>
        <w:pStyle w:val="5"/>
        <w:rPr>
          <w:rFonts w:hint="default" w:ascii="Times New Roman" w:hAnsi="Times New Roman" w:cs="Times New Roman"/>
        </w:rPr>
      </w:pPr>
    </w:p>
    <w:p w14:paraId="6C7C83EA">
      <w:pPr>
        <w:rPr>
          <w:rFonts w:hint="default" w:ascii="Times New Roman" w:hAnsi="Times New Roman" w:cs="Times New Roman"/>
        </w:rPr>
      </w:pPr>
    </w:p>
    <w:p w14:paraId="42CFBBEB">
      <w:pPr>
        <w:pStyle w:val="5"/>
        <w:rPr>
          <w:rFonts w:hint="default" w:ascii="Times New Roman" w:hAnsi="Times New Roman" w:cs="Times New Roman"/>
        </w:rPr>
      </w:pPr>
    </w:p>
    <w:p w14:paraId="25C862D5">
      <w:pPr>
        <w:rPr>
          <w:rFonts w:hint="default" w:ascii="Times New Roman" w:hAnsi="Times New Roman" w:cs="Times New Roman"/>
        </w:rPr>
      </w:pPr>
    </w:p>
    <w:p w14:paraId="157ED37A">
      <w:pPr>
        <w:pStyle w:val="5"/>
        <w:rPr>
          <w:rFonts w:hint="default" w:ascii="Times New Roman" w:hAnsi="Times New Roman" w:cs="Times New Roman"/>
        </w:rPr>
      </w:pPr>
    </w:p>
    <w:p w14:paraId="68AFB81E">
      <w:pPr>
        <w:rPr>
          <w:rFonts w:hint="default" w:ascii="Times New Roman" w:hAnsi="Times New Roman" w:cs="Times New Roman"/>
        </w:rPr>
      </w:pPr>
    </w:p>
    <w:p w14:paraId="4A69994C">
      <w:pPr>
        <w:pStyle w:val="5"/>
        <w:rPr>
          <w:rFonts w:hint="default" w:ascii="Times New Roman" w:hAnsi="Times New Roman" w:cs="Times New Roman"/>
        </w:rPr>
      </w:pPr>
    </w:p>
    <w:p w14:paraId="74DD6C96">
      <w:pPr>
        <w:rPr>
          <w:rFonts w:hint="default" w:ascii="Times New Roman" w:hAnsi="Times New Roman" w:cs="Times New Roman"/>
        </w:rPr>
      </w:pPr>
    </w:p>
    <w:p w14:paraId="71185191">
      <w:pPr>
        <w:pStyle w:val="5"/>
        <w:rPr>
          <w:rFonts w:hint="default" w:ascii="Times New Roman" w:hAnsi="Times New Roman" w:cs="Times New Roman"/>
        </w:rPr>
      </w:pPr>
    </w:p>
    <w:p w14:paraId="4CF79740">
      <w:pPr>
        <w:rPr>
          <w:rFonts w:hint="default" w:ascii="Times New Roman" w:hAnsi="Times New Roman" w:cs="Times New Roman"/>
        </w:rPr>
      </w:pPr>
    </w:p>
    <w:p w14:paraId="6C82A1D2">
      <w:pPr>
        <w:rPr>
          <w:rFonts w:hint="default" w:ascii="Times New Roman" w:hAnsi="Times New Roman" w:cs="Times New Roman"/>
        </w:rPr>
      </w:pPr>
    </w:p>
    <w:p w14:paraId="13A60A5D">
      <w:pPr>
        <w:rPr>
          <w:rFonts w:hint="default" w:ascii="Times New Roman" w:hAnsi="Times New Roman" w:cs="Times New Roman"/>
        </w:rPr>
      </w:pPr>
    </w:p>
    <w:p w14:paraId="49AFB1D1">
      <w:pPr>
        <w:rPr>
          <w:rFonts w:hint="default" w:ascii="Times New Roman" w:hAnsi="Times New Roman" w:cs="Times New Roman"/>
        </w:rPr>
      </w:pPr>
    </w:p>
    <w:p w14:paraId="14E55E66">
      <w:pPr>
        <w:rPr>
          <w:rFonts w:hint="default" w:ascii="Times New Roman" w:hAnsi="Times New Roman" w:cs="Times New Roman"/>
        </w:rPr>
      </w:pPr>
    </w:p>
    <w:p w14:paraId="123EEC86">
      <w:pPr>
        <w:rPr>
          <w:rFonts w:hint="default" w:ascii="Times New Roman" w:hAnsi="Times New Roman" w:cs="Times New Roman"/>
        </w:rPr>
      </w:pPr>
    </w:p>
    <w:p w14:paraId="5B8B631A">
      <w:pPr>
        <w:rPr>
          <w:rFonts w:hint="default" w:ascii="Times New Roman" w:hAnsi="Times New Roman" w:cs="Times New Roman"/>
        </w:rPr>
      </w:pPr>
    </w:p>
    <w:p w14:paraId="1D39B657">
      <w:pPr>
        <w:rPr>
          <w:rFonts w:hint="default" w:ascii="Times New Roman" w:hAnsi="Times New Roman" w:cs="Times New Roman"/>
        </w:rPr>
      </w:pPr>
    </w:p>
    <w:p w14:paraId="0B4DB945">
      <w:pPr>
        <w:rPr>
          <w:rFonts w:hint="default" w:ascii="Times New Roman" w:hAnsi="Times New Roman" w:cs="Times New Roman"/>
        </w:rPr>
      </w:pPr>
    </w:p>
    <w:p w14:paraId="00954258">
      <w:pPr>
        <w:rPr>
          <w:rFonts w:hint="default" w:ascii="Times New Roman" w:hAnsi="Times New Roman" w:cs="Times New Roman"/>
        </w:rPr>
      </w:pPr>
    </w:p>
    <w:p w14:paraId="69A8F902">
      <w:pPr>
        <w:pStyle w:val="5"/>
        <w:rPr>
          <w:rFonts w:hint="default" w:ascii="Times New Roman" w:hAnsi="Times New Roman" w:cs="Times New Roman"/>
        </w:rPr>
      </w:pPr>
    </w:p>
    <w:p w14:paraId="49264A66">
      <w:pPr>
        <w:rPr>
          <w:rFonts w:hint="default" w:ascii="Times New Roman" w:hAnsi="Times New Roman" w:cs="Times New Roman"/>
        </w:rPr>
      </w:pPr>
    </w:p>
    <w:p w14:paraId="3A119FCE">
      <w:pPr>
        <w:pStyle w:val="5"/>
        <w:rPr>
          <w:rFonts w:hint="default" w:ascii="Times New Roman" w:hAnsi="Times New Roman" w:cs="Times New Roman"/>
        </w:rPr>
      </w:pPr>
    </w:p>
    <w:p w14:paraId="7CB62259">
      <w:pPr>
        <w:rPr>
          <w:rFonts w:hint="default" w:ascii="Times New Roman" w:hAnsi="Times New Roman" w:cs="Times New Roman"/>
        </w:rPr>
      </w:pPr>
    </w:p>
    <w:p w14:paraId="1B936F2D">
      <w:pPr>
        <w:keepNext w:val="0"/>
        <w:keepLines w:val="0"/>
        <w:pageBreakBefore w:val="0"/>
        <w:widowControl w:val="0"/>
        <w:kinsoku/>
        <w:wordWrap/>
        <w:overflowPunct/>
        <w:topLinePunct w:val="0"/>
        <w:autoSpaceDE/>
        <w:autoSpaceDN/>
        <w:bidi w:val="0"/>
        <w:adjustRightInd/>
        <w:snapToGrid/>
        <w:spacing w:before="490" w:beforeLines="150" w:after="490" w:afterLines="150" w:line="360" w:lineRule="auto"/>
        <w:ind w:firstLine="0"/>
        <w:jc w:val="center"/>
        <w:textAlignment w:val="auto"/>
        <w:outlineLvl w:val="0"/>
        <w:rPr>
          <w:rFonts w:hint="default" w:ascii="Times New Roman" w:hAnsi="Times New Roman" w:eastAsia="黑体" w:cs="Times New Roman"/>
          <w:b/>
          <w:bCs/>
          <w:sz w:val="32"/>
          <w:szCs w:val="32"/>
        </w:rPr>
      </w:pPr>
      <w:bookmarkStart w:id="164" w:name="_Toc41246694"/>
      <w:bookmarkStart w:id="165" w:name="_Toc1053"/>
      <w:bookmarkStart w:id="166" w:name="_Toc8511"/>
      <w:r>
        <w:rPr>
          <w:rFonts w:hint="default" w:ascii="Times New Roman" w:hAnsi="Times New Roman" w:eastAsia="黑体" w:cs="Times New Roman"/>
          <w:b/>
          <w:bCs/>
          <w:sz w:val="32"/>
          <w:szCs w:val="32"/>
        </w:rPr>
        <w:t>5建设项目的危险、有害因素和危险、有害程度</w:t>
      </w:r>
      <w:bookmarkEnd w:id="164"/>
      <w:bookmarkEnd w:id="165"/>
      <w:bookmarkEnd w:id="166"/>
    </w:p>
    <w:p w14:paraId="2289C57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eastAsia="zh-CN"/>
        </w:rPr>
      </w:pPr>
      <w:bookmarkStart w:id="167" w:name="_Toc30675"/>
      <w:bookmarkStart w:id="168" w:name="_Toc31210"/>
      <w:bookmarkStart w:id="169" w:name="_Toc41246695"/>
      <w:bookmarkStart w:id="170" w:name="_Toc8613"/>
      <w:r>
        <w:rPr>
          <w:rFonts w:hint="default" w:ascii="Times New Roman" w:hAnsi="Times New Roman" w:eastAsia="宋体" w:cs="Times New Roman"/>
          <w:sz w:val="28"/>
          <w:szCs w:val="28"/>
          <w:lang w:val="en-US" w:eastAsia="zh-CN"/>
        </w:rPr>
        <w:t>根据《生产过程危险和有害因素分类与代码》和《生产安全事故分类与编码》等的有关规定对本项目储存、经营过程中存在的危险、有害因素进行辨识。</w:t>
      </w:r>
    </w:p>
    <w:p w14:paraId="3471EF1D">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r>
        <w:rPr>
          <w:rFonts w:hint="default" w:ascii="Times New Roman" w:hAnsi="Times New Roman" w:eastAsia="楷体" w:cs="Times New Roman"/>
          <w:color w:val="auto"/>
          <w:sz w:val="32"/>
          <w:szCs w:val="32"/>
          <w:lang w:val="en-US" w:eastAsia="zh-CN"/>
        </w:rPr>
        <w:t>5.1危险、有害因素</w:t>
      </w:r>
      <w:bookmarkEnd w:id="167"/>
      <w:bookmarkEnd w:id="168"/>
      <w:bookmarkEnd w:id="169"/>
      <w:bookmarkEnd w:id="170"/>
    </w:p>
    <w:p w14:paraId="4B8E8FFF">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71" w:name="_Toc41246696"/>
      <w:bookmarkStart w:id="172" w:name="_Toc146488854"/>
      <w:bookmarkStart w:id="173" w:name="_Toc27126"/>
      <w:bookmarkStart w:id="174" w:name="_Toc2496"/>
      <w:r>
        <w:rPr>
          <w:rFonts w:hint="default" w:ascii="Times New Roman" w:hAnsi="Times New Roman" w:eastAsia="黑体" w:cs="Times New Roman"/>
          <w:b/>
          <w:bCs/>
          <w:color w:val="auto"/>
          <w:sz w:val="28"/>
          <w:szCs w:val="32"/>
          <w:lang w:val="en-US" w:eastAsia="zh-CN"/>
        </w:rPr>
        <w:t>5.1.1建设项目可能造成爆炸、火灾、中毒事故的危险、有害因素及其分布</w:t>
      </w:r>
      <w:bookmarkEnd w:id="171"/>
      <w:bookmarkEnd w:id="172"/>
      <w:bookmarkEnd w:id="173"/>
      <w:bookmarkEnd w:id="174"/>
    </w:p>
    <w:p w14:paraId="7D9A556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本项目可能造成爆炸、火灾、中毒事故的危险、有害因素及其分布辨识结果，见表</w:t>
      </w:r>
      <w:r>
        <w:rPr>
          <w:rFonts w:hint="eastAsia" w:ascii="Times New Roman" w:hAnsi="Times New Roman" w:cs="Times New Roman"/>
          <w:sz w:val="28"/>
          <w:szCs w:val="28"/>
          <w:lang w:val="en-US" w:eastAsia="zh-CN"/>
        </w:rPr>
        <w:t>5.1</w:t>
      </w:r>
      <w:r>
        <w:rPr>
          <w:rFonts w:hint="default" w:ascii="Times New Roman" w:hAnsi="Times New Roman" w:cs="Times New Roman"/>
          <w:sz w:val="28"/>
          <w:szCs w:val="28"/>
          <w:lang w:val="en-US" w:eastAsia="zh-CN"/>
        </w:rPr>
        <w:t>-1。</w:t>
      </w:r>
    </w:p>
    <w:p w14:paraId="705606F7">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w:t>
      </w:r>
      <w:r>
        <w:rPr>
          <w:rFonts w:hint="eastAsia" w:ascii="Times New Roman" w:hAnsi="Times New Roman" w:eastAsia="黑体" w:cs="Times New Roman"/>
          <w:sz w:val="24"/>
          <w:szCs w:val="24"/>
          <w:lang w:val="en-US" w:eastAsia="zh-CN"/>
        </w:rPr>
        <w:t>5.1</w:t>
      </w:r>
      <w:r>
        <w:rPr>
          <w:rFonts w:hint="default" w:ascii="Times New Roman" w:hAnsi="Times New Roman" w:eastAsia="黑体" w:cs="Times New Roman"/>
          <w:sz w:val="24"/>
          <w:szCs w:val="24"/>
        </w:rPr>
        <w:t>-1</w:t>
      </w:r>
      <w:r>
        <w:rPr>
          <w:rFonts w:hint="eastAsia"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 xml:space="preserve"> 可能造成爆炸、火灾、中毒事故的危险、有害因素及其分布辨识结果表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0"/>
        <w:gridCol w:w="2009"/>
        <w:gridCol w:w="5298"/>
        <w:gridCol w:w="1083"/>
      </w:tblGrid>
      <w:tr w14:paraId="2CAEC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672501C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序号</w:t>
            </w:r>
          </w:p>
        </w:tc>
        <w:tc>
          <w:tcPr>
            <w:tcW w:w="2009" w:type="dxa"/>
            <w:vAlign w:val="center"/>
          </w:tcPr>
          <w:p w14:paraId="261282B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危险、有害因素</w:t>
            </w:r>
          </w:p>
        </w:tc>
        <w:tc>
          <w:tcPr>
            <w:tcW w:w="5298" w:type="dxa"/>
            <w:vAlign w:val="center"/>
          </w:tcPr>
          <w:p w14:paraId="6A3BD45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危险部位或场所</w:t>
            </w:r>
          </w:p>
        </w:tc>
        <w:tc>
          <w:tcPr>
            <w:tcW w:w="1083" w:type="dxa"/>
            <w:vAlign w:val="center"/>
          </w:tcPr>
          <w:p w14:paraId="27EF9B3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备注</w:t>
            </w:r>
          </w:p>
        </w:tc>
      </w:tr>
      <w:tr w14:paraId="3B28F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157C90C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1</w:t>
            </w:r>
          </w:p>
        </w:tc>
        <w:tc>
          <w:tcPr>
            <w:tcW w:w="2009" w:type="dxa"/>
            <w:vAlign w:val="center"/>
          </w:tcPr>
          <w:p w14:paraId="668435B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火灾</w:t>
            </w:r>
          </w:p>
        </w:tc>
        <w:tc>
          <w:tcPr>
            <w:tcW w:w="5298" w:type="dxa"/>
            <w:vAlign w:val="center"/>
          </w:tcPr>
          <w:p w14:paraId="01FBBE8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埋地储油罐区、卸油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、加油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、站房、配电设施</w:t>
            </w:r>
          </w:p>
        </w:tc>
        <w:tc>
          <w:tcPr>
            <w:tcW w:w="1083" w:type="dxa"/>
            <w:vAlign w:val="center"/>
          </w:tcPr>
          <w:p w14:paraId="3D5940F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p>
        </w:tc>
      </w:tr>
      <w:tr w14:paraId="67096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55503CD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2</w:t>
            </w:r>
          </w:p>
        </w:tc>
        <w:tc>
          <w:tcPr>
            <w:tcW w:w="2009" w:type="dxa"/>
            <w:vAlign w:val="center"/>
          </w:tcPr>
          <w:p w14:paraId="71445D5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管道</w:t>
            </w:r>
            <w:r>
              <w:rPr>
                <w:rFonts w:hint="default" w:ascii="Times New Roman" w:hAnsi="Times New Roman" w:eastAsia="宋体" w:cs="Times New Roman"/>
                <w:bCs/>
                <w:kern w:val="0"/>
                <w:sz w:val="21"/>
                <w:szCs w:val="21"/>
                <w:lang w:val="en-US" w:eastAsia="zh-CN" w:bidi="ar-SA"/>
              </w:rPr>
              <w:t>爆炸</w:t>
            </w:r>
          </w:p>
        </w:tc>
        <w:tc>
          <w:tcPr>
            <w:tcW w:w="5298" w:type="dxa"/>
            <w:vAlign w:val="center"/>
          </w:tcPr>
          <w:p w14:paraId="51C2E6D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埋地储油罐区、卸油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、加油</w:t>
            </w:r>
            <w:r>
              <w:rPr>
                <w:rFonts w:hint="eastAsia" w:ascii="Times New Roman" w:hAnsi="Times New Roman" w:eastAsia="宋体" w:cs="Times New Roman"/>
                <w:bCs/>
                <w:kern w:val="0"/>
                <w:sz w:val="21"/>
                <w:szCs w:val="21"/>
                <w:lang w:val="en-US" w:eastAsia="zh-CN" w:bidi="ar-SA"/>
              </w:rPr>
              <w:t>区</w:t>
            </w:r>
          </w:p>
        </w:tc>
        <w:tc>
          <w:tcPr>
            <w:tcW w:w="1083" w:type="dxa"/>
            <w:vAlign w:val="center"/>
          </w:tcPr>
          <w:p w14:paraId="608865E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p>
        </w:tc>
      </w:tr>
      <w:tr w14:paraId="2EB85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53ED23B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eastAsia" w:cs="Times New Roman"/>
                <w:bCs/>
                <w:kern w:val="0"/>
                <w:sz w:val="21"/>
                <w:szCs w:val="21"/>
                <w:lang w:val="en-US" w:eastAsia="zh-CN" w:bidi="ar-SA"/>
              </w:rPr>
              <w:t>3</w:t>
            </w:r>
          </w:p>
        </w:tc>
        <w:tc>
          <w:tcPr>
            <w:tcW w:w="2009" w:type="dxa"/>
            <w:vAlign w:val="center"/>
          </w:tcPr>
          <w:p w14:paraId="3BDBE4A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可燃液体蒸汽爆炸</w:t>
            </w:r>
          </w:p>
        </w:tc>
        <w:tc>
          <w:tcPr>
            <w:tcW w:w="5298" w:type="dxa"/>
            <w:vAlign w:val="center"/>
          </w:tcPr>
          <w:p w14:paraId="026EF3E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埋地储油罐区、卸油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、加油</w:t>
            </w:r>
            <w:r>
              <w:rPr>
                <w:rFonts w:hint="eastAsia" w:ascii="Times New Roman" w:hAnsi="Times New Roman" w:eastAsia="宋体" w:cs="Times New Roman"/>
                <w:bCs/>
                <w:kern w:val="0"/>
                <w:sz w:val="21"/>
                <w:szCs w:val="21"/>
                <w:lang w:val="en-US" w:eastAsia="zh-CN" w:bidi="ar-SA"/>
              </w:rPr>
              <w:t>区</w:t>
            </w:r>
          </w:p>
        </w:tc>
        <w:tc>
          <w:tcPr>
            <w:tcW w:w="1083" w:type="dxa"/>
            <w:vAlign w:val="center"/>
          </w:tcPr>
          <w:p w14:paraId="32222CB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p>
        </w:tc>
      </w:tr>
      <w:tr w14:paraId="71332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539593E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eastAsia" w:cs="Times New Roman"/>
                <w:bCs/>
                <w:kern w:val="0"/>
                <w:sz w:val="21"/>
                <w:szCs w:val="21"/>
                <w:lang w:val="en-US" w:eastAsia="zh-CN" w:bidi="ar-SA"/>
              </w:rPr>
              <w:t>4</w:t>
            </w:r>
          </w:p>
        </w:tc>
        <w:tc>
          <w:tcPr>
            <w:tcW w:w="2009" w:type="dxa"/>
            <w:vAlign w:val="center"/>
          </w:tcPr>
          <w:p w14:paraId="4A74A4B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中毒</w:t>
            </w:r>
          </w:p>
        </w:tc>
        <w:tc>
          <w:tcPr>
            <w:tcW w:w="5298" w:type="dxa"/>
            <w:vAlign w:val="center"/>
          </w:tcPr>
          <w:p w14:paraId="7AB45AD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埋地储油罐区、卸油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、加油</w:t>
            </w:r>
            <w:r>
              <w:rPr>
                <w:rFonts w:hint="eastAsia" w:ascii="Times New Roman" w:hAnsi="Times New Roman" w:eastAsia="宋体" w:cs="Times New Roman"/>
                <w:bCs/>
                <w:kern w:val="0"/>
                <w:sz w:val="21"/>
                <w:szCs w:val="21"/>
                <w:lang w:val="en-US" w:eastAsia="zh-CN" w:bidi="ar-SA"/>
              </w:rPr>
              <w:t>区</w:t>
            </w:r>
          </w:p>
        </w:tc>
        <w:tc>
          <w:tcPr>
            <w:tcW w:w="1083" w:type="dxa"/>
            <w:vAlign w:val="center"/>
          </w:tcPr>
          <w:p w14:paraId="5ADAE75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p>
        </w:tc>
      </w:tr>
      <w:tr w14:paraId="2BFE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10" w:type="dxa"/>
            <w:vAlign w:val="center"/>
          </w:tcPr>
          <w:p w14:paraId="72CFCB9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Cs/>
                <w:kern w:val="0"/>
                <w:sz w:val="21"/>
                <w:szCs w:val="21"/>
                <w:lang w:val="en-US" w:eastAsia="zh-CN" w:bidi="ar-SA"/>
              </w:rPr>
            </w:pPr>
            <w:r>
              <w:rPr>
                <w:rFonts w:hint="eastAsia" w:cs="Times New Roman"/>
                <w:bCs/>
                <w:kern w:val="0"/>
                <w:sz w:val="21"/>
                <w:szCs w:val="21"/>
                <w:lang w:val="en-US" w:eastAsia="zh-CN" w:bidi="ar-SA"/>
              </w:rPr>
              <w:t>5</w:t>
            </w:r>
          </w:p>
        </w:tc>
        <w:tc>
          <w:tcPr>
            <w:tcW w:w="2009" w:type="dxa"/>
            <w:vAlign w:val="center"/>
          </w:tcPr>
          <w:p w14:paraId="46731D5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窒息</w:t>
            </w:r>
          </w:p>
        </w:tc>
        <w:tc>
          <w:tcPr>
            <w:tcW w:w="5298" w:type="dxa"/>
            <w:vAlign w:val="center"/>
          </w:tcPr>
          <w:p w14:paraId="411E018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埋地储油罐区、卸油</w:t>
            </w:r>
            <w:r>
              <w:rPr>
                <w:rFonts w:hint="eastAsia" w:ascii="Times New Roman" w:hAnsi="Times New Roman" w:eastAsia="宋体" w:cs="Times New Roman"/>
                <w:bCs/>
                <w:kern w:val="0"/>
                <w:sz w:val="21"/>
                <w:szCs w:val="21"/>
                <w:lang w:val="en-US" w:eastAsia="zh-CN" w:bidi="ar-SA"/>
              </w:rPr>
              <w:t>区</w:t>
            </w:r>
            <w:r>
              <w:rPr>
                <w:rFonts w:hint="default" w:ascii="Times New Roman" w:hAnsi="Times New Roman" w:eastAsia="宋体" w:cs="Times New Roman"/>
                <w:bCs/>
                <w:kern w:val="0"/>
                <w:sz w:val="21"/>
                <w:szCs w:val="21"/>
                <w:lang w:val="en-US" w:eastAsia="zh-CN" w:bidi="ar-SA"/>
              </w:rPr>
              <w:t>、加油</w:t>
            </w:r>
            <w:r>
              <w:rPr>
                <w:rFonts w:hint="eastAsia" w:ascii="Times New Roman" w:hAnsi="Times New Roman" w:eastAsia="宋体" w:cs="Times New Roman"/>
                <w:bCs/>
                <w:kern w:val="0"/>
                <w:sz w:val="21"/>
                <w:szCs w:val="21"/>
                <w:lang w:val="en-US" w:eastAsia="zh-CN" w:bidi="ar-SA"/>
              </w:rPr>
              <w:t>区</w:t>
            </w:r>
          </w:p>
        </w:tc>
        <w:tc>
          <w:tcPr>
            <w:tcW w:w="1083" w:type="dxa"/>
            <w:vAlign w:val="center"/>
          </w:tcPr>
          <w:p w14:paraId="3BD66A5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Cs/>
                <w:kern w:val="0"/>
                <w:sz w:val="21"/>
                <w:szCs w:val="21"/>
                <w:lang w:val="en-US" w:eastAsia="zh-CN" w:bidi="ar-SA"/>
              </w:rPr>
            </w:pPr>
          </w:p>
        </w:tc>
      </w:tr>
    </w:tbl>
    <w:p w14:paraId="70E5414E">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75" w:name="_Toc8679"/>
      <w:bookmarkStart w:id="176" w:name="_Toc41246697"/>
      <w:bookmarkStart w:id="177" w:name="_Toc146488855"/>
      <w:bookmarkStart w:id="178" w:name="_Toc6792"/>
      <w:r>
        <w:rPr>
          <w:rFonts w:hint="default" w:ascii="Times New Roman" w:hAnsi="Times New Roman" w:eastAsia="黑体" w:cs="Times New Roman"/>
          <w:b/>
          <w:bCs/>
          <w:color w:val="auto"/>
          <w:sz w:val="28"/>
          <w:szCs w:val="32"/>
          <w:lang w:val="en-US" w:eastAsia="zh-CN"/>
        </w:rPr>
        <w:t>5.1.2建设项目可能造成作业人员伤亡的其它危险、有害因素及其分布</w:t>
      </w:r>
      <w:bookmarkEnd w:id="175"/>
      <w:bookmarkEnd w:id="176"/>
      <w:bookmarkEnd w:id="177"/>
      <w:bookmarkEnd w:id="178"/>
    </w:p>
    <w:p w14:paraId="36D0CD1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en-US" w:eastAsia="zh-CN"/>
        </w:rPr>
      </w:pPr>
      <w:r>
        <w:rPr>
          <w:rFonts w:hint="default" w:ascii="Times New Roman" w:hAnsi="Times New Roman" w:cs="Times New Roman"/>
          <w:sz w:val="28"/>
          <w:szCs w:val="28"/>
          <w:lang w:val="en-US" w:eastAsia="zh-CN"/>
        </w:rPr>
        <w:t>本项目可能造成作业人员伤亡的其它危险、有害因素及其分布辨识结果，见表</w:t>
      </w:r>
      <w:r>
        <w:rPr>
          <w:rFonts w:hint="eastAsia" w:ascii="Times New Roman" w:hAnsi="Times New Roman" w:cs="Times New Roman"/>
          <w:sz w:val="28"/>
          <w:szCs w:val="28"/>
          <w:lang w:val="en-US" w:eastAsia="zh-CN"/>
        </w:rPr>
        <w:t>5.1</w:t>
      </w:r>
      <w:r>
        <w:rPr>
          <w:rFonts w:hint="default" w:ascii="Times New Roman" w:hAnsi="Times New Roman" w:cs="Times New Roman"/>
          <w:sz w:val="28"/>
          <w:szCs w:val="28"/>
          <w:lang w:val="en-US" w:eastAsia="zh-CN"/>
        </w:rPr>
        <w:t>-2。</w:t>
      </w:r>
    </w:p>
    <w:p w14:paraId="21158A02">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w:t>
      </w:r>
      <w:r>
        <w:rPr>
          <w:rFonts w:hint="eastAsia" w:ascii="Times New Roman" w:hAnsi="Times New Roman" w:eastAsia="黑体" w:cs="Times New Roman"/>
          <w:sz w:val="24"/>
          <w:szCs w:val="24"/>
          <w:lang w:val="en-US" w:eastAsia="zh-CN"/>
        </w:rPr>
        <w:t>5.1</w:t>
      </w:r>
      <w:r>
        <w:rPr>
          <w:rFonts w:hint="default" w:ascii="Times New Roman" w:hAnsi="Times New Roman" w:eastAsia="黑体" w:cs="Times New Roman"/>
          <w:sz w:val="24"/>
          <w:szCs w:val="24"/>
        </w:rPr>
        <w:t xml:space="preserve">-2 </w:t>
      </w:r>
      <w:r>
        <w:rPr>
          <w:rFonts w:hint="eastAsia"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可能造成作业人员伤亡的其它危险、有害因素及其分布辨识结果表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276"/>
        <w:gridCol w:w="5073"/>
        <w:gridCol w:w="1092"/>
      </w:tblGrid>
      <w:tr w14:paraId="22698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959" w:type="dxa"/>
            <w:vAlign w:val="center"/>
          </w:tcPr>
          <w:p w14:paraId="7809B865">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序号</w:t>
            </w:r>
          </w:p>
        </w:tc>
        <w:tc>
          <w:tcPr>
            <w:tcW w:w="2276" w:type="dxa"/>
            <w:vAlign w:val="center"/>
          </w:tcPr>
          <w:p w14:paraId="0215A838">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危险、有害因素</w:t>
            </w:r>
          </w:p>
        </w:tc>
        <w:tc>
          <w:tcPr>
            <w:tcW w:w="5073" w:type="dxa"/>
            <w:vAlign w:val="center"/>
          </w:tcPr>
          <w:p w14:paraId="0B5A6BA5">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危险部位或场所</w:t>
            </w:r>
          </w:p>
        </w:tc>
        <w:tc>
          <w:tcPr>
            <w:tcW w:w="1092" w:type="dxa"/>
            <w:vAlign w:val="center"/>
          </w:tcPr>
          <w:p w14:paraId="1941F3A1">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备注</w:t>
            </w:r>
          </w:p>
        </w:tc>
      </w:tr>
      <w:tr w14:paraId="7C65B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1F288A5E">
            <w:pPr>
              <w:widowControl w:val="0"/>
              <w:numPr>
                <w:ilvl w:val="0"/>
                <w:numId w:val="5"/>
              </w:numPr>
              <w:spacing w:line="240" w:lineRule="auto"/>
              <w:ind w:left="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08D6DA4C">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触电</w:t>
            </w:r>
          </w:p>
        </w:tc>
        <w:tc>
          <w:tcPr>
            <w:tcW w:w="5073" w:type="dxa"/>
            <w:vAlign w:val="center"/>
          </w:tcPr>
          <w:p w14:paraId="78DB568C">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加油区、站房、配电设施</w:t>
            </w:r>
          </w:p>
        </w:tc>
        <w:tc>
          <w:tcPr>
            <w:tcW w:w="1092" w:type="dxa"/>
            <w:vAlign w:val="center"/>
          </w:tcPr>
          <w:p w14:paraId="35919FB0">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160BA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959" w:type="dxa"/>
            <w:vAlign w:val="center"/>
          </w:tcPr>
          <w:p w14:paraId="6467E8B3">
            <w:pPr>
              <w:widowControl w:val="0"/>
              <w:numPr>
                <w:ilvl w:val="0"/>
                <w:numId w:val="5"/>
              </w:numPr>
              <w:spacing w:line="240" w:lineRule="auto"/>
              <w:ind w:left="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10E8E689">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厂（场）内</w:t>
            </w:r>
            <w:r>
              <w:rPr>
                <w:rFonts w:hint="default" w:ascii="Times New Roman" w:hAnsi="Times New Roman" w:eastAsia="宋体" w:cs="Times New Roman"/>
                <w:bCs/>
                <w:kern w:val="0"/>
                <w:sz w:val="21"/>
                <w:szCs w:val="21"/>
                <w:lang w:val="en-US" w:eastAsia="zh-CN" w:bidi="ar-SA"/>
              </w:rPr>
              <w:t>车辆</w:t>
            </w:r>
            <w:r>
              <w:rPr>
                <w:rFonts w:hint="eastAsia" w:ascii="Times New Roman" w:hAnsi="Times New Roman" w:eastAsia="宋体" w:cs="Times New Roman"/>
                <w:bCs/>
                <w:kern w:val="0"/>
                <w:sz w:val="21"/>
                <w:szCs w:val="21"/>
                <w:lang w:val="en-US" w:eastAsia="zh-CN" w:bidi="ar-SA"/>
              </w:rPr>
              <w:t>致</w:t>
            </w:r>
            <w:r>
              <w:rPr>
                <w:rFonts w:hint="default" w:ascii="Times New Roman" w:hAnsi="Times New Roman" w:eastAsia="宋体" w:cs="Times New Roman"/>
                <w:bCs/>
                <w:kern w:val="0"/>
                <w:sz w:val="21"/>
                <w:szCs w:val="21"/>
                <w:lang w:val="en-US" w:eastAsia="zh-CN" w:bidi="ar-SA"/>
              </w:rPr>
              <w:t>害</w:t>
            </w:r>
          </w:p>
        </w:tc>
        <w:tc>
          <w:tcPr>
            <w:tcW w:w="5073" w:type="dxa"/>
            <w:vAlign w:val="center"/>
          </w:tcPr>
          <w:p w14:paraId="08CC85F1">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卸油区、加油区</w:t>
            </w:r>
          </w:p>
        </w:tc>
        <w:tc>
          <w:tcPr>
            <w:tcW w:w="1092" w:type="dxa"/>
            <w:vAlign w:val="center"/>
          </w:tcPr>
          <w:p w14:paraId="0E64E79C">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23564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5D4420F6">
            <w:pPr>
              <w:widowControl w:val="0"/>
              <w:numPr>
                <w:ilvl w:val="0"/>
                <w:numId w:val="5"/>
              </w:numPr>
              <w:spacing w:line="240" w:lineRule="auto"/>
              <w:ind w:left="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2684B367">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高处坠落</w:t>
            </w:r>
          </w:p>
        </w:tc>
        <w:tc>
          <w:tcPr>
            <w:tcW w:w="5073" w:type="dxa"/>
            <w:vAlign w:val="center"/>
          </w:tcPr>
          <w:p w14:paraId="060E33E0">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站房、罩棚</w:t>
            </w:r>
          </w:p>
        </w:tc>
        <w:tc>
          <w:tcPr>
            <w:tcW w:w="1092" w:type="dxa"/>
            <w:vAlign w:val="center"/>
          </w:tcPr>
          <w:p w14:paraId="0A0D7AFF">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331F3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3E0E16F5">
            <w:pPr>
              <w:widowControl w:val="0"/>
              <w:numPr>
                <w:ilvl w:val="0"/>
                <w:numId w:val="5"/>
              </w:numPr>
              <w:spacing w:line="240" w:lineRule="auto"/>
              <w:ind w:left="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64D186D9">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物体打击</w:t>
            </w:r>
          </w:p>
        </w:tc>
        <w:tc>
          <w:tcPr>
            <w:tcW w:w="5073" w:type="dxa"/>
            <w:vAlign w:val="center"/>
          </w:tcPr>
          <w:p w14:paraId="0EAA8575">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卸油区、站房、加油区</w:t>
            </w:r>
          </w:p>
        </w:tc>
        <w:tc>
          <w:tcPr>
            <w:tcW w:w="1092" w:type="dxa"/>
            <w:vAlign w:val="center"/>
          </w:tcPr>
          <w:p w14:paraId="407FFE8E">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4FA0C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024B193B">
            <w:pPr>
              <w:widowControl w:val="0"/>
              <w:numPr>
                <w:ilvl w:val="0"/>
                <w:numId w:val="5"/>
              </w:numPr>
              <w:spacing w:line="240" w:lineRule="auto"/>
              <w:ind w:left="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00260BA3">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坍塌</w:t>
            </w:r>
          </w:p>
        </w:tc>
        <w:tc>
          <w:tcPr>
            <w:tcW w:w="5073" w:type="dxa"/>
            <w:vAlign w:val="center"/>
          </w:tcPr>
          <w:p w14:paraId="74A3DC12">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站房、罩棚</w:t>
            </w:r>
          </w:p>
        </w:tc>
        <w:tc>
          <w:tcPr>
            <w:tcW w:w="1092" w:type="dxa"/>
            <w:vAlign w:val="center"/>
          </w:tcPr>
          <w:p w14:paraId="4A1CEBEA">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6FF71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2298045C">
            <w:pPr>
              <w:widowControl w:val="0"/>
              <w:numPr>
                <w:ilvl w:val="0"/>
                <w:numId w:val="5"/>
              </w:numPr>
              <w:spacing w:line="240" w:lineRule="auto"/>
              <w:ind w:left="0" w:leftChars="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15377D1B">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机械</w:t>
            </w:r>
            <w:r>
              <w:rPr>
                <w:rFonts w:hint="eastAsia" w:ascii="Times New Roman" w:hAnsi="Times New Roman" w:eastAsia="宋体" w:cs="Times New Roman"/>
                <w:bCs/>
                <w:kern w:val="0"/>
                <w:sz w:val="21"/>
                <w:szCs w:val="21"/>
                <w:lang w:val="en-US" w:eastAsia="zh-CN" w:bidi="ar-SA"/>
              </w:rPr>
              <w:t>致</w:t>
            </w:r>
            <w:r>
              <w:rPr>
                <w:rFonts w:hint="default" w:ascii="Times New Roman" w:hAnsi="Times New Roman" w:eastAsia="宋体" w:cs="Times New Roman"/>
                <w:bCs/>
                <w:kern w:val="0"/>
                <w:sz w:val="21"/>
                <w:szCs w:val="21"/>
                <w:lang w:val="en-US" w:eastAsia="zh-CN" w:bidi="ar-SA"/>
              </w:rPr>
              <w:t>害</w:t>
            </w:r>
          </w:p>
        </w:tc>
        <w:tc>
          <w:tcPr>
            <w:tcW w:w="5073" w:type="dxa"/>
            <w:vAlign w:val="center"/>
          </w:tcPr>
          <w:p w14:paraId="7539663A">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设备检维修</w:t>
            </w:r>
          </w:p>
        </w:tc>
        <w:tc>
          <w:tcPr>
            <w:tcW w:w="1092" w:type="dxa"/>
            <w:vAlign w:val="center"/>
          </w:tcPr>
          <w:p w14:paraId="6C188BB4">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70C96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447DD91C">
            <w:pPr>
              <w:widowControl w:val="0"/>
              <w:numPr>
                <w:ilvl w:val="0"/>
                <w:numId w:val="5"/>
              </w:numPr>
              <w:spacing w:line="240" w:lineRule="auto"/>
              <w:ind w:left="0" w:leftChars="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20287424">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泄漏</w:t>
            </w:r>
          </w:p>
        </w:tc>
        <w:tc>
          <w:tcPr>
            <w:tcW w:w="5073" w:type="dxa"/>
            <w:vAlign w:val="center"/>
          </w:tcPr>
          <w:p w14:paraId="412CA1A9">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地下储罐区</w:t>
            </w:r>
          </w:p>
        </w:tc>
        <w:tc>
          <w:tcPr>
            <w:tcW w:w="1092" w:type="dxa"/>
            <w:vAlign w:val="center"/>
          </w:tcPr>
          <w:p w14:paraId="27EFE794">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0A2CF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413A03DE">
            <w:pPr>
              <w:widowControl w:val="0"/>
              <w:numPr>
                <w:ilvl w:val="0"/>
                <w:numId w:val="5"/>
              </w:numPr>
              <w:spacing w:line="240" w:lineRule="auto"/>
              <w:ind w:left="0" w:leftChars="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0B728FD0">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eastAsia" w:cs="Times New Roman"/>
                <w:bCs/>
                <w:kern w:val="0"/>
                <w:sz w:val="21"/>
                <w:szCs w:val="21"/>
                <w:lang w:val="en-US" w:eastAsia="zh-CN" w:bidi="ar-SA"/>
              </w:rPr>
              <w:t>自然灾害</w:t>
            </w:r>
          </w:p>
        </w:tc>
        <w:tc>
          <w:tcPr>
            <w:tcW w:w="5073" w:type="dxa"/>
            <w:vAlign w:val="center"/>
          </w:tcPr>
          <w:p w14:paraId="3BA99E15">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卸油区、加油区</w:t>
            </w:r>
            <w:r>
              <w:rPr>
                <w:rFonts w:hint="eastAsia" w:cs="Times New Roman"/>
                <w:bCs/>
                <w:kern w:val="0"/>
                <w:sz w:val="21"/>
                <w:szCs w:val="21"/>
                <w:lang w:val="en-US" w:eastAsia="zh-CN" w:bidi="ar-SA"/>
              </w:rPr>
              <w:t>、地下储罐区</w:t>
            </w:r>
          </w:p>
        </w:tc>
        <w:tc>
          <w:tcPr>
            <w:tcW w:w="1092" w:type="dxa"/>
            <w:vAlign w:val="center"/>
          </w:tcPr>
          <w:p w14:paraId="1071D1DA">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r w14:paraId="30BDE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9" w:type="dxa"/>
            <w:vAlign w:val="center"/>
          </w:tcPr>
          <w:p w14:paraId="7CE849E8">
            <w:pPr>
              <w:widowControl w:val="0"/>
              <w:numPr>
                <w:ilvl w:val="0"/>
                <w:numId w:val="5"/>
              </w:numPr>
              <w:spacing w:line="240" w:lineRule="auto"/>
              <w:ind w:left="0" w:leftChars="0" w:firstLine="0" w:firstLineChars="0"/>
              <w:jc w:val="center"/>
              <w:rPr>
                <w:rFonts w:hint="default" w:ascii="Times New Roman" w:hAnsi="Times New Roman" w:eastAsia="宋体" w:cs="Times New Roman"/>
                <w:bCs/>
                <w:kern w:val="0"/>
                <w:sz w:val="21"/>
                <w:szCs w:val="21"/>
                <w:lang w:val="en-US" w:eastAsia="zh-CN" w:bidi="ar-SA"/>
              </w:rPr>
            </w:pPr>
          </w:p>
        </w:tc>
        <w:tc>
          <w:tcPr>
            <w:tcW w:w="2276" w:type="dxa"/>
            <w:vAlign w:val="center"/>
          </w:tcPr>
          <w:p w14:paraId="3E51D2D0">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eastAsia" w:ascii="Times New Roman" w:hAnsi="Times New Roman" w:eastAsia="宋体" w:cs="Times New Roman"/>
                <w:bCs/>
                <w:kern w:val="0"/>
                <w:sz w:val="21"/>
                <w:szCs w:val="21"/>
                <w:lang w:val="en-US" w:eastAsia="zh-CN" w:bidi="ar-SA"/>
              </w:rPr>
              <w:t>其他（噪声）</w:t>
            </w:r>
          </w:p>
        </w:tc>
        <w:tc>
          <w:tcPr>
            <w:tcW w:w="5073" w:type="dxa"/>
            <w:vAlign w:val="center"/>
          </w:tcPr>
          <w:p w14:paraId="33BD9509">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r>
              <w:rPr>
                <w:rFonts w:hint="default" w:ascii="Times New Roman" w:hAnsi="Times New Roman" w:eastAsia="宋体" w:cs="Times New Roman"/>
                <w:bCs/>
                <w:kern w:val="0"/>
                <w:sz w:val="21"/>
                <w:szCs w:val="21"/>
                <w:lang w:val="en-US" w:eastAsia="zh-CN" w:bidi="ar-SA"/>
              </w:rPr>
              <w:t>加油机、车辆等</w:t>
            </w:r>
          </w:p>
        </w:tc>
        <w:tc>
          <w:tcPr>
            <w:tcW w:w="1092" w:type="dxa"/>
            <w:vAlign w:val="center"/>
          </w:tcPr>
          <w:p w14:paraId="33FC287E">
            <w:pPr>
              <w:widowControl w:val="0"/>
              <w:spacing w:line="240" w:lineRule="auto"/>
              <w:ind w:firstLine="0" w:firstLineChars="0"/>
              <w:jc w:val="center"/>
              <w:rPr>
                <w:rFonts w:hint="default" w:ascii="Times New Roman" w:hAnsi="Times New Roman" w:eastAsia="宋体" w:cs="Times New Roman"/>
                <w:bCs/>
                <w:kern w:val="0"/>
                <w:sz w:val="21"/>
                <w:szCs w:val="21"/>
                <w:lang w:val="en-US" w:eastAsia="zh-CN" w:bidi="ar-SA"/>
              </w:rPr>
            </w:pPr>
          </w:p>
        </w:tc>
      </w:tr>
    </w:tbl>
    <w:p w14:paraId="322AA436">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179" w:name="_Toc11402"/>
      <w:bookmarkStart w:id="180" w:name="_Toc2684"/>
      <w:bookmarkStart w:id="181" w:name="_Toc41246699"/>
      <w:r>
        <w:rPr>
          <w:rFonts w:hint="default" w:ascii="Times New Roman" w:hAnsi="Times New Roman" w:eastAsia="楷体" w:cs="Times New Roman"/>
          <w:color w:val="auto"/>
          <w:sz w:val="32"/>
          <w:szCs w:val="32"/>
          <w:lang w:val="en-US" w:eastAsia="zh-CN"/>
        </w:rPr>
        <w:t>5.2危险、有害程度</w:t>
      </w:r>
      <w:bookmarkEnd w:id="179"/>
      <w:bookmarkEnd w:id="180"/>
      <w:bookmarkEnd w:id="181"/>
    </w:p>
    <w:p w14:paraId="77D9853B">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82" w:name="_Toc41246700"/>
      <w:bookmarkStart w:id="183" w:name="_Toc25365"/>
      <w:bookmarkStart w:id="184" w:name="_Toc21803"/>
      <w:bookmarkStart w:id="185" w:name="_Toc146488857"/>
      <w:r>
        <w:rPr>
          <w:rFonts w:hint="default" w:ascii="Times New Roman" w:hAnsi="Times New Roman" w:eastAsia="黑体" w:cs="Times New Roman"/>
          <w:b/>
          <w:bCs/>
          <w:color w:val="auto"/>
          <w:sz w:val="28"/>
          <w:szCs w:val="32"/>
          <w:lang w:val="en-US" w:eastAsia="zh-CN"/>
        </w:rPr>
        <w:t>5.2.1</w:t>
      </w:r>
      <w:bookmarkEnd w:id="182"/>
      <w:bookmarkEnd w:id="183"/>
      <w:r>
        <w:rPr>
          <w:rFonts w:hint="default" w:ascii="Times New Roman" w:hAnsi="Times New Roman" w:eastAsia="黑体" w:cs="Times New Roman"/>
          <w:b/>
          <w:bCs/>
          <w:color w:val="auto"/>
          <w:sz w:val="28"/>
          <w:szCs w:val="32"/>
          <w:lang w:val="en-US" w:eastAsia="zh-CN"/>
        </w:rPr>
        <w:t>评价单元的划分</w:t>
      </w:r>
      <w:bookmarkEnd w:id="184"/>
      <w:bookmarkEnd w:id="185"/>
    </w:p>
    <w:p w14:paraId="2623C9F9">
      <w:pPr>
        <w:keepNext w:val="0"/>
        <w:keepLines w:val="0"/>
        <w:pageBreakBefore w:val="0"/>
        <w:widowControl w:val="0"/>
        <w:kinsoku/>
        <w:wordWrap/>
        <w:overflowPunct/>
        <w:topLinePunct w:val="0"/>
        <w:autoSpaceDE/>
        <w:autoSpaceDN/>
        <w:bidi w:val="0"/>
        <w:adjustRightInd w:val="0"/>
        <w:snapToGrid w:val="0"/>
        <w:spacing w:before="163" w:beforeLines="50" w:line="360" w:lineRule="auto"/>
        <w:ind w:firstLine="560" w:firstLineChars="200"/>
        <w:textAlignment w:val="auto"/>
        <w:rPr>
          <w:rFonts w:hint="default" w:ascii="Times New Roman" w:hAnsi="Times New Roman" w:cs="Times New Roman"/>
          <w:sz w:val="28"/>
          <w:szCs w:val="28"/>
        </w:rPr>
      </w:pPr>
      <w:bookmarkStart w:id="186" w:name="_Toc14117"/>
      <w:bookmarkStart w:id="187" w:name="_Toc41246701"/>
      <w:r>
        <w:rPr>
          <w:rFonts w:hint="default" w:ascii="Times New Roman" w:hAnsi="Times New Roman" w:cs="Times New Roman"/>
          <w:sz w:val="28"/>
          <w:szCs w:val="28"/>
        </w:rPr>
        <w:t>根据评价单元的划分原则，结合加油站实际情况，本项目评价单元的划分如下：</w:t>
      </w:r>
    </w:p>
    <w:p w14:paraId="070245B3">
      <w:pPr>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选址及总平面布置；</w:t>
      </w:r>
    </w:p>
    <w:p w14:paraId="6D90CC2F">
      <w:pPr>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加油工艺</w:t>
      </w:r>
      <w:r>
        <w:rPr>
          <w:rFonts w:hint="eastAsia" w:cs="Times New Roman"/>
          <w:sz w:val="28"/>
          <w:szCs w:val="28"/>
          <w:lang w:val="en-US" w:eastAsia="zh-CN"/>
        </w:rPr>
        <w:t>及</w:t>
      </w:r>
      <w:r>
        <w:rPr>
          <w:rFonts w:hint="default" w:ascii="Times New Roman" w:hAnsi="Times New Roman" w:cs="Times New Roman"/>
          <w:sz w:val="28"/>
          <w:szCs w:val="28"/>
        </w:rPr>
        <w:t>设施、设备；</w:t>
      </w:r>
    </w:p>
    <w:p w14:paraId="5243C220">
      <w:pPr>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配套和辅助设施；</w:t>
      </w:r>
    </w:p>
    <w:p w14:paraId="3D09DE87">
      <w:pPr>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安全管理。</w:t>
      </w:r>
    </w:p>
    <w:p w14:paraId="342244C2">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88" w:name="_Toc8666"/>
      <w:bookmarkStart w:id="189" w:name="_Toc146488858"/>
      <w:r>
        <w:rPr>
          <w:rFonts w:hint="default" w:ascii="Times New Roman" w:hAnsi="Times New Roman" w:eastAsia="黑体" w:cs="Times New Roman"/>
          <w:b/>
          <w:bCs/>
          <w:color w:val="auto"/>
          <w:sz w:val="28"/>
          <w:szCs w:val="32"/>
          <w:lang w:val="en-US" w:eastAsia="zh-CN"/>
        </w:rPr>
        <w:t>5.2.2采用的安全评价方法</w:t>
      </w:r>
      <w:bookmarkEnd w:id="186"/>
      <w:bookmarkEnd w:id="187"/>
      <w:bookmarkEnd w:id="188"/>
      <w:bookmarkEnd w:id="189"/>
      <w:bookmarkStart w:id="190" w:name="_Toc410311972"/>
      <w:bookmarkStart w:id="191" w:name="_Toc41246702"/>
      <w:bookmarkStart w:id="192" w:name="_Toc26621"/>
      <w:bookmarkStart w:id="193" w:name="_Toc410311895"/>
    </w:p>
    <w:p w14:paraId="69EF8DF3">
      <w:pPr>
        <w:keepNext w:val="0"/>
        <w:keepLines w:val="0"/>
        <w:pageBreakBefore w:val="0"/>
        <w:widowControl w:val="0"/>
        <w:kinsoku/>
        <w:wordWrap/>
        <w:overflowPunct/>
        <w:topLinePunct w:val="0"/>
        <w:autoSpaceDE/>
        <w:autoSpaceDN/>
        <w:bidi w:val="0"/>
        <w:adjustRightInd w:val="0"/>
        <w:snapToGrid w:val="0"/>
        <w:spacing w:before="163" w:beforeLines="50"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结合本项目评价的特点，按照科学、合理、适用的原则选用评价方法。</w:t>
      </w:r>
    </w:p>
    <w:p w14:paraId="7C5B861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（1）采用安全检查表法，对加油站选址及总平面布置单元进行分析；</w:t>
      </w:r>
    </w:p>
    <w:p w14:paraId="7CB66C4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（2）采用预先危险性分析法，对加油工艺设施、设备、公用工程及辅助设施中存在的危险、有害性进行定性分析；</w:t>
      </w:r>
    </w:p>
    <w:p w14:paraId="3A27770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cs="Times New Roman"/>
          <w:sz w:val="28"/>
          <w:szCs w:val="28"/>
        </w:rPr>
        <w:t>（3）采用《蒸气云爆炸伤害模型》预测爆炸能对爆炸源周围的人员和建筑物造成的伤害范围。</w:t>
      </w:r>
    </w:p>
    <w:p w14:paraId="6C7FA92A">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194" w:name="_Toc18315"/>
      <w:bookmarkStart w:id="195" w:name="_Toc146488859"/>
      <w:r>
        <w:rPr>
          <w:rFonts w:hint="default" w:ascii="Times New Roman" w:hAnsi="Times New Roman" w:eastAsia="黑体" w:cs="Times New Roman"/>
          <w:b/>
          <w:bCs/>
          <w:color w:val="auto"/>
          <w:sz w:val="28"/>
          <w:szCs w:val="32"/>
          <w:lang w:val="en-US" w:eastAsia="zh-CN"/>
        </w:rPr>
        <w:t>5.2.3固有危险程度</w:t>
      </w:r>
      <w:bookmarkEnd w:id="190"/>
      <w:bookmarkEnd w:id="191"/>
      <w:bookmarkEnd w:id="192"/>
      <w:bookmarkEnd w:id="193"/>
      <w:r>
        <w:rPr>
          <w:rFonts w:hint="default" w:ascii="Times New Roman" w:hAnsi="Times New Roman" w:eastAsia="黑体" w:cs="Times New Roman"/>
          <w:b/>
          <w:bCs/>
          <w:color w:val="auto"/>
          <w:sz w:val="28"/>
          <w:szCs w:val="32"/>
          <w:lang w:val="en-US" w:eastAsia="zh-CN"/>
        </w:rPr>
        <w:t>的分析</w:t>
      </w:r>
      <w:bookmarkEnd w:id="194"/>
      <w:bookmarkEnd w:id="195"/>
    </w:p>
    <w:p w14:paraId="7FCD9717">
      <w:pPr>
        <w:keepNext w:val="0"/>
        <w:keepLines w:val="0"/>
        <w:pageBreakBefore w:val="0"/>
        <w:widowControl w:val="0"/>
        <w:kinsoku/>
        <w:wordWrap/>
        <w:overflowPunct/>
        <w:topLinePunct w:val="0"/>
        <w:autoSpaceDE/>
        <w:autoSpaceDN/>
        <w:bidi w:val="0"/>
        <w:adjustRightInd w:val="0"/>
        <w:snapToGrid w:val="0"/>
        <w:spacing w:before="163" w:beforeLines="50"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（1）定量分析建设项目中具有爆炸性、可燃性、毒性、腐蚀性的化学品数量、浓度（含量）、状态和所在的作业场所（部位）及其状况（温度、压力）</w:t>
      </w:r>
    </w:p>
    <w:p w14:paraId="73EDFEEF">
      <w:pPr>
        <w:keepNext w:val="0"/>
        <w:keepLines w:val="0"/>
        <w:pageBreakBefore w:val="0"/>
        <w:widowControl w:val="0"/>
        <w:kinsoku/>
        <w:wordWrap/>
        <w:overflowPunct/>
        <w:topLinePunct w:val="0"/>
        <w:autoSpaceDE/>
        <w:autoSpaceDN/>
        <w:bidi w:val="0"/>
        <w:adjustRightInd w:val="0"/>
        <w:snapToGrid w:val="0"/>
        <w:spacing w:before="163" w:beforeLines="50"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本项目具有爆炸性、可燃性、毒性的化学品数量、浓度（含量）、状态和所在的作业场所（部位）及其状况（温度、压力），见表5</w:t>
      </w: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w:t>
      </w:r>
      <w:r>
        <w:rPr>
          <w:rFonts w:hint="default" w:ascii="Times New Roman" w:hAnsi="Times New Roman" w:cs="Times New Roman"/>
          <w:sz w:val="28"/>
          <w:szCs w:val="28"/>
          <w:lang w:val="en-US" w:eastAsia="zh-CN"/>
        </w:rPr>
        <w:t>1</w:t>
      </w:r>
      <w:r>
        <w:rPr>
          <w:rFonts w:hint="default" w:ascii="Times New Roman" w:hAnsi="Times New Roman" w:cs="Times New Roman"/>
          <w:sz w:val="28"/>
          <w:szCs w:val="28"/>
        </w:rPr>
        <w:t>。</w:t>
      </w:r>
    </w:p>
    <w:p w14:paraId="7C2F43EB">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表5</w:t>
      </w:r>
      <w:r>
        <w:rPr>
          <w:rFonts w:hint="default" w:ascii="Times New Roman" w:hAnsi="Times New Roman" w:eastAsia="黑体" w:cs="Times New Roman"/>
          <w:sz w:val="24"/>
          <w:szCs w:val="24"/>
          <w:lang w:val="en-US" w:eastAsia="zh-CN"/>
        </w:rPr>
        <w:t xml:space="preserve">.2-1 </w:t>
      </w:r>
      <w:r>
        <w:rPr>
          <w:rFonts w:hint="default" w:ascii="Times New Roman" w:hAnsi="Times New Roman" w:eastAsia="黑体" w:cs="Times New Roman"/>
          <w:sz w:val="24"/>
          <w:szCs w:val="24"/>
        </w:rPr>
        <w:t xml:space="preserve"> 具有爆炸性、可燃性、毒性的化学品统计表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992"/>
        <w:gridCol w:w="993"/>
        <w:gridCol w:w="649"/>
        <w:gridCol w:w="1478"/>
        <w:gridCol w:w="1700"/>
        <w:gridCol w:w="617"/>
        <w:gridCol w:w="2297"/>
      </w:tblGrid>
      <w:tr w14:paraId="55C13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69F74CAF">
            <w:pPr>
              <w:jc w:val="center"/>
              <w:rPr>
                <w:rFonts w:hint="default" w:ascii="Times New Roman" w:hAnsi="Times New Roman" w:cs="Times New Roman"/>
                <w:b w:val="0"/>
                <w:bCs/>
                <w:szCs w:val="21"/>
              </w:rPr>
            </w:pPr>
            <w:r>
              <w:rPr>
                <w:rFonts w:hint="default" w:ascii="Times New Roman" w:hAnsi="Times New Roman" w:cs="Times New Roman"/>
                <w:b w:val="0"/>
                <w:bCs/>
                <w:szCs w:val="21"/>
              </w:rPr>
              <w:t>序号</w:t>
            </w:r>
          </w:p>
        </w:tc>
        <w:tc>
          <w:tcPr>
            <w:tcW w:w="528" w:type="pct"/>
            <w:vAlign w:val="center"/>
          </w:tcPr>
          <w:p w14:paraId="360A49A2">
            <w:pPr>
              <w:jc w:val="center"/>
              <w:rPr>
                <w:rFonts w:hint="default" w:ascii="Times New Roman" w:hAnsi="Times New Roman" w:cs="Times New Roman"/>
                <w:b w:val="0"/>
                <w:bCs/>
                <w:szCs w:val="21"/>
              </w:rPr>
            </w:pPr>
            <w:r>
              <w:rPr>
                <w:rFonts w:hint="default" w:ascii="Times New Roman" w:hAnsi="Times New Roman" w:cs="Times New Roman"/>
                <w:b w:val="0"/>
                <w:bCs/>
                <w:szCs w:val="21"/>
              </w:rPr>
              <w:t>名称</w:t>
            </w:r>
          </w:p>
        </w:tc>
        <w:tc>
          <w:tcPr>
            <w:tcW w:w="528" w:type="pct"/>
            <w:vAlign w:val="center"/>
          </w:tcPr>
          <w:p w14:paraId="7F3D3BC6">
            <w:pPr>
              <w:jc w:val="center"/>
              <w:rPr>
                <w:rFonts w:hint="default" w:ascii="Times New Roman" w:hAnsi="Times New Roman" w:cs="Times New Roman"/>
                <w:b w:val="0"/>
                <w:bCs/>
                <w:szCs w:val="21"/>
              </w:rPr>
            </w:pPr>
            <w:r>
              <w:rPr>
                <w:rFonts w:hint="default" w:ascii="Times New Roman" w:hAnsi="Times New Roman" w:cs="Times New Roman"/>
                <w:b w:val="0"/>
                <w:bCs/>
                <w:szCs w:val="21"/>
              </w:rPr>
              <w:t>最大储存量（t）</w:t>
            </w:r>
          </w:p>
        </w:tc>
        <w:tc>
          <w:tcPr>
            <w:tcW w:w="345" w:type="pct"/>
            <w:vAlign w:val="center"/>
          </w:tcPr>
          <w:p w14:paraId="3BF2EAE0">
            <w:pPr>
              <w:jc w:val="center"/>
              <w:rPr>
                <w:rFonts w:hint="default" w:ascii="Times New Roman" w:hAnsi="Times New Roman" w:cs="Times New Roman"/>
                <w:b w:val="0"/>
                <w:bCs/>
                <w:szCs w:val="21"/>
              </w:rPr>
            </w:pPr>
            <w:r>
              <w:rPr>
                <w:rFonts w:hint="default" w:ascii="Times New Roman" w:hAnsi="Times New Roman" w:cs="Times New Roman"/>
                <w:b w:val="0"/>
                <w:bCs/>
                <w:szCs w:val="21"/>
              </w:rPr>
              <w:t>状态</w:t>
            </w:r>
          </w:p>
        </w:tc>
        <w:tc>
          <w:tcPr>
            <w:tcW w:w="786" w:type="pct"/>
            <w:vAlign w:val="center"/>
          </w:tcPr>
          <w:p w14:paraId="3BB946D2">
            <w:pPr>
              <w:jc w:val="center"/>
              <w:rPr>
                <w:rFonts w:hint="default" w:ascii="Times New Roman" w:hAnsi="Times New Roman" w:cs="Times New Roman"/>
                <w:b w:val="0"/>
                <w:bCs/>
                <w:szCs w:val="21"/>
              </w:rPr>
            </w:pPr>
            <w:r>
              <w:rPr>
                <w:rFonts w:hint="default" w:ascii="Times New Roman" w:hAnsi="Times New Roman" w:cs="Times New Roman"/>
                <w:b w:val="0"/>
                <w:bCs/>
                <w:szCs w:val="21"/>
              </w:rPr>
              <w:t>所在场所</w:t>
            </w:r>
          </w:p>
          <w:p w14:paraId="0950AA75">
            <w:pPr>
              <w:jc w:val="center"/>
              <w:rPr>
                <w:rFonts w:hint="default" w:ascii="Times New Roman" w:hAnsi="Times New Roman" w:cs="Times New Roman"/>
                <w:b w:val="0"/>
                <w:bCs/>
                <w:szCs w:val="21"/>
              </w:rPr>
            </w:pPr>
            <w:r>
              <w:rPr>
                <w:rFonts w:hint="default" w:ascii="Times New Roman" w:hAnsi="Times New Roman" w:cs="Times New Roman"/>
                <w:b w:val="0"/>
                <w:bCs/>
                <w:szCs w:val="21"/>
              </w:rPr>
              <w:t>（部位）</w:t>
            </w:r>
          </w:p>
        </w:tc>
        <w:tc>
          <w:tcPr>
            <w:tcW w:w="904" w:type="pct"/>
            <w:vAlign w:val="center"/>
          </w:tcPr>
          <w:p w14:paraId="68D9176F">
            <w:pPr>
              <w:jc w:val="center"/>
              <w:rPr>
                <w:rFonts w:hint="default" w:ascii="Times New Roman" w:hAnsi="Times New Roman" w:cs="Times New Roman"/>
                <w:b w:val="0"/>
                <w:bCs/>
                <w:szCs w:val="21"/>
              </w:rPr>
            </w:pPr>
            <w:r>
              <w:rPr>
                <w:rFonts w:hint="default" w:ascii="Times New Roman" w:hAnsi="Times New Roman" w:cs="Times New Roman"/>
                <w:b w:val="0"/>
                <w:bCs/>
                <w:szCs w:val="21"/>
              </w:rPr>
              <w:t>状态</w:t>
            </w:r>
          </w:p>
          <w:p w14:paraId="1799BC7D">
            <w:pPr>
              <w:jc w:val="center"/>
              <w:rPr>
                <w:rFonts w:hint="default" w:ascii="Times New Roman" w:hAnsi="Times New Roman" w:cs="Times New Roman"/>
                <w:b w:val="0"/>
                <w:bCs/>
                <w:szCs w:val="21"/>
              </w:rPr>
            </w:pPr>
            <w:r>
              <w:rPr>
                <w:rFonts w:hint="default" w:ascii="Times New Roman" w:hAnsi="Times New Roman" w:cs="Times New Roman"/>
                <w:b w:val="0"/>
                <w:bCs/>
                <w:szCs w:val="21"/>
              </w:rPr>
              <w:t>（温度、压力）</w:t>
            </w:r>
          </w:p>
        </w:tc>
        <w:tc>
          <w:tcPr>
            <w:tcW w:w="328" w:type="pct"/>
            <w:vAlign w:val="center"/>
          </w:tcPr>
          <w:p w14:paraId="47477082">
            <w:pPr>
              <w:jc w:val="center"/>
              <w:rPr>
                <w:rFonts w:hint="default" w:ascii="Times New Roman" w:hAnsi="Times New Roman" w:cs="Times New Roman"/>
                <w:b w:val="0"/>
                <w:bCs/>
                <w:szCs w:val="21"/>
              </w:rPr>
            </w:pPr>
            <w:r>
              <w:rPr>
                <w:rFonts w:hint="default" w:ascii="Times New Roman" w:hAnsi="Times New Roman" w:cs="Times New Roman"/>
                <w:b w:val="0"/>
                <w:bCs/>
                <w:szCs w:val="21"/>
              </w:rPr>
              <w:t>浓度</w:t>
            </w:r>
          </w:p>
        </w:tc>
        <w:tc>
          <w:tcPr>
            <w:tcW w:w="1222" w:type="pct"/>
            <w:vAlign w:val="center"/>
          </w:tcPr>
          <w:p w14:paraId="2338882C">
            <w:pPr>
              <w:jc w:val="center"/>
              <w:rPr>
                <w:rFonts w:hint="default" w:ascii="Times New Roman" w:hAnsi="Times New Roman" w:cs="Times New Roman"/>
                <w:b w:val="0"/>
                <w:bCs/>
                <w:szCs w:val="21"/>
              </w:rPr>
            </w:pPr>
            <w:r>
              <w:rPr>
                <w:rFonts w:hint="default" w:ascii="Times New Roman" w:hAnsi="Times New Roman" w:cs="Times New Roman"/>
                <w:b w:val="0"/>
                <w:bCs/>
                <w:szCs w:val="21"/>
              </w:rPr>
              <w:t>备注</w:t>
            </w:r>
          </w:p>
        </w:tc>
      </w:tr>
      <w:tr w14:paraId="62F84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09CA9B09">
            <w:pPr>
              <w:jc w:val="center"/>
              <w:rPr>
                <w:rFonts w:hint="default" w:ascii="Times New Roman" w:hAnsi="Times New Roman" w:cs="Times New Roman"/>
                <w:b w:val="0"/>
                <w:bCs/>
                <w:szCs w:val="21"/>
              </w:rPr>
            </w:pPr>
            <w:r>
              <w:rPr>
                <w:rFonts w:hint="default" w:ascii="Times New Roman" w:hAnsi="Times New Roman" w:cs="Times New Roman"/>
                <w:b w:val="0"/>
                <w:bCs/>
                <w:szCs w:val="21"/>
              </w:rPr>
              <w:t>1</w:t>
            </w:r>
          </w:p>
        </w:tc>
        <w:tc>
          <w:tcPr>
            <w:tcW w:w="528" w:type="pct"/>
            <w:vAlign w:val="center"/>
          </w:tcPr>
          <w:p w14:paraId="5CB2F39E">
            <w:pPr>
              <w:jc w:val="center"/>
              <w:rPr>
                <w:rFonts w:hint="eastAsia" w:cs="Times New Roman"/>
                <w:b w:val="0"/>
                <w:bCs/>
                <w:szCs w:val="21"/>
                <w:lang w:eastAsia="zh-CN"/>
              </w:rPr>
            </w:pPr>
            <w:r>
              <w:rPr>
                <w:rFonts w:hint="eastAsia" w:cs="Times New Roman"/>
                <w:b w:val="0"/>
                <w:bCs/>
                <w:szCs w:val="21"/>
                <w:lang w:eastAsia="zh-CN"/>
              </w:rPr>
              <w:t>乙醇</w:t>
            </w:r>
          </w:p>
          <w:p w14:paraId="6396579F">
            <w:pPr>
              <w:jc w:val="center"/>
              <w:rPr>
                <w:rFonts w:hint="eastAsia" w:ascii="Times New Roman" w:hAnsi="Times New Roman" w:eastAsia="宋体" w:cs="Times New Roman"/>
                <w:b w:val="0"/>
                <w:bCs/>
                <w:szCs w:val="21"/>
                <w:lang w:eastAsia="zh-CN"/>
              </w:rPr>
            </w:pPr>
            <w:r>
              <w:rPr>
                <w:rFonts w:hint="eastAsia" w:cs="Times New Roman"/>
                <w:b w:val="0"/>
                <w:bCs/>
                <w:szCs w:val="21"/>
                <w:lang w:eastAsia="zh-CN"/>
              </w:rPr>
              <w:t>汽油</w:t>
            </w:r>
          </w:p>
        </w:tc>
        <w:tc>
          <w:tcPr>
            <w:tcW w:w="528" w:type="pct"/>
            <w:vAlign w:val="center"/>
          </w:tcPr>
          <w:p w14:paraId="34620065">
            <w:pPr>
              <w:jc w:val="center"/>
              <w:rPr>
                <w:rFonts w:hint="default" w:ascii="Times New Roman" w:hAnsi="Times New Roman" w:eastAsia="宋体" w:cs="Times New Roman"/>
                <w:b w:val="0"/>
                <w:bCs/>
                <w:szCs w:val="21"/>
                <w:lang w:val="en-US" w:eastAsia="zh-CN"/>
              </w:rPr>
            </w:pPr>
            <w:r>
              <w:rPr>
                <w:rFonts w:hint="eastAsia" w:cs="Times New Roman"/>
                <w:szCs w:val="21"/>
                <w:lang w:val="en-US" w:eastAsia="zh-CN"/>
              </w:rPr>
              <w:t>72</w:t>
            </w:r>
          </w:p>
        </w:tc>
        <w:tc>
          <w:tcPr>
            <w:tcW w:w="345" w:type="pct"/>
            <w:vAlign w:val="center"/>
          </w:tcPr>
          <w:p w14:paraId="116D2DCD">
            <w:pPr>
              <w:jc w:val="center"/>
              <w:rPr>
                <w:rFonts w:hint="default" w:ascii="Times New Roman" w:hAnsi="Times New Roman" w:cs="Times New Roman"/>
                <w:b w:val="0"/>
                <w:bCs/>
                <w:szCs w:val="21"/>
              </w:rPr>
            </w:pPr>
            <w:r>
              <w:rPr>
                <w:rFonts w:hint="default" w:ascii="Times New Roman" w:hAnsi="Times New Roman" w:cs="Times New Roman"/>
                <w:b w:val="0"/>
                <w:bCs/>
                <w:szCs w:val="21"/>
              </w:rPr>
              <w:t>液态</w:t>
            </w:r>
          </w:p>
        </w:tc>
        <w:tc>
          <w:tcPr>
            <w:tcW w:w="786" w:type="pct"/>
            <w:vAlign w:val="center"/>
          </w:tcPr>
          <w:p w14:paraId="48564C55">
            <w:pPr>
              <w:jc w:val="center"/>
              <w:rPr>
                <w:rFonts w:hint="default" w:ascii="Times New Roman" w:hAnsi="Times New Roman" w:cs="Times New Roman"/>
                <w:b w:val="0"/>
                <w:bCs/>
                <w:szCs w:val="21"/>
              </w:rPr>
            </w:pPr>
            <w:r>
              <w:rPr>
                <w:rFonts w:hint="default" w:ascii="Times New Roman" w:hAnsi="Times New Roman" w:cs="Times New Roman"/>
                <w:b w:val="0"/>
                <w:bCs/>
                <w:szCs w:val="21"/>
              </w:rPr>
              <w:t>加油区、卸油区和储罐区</w:t>
            </w:r>
          </w:p>
        </w:tc>
        <w:tc>
          <w:tcPr>
            <w:tcW w:w="904" w:type="pct"/>
            <w:vAlign w:val="center"/>
          </w:tcPr>
          <w:p w14:paraId="75C1058E">
            <w:pPr>
              <w:jc w:val="center"/>
              <w:rPr>
                <w:rFonts w:hint="default" w:ascii="Times New Roman" w:hAnsi="Times New Roman" w:cs="Times New Roman"/>
                <w:b w:val="0"/>
                <w:bCs/>
                <w:szCs w:val="21"/>
              </w:rPr>
            </w:pPr>
            <w:r>
              <w:rPr>
                <w:rFonts w:hint="default" w:ascii="Times New Roman" w:hAnsi="Times New Roman" w:cs="Times New Roman"/>
                <w:b w:val="0"/>
                <w:bCs/>
                <w:szCs w:val="21"/>
              </w:rPr>
              <w:t>常温、常压</w:t>
            </w:r>
          </w:p>
        </w:tc>
        <w:tc>
          <w:tcPr>
            <w:tcW w:w="328" w:type="pct"/>
            <w:vAlign w:val="center"/>
          </w:tcPr>
          <w:p w14:paraId="51A6F091">
            <w:pPr>
              <w:jc w:val="center"/>
              <w:rPr>
                <w:rFonts w:hint="default" w:ascii="Times New Roman" w:hAnsi="Times New Roman" w:cs="Times New Roman"/>
                <w:b w:val="0"/>
                <w:bCs/>
                <w:szCs w:val="21"/>
              </w:rPr>
            </w:pPr>
            <w:r>
              <w:rPr>
                <w:rFonts w:hint="default" w:ascii="Times New Roman" w:hAnsi="Times New Roman" w:cs="Times New Roman"/>
                <w:b w:val="0"/>
                <w:bCs/>
                <w:szCs w:val="21"/>
              </w:rPr>
              <w:t>--</w:t>
            </w:r>
          </w:p>
        </w:tc>
        <w:tc>
          <w:tcPr>
            <w:tcW w:w="1222" w:type="pct"/>
            <w:vAlign w:val="center"/>
          </w:tcPr>
          <w:p w14:paraId="5F3C9CEC">
            <w:pPr>
              <w:jc w:val="center"/>
              <w:rPr>
                <w:rFonts w:hint="default" w:ascii="Times New Roman" w:hAnsi="Times New Roman" w:cs="Times New Roman"/>
                <w:b w:val="0"/>
                <w:bCs/>
                <w:szCs w:val="21"/>
              </w:rPr>
            </w:pPr>
            <w:r>
              <w:rPr>
                <w:rFonts w:hint="default" w:ascii="Times New Roman" w:hAnsi="Times New Roman" w:cs="Times New Roman"/>
                <w:b w:val="0"/>
                <w:bCs/>
                <w:szCs w:val="21"/>
              </w:rPr>
              <w:t>爆炸性、可燃性、毒性</w:t>
            </w:r>
          </w:p>
        </w:tc>
      </w:tr>
      <w:tr w14:paraId="47EF6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2F046989">
            <w:pPr>
              <w:jc w:val="center"/>
              <w:rPr>
                <w:rFonts w:hint="default" w:ascii="Times New Roman" w:hAnsi="Times New Roman" w:cs="Times New Roman"/>
                <w:b w:val="0"/>
                <w:bCs/>
                <w:szCs w:val="21"/>
              </w:rPr>
            </w:pPr>
            <w:r>
              <w:rPr>
                <w:rFonts w:hint="default" w:ascii="Times New Roman" w:hAnsi="Times New Roman" w:cs="Times New Roman"/>
                <w:b w:val="0"/>
                <w:bCs/>
                <w:szCs w:val="21"/>
              </w:rPr>
              <w:t>2</w:t>
            </w:r>
          </w:p>
        </w:tc>
        <w:tc>
          <w:tcPr>
            <w:tcW w:w="528" w:type="pct"/>
            <w:vAlign w:val="center"/>
          </w:tcPr>
          <w:p w14:paraId="685A2F86">
            <w:pPr>
              <w:jc w:val="center"/>
              <w:rPr>
                <w:rFonts w:hint="default" w:ascii="Times New Roman" w:hAnsi="Times New Roman" w:cs="Times New Roman"/>
                <w:b w:val="0"/>
                <w:bCs/>
                <w:szCs w:val="21"/>
              </w:rPr>
            </w:pPr>
            <w:r>
              <w:rPr>
                <w:rFonts w:hint="default" w:ascii="Times New Roman" w:hAnsi="Times New Roman" w:cs="Times New Roman"/>
                <w:b w:val="0"/>
                <w:bCs/>
                <w:szCs w:val="21"/>
              </w:rPr>
              <w:t>柴油</w:t>
            </w:r>
          </w:p>
        </w:tc>
        <w:tc>
          <w:tcPr>
            <w:tcW w:w="528" w:type="pct"/>
            <w:vAlign w:val="center"/>
          </w:tcPr>
          <w:p w14:paraId="66005041">
            <w:pPr>
              <w:jc w:val="center"/>
              <w:rPr>
                <w:rFonts w:hint="default" w:ascii="Times New Roman" w:hAnsi="Times New Roman" w:eastAsia="宋体" w:cs="Times New Roman"/>
                <w:b w:val="0"/>
                <w:bCs/>
                <w:szCs w:val="21"/>
                <w:lang w:val="en-US" w:eastAsia="zh-CN"/>
              </w:rPr>
            </w:pPr>
            <w:r>
              <w:rPr>
                <w:rFonts w:hint="eastAsia" w:cs="Times New Roman"/>
                <w:b w:val="0"/>
                <w:bCs/>
                <w:szCs w:val="21"/>
                <w:lang w:val="en-US" w:eastAsia="zh-CN"/>
              </w:rPr>
              <w:t>25.5</w:t>
            </w:r>
          </w:p>
        </w:tc>
        <w:tc>
          <w:tcPr>
            <w:tcW w:w="345" w:type="pct"/>
            <w:vAlign w:val="center"/>
          </w:tcPr>
          <w:p w14:paraId="301BABB6">
            <w:pPr>
              <w:jc w:val="center"/>
              <w:rPr>
                <w:rFonts w:hint="default" w:ascii="Times New Roman" w:hAnsi="Times New Roman" w:cs="Times New Roman"/>
                <w:b w:val="0"/>
                <w:bCs/>
                <w:szCs w:val="21"/>
              </w:rPr>
            </w:pPr>
            <w:r>
              <w:rPr>
                <w:rFonts w:hint="default" w:ascii="Times New Roman" w:hAnsi="Times New Roman" w:cs="Times New Roman"/>
                <w:b w:val="0"/>
                <w:bCs/>
                <w:szCs w:val="21"/>
              </w:rPr>
              <w:t>液态</w:t>
            </w:r>
          </w:p>
        </w:tc>
        <w:tc>
          <w:tcPr>
            <w:tcW w:w="786" w:type="pct"/>
            <w:vAlign w:val="center"/>
          </w:tcPr>
          <w:p w14:paraId="28D6D804">
            <w:pPr>
              <w:jc w:val="center"/>
              <w:rPr>
                <w:rFonts w:hint="default" w:ascii="Times New Roman" w:hAnsi="Times New Roman" w:cs="Times New Roman"/>
                <w:b w:val="0"/>
                <w:bCs/>
                <w:szCs w:val="21"/>
              </w:rPr>
            </w:pPr>
            <w:r>
              <w:rPr>
                <w:rFonts w:hint="default" w:ascii="Times New Roman" w:hAnsi="Times New Roman" w:cs="Times New Roman"/>
                <w:b w:val="0"/>
                <w:bCs/>
                <w:szCs w:val="21"/>
              </w:rPr>
              <w:t>加油区、卸油区和储罐区</w:t>
            </w:r>
          </w:p>
        </w:tc>
        <w:tc>
          <w:tcPr>
            <w:tcW w:w="904" w:type="pct"/>
            <w:vAlign w:val="center"/>
          </w:tcPr>
          <w:p w14:paraId="1B102077">
            <w:pPr>
              <w:jc w:val="center"/>
              <w:rPr>
                <w:rFonts w:hint="default" w:ascii="Times New Roman" w:hAnsi="Times New Roman" w:cs="Times New Roman"/>
                <w:b w:val="0"/>
                <w:bCs/>
                <w:szCs w:val="21"/>
              </w:rPr>
            </w:pPr>
            <w:r>
              <w:rPr>
                <w:rFonts w:hint="default" w:ascii="Times New Roman" w:hAnsi="Times New Roman" w:cs="Times New Roman"/>
                <w:b w:val="0"/>
                <w:bCs/>
                <w:szCs w:val="21"/>
              </w:rPr>
              <w:t>常温、常压</w:t>
            </w:r>
          </w:p>
        </w:tc>
        <w:tc>
          <w:tcPr>
            <w:tcW w:w="328" w:type="pct"/>
            <w:vAlign w:val="center"/>
          </w:tcPr>
          <w:p w14:paraId="6CE55CE2">
            <w:pPr>
              <w:jc w:val="center"/>
              <w:rPr>
                <w:rFonts w:hint="default" w:ascii="Times New Roman" w:hAnsi="Times New Roman" w:cs="Times New Roman"/>
                <w:b w:val="0"/>
                <w:bCs/>
                <w:szCs w:val="21"/>
              </w:rPr>
            </w:pPr>
            <w:r>
              <w:rPr>
                <w:rFonts w:hint="default" w:ascii="Times New Roman" w:hAnsi="Times New Roman" w:cs="Times New Roman"/>
                <w:b w:val="0"/>
                <w:bCs/>
                <w:szCs w:val="21"/>
              </w:rPr>
              <w:t>--</w:t>
            </w:r>
          </w:p>
        </w:tc>
        <w:tc>
          <w:tcPr>
            <w:tcW w:w="1222" w:type="pct"/>
            <w:vAlign w:val="center"/>
          </w:tcPr>
          <w:p w14:paraId="79C16555">
            <w:pPr>
              <w:jc w:val="center"/>
              <w:rPr>
                <w:rFonts w:hint="default" w:ascii="Times New Roman" w:hAnsi="Times New Roman" w:cs="Times New Roman"/>
                <w:b w:val="0"/>
                <w:bCs/>
                <w:szCs w:val="21"/>
              </w:rPr>
            </w:pPr>
            <w:r>
              <w:rPr>
                <w:rFonts w:hint="default" w:ascii="Times New Roman" w:hAnsi="Times New Roman" w:cs="Times New Roman"/>
                <w:b w:val="0"/>
                <w:bCs/>
                <w:szCs w:val="21"/>
              </w:rPr>
              <w:t>可燃性、毒性</w:t>
            </w:r>
          </w:p>
        </w:tc>
      </w:tr>
    </w:tbl>
    <w:p w14:paraId="651841D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196" w:name="_Toc3630"/>
      <w:r>
        <w:rPr>
          <w:rFonts w:hint="default" w:ascii="Times New Roman" w:hAnsi="Times New Roman" w:cs="Times New Roman"/>
          <w:sz w:val="28"/>
          <w:szCs w:val="28"/>
        </w:rPr>
        <w:t>（2）定性分析建设项目总的和各个作业场所的固有危险程度</w:t>
      </w:r>
      <w:bookmarkEnd w:id="196"/>
    </w:p>
    <w:p w14:paraId="7C86E4C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本报告针对定性分析建设项目固有的危险程度选用“安全检查表法”和“预先危险性评价法”。具体详见附录F4。</w:t>
      </w:r>
    </w:p>
    <w:p w14:paraId="2362D44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197" w:name="_Toc21938"/>
      <w:r>
        <w:rPr>
          <w:rFonts w:hint="default" w:ascii="Times New Roman" w:hAnsi="Times New Roman" w:cs="Times New Roman"/>
          <w:sz w:val="28"/>
          <w:szCs w:val="28"/>
        </w:rPr>
        <w:t>（3）定量分析建设项目安全评价范围内和各个评价单元的固有危险程度</w:t>
      </w:r>
      <w:bookmarkEnd w:id="197"/>
    </w:p>
    <w:p w14:paraId="511634C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 w:val="0"/>
          <w:bCs/>
          <w:sz w:val="28"/>
          <w:szCs w:val="28"/>
        </w:rPr>
      </w:pPr>
      <w:bookmarkStart w:id="198" w:name="_Toc15327"/>
      <w:r>
        <w:rPr>
          <w:rFonts w:hint="default" w:ascii="Times New Roman" w:hAnsi="Times New Roman" w:cs="Times New Roman"/>
          <w:b w:val="0"/>
          <w:bCs/>
          <w:sz w:val="28"/>
          <w:szCs w:val="28"/>
        </w:rPr>
        <w:t>①具有爆炸性化学品的质量及相当于梯恩梯（TNT）的摩尔量</w:t>
      </w:r>
    </w:p>
    <w:p w14:paraId="7C846D9C">
      <w:pPr>
        <w:widowControl w:val="0"/>
        <w:overflowPunct w:val="0"/>
        <w:adjustRightInd w:val="0"/>
        <w:snapToGrid w:val="0"/>
        <w:spacing w:before="193" w:beforeLines="50" w:after="193" w:afterLines="50" w:line="336" w:lineRule="auto"/>
        <w:ind w:firstLine="0" w:firstLineChars="0"/>
        <w:jc w:val="center"/>
        <w:rPr>
          <w:rFonts w:hint="default" w:ascii="Times New Roman" w:hAnsi="Times New Roman" w:eastAsia="黑体" w:cs="Times New Roman"/>
          <w:kern w:val="2"/>
          <w:sz w:val="24"/>
          <w:szCs w:val="24"/>
          <w:lang w:val="en-US" w:eastAsia="zh-CN" w:bidi="ar-SA"/>
        </w:rPr>
      </w:pPr>
      <w:r>
        <w:rPr>
          <w:rFonts w:hint="default" w:ascii="Times New Roman" w:hAnsi="Times New Roman" w:eastAsia="黑体" w:cs="Times New Roman"/>
          <w:kern w:val="2"/>
          <w:sz w:val="24"/>
          <w:szCs w:val="24"/>
          <w:lang w:val="en-US" w:eastAsia="zh-CN" w:bidi="ar-SA"/>
        </w:rPr>
        <w:t>表</w:t>
      </w:r>
      <w:r>
        <w:rPr>
          <w:rFonts w:hint="eastAsia" w:ascii="Times New Roman" w:hAnsi="Times New Roman" w:eastAsia="黑体" w:cs="Times New Roman"/>
          <w:kern w:val="2"/>
          <w:sz w:val="24"/>
          <w:szCs w:val="24"/>
          <w:lang w:val="en-US" w:eastAsia="zh-CN" w:bidi="ar-SA"/>
        </w:rPr>
        <w:t>5.2-2</w:t>
      </w:r>
      <w:r>
        <w:rPr>
          <w:rFonts w:hint="default" w:ascii="Times New Roman" w:hAnsi="Times New Roman" w:eastAsia="黑体" w:cs="Times New Roman"/>
          <w:kern w:val="2"/>
          <w:sz w:val="24"/>
          <w:szCs w:val="24"/>
          <w:lang w:val="en-US" w:eastAsia="zh-CN" w:bidi="ar-SA"/>
        </w:rPr>
        <w:t xml:space="preserve"> 具有爆炸性的危险品的质量</w:t>
      </w:r>
      <w:r>
        <w:rPr>
          <w:rFonts w:hint="eastAsia" w:ascii="Times New Roman" w:hAnsi="Times New Roman" w:eastAsia="黑体" w:cs="Times New Roman"/>
          <w:kern w:val="2"/>
          <w:sz w:val="24"/>
          <w:szCs w:val="24"/>
          <w:lang w:val="en-US" w:eastAsia="zh-CN" w:bidi="ar-SA"/>
        </w:rPr>
        <w:t>（一个乙醇汽油储罐）</w:t>
      </w:r>
      <w:r>
        <w:rPr>
          <w:rFonts w:hint="default" w:ascii="Times New Roman" w:hAnsi="Times New Roman" w:eastAsia="黑体" w:cs="Times New Roman"/>
          <w:kern w:val="2"/>
          <w:sz w:val="24"/>
          <w:szCs w:val="24"/>
          <w:lang w:val="en-US" w:eastAsia="zh-CN" w:bidi="ar-SA"/>
        </w:rPr>
        <w:t>及相当于TNT的摩尔量</w:t>
      </w:r>
    </w:p>
    <w:tbl>
      <w:tblPr>
        <w:tblStyle w:val="13"/>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134"/>
        <w:gridCol w:w="2400"/>
        <w:gridCol w:w="3866"/>
      </w:tblGrid>
      <w:tr w14:paraId="1BBBC2B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54" w:hRule="atLeast"/>
          <w:tblHeader/>
        </w:trPr>
        <w:tc>
          <w:tcPr>
            <w:tcW w:w="2983" w:type="dxa"/>
            <w:tcBorders>
              <w:top w:val="single" w:color="auto" w:sz="4" w:space="0"/>
              <w:left w:val="single" w:color="auto" w:sz="4" w:space="0"/>
            </w:tcBorders>
            <w:noWrap w:val="0"/>
            <w:vAlign w:val="center"/>
          </w:tcPr>
          <w:p w14:paraId="5071C79F">
            <w:pPr>
              <w:jc w:val="center"/>
              <w:rPr>
                <w:rFonts w:hint="default" w:ascii="Times New Roman" w:hAnsi="Times New Roman" w:eastAsia="宋体" w:cs="Times New Roman"/>
                <w:b w:val="0"/>
                <w:bCs/>
                <w:szCs w:val="21"/>
              </w:rPr>
            </w:pPr>
            <w:r>
              <w:rPr>
                <w:rFonts w:hint="default" w:ascii="Times New Roman" w:hAnsi="Times New Roman" w:eastAsia="宋体" w:cs="Times New Roman"/>
                <w:b w:val="0"/>
                <w:bCs/>
                <w:szCs w:val="21"/>
              </w:rPr>
              <w:t>名称</w:t>
            </w:r>
          </w:p>
        </w:tc>
        <w:tc>
          <w:tcPr>
            <w:tcW w:w="2284" w:type="dxa"/>
            <w:tcBorders>
              <w:top w:val="single" w:color="auto" w:sz="4" w:space="0"/>
            </w:tcBorders>
            <w:noWrap w:val="0"/>
            <w:vAlign w:val="center"/>
          </w:tcPr>
          <w:p w14:paraId="3AA4D60D">
            <w:pPr>
              <w:jc w:val="center"/>
              <w:rPr>
                <w:rFonts w:hint="default" w:ascii="Times New Roman" w:hAnsi="Times New Roman" w:eastAsia="宋体" w:cs="Times New Roman"/>
                <w:b w:val="0"/>
                <w:bCs/>
                <w:szCs w:val="21"/>
              </w:rPr>
            </w:pPr>
            <w:r>
              <w:rPr>
                <w:rFonts w:hint="default" w:ascii="Times New Roman" w:hAnsi="Times New Roman" w:eastAsia="宋体" w:cs="Times New Roman"/>
                <w:b w:val="0"/>
                <w:bCs/>
                <w:szCs w:val="21"/>
              </w:rPr>
              <w:t>质量（kg）</w:t>
            </w:r>
          </w:p>
        </w:tc>
        <w:tc>
          <w:tcPr>
            <w:tcW w:w="3679" w:type="dxa"/>
            <w:tcBorders>
              <w:top w:val="single" w:color="auto" w:sz="4" w:space="0"/>
              <w:right w:val="single" w:color="auto" w:sz="4" w:space="0"/>
            </w:tcBorders>
            <w:noWrap w:val="0"/>
            <w:vAlign w:val="center"/>
          </w:tcPr>
          <w:p w14:paraId="7B8DE546">
            <w:pPr>
              <w:jc w:val="center"/>
              <w:rPr>
                <w:rFonts w:hint="default" w:ascii="Times New Roman" w:hAnsi="Times New Roman" w:eastAsia="宋体" w:cs="Times New Roman"/>
                <w:b w:val="0"/>
                <w:bCs/>
                <w:szCs w:val="21"/>
              </w:rPr>
            </w:pPr>
            <w:r>
              <w:rPr>
                <w:rFonts w:hint="default" w:ascii="Times New Roman" w:hAnsi="Times New Roman" w:eastAsia="宋体" w:cs="Times New Roman"/>
                <w:b w:val="0"/>
                <w:bCs/>
                <w:szCs w:val="21"/>
              </w:rPr>
              <w:t>车用乙醇汽油的TNT当量（kg）</w:t>
            </w:r>
          </w:p>
        </w:tc>
      </w:tr>
      <w:tr w14:paraId="3BD01D0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983" w:type="dxa"/>
            <w:tcBorders>
              <w:left w:val="single" w:color="auto" w:sz="4" w:space="0"/>
              <w:bottom w:val="single" w:color="auto" w:sz="4" w:space="0"/>
            </w:tcBorders>
            <w:noWrap w:val="0"/>
            <w:vAlign w:val="center"/>
          </w:tcPr>
          <w:p w14:paraId="3737782D">
            <w:pPr>
              <w:jc w:val="center"/>
              <w:rPr>
                <w:rFonts w:hint="default" w:ascii="Times New Roman" w:hAnsi="Times New Roman" w:eastAsia="宋体" w:cs="Times New Roman"/>
                <w:b w:val="0"/>
                <w:bCs/>
                <w:szCs w:val="21"/>
              </w:rPr>
            </w:pPr>
            <w:r>
              <w:rPr>
                <w:rFonts w:hint="default" w:ascii="Times New Roman" w:hAnsi="Times New Roman" w:eastAsia="宋体" w:cs="Times New Roman"/>
                <w:b w:val="0"/>
                <w:bCs/>
                <w:szCs w:val="21"/>
              </w:rPr>
              <w:t>乙醇汽油</w:t>
            </w:r>
          </w:p>
        </w:tc>
        <w:tc>
          <w:tcPr>
            <w:tcW w:w="2284" w:type="dxa"/>
            <w:tcBorders>
              <w:bottom w:val="single" w:color="auto" w:sz="4" w:space="0"/>
            </w:tcBorders>
            <w:noWrap w:val="0"/>
            <w:vAlign w:val="center"/>
          </w:tcPr>
          <w:p w14:paraId="48B8BB99">
            <w:pPr>
              <w:jc w:val="center"/>
              <w:rPr>
                <w:rFonts w:hint="default" w:ascii="Times New Roman" w:hAnsi="Times New Roman" w:eastAsia="宋体" w:cs="Times New Roman"/>
                <w:b w:val="0"/>
                <w:bCs/>
                <w:szCs w:val="21"/>
                <w:lang w:val="en-US" w:eastAsia="zh-CN"/>
              </w:rPr>
            </w:pPr>
            <w:r>
              <w:rPr>
                <w:rFonts w:hint="eastAsia" w:ascii="Times New Roman" w:hAnsi="Times New Roman" w:eastAsia="宋体" w:cs="Times New Roman"/>
                <w:b w:val="0"/>
                <w:bCs/>
                <w:szCs w:val="21"/>
                <w:lang w:val="en-US" w:eastAsia="zh-CN"/>
              </w:rPr>
              <w:t>24000</w:t>
            </w:r>
          </w:p>
        </w:tc>
        <w:tc>
          <w:tcPr>
            <w:tcW w:w="3679" w:type="dxa"/>
            <w:tcBorders>
              <w:bottom w:val="single" w:color="auto" w:sz="4" w:space="0"/>
              <w:right w:val="single" w:color="auto" w:sz="4" w:space="0"/>
            </w:tcBorders>
            <w:noWrap w:val="0"/>
            <w:vAlign w:val="center"/>
          </w:tcPr>
          <w:p w14:paraId="7F7EC495">
            <w:pPr>
              <w:jc w:val="center"/>
              <w:rPr>
                <w:rFonts w:hint="default" w:ascii="Times New Roman" w:hAnsi="Times New Roman" w:eastAsia="宋体" w:cs="Times New Roman"/>
                <w:b w:val="0"/>
                <w:bCs/>
                <w:szCs w:val="21"/>
                <w:lang w:val="en-US" w:eastAsia="zh-CN"/>
              </w:rPr>
            </w:pPr>
            <w:r>
              <w:rPr>
                <w:rFonts w:hint="eastAsia" w:ascii="Times New Roman" w:hAnsi="Times New Roman" w:eastAsia="宋体" w:cs="Times New Roman"/>
                <w:b w:val="0"/>
                <w:bCs/>
                <w:szCs w:val="21"/>
                <w:lang w:val="en-US" w:eastAsia="zh-CN"/>
              </w:rPr>
              <w:t>1757.82</w:t>
            </w:r>
          </w:p>
        </w:tc>
      </w:tr>
    </w:tbl>
    <w:p w14:paraId="55EEA98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 w:val="0"/>
          <w:bCs/>
          <w:sz w:val="28"/>
          <w:szCs w:val="28"/>
        </w:rPr>
      </w:pPr>
      <w:r>
        <w:rPr>
          <w:rFonts w:hint="default" w:ascii="Times New Roman" w:hAnsi="Times New Roman" w:cs="Times New Roman"/>
          <w:b w:val="0"/>
          <w:bCs/>
          <w:sz w:val="28"/>
          <w:szCs w:val="28"/>
        </w:rPr>
        <w:t>②具有可燃性的化学品的质量及燃烧后放出的热量</w:t>
      </w:r>
    </w:p>
    <w:bookmarkEnd w:id="198"/>
    <w:p w14:paraId="2FB8868C">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b w:val="0"/>
          <w:bCs/>
          <w:sz w:val="24"/>
          <w:szCs w:val="24"/>
        </w:rPr>
      </w:pPr>
      <w:r>
        <w:rPr>
          <w:rFonts w:hint="default" w:ascii="Times New Roman" w:hAnsi="Times New Roman" w:eastAsia="黑体" w:cs="Times New Roman"/>
          <w:b w:val="0"/>
          <w:bCs/>
          <w:sz w:val="24"/>
          <w:szCs w:val="24"/>
        </w:rPr>
        <w:t>表</w:t>
      </w:r>
      <w:r>
        <w:rPr>
          <w:rFonts w:hint="eastAsia" w:ascii="Times New Roman" w:hAnsi="Times New Roman" w:eastAsia="黑体" w:cs="Times New Roman"/>
          <w:b w:val="0"/>
          <w:bCs/>
          <w:sz w:val="24"/>
          <w:szCs w:val="24"/>
          <w:lang w:val="en-US" w:eastAsia="zh-CN"/>
        </w:rPr>
        <w:t>5.2-</w:t>
      </w:r>
      <w:r>
        <w:rPr>
          <w:rFonts w:hint="eastAsia" w:eastAsia="黑体" w:cs="Times New Roman"/>
          <w:b w:val="0"/>
          <w:bCs/>
          <w:sz w:val="24"/>
          <w:szCs w:val="24"/>
          <w:lang w:val="en-US" w:eastAsia="zh-CN"/>
        </w:rPr>
        <w:t>3</w:t>
      </w:r>
      <w:r>
        <w:rPr>
          <w:rFonts w:hint="eastAsia" w:ascii="Times New Roman" w:hAnsi="Times New Roman" w:eastAsia="黑体" w:cs="Times New Roman"/>
          <w:b w:val="0"/>
          <w:bCs/>
          <w:sz w:val="24"/>
          <w:szCs w:val="24"/>
          <w:lang w:val="en-US" w:eastAsia="zh-CN"/>
        </w:rPr>
        <w:t xml:space="preserve">  </w:t>
      </w:r>
      <w:r>
        <w:rPr>
          <w:rFonts w:hint="default" w:ascii="Times New Roman" w:hAnsi="Times New Roman" w:eastAsia="黑体" w:cs="Times New Roman"/>
          <w:b w:val="0"/>
          <w:bCs/>
          <w:sz w:val="24"/>
          <w:szCs w:val="24"/>
        </w:rPr>
        <w:t>可燃性的化学品的质量及燃烧后放出的热量</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1893"/>
        <w:gridCol w:w="1738"/>
        <w:gridCol w:w="1961"/>
        <w:gridCol w:w="2795"/>
      </w:tblGrid>
      <w:tr w14:paraId="11FF2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13" w:type="dxa"/>
            <w:vAlign w:val="center"/>
          </w:tcPr>
          <w:p w14:paraId="11981137">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序号</w:t>
            </w:r>
          </w:p>
        </w:tc>
        <w:tc>
          <w:tcPr>
            <w:tcW w:w="1893" w:type="dxa"/>
            <w:vAlign w:val="center"/>
          </w:tcPr>
          <w:p w14:paraId="480A2A6F">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物质名称</w:t>
            </w:r>
          </w:p>
        </w:tc>
        <w:tc>
          <w:tcPr>
            <w:tcW w:w="1738" w:type="dxa"/>
            <w:vAlign w:val="center"/>
          </w:tcPr>
          <w:p w14:paraId="0A3C48AB">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最大储存量（t）</w:t>
            </w:r>
          </w:p>
        </w:tc>
        <w:tc>
          <w:tcPr>
            <w:tcW w:w="1961" w:type="dxa"/>
            <w:vAlign w:val="center"/>
          </w:tcPr>
          <w:p w14:paraId="5FDE9081">
            <w:pPr>
              <w:ind w:firstLine="211"/>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燃烧热（kJ/kg）</w:t>
            </w:r>
          </w:p>
        </w:tc>
        <w:tc>
          <w:tcPr>
            <w:tcW w:w="2795" w:type="dxa"/>
            <w:vAlign w:val="center"/>
          </w:tcPr>
          <w:p w14:paraId="71BCE976">
            <w:pPr>
              <w:ind w:firstLine="211"/>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燃烧后放出的热量（kJ）</w:t>
            </w:r>
          </w:p>
        </w:tc>
      </w:tr>
      <w:tr w14:paraId="4077B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13" w:type="dxa"/>
            <w:vAlign w:val="center"/>
          </w:tcPr>
          <w:p w14:paraId="1AA46C8E">
            <w:pPr>
              <w:pStyle w:val="21"/>
              <w:numPr>
                <w:ilvl w:val="0"/>
                <w:numId w:val="7"/>
              </w:numPr>
              <w:jc w:val="center"/>
              <w:rPr>
                <w:rFonts w:hint="default" w:ascii="Times New Roman" w:hAnsi="Times New Roman" w:cs="Times New Roman"/>
                <w:b w:val="0"/>
                <w:bCs/>
                <w:lang w:eastAsia="zh-CN"/>
              </w:rPr>
            </w:pPr>
          </w:p>
        </w:tc>
        <w:tc>
          <w:tcPr>
            <w:tcW w:w="1893" w:type="dxa"/>
            <w:vAlign w:val="center"/>
          </w:tcPr>
          <w:p w14:paraId="7A69DF6D">
            <w:pPr>
              <w:jc w:val="center"/>
              <w:rPr>
                <w:rFonts w:hint="eastAsia" w:ascii="Times New Roman" w:hAnsi="Times New Roman" w:cs="Times New Roman" w:eastAsiaTheme="minorEastAsia"/>
                <w:b w:val="0"/>
                <w:bCs/>
                <w:szCs w:val="21"/>
                <w:lang w:eastAsia="zh-CN"/>
              </w:rPr>
            </w:pPr>
            <w:r>
              <w:rPr>
                <w:rFonts w:hint="eastAsia" w:cs="Times New Roman" w:eastAsiaTheme="minorEastAsia"/>
                <w:b w:val="0"/>
                <w:bCs/>
                <w:szCs w:val="21"/>
                <w:lang w:eastAsia="zh-CN"/>
              </w:rPr>
              <w:t>乙醇汽油</w:t>
            </w:r>
          </w:p>
        </w:tc>
        <w:tc>
          <w:tcPr>
            <w:tcW w:w="1738" w:type="dxa"/>
            <w:vAlign w:val="center"/>
          </w:tcPr>
          <w:p w14:paraId="2AA10B35">
            <w:pPr>
              <w:jc w:val="center"/>
              <w:rPr>
                <w:rFonts w:hint="default" w:ascii="Times New Roman" w:hAnsi="Times New Roman" w:cs="Times New Roman" w:eastAsiaTheme="minorEastAsia"/>
                <w:b w:val="0"/>
                <w:bCs/>
                <w:szCs w:val="21"/>
                <w:lang w:val="en-US" w:eastAsia="zh-CN"/>
              </w:rPr>
            </w:pPr>
            <w:r>
              <w:rPr>
                <w:rFonts w:hint="eastAsia" w:cs="Times New Roman" w:eastAsiaTheme="minorEastAsia"/>
                <w:b w:val="0"/>
                <w:bCs/>
                <w:szCs w:val="21"/>
                <w:lang w:val="en-US" w:eastAsia="zh-CN"/>
              </w:rPr>
              <w:t>72</w:t>
            </w:r>
          </w:p>
        </w:tc>
        <w:tc>
          <w:tcPr>
            <w:tcW w:w="1961" w:type="dxa"/>
            <w:vAlign w:val="center"/>
          </w:tcPr>
          <w:p w14:paraId="516920B7">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45980</w:t>
            </w:r>
          </w:p>
        </w:tc>
        <w:tc>
          <w:tcPr>
            <w:tcW w:w="2795" w:type="dxa"/>
            <w:vAlign w:val="center"/>
          </w:tcPr>
          <w:p w14:paraId="1F61EEDF">
            <w:pPr>
              <w:jc w:val="center"/>
              <w:rPr>
                <w:rFonts w:hint="default" w:ascii="Times New Roman" w:hAnsi="Times New Roman" w:cs="Times New Roman" w:eastAsiaTheme="minorEastAsia"/>
                <w:b w:val="0"/>
                <w:bCs/>
                <w:szCs w:val="21"/>
              </w:rPr>
            </w:pPr>
            <w:r>
              <w:rPr>
                <w:rFonts w:hint="eastAsia" w:cs="Times New Roman" w:eastAsiaTheme="minorEastAsia"/>
                <w:b w:val="0"/>
                <w:bCs/>
                <w:szCs w:val="21"/>
                <w:lang w:val="en-US" w:eastAsia="zh-CN"/>
              </w:rPr>
              <w:t>3.3</w:t>
            </w:r>
            <w:r>
              <w:rPr>
                <w:rFonts w:hint="default" w:ascii="Times New Roman" w:hAnsi="Times New Roman" w:cs="Times New Roman" w:eastAsiaTheme="minorEastAsia"/>
                <w:b w:val="0"/>
                <w:bCs/>
                <w:szCs w:val="21"/>
              </w:rPr>
              <w:t>×10</w:t>
            </w:r>
            <w:r>
              <w:rPr>
                <w:rFonts w:hint="default" w:ascii="Times New Roman" w:hAnsi="Times New Roman" w:cs="Times New Roman" w:eastAsiaTheme="minorEastAsia"/>
                <w:b w:val="0"/>
                <w:bCs/>
                <w:szCs w:val="21"/>
                <w:vertAlign w:val="superscript"/>
              </w:rPr>
              <w:t>9</w:t>
            </w:r>
          </w:p>
        </w:tc>
      </w:tr>
      <w:tr w14:paraId="5490D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13" w:type="dxa"/>
            <w:vAlign w:val="center"/>
          </w:tcPr>
          <w:p w14:paraId="34532674">
            <w:pPr>
              <w:pStyle w:val="21"/>
              <w:numPr>
                <w:ilvl w:val="0"/>
                <w:numId w:val="7"/>
              </w:numPr>
              <w:jc w:val="center"/>
              <w:rPr>
                <w:rFonts w:hint="default" w:ascii="Times New Roman" w:hAnsi="Times New Roman" w:cs="Times New Roman"/>
                <w:b w:val="0"/>
                <w:bCs/>
              </w:rPr>
            </w:pPr>
          </w:p>
        </w:tc>
        <w:tc>
          <w:tcPr>
            <w:tcW w:w="1893" w:type="dxa"/>
            <w:vAlign w:val="center"/>
          </w:tcPr>
          <w:p w14:paraId="14FC8029">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柴油</w:t>
            </w:r>
          </w:p>
        </w:tc>
        <w:tc>
          <w:tcPr>
            <w:tcW w:w="1738" w:type="dxa"/>
            <w:vAlign w:val="center"/>
          </w:tcPr>
          <w:p w14:paraId="4A36C93A">
            <w:pPr>
              <w:jc w:val="center"/>
              <w:rPr>
                <w:rFonts w:hint="default" w:ascii="Times New Roman" w:hAnsi="Times New Roman" w:cs="Times New Roman" w:eastAsiaTheme="minorEastAsia"/>
                <w:b w:val="0"/>
                <w:bCs/>
                <w:szCs w:val="21"/>
                <w:lang w:val="en-US" w:eastAsia="zh-CN"/>
              </w:rPr>
            </w:pPr>
            <w:r>
              <w:rPr>
                <w:rFonts w:hint="eastAsia" w:cs="Times New Roman" w:eastAsiaTheme="minorEastAsia"/>
                <w:b w:val="0"/>
                <w:bCs/>
                <w:szCs w:val="21"/>
                <w:lang w:val="en-US" w:eastAsia="zh-CN"/>
              </w:rPr>
              <w:t>25.5</w:t>
            </w:r>
          </w:p>
        </w:tc>
        <w:tc>
          <w:tcPr>
            <w:tcW w:w="1961" w:type="dxa"/>
            <w:vAlign w:val="center"/>
          </w:tcPr>
          <w:p w14:paraId="3BAA8D87">
            <w:pPr>
              <w:jc w:val="center"/>
              <w:rPr>
                <w:rFonts w:hint="default" w:ascii="Times New Roman" w:hAnsi="Times New Roman" w:cs="Times New Roman" w:eastAsiaTheme="minorEastAsia"/>
                <w:b w:val="0"/>
                <w:bCs/>
                <w:szCs w:val="21"/>
              </w:rPr>
            </w:pPr>
            <w:r>
              <w:rPr>
                <w:rFonts w:hint="default" w:ascii="Times New Roman" w:hAnsi="Times New Roman" w:cs="Times New Roman" w:eastAsiaTheme="minorEastAsia"/>
                <w:b w:val="0"/>
                <w:bCs/>
                <w:szCs w:val="21"/>
              </w:rPr>
              <w:t>40184</w:t>
            </w:r>
          </w:p>
        </w:tc>
        <w:tc>
          <w:tcPr>
            <w:tcW w:w="2795" w:type="dxa"/>
            <w:vAlign w:val="center"/>
          </w:tcPr>
          <w:p w14:paraId="19482251">
            <w:pPr>
              <w:jc w:val="center"/>
              <w:rPr>
                <w:rFonts w:hint="default" w:ascii="Times New Roman" w:hAnsi="Times New Roman" w:cs="Times New Roman" w:eastAsiaTheme="minorEastAsia"/>
                <w:b w:val="0"/>
                <w:bCs/>
                <w:szCs w:val="21"/>
              </w:rPr>
            </w:pPr>
            <w:r>
              <w:rPr>
                <w:rFonts w:hint="eastAsia" w:cs="Times New Roman" w:eastAsiaTheme="minorEastAsia"/>
                <w:b w:val="0"/>
                <w:bCs/>
                <w:szCs w:val="21"/>
                <w:lang w:val="en-US" w:eastAsia="zh-CN"/>
              </w:rPr>
              <w:t>1.0</w:t>
            </w:r>
            <w:r>
              <w:rPr>
                <w:rFonts w:hint="default" w:ascii="Times New Roman" w:hAnsi="Times New Roman" w:cs="Times New Roman" w:eastAsiaTheme="minorEastAsia"/>
                <w:b w:val="0"/>
                <w:bCs/>
                <w:szCs w:val="21"/>
              </w:rPr>
              <w:t>×10</w:t>
            </w:r>
            <w:r>
              <w:rPr>
                <w:rFonts w:hint="default" w:ascii="Times New Roman" w:hAnsi="Times New Roman" w:cs="Times New Roman" w:eastAsiaTheme="minorEastAsia"/>
                <w:b w:val="0"/>
                <w:bCs/>
                <w:szCs w:val="21"/>
                <w:vertAlign w:val="superscript"/>
              </w:rPr>
              <w:t>9</w:t>
            </w:r>
          </w:p>
        </w:tc>
      </w:tr>
    </w:tbl>
    <w:p w14:paraId="614084F8">
      <w:pPr>
        <w:keepNext w:val="0"/>
        <w:keepLines w:val="0"/>
        <w:pageBreakBefore w:val="0"/>
        <w:widowControl w:val="0"/>
        <w:kinsoku/>
        <w:wordWrap/>
        <w:overflowPunct/>
        <w:topLinePunct w:val="0"/>
        <w:autoSpaceDE/>
        <w:autoSpaceDN/>
        <w:bidi w:val="0"/>
        <w:adjustRightInd w:val="0"/>
        <w:snapToGrid w:val="0"/>
        <w:spacing w:before="164" w:beforeLines="50" w:line="360" w:lineRule="auto"/>
        <w:ind w:firstLine="560" w:firstLineChars="200"/>
        <w:textAlignment w:val="auto"/>
        <w:rPr>
          <w:rFonts w:hint="default" w:ascii="Times New Roman" w:hAnsi="Times New Roman" w:cs="Times New Roman"/>
          <w:b w:val="0"/>
          <w:bCs/>
          <w:sz w:val="28"/>
          <w:szCs w:val="28"/>
        </w:rPr>
      </w:pPr>
      <w:bookmarkStart w:id="199" w:name="_Toc14920"/>
      <w:bookmarkStart w:id="200" w:name="_Toc41246703"/>
      <w:bookmarkStart w:id="201" w:name="_Toc17118"/>
      <w:r>
        <w:rPr>
          <w:rFonts w:hint="default" w:ascii="Times New Roman" w:hAnsi="Times New Roman" w:cs="Times New Roman"/>
          <w:b w:val="0"/>
          <w:bCs/>
          <w:sz w:val="28"/>
          <w:szCs w:val="28"/>
        </w:rPr>
        <w:t>③具有毒性的化学品的浓度及质量</w:t>
      </w:r>
    </w:p>
    <w:p w14:paraId="37EB460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本项目不涉及高毒及剧毒化学品，</w:t>
      </w:r>
      <w:r>
        <w:rPr>
          <w:rFonts w:hint="eastAsia" w:cs="Times New Roman"/>
          <w:sz w:val="28"/>
          <w:szCs w:val="28"/>
          <w:lang w:eastAsia="zh-CN"/>
        </w:rPr>
        <w:t>乙醇汽油</w:t>
      </w:r>
      <w:r>
        <w:rPr>
          <w:rFonts w:hint="default" w:ascii="Times New Roman" w:hAnsi="Times New Roman" w:cs="Times New Roman"/>
          <w:sz w:val="28"/>
          <w:szCs w:val="28"/>
        </w:rPr>
        <w:t>职业接触限值：PC-TWA：300mg/m³。</w:t>
      </w:r>
    </w:p>
    <w:p w14:paraId="4C43596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 w:val="0"/>
          <w:bCs/>
          <w:sz w:val="28"/>
          <w:szCs w:val="28"/>
        </w:rPr>
      </w:pPr>
      <w:r>
        <w:rPr>
          <w:rFonts w:hint="default" w:ascii="Times New Roman" w:hAnsi="Times New Roman" w:cs="Times New Roman"/>
          <w:b w:val="0"/>
          <w:bCs/>
          <w:sz w:val="28"/>
          <w:szCs w:val="28"/>
        </w:rPr>
        <w:t>④具有腐蚀性的化学品的浓度及质量</w:t>
      </w:r>
    </w:p>
    <w:p w14:paraId="1376A8A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rPr>
      </w:pPr>
      <w:r>
        <w:rPr>
          <w:rFonts w:hint="default" w:ascii="Times New Roman" w:hAnsi="Times New Roman" w:cs="Times New Roman"/>
          <w:sz w:val="28"/>
          <w:szCs w:val="28"/>
        </w:rPr>
        <w:t>本项目不涉及腐蚀性化学品。</w:t>
      </w:r>
    </w:p>
    <w:p w14:paraId="006B8F03">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02" w:name="_Toc21746"/>
      <w:bookmarkStart w:id="203" w:name="_Toc146488860"/>
      <w:r>
        <w:rPr>
          <w:rFonts w:hint="default" w:ascii="Times New Roman" w:hAnsi="Times New Roman" w:eastAsia="黑体" w:cs="Times New Roman"/>
          <w:b/>
          <w:bCs/>
          <w:color w:val="auto"/>
          <w:sz w:val="28"/>
          <w:szCs w:val="32"/>
          <w:lang w:val="en-US" w:eastAsia="zh-CN"/>
        </w:rPr>
        <w:t>5.2.4风险程度</w:t>
      </w:r>
      <w:bookmarkEnd w:id="199"/>
      <w:bookmarkEnd w:id="200"/>
      <w:r>
        <w:rPr>
          <w:rFonts w:hint="default" w:ascii="Times New Roman" w:hAnsi="Times New Roman" w:eastAsia="黑体" w:cs="Times New Roman"/>
          <w:b/>
          <w:bCs/>
          <w:color w:val="auto"/>
          <w:sz w:val="28"/>
          <w:szCs w:val="32"/>
          <w:lang w:val="en-US" w:eastAsia="zh-CN"/>
        </w:rPr>
        <w:t>的分析</w:t>
      </w:r>
      <w:bookmarkEnd w:id="201"/>
      <w:bookmarkEnd w:id="202"/>
      <w:bookmarkEnd w:id="203"/>
    </w:p>
    <w:p w14:paraId="33755735">
      <w:pPr>
        <w:keepNext w:val="0"/>
        <w:keepLines w:val="0"/>
        <w:pageBreakBefore w:val="0"/>
        <w:widowControl w:val="0"/>
        <w:kinsoku/>
        <w:wordWrap/>
        <w:overflowPunct/>
        <w:topLinePunct w:val="0"/>
        <w:autoSpaceDE w:val="0"/>
        <w:autoSpaceDN w:val="0"/>
        <w:bidi w:val="0"/>
        <w:adjustRightInd w:val="0"/>
        <w:snapToGrid w:val="0"/>
        <w:spacing w:line="360" w:lineRule="auto"/>
        <w:ind w:firstLine="618" w:firstLineChars="221"/>
        <w:textAlignment w:val="auto"/>
        <w:rPr>
          <w:rFonts w:hint="default" w:ascii="Times New Roman" w:hAnsi="Times New Roman" w:cs="Times New Roman"/>
          <w:sz w:val="28"/>
          <w:szCs w:val="28"/>
          <w:lang w:val="zh-CN"/>
        </w:rPr>
      </w:pPr>
      <w:bookmarkStart w:id="204" w:name="_Toc4388"/>
      <w:bookmarkStart w:id="205" w:name="_Toc41246704"/>
      <w:bookmarkStart w:id="206" w:name="_Toc20288"/>
      <w:r>
        <w:rPr>
          <w:rFonts w:hint="default" w:ascii="Times New Roman" w:hAnsi="Times New Roman" w:cs="Times New Roman"/>
          <w:sz w:val="28"/>
          <w:szCs w:val="28"/>
          <w:lang w:val="zh-CN"/>
        </w:rPr>
        <w:t>根据选定的安全评价方法对</w:t>
      </w:r>
      <w:r>
        <w:rPr>
          <w:rFonts w:hint="default" w:ascii="Times New Roman" w:hAnsi="Times New Roman" w:cs="Times New Roman"/>
          <w:sz w:val="28"/>
          <w:szCs w:val="28"/>
        </w:rPr>
        <w:t>本</w:t>
      </w:r>
      <w:r>
        <w:rPr>
          <w:rFonts w:hint="default" w:ascii="Times New Roman" w:hAnsi="Times New Roman" w:cs="Times New Roman"/>
          <w:sz w:val="28"/>
          <w:szCs w:val="28"/>
          <w:lang w:val="zh-CN"/>
        </w:rPr>
        <w:t>项目进行相关的分析评价。具体评价结果，见表</w:t>
      </w:r>
      <w:r>
        <w:rPr>
          <w:rFonts w:hint="eastAsia" w:cs="Times New Roman"/>
          <w:sz w:val="28"/>
          <w:szCs w:val="28"/>
          <w:lang w:val="en-US" w:eastAsia="zh-CN"/>
        </w:rPr>
        <w:t>5.2-3</w:t>
      </w:r>
      <w:r>
        <w:rPr>
          <w:rFonts w:hint="default" w:ascii="Times New Roman" w:hAnsi="Times New Roman" w:cs="Times New Roman"/>
          <w:sz w:val="28"/>
          <w:szCs w:val="28"/>
          <w:lang w:val="zh-CN"/>
        </w:rPr>
        <w:t>。评价过程，见报告附录</w:t>
      </w:r>
      <w:r>
        <w:rPr>
          <w:rFonts w:hint="default" w:ascii="Times New Roman" w:hAnsi="Times New Roman" w:cs="Times New Roman"/>
          <w:sz w:val="28"/>
          <w:szCs w:val="28"/>
        </w:rPr>
        <w:t>F4</w:t>
      </w:r>
      <w:r>
        <w:rPr>
          <w:rFonts w:hint="default" w:ascii="Times New Roman" w:hAnsi="Times New Roman" w:cs="Times New Roman"/>
          <w:sz w:val="28"/>
          <w:szCs w:val="28"/>
          <w:lang w:val="zh-CN"/>
        </w:rPr>
        <w:t>。</w:t>
      </w:r>
    </w:p>
    <w:p w14:paraId="27A8E4D0">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表</w:t>
      </w:r>
      <w:r>
        <w:rPr>
          <w:rFonts w:hint="eastAsia" w:ascii="Times New Roman" w:hAnsi="Times New Roman" w:eastAsia="黑体" w:cs="Times New Roman"/>
          <w:sz w:val="24"/>
          <w:szCs w:val="24"/>
          <w:lang w:val="en-US" w:eastAsia="zh-CN"/>
        </w:rPr>
        <w:t>5.2-</w:t>
      </w:r>
      <w:r>
        <w:rPr>
          <w:rFonts w:hint="eastAsia" w:eastAsia="黑体" w:cs="Times New Roman"/>
          <w:sz w:val="24"/>
          <w:szCs w:val="24"/>
          <w:lang w:val="en-US" w:eastAsia="zh-CN"/>
        </w:rPr>
        <w:t>4</w:t>
      </w:r>
      <w:r>
        <w:rPr>
          <w:rFonts w:hint="eastAsia"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 xml:space="preserve"> 风险评价结果汇总表</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2352"/>
        <w:gridCol w:w="6232"/>
      </w:tblGrid>
      <w:tr w14:paraId="6FE52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trPr>
        <w:tc>
          <w:tcPr>
            <w:tcW w:w="816" w:type="dxa"/>
            <w:shd w:val="clear" w:color="auto" w:fill="auto"/>
            <w:vAlign w:val="center"/>
          </w:tcPr>
          <w:p w14:paraId="7C367C0A">
            <w:pPr>
              <w:autoSpaceDE w:val="0"/>
              <w:autoSpaceDN w:val="0"/>
              <w:adjustRightInd w:val="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序号</w:t>
            </w:r>
          </w:p>
        </w:tc>
        <w:tc>
          <w:tcPr>
            <w:tcW w:w="2352" w:type="dxa"/>
            <w:shd w:val="clear" w:color="auto" w:fill="auto"/>
            <w:vAlign w:val="center"/>
          </w:tcPr>
          <w:p w14:paraId="18E0B691">
            <w:pPr>
              <w:autoSpaceDE w:val="0"/>
              <w:autoSpaceDN w:val="0"/>
              <w:adjustRightInd w:val="0"/>
              <w:ind w:firstLine="211"/>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评价方法</w:t>
            </w:r>
          </w:p>
        </w:tc>
        <w:tc>
          <w:tcPr>
            <w:tcW w:w="6232" w:type="dxa"/>
            <w:shd w:val="clear" w:color="auto" w:fill="auto"/>
            <w:vAlign w:val="center"/>
          </w:tcPr>
          <w:p w14:paraId="1087EF6B">
            <w:pPr>
              <w:autoSpaceDE w:val="0"/>
              <w:autoSpaceDN w:val="0"/>
              <w:adjustRightInd w:val="0"/>
              <w:ind w:firstLine="211"/>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评价结果</w:t>
            </w:r>
          </w:p>
        </w:tc>
      </w:tr>
      <w:tr w14:paraId="10D59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816" w:type="dxa"/>
            <w:shd w:val="clear" w:color="auto" w:fill="auto"/>
            <w:vAlign w:val="center"/>
          </w:tcPr>
          <w:p w14:paraId="1EC2E112">
            <w:pPr>
              <w:autoSpaceDE w:val="0"/>
              <w:autoSpaceDN w:val="0"/>
              <w:adjustRightInd w:val="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1</w:t>
            </w:r>
          </w:p>
        </w:tc>
        <w:tc>
          <w:tcPr>
            <w:tcW w:w="2352" w:type="dxa"/>
            <w:shd w:val="clear" w:color="auto" w:fill="auto"/>
            <w:vAlign w:val="center"/>
          </w:tcPr>
          <w:p w14:paraId="748532A5">
            <w:pPr>
              <w:pStyle w:val="7"/>
              <w:ind w:firstLine="20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安全检查表法</w:t>
            </w:r>
          </w:p>
        </w:tc>
        <w:tc>
          <w:tcPr>
            <w:tcW w:w="6232" w:type="dxa"/>
            <w:shd w:val="clear" w:color="auto" w:fill="auto"/>
            <w:vAlign w:val="center"/>
          </w:tcPr>
          <w:p w14:paraId="5E05988E">
            <w:pPr>
              <w:autoSpaceDE w:val="0"/>
              <w:autoSpaceDN w:val="0"/>
              <w:adjustRightInd w:val="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总平面布置符合要求。</w:t>
            </w:r>
          </w:p>
        </w:tc>
      </w:tr>
      <w:tr w14:paraId="0FE02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816" w:type="dxa"/>
            <w:shd w:val="clear" w:color="auto" w:fill="auto"/>
            <w:vAlign w:val="center"/>
          </w:tcPr>
          <w:p w14:paraId="45A3CFF6">
            <w:pPr>
              <w:autoSpaceDE w:val="0"/>
              <w:autoSpaceDN w:val="0"/>
              <w:adjustRightInd w:val="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2</w:t>
            </w:r>
          </w:p>
        </w:tc>
        <w:tc>
          <w:tcPr>
            <w:tcW w:w="2352" w:type="dxa"/>
            <w:shd w:val="clear" w:color="auto" w:fill="auto"/>
            <w:vAlign w:val="center"/>
          </w:tcPr>
          <w:p w14:paraId="4379C500">
            <w:pPr>
              <w:pStyle w:val="7"/>
              <w:ind w:firstLine="20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预先危险性分析</w:t>
            </w:r>
          </w:p>
        </w:tc>
        <w:tc>
          <w:tcPr>
            <w:tcW w:w="6232" w:type="dxa"/>
            <w:shd w:val="clear" w:color="auto" w:fill="auto"/>
            <w:vAlign w:val="center"/>
          </w:tcPr>
          <w:p w14:paraId="6DE7B8DA">
            <w:pPr>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加油站工艺过程单元火灾、可燃液体蒸汽爆炸</w:t>
            </w:r>
            <w:r>
              <w:rPr>
                <w:rFonts w:hint="eastAsia" w:cs="Times New Roman"/>
                <w:b w:val="0"/>
                <w:bCs/>
                <w:sz w:val="21"/>
                <w:szCs w:val="21"/>
                <w:highlight w:val="none"/>
                <w:lang w:eastAsia="zh-CN"/>
              </w:rPr>
              <w:t>、</w:t>
            </w:r>
            <w:r>
              <w:rPr>
                <w:rFonts w:hint="eastAsia" w:cs="Times New Roman"/>
                <w:b w:val="0"/>
                <w:bCs/>
                <w:sz w:val="21"/>
                <w:szCs w:val="21"/>
                <w:highlight w:val="none"/>
                <w:lang w:val="en-US" w:eastAsia="zh-CN"/>
              </w:rPr>
              <w:t>管道爆炸</w:t>
            </w:r>
            <w:r>
              <w:rPr>
                <w:rFonts w:hint="default" w:ascii="Times New Roman" w:hAnsi="Times New Roman" w:cs="Times New Roman"/>
                <w:b w:val="0"/>
                <w:bCs/>
                <w:sz w:val="21"/>
                <w:szCs w:val="21"/>
                <w:highlight w:val="none"/>
              </w:rPr>
              <w:t>的危险程度为Ⅲ级，危险程度为危险的，需要采取相应安全措施并予以重视；中毒</w:t>
            </w:r>
            <w:r>
              <w:rPr>
                <w:rFonts w:hint="eastAsia" w:cs="Times New Roman"/>
                <w:b w:val="0"/>
                <w:bCs/>
                <w:sz w:val="21"/>
                <w:szCs w:val="21"/>
                <w:highlight w:val="none"/>
                <w:lang w:eastAsia="zh-CN"/>
              </w:rPr>
              <w:t>、</w:t>
            </w:r>
            <w:r>
              <w:rPr>
                <w:rFonts w:hint="default" w:ascii="Times New Roman" w:hAnsi="Times New Roman" w:cs="Times New Roman"/>
                <w:b w:val="0"/>
                <w:bCs/>
                <w:sz w:val="21"/>
                <w:szCs w:val="21"/>
                <w:highlight w:val="none"/>
              </w:rPr>
              <w:t>窒息、触电、厂（场）内车辆致害、高处坠落、机械</w:t>
            </w:r>
            <w:r>
              <w:rPr>
                <w:rFonts w:hint="eastAsia" w:cs="Times New Roman"/>
                <w:b w:val="0"/>
                <w:bCs/>
                <w:sz w:val="21"/>
                <w:szCs w:val="21"/>
                <w:highlight w:val="none"/>
                <w:lang w:val="en-US" w:eastAsia="zh-CN"/>
              </w:rPr>
              <w:t>致</w:t>
            </w:r>
            <w:r>
              <w:rPr>
                <w:rFonts w:hint="default" w:ascii="Times New Roman" w:hAnsi="Times New Roman" w:cs="Times New Roman"/>
                <w:b w:val="0"/>
                <w:bCs/>
                <w:sz w:val="21"/>
                <w:szCs w:val="21"/>
                <w:highlight w:val="none"/>
              </w:rPr>
              <w:t>害、物体打击、坍塌</w:t>
            </w:r>
            <w:r>
              <w:rPr>
                <w:rFonts w:hint="eastAsia" w:cs="Times New Roman"/>
                <w:b w:val="0"/>
                <w:bCs/>
                <w:sz w:val="21"/>
                <w:szCs w:val="21"/>
                <w:highlight w:val="none"/>
                <w:lang w:eastAsia="zh-CN"/>
              </w:rPr>
              <w:t>、</w:t>
            </w:r>
            <w:r>
              <w:rPr>
                <w:rFonts w:hint="eastAsia" w:cs="Times New Roman"/>
                <w:b w:val="0"/>
                <w:bCs/>
                <w:sz w:val="21"/>
                <w:szCs w:val="21"/>
                <w:highlight w:val="none"/>
                <w:lang w:val="en-US" w:eastAsia="zh-CN"/>
              </w:rPr>
              <w:t>其他（</w:t>
            </w:r>
            <w:r>
              <w:rPr>
                <w:rFonts w:hint="default" w:ascii="Times New Roman" w:hAnsi="Times New Roman" w:cs="Times New Roman"/>
                <w:b w:val="0"/>
                <w:bCs/>
                <w:sz w:val="21"/>
                <w:szCs w:val="21"/>
                <w:highlight w:val="none"/>
              </w:rPr>
              <w:t>噪声</w:t>
            </w:r>
            <w:r>
              <w:rPr>
                <w:rFonts w:hint="eastAsia" w:cs="Times New Roman"/>
                <w:b w:val="0"/>
                <w:bCs/>
                <w:sz w:val="21"/>
                <w:szCs w:val="21"/>
                <w:highlight w:val="none"/>
                <w:lang w:val="en-US" w:eastAsia="zh-CN"/>
              </w:rPr>
              <w:t>）</w:t>
            </w:r>
            <w:r>
              <w:rPr>
                <w:rFonts w:hint="default" w:ascii="Times New Roman" w:hAnsi="Times New Roman" w:cs="Times New Roman"/>
                <w:b w:val="0"/>
                <w:bCs/>
                <w:sz w:val="21"/>
                <w:szCs w:val="21"/>
                <w:highlight w:val="none"/>
              </w:rPr>
              <w:t>的危险等级为Ⅱ级，临界的，需要注意。</w:t>
            </w:r>
          </w:p>
        </w:tc>
      </w:tr>
      <w:tr w14:paraId="6C467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816" w:type="dxa"/>
            <w:shd w:val="clear" w:color="auto" w:fill="auto"/>
            <w:vAlign w:val="center"/>
          </w:tcPr>
          <w:p w14:paraId="58D6BB96">
            <w:pPr>
              <w:autoSpaceDE w:val="0"/>
              <w:autoSpaceDN w:val="0"/>
              <w:adjustRightInd w:val="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3</w:t>
            </w:r>
          </w:p>
        </w:tc>
        <w:tc>
          <w:tcPr>
            <w:tcW w:w="2352" w:type="dxa"/>
            <w:shd w:val="clear" w:color="auto" w:fill="auto"/>
            <w:vAlign w:val="center"/>
          </w:tcPr>
          <w:p w14:paraId="2DAABB04">
            <w:pPr>
              <w:pStyle w:val="7"/>
              <w:ind w:firstLine="200"/>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蒸气云爆炸伤害模型</w:t>
            </w:r>
          </w:p>
        </w:tc>
        <w:tc>
          <w:tcPr>
            <w:tcW w:w="6232" w:type="dxa"/>
            <w:shd w:val="clear" w:color="auto" w:fill="auto"/>
            <w:vAlign w:val="center"/>
          </w:tcPr>
          <w:p w14:paraId="4C1285D4">
            <w:pPr>
              <w:jc w:val="center"/>
              <w:rPr>
                <w:rFonts w:hint="default" w:ascii="Times New Roman" w:hAnsi="Times New Roman" w:cs="Times New Roman"/>
                <w:b w:val="0"/>
                <w:bCs/>
                <w:sz w:val="21"/>
                <w:szCs w:val="21"/>
                <w:highlight w:val="none"/>
              </w:rPr>
            </w:pPr>
            <w:r>
              <w:rPr>
                <w:rFonts w:hint="eastAsia" w:cs="Times New Roman"/>
                <w:b w:val="0"/>
                <w:bCs/>
                <w:sz w:val="21"/>
                <w:szCs w:val="21"/>
                <w:highlight w:val="none"/>
                <w:lang w:eastAsia="zh-CN"/>
              </w:rPr>
              <w:t>乙醇汽油</w:t>
            </w:r>
            <w:r>
              <w:rPr>
                <w:rFonts w:hint="default" w:ascii="Times New Roman" w:hAnsi="Times New Roman" w:cs="Times New Roman"/>
                <w:b w:val="0"/>
                <w:bCs/>
                <w:sz w:val="21"/>
                <w:szCs w:val="21"/>
                <w:highlight w:val="none"/>
              </w:rPr>
              <w:t>罐发生泄漏引发蒸气云爆炸，死亡半径为1</w:t>
            </w:r>
            <w:r>
              <w:rPr>
                <w:rFonts w:hint="eastAsia" w:cs="Times New Roman"/>
                <w:b w:val="0"/>
                <w:bCs/>
                <w:sz w:val="21"/>
                <w:szCs w:val="21"/>
                <w:highlight w:val="none"/>
                <w:lang w:val="en-US" w:eastAsia="zh-CN"/>
              </w:rPr>
              <w:t>6.76</w:t>
            </w:r>
            <w:r>
              <w:rPr>
                <w:rFonts w:hint="default" w:ascii="Times New Roman" w:hAnsi="Times New Roman" w:cs="Times New Roman"/>
                <w:b w:val="0"/>
                <w:bCs/>
                <w:sz w:val="21"/>
                <w:szCs w:val="21"/>
                <w:highlight w:val="none"/>
              </w:rPr>
              <w:t>m。</w:t>
            </w:r>
          </w:p>
          <w:p w14:paraId="1B99FC36">
            <w:pPr>
              <w:jc w:val="center"/>
              <w:rPr>
                <w:rFonts w:hint="eastAsia" w:ascii="Times New Roman" w:hAnsi="Times New Roman" w:eastAsia="宋体" w:cs="Times New Roman"/>
                <w:b w:val="0"/>
                <w:bCs/>
                <w:sz w:val="21"/>
                <w:szCs w:val="21"/>
                <w:highlight w:val="none"/>
                <w:lang w:eastAsia="zh-CN"/>
              </w:rPr>
            </w:pPr>
            <w:r>
              <w:rPr>
                <w:rFonts w:hint="default" w:ascii="Times New Roman" w:hAnsi="Times New Roman" w:cs="Times New Roman"/>
                <w:b w:val="0"/>
                <w:bCs/>
                <w:sz w:val="21"/>
                <w:szCs w:val="21"/>
                <w:highlight w:val="none"/>
              </w:rPr>
              <w:t>站内站房在死亡半径之</w:t>
            </w:r>
            <w:r>
              <w:rPr>
                <w:rFonts w:hint="eastAsia" w:ascii="Times New Roman" w:hAnsi="Times New Roman" w:cs="Times New Roman"/>
                <w:b w:val="0"/>
                <w:bCs/>
                <w:sz w:val="21"/>
                <w:szCs w:val="21"/>
                <w:highlight w:val="none"/>
                <w:lang w:val="en-US" w:eastAsia="zh-CN"/>
              </w:rPr>
              <w:t>内</w:t>
            </w:r>
            <w:r>
              <w:rPr>
                <w:rFonts w:hint="default" w:ascii="Times New Roman" w:hAnsi="Times New Roman" w:cs="Times New Roman"/>
                <w:b w:val="0"/>
                <w:bCs/>
                <w:sz w:val="21"/>
                <w:szCs w:val="21"/>
                <w:highlight w:val="none"/>
              </w:rPr>
              <w:t>，如果发生蒸气云爆炸，站房及其内人员会受到死亡威胁</w:t>
            </w:r>
            <w:r>
              <w:rPr>
                <w:rFonts w:hint="eastAsia" w:ascii="Times New Roman" w:hAnsi="Times New Roman" w:cs="Times New Roman"/>
                <w:b w:val="0"/>
                <w:bCs/>
                <w:sz w:val="21"/>
                <w:szCs w:val="21"/>
                <w:highlight w:val="none"/>
                <w:lang w:eastAsia="zh-CN"/>
              </w:rPr>
              <w:t>。</w:t>
            </w:r>
          </w:p>
        </w:tc>
      </w:tr>
    </w:tbl>
    <w:p w14:paraId="4DD8B73C">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07" w:name="_Toc146488861"/>
      <w:bookmarkStart w:id="208" w:name="_Toc3135"/>
      <w:r>
        <w:rPr>
          <w:rFonts w:hint="default" w:ascii="Times New Roman" w:hAnsi="Times New Roman" w:eastAsia="黑体" w:cs="Times New Roman"/>
          <w:b/>
          <w:bCs/>
          <w:color w:val="auto"/>
          <w:sz w:val="28"/>
          <w:szCs w:val="32"/>
          <w:lang w:val="en-US" w:eastAsia="zh-CN"/>
        </w:rPr>
        <w:t>5.2.5事故案例</w:t>
      </w:r>
      <w:bookmarkEnd w:id="204"/>
      <w:bookmarkEnd w:id="205"/>
      <w:bookmarkEnd w:id="206"/>
      <w:r>
        <w:rPr>
          <w:rFonts w:hint="default" w:ascii="Times New Roman" w:hAnsi="Times New Roman" w:eastAsia="黑体" w:cs="Times New Roman"/>
          <w:b/>
          <w:bCs/>
          <w:color w:val="auto"/>
          <w:sz w:val="28"/>
          <w:szCs w:val="32"/>
          <w:lang w:val="en-US" w:eastAsia="zh-CN"/>
        </w:rPr>
        <w:t>分析</w:t>
      </w:r>
      <w:bookmarkEnd w:id="207"/>
      <w:bookmarkEnd w:id="208"/>
    </w:p>
    <w:p w14:paraId="16AD035F">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事故案例分析：通过调查，尽可能收集相关事故资料，找出事故发生的潜在隐患，吸取事故经验教训，避免同类事故发生，为本项目的安全生产与科学管理提供参考与借鉴。以下叙述2起事故，希望对企业安全生产和管理能起到借鉴作用。</w:t>
      </w:r>
    </w:p>
    <w:p w14:paraId="1EA38514">
      <w:pPr>
        <w:pStyle w:val="5"/>
        <w:keepNext w:val="0"/>
        <w:keepLines w:val="0"/>
        <w:pageBreakBefore w:val="0"/>
        <w:widowControl w:val="0"/>
        <w:kinsoku/>
        <w:wordWrap/>
        <w:overflowPunct/>
        <w:topLinePunct w:val="0"/>
        <w:autoSpaceDE/>
        <w:autoSpaceDN/>
        <w:bidi w:val="0"/>
        <w:adjustRightInd w:val="0"/>
        <w:snapToGrid w:val="0"/>
        <w:ind w:firstLine="562"/>
        <w:jc w:val="both"/>
        <w:textAlignment w:val="auto"/>
        <w:rPr>
          <w:rFonts w:hint="default" w:ascii="Times New Roman" w:hAnsi="Times New Roman" w:cs="Times New Roman"/>
        </w:rPr>
      </w:pPr>
      <w:r>
        <w:rPr>
          <w:rFonts w:hint="default" w:ascii="Times New Roman" w:hAnsi="Times New Roman" w:cs="Times New Roman"/>
          <w:b/>
        </w:rPr>
        <w:t>案例一：</w:t>
      </w:r>
      <w:r>
        <w:rPr>
          <w:rFonts w:hint="default" w:ascii="Times New Roman" w:hAnsi="Times New Roman" w:cs="Times New Roman"/>
        </w:rPr>
        <w:t>山东济南分公司第63加油站施工闪爆事故</w:t>
      </w:r>
    </w:p>
    <w:p w14:paraId="6FA1CD59">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（1）事故概况</w:t>
      </w:r>
    </w:p>
    <w:p w14:paraId="20B6788C">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2022年9月8日15:40左右，山东济南分公司第63加油站在安装加油机和潜油泵过程中，由于油罐人孔盖不符合安装潜油泵的条件，对油罐人孔盖进行改造，承包商天津华北有色建设工程公司山东分公司的施工人员，擅自用自带泵将2号埋地罐中的注水抽空，并在无人监控的状况下，在操作井边沿用气割对油罐法兰盘、管线短管开坡口，切割过程中，引燃油罐内残余油气发生闪爆，李洪革当即受伤，送医院经抢救无效，于9月9日凌晨死亡。</w:t>
      </w:r>
    </w:p>
    <w:p w14:paraId="5E525465">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（2）事故原因及分析</w:t>
      </w:r>
    </w:p>
    <w:p w14:paraId="213746EF">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这是一起典型的施工组织混乱、施工安全监管不严、安全制度落实不到位造成的事故。</w:t>
      </w:r>
    </w:p>
    <w:p w14:paraId="2CCC8E5A">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①事故发生的直接缘由</w:t>
      </w:r>
    </w:p>
    <w:p w14:paraId="6DFD28E5">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5AD136FA">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②事故发生的间接缘由</w:t>
      </w:r>
    </w:p>
    <w:p w14:paraId="6395BAEC">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eastAsia" w:cs="Times New Roman"/>
          <w:lang w:val="en-US" w:eastAsia="zh-CN"/>
        </w:rPr>
        <w:t>a.</w:t>
      </w:r>
      <w:r>
        <w:rPr>
          <w:rFonts w:hint="default" w:ascii="Times New Roman" w:hAnsi="Times New Roman" w:cs="Times New Roman"/>
        </w:rPr>
        <w:t>济南分公司没有落实集团公司新、改、扩建项目 “三同时”管理规定，对施工单位资质审查不严，导致不具备施工资质的单位进站施工，为事故的发生埋下了隐患。</w:t>
      </w:r>
    </w:p>
    <w:p w14:paraId="64502CCD">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eastAsia" w:cs="Times New Roman"/>
          <w:lang w:val="en-US" w:eastAsia="zh-CN"/>
        </w:rPr>
        <w:t>b.</w:t>
      </w:r>
      <w:r>
        <w:rPr>
          <w:rFonts w:hint="default" w:ascii="Times New Roman" w:hAnsi="Times New Roman" w:cs="Times New Roman"/>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F15B2BA">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eastAsia" w:cs="Times New Roman"/>
          <w:lang w:val="en-US" w:eastAsia="zh-CN"/>
        </w:rPr>
        <w:t>c.</w:t>
      </w:r>
      <w:r>
        <w:rPr>
          <w:rFonts w:hint="default" w:ascii="Times New Roman" w:hAnsi="Times New Roman" w:cs="Times New Roman"/>
        </w:rPr>
        <w:t>施工现场监管严重失职，现场监管责任人(站长)对动火等重大安全作业监管不力，现场安全监督职责未执行到位。</w:t>
      </w:r>
    </w:p>
    <w:p w14:paraId="09A76C0F">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eastAsia" w:cs="Times New Roman"/>
          <w:lang w:val="en-US" w:eastAsia="zh-CN"/>
        </w:rPr>
        <w:t>d.</w:t>
      </w:r>
      <w:r>
        <w:rPr>
          <w:rFonts w:hint="default" w:ascii="Times New Roman" w:hAnsi="Times New Roman" w:cs="Times New Roman"/>
        </w:rPr>
        <w:t>济南分公司对施工人员安全教化制度落实不到位，对外来施工人员安全教化没有针对性、走过场，施工人员对危害不了解，违规施工成为必定。</w:t>
      </w:r>
    </w:p>
    <w:p w14:paraId="1A57A548">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（3）事故教训</w:t>
      </w:r>
    </w:p>
    <w:p w14:paraId="31465310">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以包代管”现象。</w:t>
      </w:r>
    </w:p>
    <w:p w14:paraId="3BBD78FB">
      <w:pPr>
        <w:pStyle w:val="5"/>
        <w:keepNext w:val="0"/>
        <w:keepLines w:val="0"/>
        <w:pageBreakBefore w:val="0"/>
        <w:widowControl w:val="0"/>
        <w:kinsoku/>
        <w:wordWrap/>
        <w:overflowPunct/>
        <w:topLinePunct w:val="0"/>
        <w:autoSpaceDE/>
        <w:autoSpaceDN/>
        <w:bidi w:val="0"/>
        <w:adjustRightInd w:val="0"/>
        <w:snapToGrid w:val="0"/>
        <w:ind w:firstLine="562"/>
        <w:jc w:val="both"/>
        <w:textAlignment w:val="auto"/>
        <w:rPr>
          <w:rFonts w:hint="default" w:ascii="Times New Roman" w:hAnsi="Times New Roman" w:cs="Times New Roman"/>
        </w:rPr>
      </w:pPr>
      <w:r>
        <w:rPr>
          <w:rFonts w:hint="default" w:ascii="Times New Roman" w:hAnsi="Times New Roman" w:cs="Times New Roman"/>
          <w:b/>
        </w:rPr>
        <w:t>案例二：</w:t>
      </w:r>
      <w:r>
        <w:rPr>
          <w:rFonts w:hint="default" w:ascii="Times New Roman" w:hAnsi="Times New Roman" w:cs="Times New Roman"/>
        </w:rPr>
        <w:t>临海市顺风加油站爆燃事故</w:t>
      </w:r>
    </w:p>
    <w:p w14:paraId="240EC93D">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（1）加油站基本状况</w:t>
      </w:r>
    </w:p>
    <w:p w14:paraId="7A568862">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临海市顺风加油站，位于临海市桃渚镇项庄村西边马路旁，法人代表：项某。加油站储备、经营93号</w:t>
      </w:r>
      <w:r>
        <w:rPr>
          <w:rFonts w:hint="eastAsia" w:cs="Times New Roman"/>
          <w:lang w:eastAsia="zh-CN"/>
        </w:rPr>
        <w:t>乙醇汽油</w:t>
      </w:r>
      <w:r>
        <w:rPr>
          <w:rFonts w:hint="default" w:ascii="Times New Roman" w:hAnsi="Times New Roman" w:cs="Times New Roman"/>
        </w:rPr>
        <w:t>和0号柴油两种成品油。站内有两个地下储油罐，每个储油罐约24吨。</w:t>
      </w:r>
    </w:p>
    <w:p w14:paraId="476B5BD0">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（2）事故经过</w:t>
      </w:r>
    </w:p>
    <w:p w14:paraId="15416D8A">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2022年6月1日中午，满载</w:t>
      </w:r>
      <w:r>
        <w:rPr>
          <w:rFonts w:hint="eastAsia" w:cs="Times New Roman"/>
          <w:lang w:eastAsia="zh-CN"/>
        </w:rPr>
        <w:t>乙醇汽油</w:t>
      </w:r>
      <w:r>
        <w:rPr>
          <w:rFonts w:hint="default" w:ascii="Times New Roman" w:hAnsi="Times New Roman" w:cs="Times New Roman"/>
        </w:rPr>
        <w:t>(29.48吨)的浙BR257大油罐车到达临海市顺风加油站，并在11点50分左右起先向加油站地下储油罐卸油，当时加油站卸油作业现场人员有林某(浙BR257大油罐车驾驶员，事故发生时在副驾驶室)、潘某(浙BR257大油罐车押送员)、朱某(加油站工作人员，小油罐车浙J76829驾驶员)等3人。</w:t>
      </w:r>
    </w:p>
    <w:p w14:paraId="1223AC15">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在</w:t>
      </w:r>
      <w:r>
        <w:rPr>
          <w:rFonts w:hint="eastAsia" w:cs="Times New Roman"/>
          <w:lang w:eastAsia="zh-CN"/>
        </w:rPr>
        <w:t>乙醇汽油</w:t>
      </w:r>
      <w:r>
        <w:rPr>
          <w:rFonts w:hint="default" w:ascii="Times New Roman" w:hAnsi="Times New Roman" w:cs="Times New Roman"/>
        </w:rPr>
        <w:t>槽罐车卸油的同时，加油站工作人员朱某考虑到地下储油罐装不下这么多油，就开来一辆小油罐车，停到大油罐车旁，从大油罐吸油，来分装一部分</w:t>
      </w:r>
      <w:r>
        <w:rPr>
          <w:rFonts w:hint="eastAsia" w:cs="Times New Roman"/>
          <w:lang w:eastAsia="zh-CN"/>
        </w:rPr>
        <w:t>乙醇汽油</w:t>
      </w:r>
      <w:r>
        <w:rPr>
          <w:rFonts w:hint="default" w:ascii="Times New Roman" w:hAnsi="Times New Roman" w:cs="Times New Roman"/>
        </w:rPr>
        <w:t>。现场由潘某跟朱某两人负责卸油和抽油作业，潘某站在大油罐车车顶负责看护，朱某操作浙J76829小型油罐车从大油罐车吸油。因为抽油时，须要开启抽油泵，抽油泵利用小油罐车的发动机作为动力，因此整个抽油作业过程中小油罐车的发动机并未熄火。12点30分左右，当朱某从小油罐车车顶下来，去开车门的时候，突然发生爆燃，瞬间火焰高窜，朱某被火焰烧伤。火焰甚至喷到距地面有5米高的潘某，将其右脸颊和手灼伤。12时40分，临海市消防大队接到临海市公安局指挥中心指令，马上出动7辆消防车和42名消防官兵赶往火灾现场。经过消防官兵奋力扑救，大火于15时左右被扑灭，此次火灾造成2人受伤。</w:t>
      </w:r>
    </w:p>
    <w:p w14:paraId="04F6B137">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（3）事故缘由</w:t>
      </w:r>
    </w:p>
    <w:p w14:paraId="42B9AE4A">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5B916C37">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（4）事故教训</w:t>
      </w:r>
    </w:p>
    <w:p w14:paraId="0F30E005">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①加油站工作人员风险防范意识淡薄。加油站工作人员朱某用来分装</w:t>
      </w:r>
      <w:r>
        <w:rPr>
          <w:rFonts w:hint="eastAsia" w:cs="Times New Roman"/>
          <w:lang w:eastAsia="zh-CN"/>
        </w:rPr>
        <w:t>乙醇汽油</w:t>
      </w:r>
      <w:r>
        <w:rPr>
          <w:rFonts w:hint="default" w:ascii="Times New Roman" w:hAnsi="Times New Roman" w:cs="Times New Roman"/>
        </w:rPr>
        <w:t>的小型油罐车没有独立的抽油泵，利用外部抽油泵并利用车辆发动机作为动力，因此整个抽油作业过程中小油罐车的发动机并未熄火，且该车排气管未安装阻火器，在这种状况下，当事人还是贸然利用此车抽吸</w:t>
      </w:r>
      <w:r>
        <w:rPr>
          <w:rFonts w:hint="eastAsia" w:cs="Times New Roman"/>
          <w:lang w:eastAsia="zh-CN"/>
        </w:rPr>
        <w:t>乙醇汽油</w:t>
      </w:r>
      <w:r>
        <w:rPr>
          <w:rFonts w:hint="default" w:ascii="Times New Roman" w:hAnsi="Times New Roman" w:cs="Times New Roman"/>
        </w:rPr>
        <w:t>，导致发生爆燃事故。</w:t>
      </w:r>
    </w:p>
    <w:p w14:paraId="60B4767D">
      <w:pPr>
        <w:pStyle w:val="5"/>
        <w:keepNext w:val="0"/>
        <w:keepLines w:val="0"/>
        <w:pageBreakBefore w:val="0"/>
        <w:widowControl w:val="0"/>
        <w:kinsoku/>
        <w:wordWrap/>
        <w:overflowPunct/>
        <w:topLinePunct w:val="0"/>
        <w:autoSpaceDE/>
        <w:autoSpaceDN/>
        <w:bidi w:val="0"/>
        <w:adjustRightInd w:val="0"/>
        <w:snapToGrid w:val="0"/>
        <w:jc w:val="both"/>
        <w:textAlignment w:val="auto"/>
        <w:rPr>
          <w:rFonts w:hint="default" w:ascii="Times New Roman" w:hAnsi="Times New Roman" w:cs="Times New Roman"/>
        </w:rPr>
      </w:pPr>
      <w:r>
        <w:rPr>
          <w:rFonts w:hint="default" w:ascii="Times New Roman" w:hAnsi="Times New Roman" w:cs="Times New Roman"/>
        </w:rPr>
        <w:t>②加油站安全防范措施不到位。车用乙醇</w:t>
      </w:r>
    </w:p>
    <w:p w14:paraId="74653B3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kern w:val="0"/>
          <w:sz w:val="28"/>
          <w:szCs w:val="28"/>
        </w:rPr>
      </w:pPr>
      <w:r>
        <w:rPr>
          <w:rFonts w:hint="default" w:ascii="Times New Roman" w:hAnsi="Times New Roman" w:cs="Times New Roman"/>
          <w:kern w:val="0"/>
          <w:sz w:val="28"/>
          <w:szCs w:val="28"/>
        </w:rPr>
        <w:t>③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w:t>
      </w:r>
      <w:r>
        <w:rPr>
          <w:rFonts w:hint="eastAsia" w:cs="Times New Roman"/>
          <w:sz w:val="28"/>
          <w:szCs w:val="28"/>
          <w:lang w:eastAsia="zh-CN"/>
        </w:rPr>
        <w:t>乙醇汽油</w:t>
      </w:r>
      <w:r>
        <w:rPr>
          <w:rFonts w:hint="default" w:ascii="Times New Roman" w:hAnsi="Times New Roman" w:cs="Times New Roman"/>
          <w:kern w:val="0"/>
          <w:sz w:val="28"/>
          <w:szCs w:val="28"/>
        </w:rPr>
        <w:t xml:space="preserve">外漏，致使小油罐车下方积聚大量油气。 </w:t>
      </w:r>
    </w:p>
    <w:p w14:paraId="44C87EC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kern w:val="0"/>
          <w:sz w:val="28"/>
          <w:szCs w:val="28"/>
        </w:rPr>
      </w:pPr>
      <w:r>
        <w:rPr>
          <w:rFonts w:hint="default" w:ascii="Times New Roman" w:hAnsi="Times New Roman" w:cs="Times New Roman"/>
          <w:kern w:val="0"/>
          <w:sz w:val="28"/>
          <w:szCs w:val="28"/>
        </w:rPr>
        <w:t xml:space="preserve"> 以上加油站火灾、爆炸事故2例案例，从事故案例的分析来看，发生火灾事故的加油站都存在违规建设和违章操作。因此在加油站的设计和施工建设中应严格按《汽车加油加气加氢站技术标准》（GB50156-2021）要求进行。</w:t>
      </w:r>
    </w:p>
    <w:p w14:paraId="0B78A148">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09" w:name="_Toc14796"/>
      <w:bookmarkStart w:id="210" w:name="_Toc30465"/>
      <w:r>
        <w:rPr>
          <w:rFonts w:hint="default" w:ascii="Times New Roman" w:hAnsi="Times New Roman" w:eastAsia="楷体" w:cs="Times New Roman"/>
          <w:color w:val="auto"/>
          <w:sz w:val="32"/>
          <w:szCs w:val="32"/>
          <w:lang w:val="en-US" w:eastAsia="zh-CN"/>
        </w:rPr>
        <w:t>5.3“两重点一重大”辨识</w:t>
      </w:r>
      <w:bookmarkEnd w:id="209"/>
      <w:bookmarkEnd w:id="210"/>
    </w:p>
    <w:p w14:paraId="3E26E896">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11" w:name="_Toc146488863"/>
      <w:bookmarkStart w:id="212" w:name="_Toc14124"/>
      <w:r>
        <w:rPr>
          <w:rFonts w:hint="default" w:ascii="Times New Roman" w:hAnsi="Times New Roman" w:eastAsia="黑体" w:cs="Times New Roman"/>
          <w:b/>
          <w:bCs/>
          <w:color w:val="auto"/>
          <w:sz w:val="28"/>
          <w:szCs w:val="32"/>
          <w:lang w:val="en-US" w:eastAsia="zh-CN"/>
        </w:rPr>
        <w:t>5.3.1重点监管危险化学品情况</w:t>
      </w:r>
      <w:bookmarkEnd w:id="211"/>
      <w:bookmarkEnd w:id="212"/>
    </w:p>
    <w:p w14:paraId="3E6A4F2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根据《国家安全监管总局关于公布首批重点监管的危险化学品名录的通知》（安监总管三[2011]95号）和《国家安全监管总局关于公布第二批重点监管危险化学品名录的通知》（安监总管三[2013]12号），</w:t>
      </w:r>
      <w:r>
        <w:rPr>
          <w:rFonts w:hint="eastAsia" w:cs="Times New Roman"/>
          <w:sz w:val="28"/>
          <w:szCs w:val="28"/>
          <w:lang w:eastAsia="zh-CN"/>
        </w:rPr>
        <w:t>乙醇汽油</w:t>
      </w:r>
      <w:r>
        <w:rPr>
          <w:rFonts w:hint="default" w:ascii="Times New Roman" w:hAnsi="Times New Roman" w:cs="Times New Roman"/>
          <w:sz w:val="28"/>
          <w:szCs w:val="28"/>
        </w:rPr>
        <w:t>是重点监管危险化学品。</w:t>
      </w:r>
    </w:p>
    <w:p w14:paraId="7851FC8D">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13" w:name="_Toc146488864"/>
      <w:bookmarkStart w:id="214" w:name="_Toc7686"/>
      <w:bookmarkStart w:id="215" w:name="_Toc146488865"/>
      <w:bookmarkStart w:id="216" w:name="_Toc14685"/>
      <w:r>
        <w:rPr>
          <w:rFonts w:hint="default" w:ascii="Times New Roman" w:hAnsi="Times New Roman" w:eastAsia="黑体" w:cs="Times New Roman"/>
          <w:b/>
          <w:bCs/>
          <w:color w:val="auto"/>
          <w:sz w:val="28"/>
          <w:szCs w:val="32"/>
          <w:lang w:val="en-US" w:eastAsia="zh-CN"/>
        </w:rPr>
        <w:t>5.3.2重点监管危险化工工艺情况</w:t>
      </w:r>
      <w:bookmarkEnd w:id="213"/>
      <w:bookmarkEnd w:id="214"/>
    </w:p>
    <w:p w14:paraId="0CA7D9A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本项目不涉及重点监管危险化工工艺。</w:t>
      </w:r>
    </w:p>
    <w:p w14:paraId="4AACE75A">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r>
        <w:rPr>
          <w:rFonts w:hint="default" w:ascii="Times New Roman" w:hAnsi="Times New Roman" w:eastAsia="黑体" w:cs="Times New Roman"/>
          <w:b/>
          <w:bCs/>
          <w:color w:val="auto"/>
          <w:sz w:val="28"/>
          <w:szCs w:val="32"/>
          <w:lang w:val="en-US" w:eastAsia="zh-CN"/>
        </w:rPr>
        <w:t>5.3.3重大危险源情况</w:t>
      </w:r>
      <w:bookmarkEnd w:id="215"/>
      <w:bookmarkEnd w:id="216"/>
    </w:p>
    <w:p w14:paraId="5E41CBE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根据《危险化学品重大危险源辨识》（GB 18218-2018）辨识，储罐单元未构成危险化学品重大危险源。该加油站未构成危险化学品重大危险源。辨识过程详见F3.5。</w:t>
      </w:r>
    </w:p>
    <w:p w14:paraId="4D7EE41B">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17" w:name="_Toc13969"/>
      <w:bookmarkStart w:id="218" w:name="_Toc26070"/>
      <w:r>
        <w:rPr>
          <w:rFonts w:hint="default" w:ascii="Times New Roman" w:hAnsi="Times New Roman" w:eastAsia="楷体" w:cs="Times New Roman"/>
          <w:color w:val="auto"/>
          <w:sz w:val="32"/>
          <w:szCs w:val="32"/>
          <w:lang w:val="en-US" w:eastAsia="zh-CN"/>
        </w:rPr>
        <w:t>5.4本项目爆炸危险区域划分</w:t>
      </w:r>
      <w:bookmarkEnd w:id="217"/>
      <w:bookmarkEnd w:id="218"/>
    </w:p>
    <w:p w14:paraId="2A3FAACB">
      <w:pPr>
        <w:rPr>
          <w:rFonts w:hint="default" w:ascii="Times New Roman" w:hAnsi="Times New Roman" w:cs="Times New Roman"/>
        </w:rPr>
      </w:pPr>
    </w:p>
    <w:p w14:paraId="6241002D">
      <w:pPr>
        <w:keepNext w:val="0"/>
        <w:keepLines w:val="0"/>
        <w:pageBreakBefore w:val="0"/>
        <w:widowControl w:val="0"/>
        <w:kinsoku/>
        <w:wordWrap/>
        <w:overflowPunct/>
        <w:topLinePunct w:val="0"/>
        <w:autoSpaceDE/>
        <w:autoSpaceDN/>
        <w:bidi w:val="0"/>
        <w:adjustRightInd w:val="0"/>
        <w:snapToGrid w:val="0"/>
        <w:spacing w:line="360" w:lineRule="auto"/>
        <w:ind w:firstLine="490" w:firstLineChars="175"/>
        <w:textAlignment w:val="auto"/>
        <w:rPr>
          <w:rFonts w:hint="default" w:ascii="Times New Roman" w:hAnsi="Times New Roman" w:cs="Times New Roman"/>
          <w:sz w:val="28"/>
          <w:szCs w:val="28"/>
        </w:rPr>
      </w:pPr>
      <w:r>
        <w:rPr>
          <w:rFonts w:hint="eastAsia" w:ascii="Times New Roman" w:hAnsi="Times New Roman" w:cs="Times New Roman"/>
          <w:sz w:val="28"/>
          <w:szCs w:val="28"/>
          <w:lang w:val="en-US" w:eastAsia="zh-CN"/>
        </w:rPr>
        <w:t>1、</w:t>
      </w:r>
      <w:r>
        <w:rPr>
          <w:rFonts w:hint="default" w:ascii="Times New Roman" w:hAnsi="Times New Roman" w:cs="Times New Roman"/>
          <w:sz w:val="28"/>
          <w:szCs w:val="28"/>
        </w:rPr>
        <w:t>爆炸危险区域的等级定义应符合现行国家标准《爆炸危险环境电力装置设计规范》（GB 50058-2014）的规定。</w:t>
      </w:r>
    </w:p>
    <w:p w14:paraId="38779304">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（1）</w:t>
      </w:r>
      <w:r>
        <w:rPr>
          <w:rFonts w:hint="default" w:ascii="Times New Roman" w:hAnsi="Times New Roman" w:cs="Times New Roman"/>
          <w:sz w:val="28"/>
          <w:szCs w:val="28"/>
        </w:rPr>
        <w:t>0区：连续出现或长期出现爆炸性气体混合物的环境；</w:t>
      </w:r>
    </w:p>
    <w:p w14:paraId="6439A1C9">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1区：在正常运行时可能出现爆炸性气体混合物的环境；</w:t>
      </w:r>
    </w:p>
    <w:p w14:paraId="40A34CFD">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3</w:t>
      </w:r>
      <w:r>
        <w:rPr>
          <w:rFonts w:hint="default" w:ascii="Times New Roman" w:hAnsi="Times New Roman" w:cs="Times New Roman"/>
          <w:sz w:val="28"/>
          <w:szCs w:val="28"/>
          <w:lang w:eastAsia="zh-CN"/>
        </w:rPr>
        <w:t>）</w:t>
      </w:r>
      <w:r>
        <w:rPr>
          <w:rFonts w:hint="default" w:ascii="Times New Roman" w:hAnsi="Times New Roman" w:cs="Times New Roman"/>
          <w:sz w:val="28"/>
          <w:szCs w:val="28"/>
        </w:rPr>
        <w:t>2区：在正常运行时不可能出现爆炸性气体混合物的环境，或即使出现也仅是短时存在爆炸性气体混合物的环境。</w:t>
      </w:r>
    </w:p>
    <w:p w14:paraId="3E59AA9B">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正常运行指正常</w:t>
      </w:r>
      <w:r>
        <w:rPr>
          <w:rFonts w:hint="default" w:ascii="Times New Roman" w:hAnsi="Times New Roman" w:cs="Times New Roman"/>
          <w:sz w:val="28"/>
          <w:szCs w:val="28"/>
          <w:lang w:eastAsia="zh-CN"/>
        </w:rPr>
        <w:t>地</w:t>
      </w:r>
      <w:r>
        <w:rPr>
          <w:rFonts w:hint="default" w:ascii="Times New Roman" w:hAnsi="Times New Roman" w:cs="Times New Roman"/>
          <w:sz w:val="28"/>
          <w:szCs w:val="28"/>
        </w:rPr>
        <w:t>开车、运行、停车、易燃物质产品的装卸、密闭容器盖的安装、安全阀、排放阀以及所有工厂设备都在其设计参数范围内的工作状态。</w:t>
      </w:r>
    </w:p>
    <w:p w14:paraId="74468C4A">
      <w:pPr>
        <w:keepNext w:val="0"/>
        <w:pageBreakBefore w:val="0"/>
        <w:widowControl w:val="0"/>
        <w:kinsoku/>
        <w:wordWrap/>
        <w:overflowPunct/>
        <w:topLinePunct w:val="0"/>
        <w:autoSpaceDE/>
        <w:autoSpaceDN/>
        <w:bidi w:val="0"/>
        <w:adjustRightInd w:val="0"/>
        <w:snapToGrid w:val="0"/>
        <w:spacing w:line="360" w:lineRule="auto"/>
        <w:ind w:firstLine="490" w:firstLineChars="175"/>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汽油设施的爆炸危险区域内地坪以下的坑或沟应划分为1区。</w:t>
      </w:r>
    </w:p>
    <w:p w14:paraId="44B1F200">
      <w:pPr>
        <w:keepNext w:val="0"/>
        <w:pageBreakBefore w:val="0"/>
        <w:widowControl w:val="0"/>
        <w:kinsoku/>
        <w:wordWrap/>
        <w:overflowPunct/>
        <w:topLinePunct w:val="0"/>
        <w:autoSpaceDE/>
        <w:autoSpaceDN/>
        <w:bidi w:val="0"/>
        <w:adjustRightInd w:val="0"/>
        <w:snapToGrid w:val="0"/>
        <w:spacing w:line="360" w:lineRule="auto"/>
        <w:ind w:firstLine="490" w:firstLineChars="175"/>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3、</w:t>
      </w:r>
      <w:r>
        <w:rPr>
          <w:rFonts w:hint="default" w:ascii="Times New Roman" w:hAnsi="Times New Roman" w:cs="Times New Roman"/>
          <w:sz w:val="28"/>
          <w:szCs w:val="28"/>
        </w:rPr>
        <w:t>汽油加油机爆炸危险区域划分应符合下列规定（图1）：</w:t>
      </w:r>
    </w:p>
    <w:p w14:paraId="7AA1D0B6">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（1）</w:t>
      </w:r>
      <w:r>
        <w:rPr>
          <w:rFonts w:hint="default" w:ascii="Times New Roman" w:hAnsi="Times New Roman" w:cs="Times New Roman"/>
          <w:sz w:val="28"/>
          <w:szCs w:val="28"/>
        </w:rPr>
        <w:t>加油机下箱体内部空间应划分为1区。</w:t>
      </w:r>
    </w:p>
    <w:p w14:paraId="22706CF0">
      <w:pPr>
        <w:keepNext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rPr>
      </w:pP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以加油机中心线为中心线、以半径为3.0m的地面区域为底面和以加油机下箱体顶部以上0.15m、半径为1.5m的平面为顶面的圆台形空间，划分为2区。</w:t>
      </w:r>
    </w:p>
    <w:p w14:paraId="4AFB4924">
      <w:pPr>
        <w:keepNext w:val="0"/>
        <w:keepLines w:val="0"/>
        <w:pageBreakBefore w:val="0"/>
        <w:widowControl w:val="0"/>
        <w:kinsoku/>
        <w:wordWrap/>
        <w:overflowPunct/>
        <w:topLinePunct w:val="0"/>
        <w:autoSpaceDE/>
        <w:autoSpaceDN/>
        <w:bidi w:val="0"/>
        <w:adjustRightInd w:val="0"/>
        <w:snapToGrid w:val="0"/>
        <w:spacing w:line="360" w:lineRule="auto"/>
        <w:ind w:firstLine="490" w:firstLineChars="175"/>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4、</w:t>
      </w:r>
      <w:r>
        <w:rPr>
          <w:rFonts w:hint="default" w:ascii="Times New Roman" w:hAnsi="Times New Roman" w:cs="Times New Roman"/>
          <w:sz w:val="28"/>
          <w:szCs w:val="28"/>
        </w:rPr>
        <w:t>油罐车卸汽油时爆炸危险区域划分应符合下列规定（图2）：</w:t>
      </w:r>
    </w:p>
    <w:p w14:paraId="478682D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（1）</w:t>
      </w:r>
      <w:r>
        <w:rPr>
          <w:rFonts w:hint="default" w:ascii="Times New Roman" w:hAnsi="Times New Roman" w:cs="Times New Roman"/>
          <w:sz w:val="28"/>
          <w:szCs w:val="28"/>
        </w:rPr>
        <w:t>油罐车内部的油品表面以上空间划分为0区。</w:t>
      </w:r>
    </w:p>
    <w:p w14:paraId="4D59F52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以罐车通气口为中心、半径为1.5m的球形空间和以罐车密闭卸油口为中心、半径为0.5m的球形空间，划分为1区。</w:t>
      </w:r>
    </w:p>
    <w:p w14:paraId="5A3F277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（3）</w:t>
      </w:r>
      <w:r>
        <w:rPr>
          <w:rFonts w:hint="default" w:ascii="Times New Roman" w:hAnsi="Times New Roman" w:cs="Times New Roman"/>
          <w:sz w:val="28"/>
          <w:szCs w:val="28"/>
        </w:rPr>
        <w:t>以罐车通气口为中心、半径为3.0m的球形并延至地面的空间和以罐车密闭卸油口为中心，半径为1.5m的球形并延至地面的空间，划分为2区。</w:t>
      </w:r>
    </w:p>
    <w:p w14:paraId="08F199E1">
      <w:pPr>
        <w:keepNext w:val="0"/>
        <w:pageBreakBefore w:val="0"/>
        <w:widowControl w:val="0"/>
        <w:kinsoku/>
        <w:wordWrap/>
        <w:overflowPunct/>
        <w:topLinePunct w:val="0"/>
        <w:autoSpaceDE/>
        <w:autoSpaceDN/>
        <w:bidi w:val="0"/>
        <w:spacing w:line="336" w:lineRule="auto"/>
        <w:jc w:val="center"/>
        <w:textAlignment w:val="auto"/>
        <w:rPr>
          <w:rFonts w:hint="default" w:ascii="Times New Roman" w:hAnsi="Times New Roman" w:cs="Times New Roman"/>
          <w:sz w:val="28"/>
        </w:rPr>
      </w:pPr>
    </w:p>
    <w:p w14:paraId="2B844108">
      <w:pPr>
        <w:keepNext w:val="0"/>
        <w:keepLines w:val="0"/>
        <w:pageBreakBefore w:val="0"/>
        <w:widowControl w:val="0"/>
        <w:kinsoku/>
        <w:wordWrap/>
        <w:overflowPunct/>
        <w:topLinePunct w:val="0"/>
        <w:autoSpaceDE/>
        <w:autoSpaceDN/>
        <w:bidi w:val="0"/>
        <w:adjustRightInd w:val="0"/>
        <w:snapToGrid w:val="0"/>
        <w:spacing w:before="190" w:beforeLines="50" w:after="190" w:afterLines="50" w:line="240" w:lineRule="auto"/>
        <w:jc w:val="center"/>
        <w:textAlignment w:val="auto"/>
        <w:rPr>
          <w:rFonts w:hint="default" w:ascii="Times New Roman" w:hAnsi="Times New Roman" w:eastAsia="黑体" w:cs="Times New Roman"/>
          <w:b w:val="0"/>
          <w:bCs w:val="0"/>
          <w:spacing w:val="0"/>
          <w:kern w:val="2"/>
          <w:sz w:val="24"/>
          <w:szCs w:val="24"/>
          <w:lang w:val="en-US" w:eastAsia="zh-CN" w:bidi="ar-SA"/>
        </w:rPr>
      </w:pPr>
      <w:r>
        <w:rPr>
          <w:rFonts w:hint="default" w:ascii="Times New Roman" w:hAnsi="Times New Roman" w:eastAsia="黑体" w:cs="Times New Roman"/>
          <w:b w:val="0"/>
          <w:bCs w:val="0"/>
          <w:spacing w:val="0"/>
          <w:kern w:val="2"/>
          <w:sz w:val="24"/>
          <w:szCs w:val="24"/>
          <w:lang w:val="en-US" w:eastAsia="zh-CN" w:bidi="ar-SA"/>
        </w:rPr>
        <w:t>图2  油罐车卸汽油时爆炸危险区域划分</w:t>
      </w:r>
    </w:p>
    <w:p w14:paraId="04C394B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5、</w:t>
      </w:r>
      <w:r>
        <w:rPr>
          <w:rFonts w:hint="default" w:ascii="Times New Roman" w:hAnsi="Times New Roman" w:cs="Times New Roman"/>
          <w:sz w:val="28"/>
          <w:szCs w:val="28"/>
        </w:rPr>
        <w:t>埋地卧式汽油储罐爆炸危险区域划分应符合下列规定（图3）：</w:t>
      </w:r>
    </w:p>
    <w:p w14:paraId="11EB08C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（1）</w:t>
      </w:r>
      <w:r>
        <w:rPr>
          <w:rFonts w:hint="default" w:ascii="Times New Roman" w:hAnsi="Times New Roman" w:cs="Times New Roman"/>
          <w:sz w:val="28"/>
          <w:szCs w:val="28"/>
        </w:rPr>
        <w:t>罐内部油品表面以上的空间划分为0区。</w:t>
      </w:r>
    </w:p>
    <w:p w14:paraId="4346549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（2）</w:t>
      </w:r>
      <w:r>
        <w:rPr>
          <w:rFonts w:hint="default" w:ascii="Times New Roman" w:hAnsi="Times New Roman" w:cs="Times New Roman"/>
          <w:sz w:val="28"/>
          <w:szCs w:val="28"/>
        </w:rPr>
        <w:t>人孔（阀）井内部空间，以通气管管口为中心、半径为0.75m的球形空间和以密闭卸油口为中心、半径为0.5m的球形空间，划分为1区。</w:t>
      </w:r>
    </w:p>
    <w:p w14:paraId="6EA896C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（3）</w:t>
      </w:r>
      <w:r>
        <w:rPr>
          <w:rFonts w:hint="default" w:ascii="Times New Roman" w:hAnsi="Times New Roman" w:cs="Times New Roman"/>
          <w:sz w:val="28"/>
          <w:szCs w:val="28"/>
        </w:rPr>
        <w:t>距人孔（阀）井外边缘1.5m以内，自地面算起1m高的圆柱形空间，以通气管管口为中心、半径为2.0m的球形空间和以密闭卸油口为中心、半径为1.5m的球形并延至地面的空间，划分为2区。</w:t>
      </w:r>
    </w:p>
    <w:p w14:paraId="018FB8E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lang w:val="en-US" w:eastAsia="zh-CN"/>
        </w:rPr>
        <w:t>（4）</w:t>
      </w:r>
      <w:r>
        <w:rPr>
          <w:rFonts w:hint="default" w:ascii="Times New Roman" w:hAnsi="Times New Roman" w:cs="Times New Roman"/>
          <w:sz w:val="28"/>
          <w:szCs w:val="28"/>
        </w:rPr>
        <w:t>当地上密闭卸油口设在箱内时，箱体内部的空间划分为1区，箱体外部四周1m和箱体顶部以上1.5m范围内的空间划分为2区；当密闭卸油口设在卸油坑内时，坑内的空间划分为1区，坑口外1.5m范围内的空间划分为2区。</w:t>
      </w:r>
    </w:p>
    <w:p w14:paraId="4B3E64CD">
      <w:pPr>
        <w:keepNext w:val="0"/>
        <w:pageBreakBefore w:val="0"/>
        <w:widowControl w:val="0"/>
        <w:kinsoku/>
        <w:wordWrap/>
        <w:overflowPunct/>
        <w:topLinePunct w:val="0"/>
        <w:autoSpaceDE/>
        <w:autoSpaceDN/>
        <w:bidi w:val="0"/>
        <w:adjustRightInd w:val="0"/>
        <w:snapToGrid w:val="0"/>
        <w:spacing w:line="336" w:lineRule="auto"/>
        <w:jc w:val="center"/>
        <w:textAlignment w:val="auto"/>
        <w:rPr>
          <w:rFonts w:hint="default" w:ascii="Times New Roman" w:hAnsi="Times New Roman" w:cs="Times New Roman"/>
          <w:sz w:val="28"/>
          <w:szCs w:val="28"/>
        </w:rPr>
      </w:pPr>
      <w:bookmarkStart w:id="497" w:name="_GoBack"/>
      <w:bookmarkEnd w:id="497"/>
    </w:p>
    <w:p w14:paraId="2A3B945E">
      <w:pPr>
        <w:jc w:val="center"/>
        <w:rPr>
          <w:rFonts w:hint="default" w:ascii="Times New Roman" w:hAnsi="Times New Roman" w:eastAsia="黑体" w:cs="Times New Roman"/>
          <w:b w:val="0"/>
          <w:bCs w:val="0"/>
          <w:spacing w:val="0"/>
          <w:kern w:val="2"/>
          <w:sz w:val="24"/>
          <w:szCs w:val="24"/>
          <w:lang w:val="en-US" w:eastAsia="zh-CN" w:bidi="ar-SA"/>
        </w:rPr>
      </w:pPr>
      <w:r>
        <w:rPr>
          <w:rFonts w:hint="default" w:ascii="Times New Roman" w:hAnsi="Times New Roman" w:eastAsia="黑体" w:cs="Times New Roman"/>
          <w:b w:val="0"/>
          <w:bCs w:val="0"/>
          <w:spacing w:val="0"/>
          <w:kern w:val="2"/>
          <w:sz w:val="24"/>
          <w:szCs w:val="24"/>
          <w:lang w:val="en-US" w:eastAsia="zh-CN" w:bidi="ar-SA"/>
        </w:rPr>
        <w:t>图3  埋地卧式汽油储罐爆炸危险区域划分</w:t>
      </w:r>
    </w:p>
    <w:p w14:paraId="74C803D8">
      <w:pPr>
        <w:pStyle w:val="5"/>
        <w:keepNext w:val="0"/>
        <w:keepLines w:val="0"/>
        <w:pageBreakBefore w:val="0"/>
        <w:widowControl w:val="0"/>
        <w:kinsoku/>
        <w:wordWrap/>
        <w:overflowPunct/>
        <w:topLinePunct w:val="0"/>
        <w:autoSpaceDE/>
        <w:autoSpaceDN/>
        <w:bidi w:val="0"/>
        <w:adjustRightInd/>
        <w:snapToGrid/>
        <w:spacing w:before="490" w:beforeLines="150" w:after="490" w:afterLines="150"/>
        <w:ind w:firstLine="0" w:firstLineChars="0"/>
        <w:textAlignment w:val="auto"/>
        <w:outlineLvl w:val="0"/>
        <w:rPr>
          <w:rFonts w:hint="default" w:ascii="Times New Roman" w:hAnsi="Times New Roman" w:cs="Times New Roman"/>
        </w:rPr>
      </w:pPr>
      <w:r>
        <w:rPr>
          <w:rFonts w:hint="default" w:ascii="Times New Roman" w:hAnsi="Times New Roman" w:eastAsia="黑体" w:cs="Times New Roman"/>
          <w:b w:val="0"/>
          <w:bCs w:val="0"/>
          <w:spacing w:val="0"/>
          <w:kern w:val="2"/>
          <w:sz w:val="24"/>
          <w:szCs w:val="24"/>
          <w:lang w:val="en-US" w:eastAsia="zh-CN" w:bidi="ar-SA"/>
        </w:rPr>
        <w:br w:type="page"/>
      </w:r>
      <w:bookmarkStart w:id="219" w:name="_Toc410311975"/>
      <w:bookmarkStart w:id="220" w:name="_Toc23134"/>
      <w:bookmarkStart w:id="221" w:name="_Toc1945"/>
      <w:bookmarkStart w:id="222" w:name="_Toc410311898"/>
      <w:r>
        <w:rPr>
          <w:rFonts w:hint="default" w:ascii="Times New Roman" w:hAnsi="Times New Roman" w:eastAsia="黑体" w:cs="Times New Roman"/>
          <w:b/>
          <w:bCs w:val="0"/>
          <w:kern w:val="32"/>
          <w:sz w:val="32"/>
          <w:szCs w:val="32"/>
          <w:lang w:val="en-US" w:eastAsia="zh-CN" w:bidi="ar-SA"/>
        </w:rPr>
        <w:t>6 建设项目的安全条件</w:t>
      </w:r>
      <w:bookmarkEnd w:id="219"/>
      <w:bookmarkEnd w:id="220"/>
      <w:bookmarkEnd w:id="221"/>
      <w:bookmarkEnd w:id="222"/>
    </w:p>
    <w:p w14:paraId="562C479E">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23" w:name="_Toc410311899"/>
      <w:bookmarkStart w:id="224" w:name="_Toc410311976"/>
      <w:bookmarkStart w:id="225" w:name="_Toc41246705"/>
      <w:bookmarkStart w:id="226" w:name="_Toc28316"/>
      <w:bookmarkStart w:id="227" w:name="_Toc18475"/>
      <w:r>
        <w:rPr>
          <w:rFonts w:hint="default" w:ascii="Times New Roman" w:hAnsi="Times New Roman" w:eastAsia="楷体" w:cs="Times New Roman"/>
          <w:color w:val="auto"/>
          <w:sz w:val="32"/>
          <w:szCs w:val="32"/>
          <w:lang w:val="en-US" w:eastAsia="zh-CN"/>
        </w:rPr>
        <w:t>6.1</w:t>
      </w:r>
      <w:bookmarkEnd w:id="223"/>
      <w:bookmarkEnd w:id="224"/>
      <w:bookmarkEnd w:id="225"/>
      <w:r>
        <w:rPr>
          <w:rFonts w:hint="default" w:ascii="Times New Roman" w:hAnsi="Times New Roman" w:eastAsia="楷体" w:cs="Times New Roman"/>
          <w:color w:val="auto"/>
          <w:sz w:val="32"/>
          <w:szCs w:val="32"/>
          <w:lang w:val="en-US" w:eastAsia="zh-CN"/>
        </w:rPr>
        <w:t>建设项目的外部情况</w:t>
      </w:r>
      <w:bookmarkEnd w:id="226"/>
      <w:bookmarkEnd w:id="227"/>
    </w:p>
    <w:p w14:paraId="5B12A40C">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28" w:name="_Toc28628"/>
      <w:bookmarkStart w:id="229" w:name="_Toc41246706"/>
      <w:bookmarkStart w:id="230" w:name="_Toc410311900"/>
      <w:bookmarkStart w:id="231" w:name="_Toc32086"/>
      <w:bookmarkStart w:id="232" w:name="_Toc146488869"/>
      <w:bookmarkStart w:id="233" w:name="_Toc13494"/>
      <w:bookmarkStart w:id="234" w:name="_Toc410311977"/>
      <w:r>
        <w:rPr>
          <w:rFonts w:hint="default" w:ascii="Times New Roman" w:hAnsi="Times New Roman" w:eastAsia="黑体" w:cs="Times New Roman"/>
          <w:b/>
          <w:bCs/>
          <w:color w:val="auto"/>
          <w:sz w:val="28"/>
          <w:szCs w:val="32"/>
          <w:lang w:val="en-US" w:eastAsia="zh-CN"/>
        </w:rPr>
        <w:t>6.1.1周边24小时内生产经营活动和居民生活的情况</w:t>
      </w:r>
      <w:bookmarkEnd w:id="228"/>
      <w:bookmarkEnd w:id="229"/>
      <w:bookmarkEnd w:id="230"/>
      <w:bookmarkEnd w:id="231"/>
      <w:bookmarkEnd w:id="232"/>
      <w:bookmarkEnd w:id="233"/>
      <w:bookmarkEnd w:id="234"/>
    </w:p>
    <w:p w14:paraId="68FFBC9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bookmarkStart w:id="235" w:name="_Toc410311901"/>
      <w:bookmarkStart w:id="236" w:name="_Toc41246707"/>
      <w:bookmarkStart w:id="237" w:name="_Toc31894"/>
      <w:bookmarkStart w:id="238" w:name="_Toc592"/>
      <w:bookmarkStart w:id="239" w:name="_Toc410311978"/>
      <w:r>
        <w:rPr>
          <w:rFonts w:hint="default" w:ascii="Times New Roman" w:hAnsi="Times New Roman" w:cs="Times New Roman"/>
          <w:bCs/>
          <w:color w:val="000000" w:themeColor="text1"/>
          <w:kern w:val="0"/>
          <w:sz w:val="28"/>
          <w:szCs w:val="28"/>
          <w:lang w:eastAsia="zh-CN"/>
          <w14:textFill>
            <w14:solidFill>
              <w14:schemeClr w14:val="tx1"/>
            </w14:solidFill>
          </w14:textFill>
        </w:rPr>
        <w:t>加油站</w:t>
      </w:r>
      <w:r>
        <w:rPr>
          <w:rFonts w:hint="default" w:ascii="Times New Roman" w:hAnsi="Times New Roman" w:cs="Times New Roman"/>
          <w:color w:val="000000" w:themeColor="text1"/>
          <w:sz w:val="28"/>
          <w:szCs w:val="28"/>
          <w14:textFill>
            <w14:solidFill>
              <w14:schemeClr w14:val="tx1"/>
            </w14:solidFill>
          </w14:textFill>
        </w:rPr>
        <w:t>位于绥中县绥中镇商业路，站区北侧为医院门诊楼（一类保护物）；南侧为</w:t>
      </w:r>
      <w:r>
        <w:rPr>
          <w:rFonts w:hint="eastAsia" w:cs="Times New Roman"/>
          <w:color w:val="000000" w:themeColor="text1"/>
          <w:sz w:val="28"/>
          <w:szCs w:val="28"/>
          <w:lang w:val="en-US" w:eastAsia="zh-CN"/>
          <w14:textFill>
            <w14:solidFill>
              <w14:schemeClr w14:val="tx1"/>
            </w14:solidFill>
          </w14:textFill>
        </w:rPr>
        <w:t>空地</w:t>
      </w:r>
      <w:r>
        <w:rPr>
          <w:rFonts w:hint="default" w:ascii="Times New Roman" w:hAnsi="Times New Roman" w:cs="Times New Roman"/>
          <w:color w:val="000000" w:themeColor="text1"/>
          <w:sz w:val="28"/>
          <w:szCs w:val="28"/>
          <w14:textFill>
            <w14:solidFill>
              <w14:schemeClr w14:val="tx1"/>
            </w14:solidFill>
          </w14:textFill>
        </w:rPr>
        <w:t>；西侧为商业路（主干路）；东侧为居民楼（二类保护物）</w:t>
      </w:r>
      <w:r>
        <w:rPr>
          <w:rFonts w:hint="default" w:ascii="Times New Roman" w:hAnsi="Times New Roman" w:cs="Times New Roman"/>
          <w:sz w:val="28"/>
          <w:szCs w:val="28"/>
          <w:lang w:val="en-US" w:eastAsia="zh-CN"/>
        </w:rPr>
        <w:t>。该</w:t>
      </w:r>
      <w:r>
        <w:rPr>
          <w:rFonts w:hint="default" w:ascii="Times New Roman" w:hAnsi="Times New Roman" w:cs="Times New Roman"/>
          <w:sz w:val="28"/>
          <w:szCs w:val="28"/>
          <w:lang w:val="zh-CN"/>
        </w:rPr>
        <w:t>站周边无自然保护区、风景名胜区、水源保护区等需要特殊保护的用地。</w:t>
      </w:r>
    </w:p>
    <w:p w14:paraId="30A26068">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40" w:name="_Toc146488870"/>
      <w:bookmarkStart w:id="241" w:name="_Toc19447"/>
      <w:r>
        <w:rPr>
          <w:rFonts w:hint="default" w:ascii="Times New Roman" w:hAnsi="Times New Roman" w:eastAsia="黑体" w:cs="Times New Roman"/>
          <w:b/>
          <w:bCs/>
          <w:color w:val="auto"/>
          <w:sz w:val="28"/>
          <w:szCs w:val="32"/>
          <w:lang w:val="en-US" w:eastAsia="zh-CN"/>
        </w:rPr>
        <w:t>6.1.2所在地的自然条件</w:t>
      </w:r>
      <w:bookmarkEnd w:id="235"/>
      <w:bookmarkEnd w:id="236"/>
      <w:bookmarkEnd w:id="237"/>
      <w:bookmarkEnd w:id="238"/>
      <w:bookmarkEnd w:id="239"/>
      <w:bookmarkEnd w:id="240"/>
      <w:bookmarkEnd w:id="241"/>
    </w:p>
    <w:p w14:paraId="09A00E5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eastAsia="zh-CN"/>
          <w14:textFill>
            <w14:solidFill>
              <w14:schemeClr w14:val="tx1"/>
            </w14:solidFill>
          </w14:textFill>
        </w:rPr>
      </w:pPr>
      <w:r>
        <w:rPr>
          <w:rFonts w:hint="default" w:ascii="Times New Roman" w:hAnsi="Times New Roman" w:cs="Times New Roman"/>
          <w:kern w:val="0"/>
          <w:sz w:val="28"/>
          <w:szCs w:val="28"/>
        </w:rPr>
        <w:t>（1）</w:t>
      </w:r>
      <w:r>
        <w:rPr>
          <w:rFonts w:hint="default" w:ascii="Times New Roman" w:hAnsi="Times New Roman" w:cs="Times New Roman"/>
          <w:bCs/>
          <w:color w:val="000000" w:themeColor="text1"/>
          <w:kern w:val="0"/>
          <w:sz w:val="28"/>
          <w:szCs w:val="28"/>
          <w:lang w:eastAsia="zh-CN"/>
          <w14:textFill>
            <w14:solidFill>
              <w14:schemeClr w14:val="tx1"/>
            </w14:solidFill>
          </w14:textFill>
        </w:rPr>
        <w:t>气候条件</w:t>
      </w:r>
    </w:p>
    <w:p w14:paraId="59AC40A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val="en-US" w:eastAsia="zh-CN"/>
          <w14:textFill>
            <w14:solidFill>
              <w14:schemeClr w14:val="tx1"/>
            </w14:solidFill>
          </w14:textFill>
        </w:rPr>
      </w:pPr>
      <w:bookmarkStart w:id="242" w:name="_Toc28173"/>
      <w:r>
        <w:rPr>
          <w:rFonts w:hint="eastAsia" w:cs="Times New Roman"/>
          <w:bCs/>
          <w:color w:val="000000" w:themeColor="text1"/>
          <w:kern w:val="0"/>
          <w:sz w:val="28"/>
          <w:szCs w:val="28"/>
          <w:lang w:val="en-US" w:eastAsia="zh-CN"/>
          <w14:textFill>
            <w14:solidFill>
              <w14:schemeClr w14:val="tx1"/>
            </w14:solidFill>
          </w14:textFill>
        </w:rPr>
        <w:t>该项目位于</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葫芦岛市</w:t>
      </w:r>
      <w:r>
        <w:rPr>
          <w:rFonts w:hint="eastAsia" w:cs="Times New Roman"/>
          <w:bCs/>
          <w:color w:val="000000" w:themeColor="text1"/>
          <w:kern w:val="0"/>
          <w:sz w:val="28"/>
          <w:szCs w:val="28"/>
          <w:lang w:val="en-US" w:eastAsia="zh-CN"/>
          <w14:textFill>
            <w14:solidFill>
              <w14:schemeClr w14:val="tx1"/>
            </w14:solidFill>
          </w14:textFill>
        </w:rPr>
        <w:t>绥中</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县</w:t>
      </w:r>
      <w:r>
        <w:rPr>
          <w:rFonts w:hint="eastAsia" w:cs="Times New Roman"/>
          <w:bCs/>
          <w:color w:val="000000" w:themeColor="text1"/>
          <w:kern w:val="0"/>
          <w:sz w:val="28"/>
          <w:szCs w:val="28"/>
          <w:lang w:val="en-US" w:eastAsia="zh-CN"/>
          <w14:textFill>
            <w14:solidFill>
              <w14:schemeClr w14:val="tx1"/>
            </w14:solidFill>
          </w14:textFill>
        </w:rPr>
        <w:t>，</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其所涉气象参数如下：</w:t>
      </w:r>
    </w:p>
    <w:p w14:paraId="763C704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全年平均气温：                  9.6℃</w:t>
      </w:r>
    </w:p>
    <w:p w14:paraId="6AE4C47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极端最高气温：                  41.5℃</w:t>
      </w:r>
    </w:p>
    <w:p w14:paraId="49E9297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极端最低气温：                  -24.7℃</w:t>
      </w:r>
    </w:p>
    <w:p w14:paraId="1738509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年平均气压：                    1014mbar</w:t>
      </w:r>
    </w:p>
    <w:p w14:paraId="06FB1CF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年平均风速：                    4.2m/s</w:t>
      </w:r>
    </w:p>
    <w:p w14:paraId="33CA047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常年主导风向：                  SSW（频率为20.5%）</w:t>
      </w:r>
    </w:p>
    <w:p w14:paraId="1470E34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年平均降水量：                  613.7mm</w:t>
      </w:r>
    </w:p>
    <w:p w14:paraId="325B1C4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年降雨日数：                    71d</w:t>
      </w:r>
    </w:p>
    <w:p w14:paraId="7C375ED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平均最大积雪厚度：              84mm</w:t>
      </w:r>
    </w:p>
    <w:p w14:paraId="6EF5C31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雪厚载：                        30kg/m</w:t>
      </w:r>
      <w:r>
        <w:rPr>
          <w:rFonts w:hint="eastAsia" w:ascii="Times New Roman" w:hAnsi="Times New Roman" w:eastAsia="宋体" w:cs="Times New Roman"/>
          <w:color w:val="auto"/>
          <w:kern w:val="28"/>
          <w:sz w:val="28"/>
          <w:szCs w:val="28"/>
          <w:vertAlign w:val="superscript"/>
        </w:rPr>
        <w:t>2</w:t>
      </w:r>
    </w:p>
    <w:p w14:paraId="0F1093A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年平均相对湿度：                60%</w:t>
      </w:r>
    </w:p>
    <w:p w14:paraId="4BFD8CB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最大冻土深度：                  112cm</w:t>
      </w:r>
    </w:p>
    <w:p w14:paraId="568EE38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年平均日照：                    2801h</w:t>
      </w:r>
    </w:p>
    <w:p w14:paraId="33EFEC7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color w:val="auto"/>
          <w:kern w:val="28"/>
          <w:sz w:val="28"/>
          <w:szCs w:val="28"/>
        </w:rPr>
      </w:pPr>
      <w:r>
        <w:rPr>
          <w:rFonts w:hint="eastAsia" w:ascii="Times New Roman" w:hAnsi="Times New Roman" w:eastAsia="宋体" w:cs="Times New Roman"/>
          <w:color w:val="auto"/>
          <w:kern w:val="28"/>
          <w:sz w:val="28"/>
          <w:szCs w:val="28"/>
        </w:rPr>
        <w:t>年平均大雾日：                  46d</w:t>
      </w:r>
    </w:p>
    <w:p w14:paraId="5CE645C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ascii="Times New Roman" w:hAnsi="Times New Roman" w:eastAsia="宋体" w:cs="Times New Roman"/>
          <w:color w:val="auto"/>
          <w:kern w:val="28"/>
          <w:sz w:val="28"/>
          <w:szCs w:val="28"/>
          <w:highlight w:val="none"/>
        </w:rPr>
      </w:pPr>
      <w:r>
        <w:rPr>
          <w:rFonts w:hint="eastAsia" w:ascii="Times New Roman" w:hAnsi="Times New Roman" w:eastAsia="宋体" w:cs="Times New Roman"/>
          <w:color w:val="auto"/>
          <w:kern w:val="28"/>
          <w:sz w:val="28"/>
          <w:szCs w:val="28"/>
        </w:rPr>
        <w:t>全年平均雷暴日数：              28.5d</w:t>
      </w:r>
    </w:p>
    <w:bookmarkEnd w:id="242"/>
    <w:p w14:paraId="1EEFED4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eastAsia="zh-CN"/>
          <w14:textFill>
            <w14:solidFill>
              <w14:schemeClr w14:val="tx1"/>
            </w14:solidFill>
          </w14:textFill>
        </w:rPr>
      </w:pPr>
      <w:bookmarkStart w:id="243" w:name="_Toc10855"/>
      <w:r>
        <w:rPr>
          <w:rFonts w:hint="default" w:ascii="Times New Roman" w:hAnsi="Times New Roman" w:cs="Times New Roman"/>
          <w:bCs/>
          <w:color w:val="000000" w:themeColor="text1"/>
          <w:kern w:val="0"/>
          <w:sz w:val="28"/>
          <w:szCs w:val="28"/>
          <w:lang w:eastAsia="zh-CN"/>
          <w14:textFill>
            <w14:solidFill>
              <w14:schemeClr w14:val="tx1"/>
            </w14:solidFill>
          </w14:textFill>
        </w:rPr>
        <w:t>（2）地震烈度</w:t>
      </w:r>
      <w:bookmarkEnd w:id="243"/>
    </w:p>
    <w:p w14:paraId="56F13D3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color w:val="000000" w:themeColor="text1"/>
          <w:kern w:val="0"/>
          <w:sz w:val="28"/>
          <w:szCs w:val="28"/>
          <w:lang w:eastAsia="zh-CN"/>
          <w14:textFill>
            <w14:solidFill>
              <w14:schemeClr w14:val="tx1"/>
            </w14:solidFill>
          </w14:textFill>
        </w:rPr>
      </w:pPr>
      <w:r>
        <w:rPr>
          <w:rFonts w:hint="default" w:ascii="Times New Roman" w:hAnsi="Times New Roman" w:cs="Times New Roman"/>
          <w:bCs/>
          <w:color w:val="000000" w:themeColor="text1"/>
          <w:kern w:val="0"/>
          <w:sz w:val="28"/>
          <w:szCs w:val="28"/>
          <w:lang w:eastAsia="zh-CN"/>
          <w14:textFill>
            <w14:solidFill>
              <w14:schemeClr w14:val="tx1"/>
            </w14:solidFill>
          </w14:textFill>
        </w:rPr>
        <w:t>根据《建筑抗震设计标准（2024年版）》（GB/T50011-2010）中关于我国主要城镇抗震设防烈度、设计基本地震及速度和设计地震分组可知，本项目所在地区的抗震设防烈度为6度，设计基本地震加速度值为0.05g，所属的设计地震分组为第</w:t>
      </w:r>
      <w:r>
        <w:rPr>
          <w:rFonts w:hint="default" w:ascii="Times New Roman" w:hAnsi="Times New Roman" w:cs="Times New Roman"/>
          <w:bCs/>
          <w:color w:val="000000" w:themeColor="text1"/>
          <w:kern w:val="0"/>
          <w:sz w:val="28"/>
          <w:szCs w:val="28"/>
          <w:lang w:val="en-US" w:eastAsia="zh-CN"/>
          <w14:textFill>
            <w14:solidFill>
              <w14:schemeClr w14:val="tx1"/>
            </w14:solidFill>
          </w14:textFill>
        </w:rPr>
        <w:t>三</w:t>
      </w:r>
      <w:r>
        <w:rPr>
          <w:rFonts w:hint="default" w:ascii="Times New Roman" w:hAnsi="Times New Roman" w:cs="Times New Roman"/>
          <w:bCs/>
          <w:color w:val="000000" w:themeColor="text1"/>
          <w:kern w:val="0"/>
          <w:sz w:val="28"/>
          <w:szCs w:val="28"/>
          <w:lang w:eastAsia="zh-CN"/>
          <w14:textFill>
            <w14:solidFill>
              <w14:schemeClr w14:val="tx1"/>
            </w14:solidFill>
          </w14:textFill>
        </w:rPr>
        <w:t>组。</w:t>
      </w:r>
    </w:p>
    <w:p w14:paraId="6B3B39E5">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44" w:name="_Toc410311903"/>
      <w:bookmarkStart w:id="245" w:name="_Toc41246709"/>
      <w:bookmarkStart w:id="246" w:name="_Toc6167"/>
      <w:bookmarkStart w:id="247" w:name="_Toc410311980"/>
      <w:bookmarkStart w:id="248" w:name="_Toc3681"/>
      <w:r>
        <w:rPr>
          <w:rFonts w:hint="default" w:ascii="Times New Roman" w:hAnsi="Times New Roman" w:eastAsia="楷体" w:cs="Times New Roman"/>
          <w:color w:val="auto"/>
          <w:sz w:val="32"/>
          <w:szCs w:val="32"/>
          <w:lang w:val="en-US" w:eastAsia="zh-CN"/>
        </w:rPr>
        <w:t>6.2建设项目的安全条件</w:t>
      </w:r>
      <w:bookmarkEnd w:id="244"/>
      <w:bookmarkEnd w:id="245"/>
      <w:bookmarkEnd w:id="246"/>
      <w:bookmarkEnd w:id="247"/>
      <w:bookmarkEnd w:id="248"/>
    </w:p>
    <w:p w14:paraId="1E74E63F">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249" w:name="_Toc41246710"/>
      <w:bookmarkStart w:id="250" w:name="_Toc21087"/>
      <w:bookmarkStart w:id="251" w:name="_Toc259"/>
      <w:bookmarkStart w:id="252" w:name="_Toc410311981"/>
      <w:bookmarkStart w:id="253" w:name="_Toc410311904"/>
      <w:bookmarkStart w:id="254" w:name="_Toc146488872"/>
      <w:r>
        <w:rPr>
          <w:rFonts w:hint="default" w:ascii="Times New Roman" w:hAnsi="Times New Roman" w:eastAsia="黑体" w:cs="Times New Roman"/>
          <w:b/>
          <w:bCs/>
          <w:color w:val="auto"/>
          <w:sz w:val="28"/>
          <w:szCs w:val="32"/>
          <w:lang w:val="en-US" w:eastAsia="zh-CN"/>
        </w:rPr>
        <w:t>6.2.1建设项目内在的危险、有害因素和建设项目可能发生的各类事故，对建设项目周边单位生产、经营活动或者居民生活的影响</w:t>
      </w:r>
      <w:bookmarkEnd w:id="249"/>
      <w:bookmarkEnd w:id="250"/>
      <w:bookmarkEnd w:id="251"/>
      <w:bookmarkEnd w:id="252"/>
      <w:bookmarkEnd w:id="253"/>
      <w:bookmarkEnd w:id="254"/>
    </w:p>
    <w:p w14:paraId="67622BC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color w:val="auto"/>
          <w:sz w:val="28"/>
          <w:szCs w:val="28"/>
          <w:highlight w:val="none"/>
          <w:lang w:eastAsia="zh-CN"/>
        </w:rPr>
      </w:pPr>
      <w:bookmarkStart w:id="255" w:name="_Toc19673"/>
      <w:bookmarkStart w:id="256" w:name="_Toc41246711"/>
      <w:bookmarkStart w:id="257" w:name="_Toc410311905"/>
      <w:bookmarkStart w:id="258" w:name="_Toc410311982"/>
      <w:bookmarkStart w:id="259" w:name="_Toc8172"/>
      <w:r>
        <w:rPr>
          <w:rFonts w:hint="default" w:ascii="Times New Roman" w:hAnsi="Times New Roman" w:cs="Times New Roman"/>
          <w:sz w:val="28"/>
          <w:szCs w:val="28"/>
        </w:rPr>
        <w:t>从F表4-2可以看出，本项目工艺设施与站外建、构筑物的间距满足《汽车加油加气加氢站技术标准》（GB 50156-2021）表4.0.4的规范要求</w:t>
      </w:r>
      <w:r>
        <w:rPr>
          <w:rFonts w:hint="default" w:ascii="Times New Roman" w:hAnsi="Times New Roman" w:cs="Times New Roman"/>
          <w:color w:val="000000" w:themeColor="text1"/>
          <w:sz w:val="28"/>
          <w:szCs w:val="28"/>
          <w14:textFill>
            <w14:solidFill>
              <w14:schemeClr w14:val="tx1"/>
            </w14:solidFill>
          </w14:textFill>
        </w:rPr>
        <w:t>。根据埋地</w:t>
      </w:r>
      <w:r>
        <w:rPr>
          <w:rFonts w:hint="eastAsia" w:cs="Times New Roman"/>
          <w:color w:val="000000" w:themeColor="text1"/>
          <w:sz w:val="28"/>
          <w:szCs w:val="28"/>
          <w:lang w:eastAsia="zh-CN"/>
          <w14:textFill>
            <w14:solidFill>
              <w14:schemeClr w14:val="tx1"/>
            </w14:solidFill>
          </w14:textFill>
        </w:rPr>
        <w:t>乙醇汽油</w:t>
      </w:r>
      <w:r>
        <w:rPr>
          <w:rFonts w:hint="default" w:ascii="Times New Roman" w:hAnsi="Times New Roman" w:cs="Times New Roman"/>
          <w:color w:val="000000" w:themeColor="text1"/>
          <w:sz w:val="28"/>
          <w:szCs w:val="28"/>
          <w14:textFill>
            <w14:solidFill>
              <w14:schemeClr w14:val="tx1"/>
            </w14:solidFill>
          </w14:textFill>
        </w:rPr>
        <w:t>罐发生泄漏引发蒸汽云爆炸计算结论，</w:t>
      </w:r>
      <w:r>
        <w:rPr>
          <w:rFonts w:hint="eastAsia" w:cs="Times New Roman"/>
          <w:color w:val="000000" w:themeColor="text1"/>
          <w:sz w:val="28"/>
          <w:szCs w:val="28"/>
          <w:highlight w:val="none"/>
          <w:lang w:val="en-US" w:eastAsia="zh-CN"/>
          <w14:textFill>
            <w14:solidFill>
              <w14:schemeClr w14:val="tx1"/>
            </w14:solidFill>
          </w14:textFill>
        </w:rPr>
        <w:t>本项目周边单位生产、经营活动或者居民生活区域</w:t>
      </w:r>
      <w:r>
        <w:rPr>
          <w:rFonts w:hint="eastAsia"/>
          <w:color w:val="auto"/>
          <w:sz w:val="28"/>
          <w:szCs w:val="28"/>
          <w:highlight w:val="none"/>
        </w:rPr>
        <w:t>不在死亡半径内，不会受到伤害</w:t>
      </w:r>
      <w:r>
        <w:rPr>
          <w:rFonts w:hint="eastAsia"/>
          <w:color w:val="auto"/>
          <w:sz w:val="28"/>
          <w:szCs w:val="28"/>
          <w:highlight w:val="none"/>
          <w:lang w:eastAsia="zh-CN"/>
        </w:rPr>
        <w:t>。</w:t>
      </w:r>
    </w:p>
    <w:p w14:paraId="17EAE23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同时，本项目选用双层管道及油罐，油罐安装有液位仪及测漏仪等安全技术手段，发生油品泄漏的概率较小，因此，对周边造成的影响较小。</w:t>
      </w:r>
    </w:p>
    <w:p w14:paraId="197C8F5A">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default" w:ascii="Times New Roman" w:hAnsi="Times New Roman" w:eastAsia="黑体" w:cs="Times New Roman"/>
          <w:b/>
          <w:bCs/>
          <w:color w:val="auto"/>
          <w:kern w:val="2"/>
          <w:sz w:val="28"/>
          <w:szCs w:val="32"/>
          <w:lang w:val="en-US" w:eastAsia="zh-CN" w:bidi="ar-SA"/>
        </w:rPr>
      </w:pPr>
      <w:bookmarkStart w:id="260" w:name="_Toc146488873"/>
      <w:bookmarkStart w:id="261" w:name="_Toc13177"/>
      <w:r>
        <w:rPr>
          <w:rFonts w:hint="default" w:ascii="Times New Roman" w:hAnsi="Times New Roman" w:eastAsia="黑体" w:cs="Times New Roman"/>
          <w:b/>
          <w:bCs/>
          <w:color w:val="auto"/>
          <w:kern w:val="2"/>
          <w:sz w:val="28"/>
          <w:szCs w:val="32"/>
          <w:lang w:val="en-US" w:eastAsia="zh-CN" w:bidi="ar-SA"/>
        </w:rPr>
        <w:t>6.2.2建设项目周边单位生产、经营活动或者居民生活对建设项目的影响</w:t>
      </w:r>
      <w:bookmarkEnd w:id="255"/>
      <w:bookmarkEnd w:id="256"/>
      <w:bookmarkEnd w:id="257"/>
      <w:bookmarkEnd w:id="258"/>
      <w:bookmarkEnd w:id="259"/>
      <w:bookmarkEnd w:id="260"/>
      <w:bookmarkEnd w:id="261"/>
    </w:p>
    <w:p w14:paraId="7E0A02C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由于</w:t>
      </w:r>
      <w:r>
        <w:rPr>
          <w:rFonts w:hint="default" w:ascii="Times New Roman" w:hAnsi="Times New Roman" w:cs="Times New Roman"/>
          <w:sz w:val="28"/>
          <w:szCs w:val="28"/>
          <w:lang w:val="en-US" w:eastAsia="zh-CN"/>
        </w:rPr>
        <w:t>本项目</w:t>
      </w:r>
      <w:r>
        <w:rPr>
          <w:rFonts w:hint="default" w:ascii="Times New Roman" w:hAnsi="Times New Roman" w:cs="Times New Roman"/>
          <w:sz w:val="28"/>
          <w:szCs w:val="28"/>
        </w:rPr>
        <w:t>在总平面布置等方面充分考虑了与站外周边建（构）筑物安全间距，其建成后站内主要设施与周边距离能够达到国家现行规范标准要求。</w:t>
      </w:r>
    </w:p>
    <w:p w14:paraId="208614C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t>建设项目如果发生火灾事故，</w:t>
      </w:r>
      <w:r>
        <w:rPr>
          <w:rFonts w:hint="eastAsia" w:cs="Times New Roman"/>
          <w:sz w:val="28"/>
          <w:szCs w:val="28"/>
          <w:highlight w:val="none"/>
          <w:lang w:val="en-US" w:eastAsia="zh-CN"/>
        </w:rPr>
        <w:t>不会对</w:t>
      </w:r>
      <w:r>
        <w:rPr>
          <w:rFonts w:hint="eastAsia" w:cs="Times New Roman"/>
          <w:color w:val="000000" w:themeColor="text1"/>
          <w:sz w:val="28"/>
          <w:szCs w:val="28"/>
          <w:highlight w:val="none"/>
          <w:lang w:val="en-US" w:eastAsia="zh-CN"/>
          <w14:textFill>
            <w14:solidFill>
              <w14:schemeClr w14:val="tx1"/>
            </w14:solidFill>
          </w14:textFill>
        </w:rPr>
        <w:t>本项目周边单位生产、经营活动或者居民生活</w:t>
      </w:r>
      <w:r>
        <w:rPr>
          <w:rFonts w:hint="default" w:ascii="Times New Roman" w:hAnsi="Times New Roman" w:cs="Times New Roman"/>
          <w:sz w:val="28"/>
          <w:szCs w:val="28"/>
          <w:highlight w:val="none"/>
        </w:rPr>
        <w:t>产生影响。进站加油的车辆不熄火、人员吸烟、打手机等行为可能会对本项目产生一定的影响，因此，员工应加强与周边人员的交流，使其了解本项目存在的危险性和在本项目周边日常活动的注意事项，以保障本项目的安全运营。</w:t>
      </w:r>
    </w:p>
    <w:p w14:paraId="75CD7281">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default" w:ascii="Times New Roman" w:hAnsi="Times New Roman" w:eastAsia="黑体" w:cs="Times New Roman"/>
          <w:b/>
          <w:bCs/>
          <w:color w:val="auto"/>
          <w:kern w:val="2"/>
          <w:sz w:val="28"/>
          <w:szCs w:val="32"/>
          <w:lang w:val="en-US" w:eastAsia="zh-CN" w:bidi="ar-SA"/>
        </w:rPr>
      </w:pPr>
      <w:bookmarkStart w:id="262" w:name="_Toc27139"/>
      <w:bookmarkStart w:id="263" w:name="_Toc41246712"/>
      <w:bookmarkStart w:id="264" w:name="_Toc23688"/>
      <w:bookmarkStart w:id="265" w:name="_Toc146488874"/>
      <w:bookmarkStart w:id="266" w:name="_Toc4804"/>
      <w:r>
        <w:rPr>
          <w:rFonts w:hint="default" w:ascii="Times New Roman" w:hAnsi="Times New Roman" w:eastAsia="黑体" w:cs="Times New Roman"/>
          <w:b/>
          <w:bCs/>
          <w:color w:val="auto"/>
          <w:kern w:val="2"/>
          <w:sz w:val="28"/>
          <w:szCs w:val="32"/>
          <w:lang w:val="en-US" w:eastAsia="zh-CN" w:bidi="ar-SA"/>
        </w:rPr>
        <w:t>6.2.3</w:t>
      </w:r>
      <w:bookmarkStart w:id="267" w:name="_Toc410311906"/>
      <w:bookmarkStart w:id="268" w:name="_Toc410311983"/>
      <w:r>
        <w:rPr>
          <w:rFonts w:hint="default" w:ascii="Times New Roman" w:hAnsi="Times New Roman" w:eastAsia="黑体" w:cs="Times New Roman"/>
          <w:b/>
          <w:bCs/>
          <w:color w:val="auto"/>
          <w:kern w:val="2"/>
          <w:sz w:val="28"/>
          <w:szCs w:val="32"/>
          <w:lang w:val="en-US" w:eastAsia="zh-CN" w:bidi="ar-SA"/>
        </w:rPr>
        <w:t>建设项目所在地的自然条件对建设项目投入生产或者使用后的影响</w:t>
      </w:r>
      <w:bookmarkEnd w:id="262"/>
      <w:bookmarkEnd w:id="263"/>
      <w:bookmarkEnd w:id="264"/>
      <w:bookmarkEnd w:id="265"/>
      <w:bookmarkEnd w:id="266"/>
      <w:bookmarkEnd w:id="267"/>
      <w:bookmarkEnd w:id="268"/>
    </w:p>
    <w:p w14:paraId="2FAEC11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269" w:name="_Hlk164003967"/>
      <w:r>
        <w:rPr>
          <w:rFonts w:hint="default" w:ascii="Times New Roman" w:hAnsi="Times New Roman" w:cs="Times New Roman"/>
          <w:sz w:val="28"/>
          <w:szCs w:val="28"/>
        </w:rPr>
        <w:t>自然环境危险有害因素主要包括雷击、地震、高低气温和洪水、台风、雨雪等。</w:t>
      </w:r>
    </w:p>
    <w:bookmarkEnd w:id="269"/>
    <w:p w14:paraId="3394599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（1）雷击</w:t>
      </w:r>
    </w:p>
    <w:p w14:paraId="55FEE7D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加油机、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3DE8544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（2）地震</w:t>
      </w:r>
    </w:p>
    <w:p w14:paraId="38558B1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t>该站所在区域抗震设防烈度为6度。强烈地震可能造成建（构）筑物和设备、管道的破坏，同时会造成危险物质大量泄漏，进而可能引发火灾、爆炸等灾害事故，造成人员伤亡。</w:t>
      </w:r>
    </w:p>
    <w:p w14:paraId="4AE4080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（3）高温、低温</w:t>
      </w:r>
    </w:p>
    <w:p w14:paraId="69BDE42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该区域年极端最高气温</w:t>
      </w:r>
      <w:r>
        <w:rPr>
          <w:rFonts w:hint="eastAsia" w:cs="Times New Roman"/>
          <w:sz w:val="28"/>
          <w:szCs w:val="28"/>
          <w:lang w:val="en-US" w:eastAsia="zh-CN"/>
        </w:rPr>
        <w:t>41.5</w:t>
      </w:r>
      <w:r>
        <w:rPr>
          <w:rFonts w:hint="default" w:ascii="Times New Roman" w:hAnsi="Times New Roman" w:cs="Times New Roman"/>
          <w:sz w:val="28"/>
          <w:szCs w:val="28"/>
        </w:rPr>
        <w:t>℃，冬季最低温度在-2</w:t>
      </w:r>
      <w:r>
        <w:rPr>
          <w:rFonts w:hint="eastAsia" w:cs="Times New Roman"/>
          <w:sz w:val="28"/>
          <w:szCs w:val="28"/>
          <w:lang w:val="en-US" w:eastAsia="zh-CN"/>
        </w:rPr>
        <w:t>4.7</w:t>
      </w:r>
      <w:r>
        <w:rPr>
          <w:rFonts w:hint="default" w:ascii="Times New Roman" w:hAnsi="Times New Roman" w:cs="Times New Roman"/>
          <w:sz w:val="28"/>
          <w:szCs w:val="28"/>
        </w:rPr>
        <w:t>℃左右。操作人员在高温及低温环境中易出现操作失误。严寒有可能导致设备、管道、阀门冻坏破裂。</w:t>
      </w:r>
    </w:p>
    <w:p w14:paraId="2891E59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（4）洪水、台风</w:t>
      </w:r>
    </w:p>
    <w:p w14:paraId="13430E0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该区域年降雨集中于7～9月份。一旦发生洪水或雨量过大时，会发生水淹等事故，造成有害物质外泄，污染周围环境。电力、电气设备受潮，环境湿度增大，可能进一步引发电气事故、电气故障。</w:t>
      </w:r>
    </w:p>
    <w:p w14:paraId="26CF8CB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270" w:name="_Hlk164003980"/>
      <w:r>
        <w:rPr>
          <w:rFonts w:hint="default" w:ascii="Times New Roman" w:hAnsi="Times New Roman" w:cs="Times New Roman"/>
          <w:sz w:val="28"/>
          <w:szCs w:val="28"/>
        </w:rPr>
        <w:t>（5）雨雪</w:t>
      </w:r>
    </w:p>
    <w:p w14:paraId="55DBA13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罩棚和站房在雨水和雪荷载下有可能发生坍塌事故，对站内设施、加油人员造成伤害。</w:t>
      </w:r>
      <w:bookmarkEnd w:id="270"/>
    </w:p>
    <w:p w14:paraId="24CE88B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由上分析可知，该地区自然条件对该站的运营会造成一定的影响，但采取有效防范措施后，其影响可消除或减弱到不会影响本项目的正常运营。</w:t>
      </w:r>
      <w:r>
        <w:rPr>
          <w:rFonts w:hint="default" w:ascii="Times New Roman" w:hAnsi="Times New Roman" w:cs="Times New Roman"/>
          <w:sz w:val="28"/>
          <w:szCs w:val="28"/>
        </w:rPr>
        <w:br w:type="page"/>
      </w:r>
      <w:bookmarkStart w:id="271" w:name="_Toc41246713"/>
      <w:bookmarkStart w:id="272" w:name="_Toc410311984"/>
      <w:bookmarkStart w:id="273" w:name="_Toc18359"/>
      <w:bookmarkStart w:id="274" w:name="_Toc410311907"/>
      <w:bookmarkStart w:id="275" w:name="_Toc31531"/>
      <w:r>
        <w:rPr>
          <w:rFonts w:hint="default" w:ascii="Times New Roman" w:hAnsi="Times New Roman" w:eastAsia="黑体" w:cs="Times New Roman"/>
          <w:b/>
          <w:bCs w:val="0"/>
          <w:kern w:val="32"/>
          <w:sz w:val="32"/>
          <w:szCs w:val="32"/>
          <w:lang w:val="en-US" w:eastAsia="zh-CN" w:bidi="ar-SA"/>
        </w:rPr>
        <w:t>7主要技术、工艺</w:t>
      </w:r>
      <w:r>
        <w:rPr>
          <w:rFonts w:hint="eastAsia" w:ascii="Times New Roman" w:hAnsi="Times New Roman" w:eastAsia="黑体" w:cs="Times New Roman"/>
          <w:b/>
          <w:bCs w:val="0"/>
          <w:kern w:val="32"/>
          <w:sz w:val="32"/>
          <w:szCs w:val="32"/>
          <w:lang w:val="en-US" w:eastAsia="zh-CN" w:bidi="ar-SA"/>
        </w:rPr>
        <w:t>和</w:t>
      </w:r>
      <w:r>
        <w:rPr>
          <w:rFonts w:hint="default" w:ascii="Times New Roman" w:hAnsi="Times New Roman" w:eastAsia="黑体" w:cs="Times New Roman"/>
          <w:b/>
          <w:bCs w:val="0"/>
          <w:kern w:val="32"/>
          <w:sz w:val="32"/>
          <w:szCs w:val="32"/>
          <w:lang w:val="en-US" w:eastAsia="zh-CN" w:bidi="ar-SA"/>
        </w:rPr>
        <w:t>装置、设备、设施及其安全可靠性</w:t>
      </w:r>
      <w:bookmarkEnd w:id="271"/>
      <w:bookmarkEnd w:id="272"/>
      <w:bookmarkEnd w:id="273"/>
      <w:bookmarkEnd w:id="274"/>
      <w:bookmarkEnd w:id="275"/>
    </w:p>
    <w:p w14:paraId="267B817A">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76" w:name="_Toc410311908"/>
      <w:bookmarkStart w:id="277" w:name="_Toc410311985"/>
      <w:bookmarkStart w:id="278" w:name="_Toc12485"/>
      <w:bookmarkStart w:id="279" w:name="_Toc12537"/>
      <w:bookmarkStart w:id="280" w:name="_Toc41246714"/>
      <w:r>
        <w:rPr>
          <w:rFonts w:hint="default" w:ascii="Times New Roman" w:hAnsi="Times New Roman" w:eastAsia="楷体" w:cs="Times New Roman"/>
          <w:color w:val="auto"/>
          <w:sz w:val="32"/>
          <w:szCs w:val="32"/>
          <w:lang w:val="en-US" w:eastAsia="zh-CN"/>
        </w:rPr>
        <w:t>7.1</w:t>
      </w:r>
      <w:bookmarkEnd w:id="276"/>
      <w:bookmarkEnd w:id="277"/>
      <w:r>
        <w:rPr>
          <w:rFonts w:hint="default" w:ascii="Times New Roman" w:hAnsi="Times New Roman" w:eastAsia="楷体" w:cs="Times New Roman"/>
          <w:color w:val="auto"/>
          <w:sz w:val="32"/>
          <w:szCs w:val="32"/>
          <w:lang w:val="en-US" w:eastAsia="zh-CN"/>
        </w:rPr>
        <w:t>主要技术、工艺或者方式和装置、设备、设施的安全可靠性</w:t>
      </w:r>
      <w:bookmarkEnd w:id="278"/>
      <w:bookmarkEnd w:id="279"/>
      <w:bookmarkEnd w:id="280"/>
    </w:p>
    <w:p w14:paraId="34C09094">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Times New Roman" w:hAnsi="Times New Roman" w:eastAsia="黑体" w:cs="Times New Roman"/>
          <w:b/>
          <w:bCs/>
          <w:color w:val="auto"/>
          <w:kern w:val="2"/>
          <w:sz w:val="28"/>
          <w:szCs w:val="32"/>
          <w:lang w:val="en-US" w:eastAsia="zh-CN" w:bidi="ar-SA"/>
        </w:rPr>
      </w:pPr>
      <w:bookmarkStart w:id="281" w:name="_Toc146488877"/>
      <w:bookmarkStart w:id="282" w:name="_Toc41246716"/>
      <w:bookmarkStart w:id="283" w:name="_Toc870"/>
      <w:bookmarkStart w:id="284" w:name="_Toc28218"/>
      <w:bookmarkStart w:id="285" w:name="_Toc13968"/>
      <w:r>
        <w:rPr>
          <w:rFonts w:hint="eastAsia" w:ascii="Times New Roman" w:hAnsi="Times New Roman" w:eastAsia="黑体" w:cs="Times New Roman"/>
          <w:b/>
          <w:bCs/>
          <w:color w:val="auto"/>
          <w:kern w:val="2"/>
          <w:sz w:val="28"/>
          <w:szCs w:val="32"/>
          <w:lang w:val="en-US" w:eastAsia="zh-CN" w:bidi="ar-SA"/>
        </w:rPr>
        <w:t>7.1.1工艺技术可靠性</w:t>
      </w:r>
    </w:p>
    <w:p w14:paraId="6E8112B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本项目在工艺、技术拟采用国内加油站普遍使用的</w:t>
      </w:r>
      <w:r>
        <w:rPr>
          <w:rFonts w:hint="eastAsia" w:cs="Times New Roman"/>
          <w:sz w:val="28"/>
          <w:szCs w:val="28"/>
          <w:lang w:val="en-US" w:eastAsia="zh-CN"/>
        </w:rPr>
        <w:t>自吸</w:t>
      </w:r>
      <w:r>
        <w:rPr>
          <w:rFonts w:hint="default" w:ascii="Times New Roman" w:hAnsi="Times New Roman" w:cs="Times New Roman"/>
          <w:sz w:val="28"/>
          <w:szCs w:val="28"/>
        </w:rPr>
        <w:t>式加油工艺，且国内汽车加油站工艺、技术已经成熟，加油、卸油和油品储存过程简单，没有高温、高压或吸热放热等现象，不发生化学反应，不会由此而出现系统反应失控、超温超压而引发爆炸等重大事故发生。</w:t>
      </w:r>
    </w:p>
    <w:p w14:paraId="088A4330">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default" w:ascii="Times New Roman" w:hAnsi="Times New Roman" w:eastAsia="黑体" w:cs="Times New Roman"/>
          <w:b/>
          <w:bCs/>
          <w:color w:val="auto"/>
          <w:kern w:val="2"/>
          <w:sz w:val="28"/>
          <w:szCs w:val="32"/>
          <w:lang w:val="en-US" w:eastAsia="zh-CN" w:bidi="ar-SA"/>
        </w:rPr>
      </w:pPr>
      <w:r>
        <w:rPr>
          <w:rFonts w:hint="eastAsia" w:ascii="Times New Roman" w:hAnsi="Times New Roman" w:eastAsia="黑体" w:cs="Times New Roman"/>
          <w:b/>
          <w:bCs/>
          <w:color w:val="auto"/>
          <w:kern w:val="2"/>
          <w:sz w:val="28"/>
          <w:szCs w:val="32"/>
          <w:lang w:val="en-US" w:eastAsia="zh-CN" w:bidi="ar-SA"/>
        </w:rPr>
        <w:t>7.1.2设备可靠性</w:t>
      </w:r>
    </w:p>
    <w:p w14:paraId="32C3E61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主要设备选用有资质单位生产的合格产品，加油、卸油具有油气回收系统来减少油气散发到大气中，避免环境污染和人员接触到油气造成职业健康危害，降低隐患，减少能源流失和浪费。拟设的埋地油罐采用埋地玻璃纤维增强塑料的双层罐，管道采用双层导静电热塑性管道，在防止油罐和管道出现渗漏方面具有双保险作用，两层罐壁间隙实施在线监测和人工检测，无论是内层罐还是外层罐发生渗漏，都能在贯通间隙内被发现，从而可有效地避免渗漏油品进入环境，污染环境和地下水。同时，拟设储罐卸油防溢阀、液位监测报警系统以及储罐、管道泄漏监测报警系统和紧急切断系统，大大提高了本项目的安全运营。</w:t>
      </w:r>
    </w:p>
    <w:bookmarkEnd w:id="281"/>
    <w:bookmarkEnd w:id="282"/>
    <w:bookmarkEnd w:id="283"/>
    <w:bookmarkEnd w:id="284"/>
    <w:bookmarkEnd w:id="285"/>
    <w:p w14:paraId="74A51812">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286" w:name="_Toc410311909"/>
      <w:bookmarkStart w:id="287" w:name="_Toc410311986"/>
      <w:bookmarkStart w:id="288" w:name="_Toc41246717"/>
      <w:bookmarkStart w:id="289" w:name="_Toc11196"/>
      <w:bookmarkStart w:id="290" w:name="_Toc7348"/>
      <w:r>
        <w:rPr>
          <w:rFonts w:hint="default" w:ascii="Times New Roman" w:hAnsi="Times New Roman" w:eastAsia="楷体" w:cs="Times New Roman"/>
          <w:color w:val="auto"/>
          <w:sz w:val="32"/>
          <w:szCs w:val="32"/>
          <w:lang w:val="en-US" w:eastAsia="zh-CN"/>
        </w:rPr>
        <w:t>7.2</w:t>
      </w:r>
      <w:bookmarkEnd w:id="286"/>
      <w:bookmarkEnd w:id="287"/>
      <w:r>
        <w:rPr>
          <w:rFonts w:hint="default" w:ascii="Times New Roman" w:hAnsi="Times New Roman" w:eastAsia="楷体" w:cs="Times New Roman"/>
          <w:color w:val="auto"/>
          <w:sz w:val="32"/>
          <w:szCs w:val="32"/>
          <w:lang w:val="en-US" w:eastAsia="zh-CN"/>
        </w:rPr>
        <w:t>主要装置、设备或者设施与危险化学品生产或者储存过程的匹配情况</w:t>
      </w:r>
      <w:bookmarkEnd w:id="288"/>
      <w:bookmarkEnd w:id="289"/>
      <w:bookmarkEnd w:id="290"/>
    </w:p>
    <w:p w14:paraId="50B253F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291" w:name="_Toc410311987"/>
      <w:bookmarkStart w:id="292" w:name="_Toc410311910"/>
      <w:r>
        <w:rPr>
          <w:rFonts w:hint="default" w:ascii="Times New Roman" w:hAnsi="Times New Roman" w:cs="Times New Roman"/>
          <w:sz w:val="28"/>
          <w:szCs w:val="28"/>
        </w:rPr>
        <w:t>本项目设</w:t>
      </w:r>
      <w:r>
        <w:rPr>
          <w:rFonts w:hint="default" w:ascii="Times New Roman" w:hAnsi="Times New Roman" w:cs="Times New Roman"/>
          <w:sz w:val="28"/>
          <w:szCs w:val="28"/>
          <w:lang w:val="en-US" w:eastAsia="zh-CN"/>
        </w:rPr>
        <w:t>4</w:t>
      </w:r>
      <w:r>
        <w:rPr>
          <w:rFonts w:hint="default" w:ascii="Times New Roman" w:hAnsi="Times New Roman" w:cs="Times New Roman"/>
          <w:sz w:val="28"/>
          <w:szCs w:val="28"/>
        </w:rPr>
        <w:t>座埋地卧式</w:t>
      </w:r>
      <w:r>
        <w:rPr>
          <w:rFonts w:hint="eastAsia" w:cs="Times New Roman"/>
          <w:sz w:val="28"/>
          <w:szCs w:val="28"/>
          <w:lang w:val="en-US" w:eastAsia="zh-CN"/>
        </w:rPr>
        <w:t>F</w:t>
      </w:r>
      <w:r>
        <w:rPr>
          <w:rFonts w:hint="default" w:ascii="Times New Roman" w:hAnsi="Times New Roman" w:cs="Times New Roman"/>
          <w:sz w:val="28"/>
          <w:szCs w:val="28"/>
        </w:rPr>
        <w:t>F双层储罐，其中</w:t>
      </w:r>
      <w:r>
        <w:rPr>
          <w:rFonts w:hint="eastAsia" w:cs="Times New Roman"/>
          <w:sz w:val="28"/>
          <w:szCs w:val="28"/>
          <w:lang w:val="en-US" w:eastAsia="zh-CN"/>
        </w:rPr>
        <w:t>3</w:t>
      </w:r>
      <w:r>
        <w:rPr>
          <w:rFonts w:hint="default" w:ascii="Times New Roman" w:hAnsi="Times New Roman" w:cs="Times New Roman"/>
          <w:sz w:val="28"/>
          <w:szCs w:val="28"/>
        </w:rPr>
        <w:t>座</w:t>
      </w:r>
      <w:r>
        <w:rPr>
          <w:rFonts w:hint="eastAsia" w:cs="Times New Roman"/>
          <w:sz w:val="28"/>
          <w:szCs w:val="28"/>
          <w:lang w:eastAsia="zh-CN"/>
        </w:rPr>
        <w:t>乙醇汽油</w:t>
      </w:r>
      <w:r>
        <w:rPr>
          <w:rFonts w:hint="default" w:ascii="Times New Roman" w:hAnsi="Times New Roman" w:cs="Times New Roman"/>
          <w:sz w:val="28"/>
          <w:szCs w:val="28"/>
        </w:rPr>
        <w:t>储罐，储量均为</w:t>
      </w:r>
      <w:r>
        <w:rPr>
          <w:rFonts w:hint="eastAsia" w:cs="Times New Roman"/>
          <w:sz w:val="28"/>
          <w:szCs w:val="28"/>
          <w:lang w:val="en-US" w:eastAsia="zh-CN"/>
        </w:rPr>
        <w:t>3</w:t>
      </w:r>
      <w:r>
        <w:rPr>
          <w:rFonts w:hint="default" w:ascii="Times New Roman" w:hAnsi="Times New Roman" w:cs="Times New Roman"/>
          <w:sz w:val="28"/>
          <w:szCs w:val="28"/>
        </w:rPr>
        <w:t>0m³；</w:t>
      </w:r>
      <w:r>
        <w:rPr>
          <w:rFonts w:hint="eastAsia" w:cs="Times New Roman"/>
          <w:sz w:val="28"/>
          <w:szCs w:val="28"/>
          <w:lang w:val="en-US" w:eastAsia="zh-CN"/>
        </w:rPr>
        <w:t>1</w:t>
      </w:r>
      <w:r>
        <w:rPr>
          <w:rFonts w:hint="default" w:ascii="Times New Roman" w:hAnsi="Times New Roman" w:cs="Times New Roman"/>
          <w:sz w:val="28"/>
          <w:szCs w:val="28"/>
        </w:rPr>
        <w:t>座柴油储罐，储量均为</w:t>
      </w:r>
      <w:r>
        <w:rPr>
          <w:rFonts w:hint="eastAsia" w:cs="Times New Roman"/>
          <w:sz w:val="28"/>
          <w:szCs w:val="28"/>
          <w:lang w:val="en-US" w:eastAsia="zh-CN"/>
        </w:rPr>
        <w:t>30</w:t>
      </w:r>
      <w:r>
        <w:rPr>
          <w:rFonts w:hint="default" w:ascii="Times New Roman" w:hAnsi="Times New Roman" w:cs="Times New Roman"/>
          <w:sz w:val="28"/>
          <w:szCs w:val="28"/>
        </w:rPr>
        <w:t>m³；站内设有1个卸油点位，内设</w:t>
      </w:r>
      <w:r>
        <w:rPr>
          <w:rFonts w:hint="default" w:ascii="Times New Roman" w:hAnsi="Times New Roman" w:cs="Times New Roman"/>
          <w:sz w:val="28"/>
          <w:szCs w:val="28"/>
          <w:lang w:val="en-US" w:eastAsia="zh-CN"/>
        </w:rPr>
        <w:t>4</w:t>
      </w:r>
      <w:r>
        <w:rPr>
          <w:rFonts w:hint="default" w:ascii="Times New Roman" w:hAnsi="Times New Roman" w:cs="Times New Roman"/>
          <w:sz w:val="28"/>
          <w:szCs w:val="28"/>
        </w:rPr>
        <w:t>个卸油口，每个卸油口独立与一个油罐相连通。</w:t>
      </w:r>
    </w:p>
    <w:p w14:paraId="7F98746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加油站场地设罩棚，罩棚下设加油机</w:t>
      </w:r>
      <w:r>
        <w:rPr>
          <w:rFonts w:hint="eastAsia" w:cs="Times New Roman"/>
          <w:sz w:val="28"/>
          <w:szCs w:val="28"/>
          <w:lang w:val="en-US" w:eastAsia="zh-CN"/>
        </w:rPr>
        <w:t>4台</w:t>
      </w:r>
      <w:r>
        <w:rPr>
          <w:rFonts w:hint="default" w:ascii="Times New Roman" w:hAnsi="Times New Roman" w:cs="Times New Roman"/>
          <w:sz w:val="28"/>
          <w:szCs w:val="28"/>
        </w:rPr>
        <w:t>（其中</w:t>
      </w:r>
      <w:r>
        <w:rPr>
          <w:rFonts w:hint="eastAsia" w:cs="Times New Roman"/>
          <w:sz w:val="28"/>
          <w:szCs w:val="28"/>
          <w:lang w:val="en-US" w:eastAsia="zh-CN"/>
        </w:rPr>
        <w:t>1台</w:t>
      </w:r>
      <w:r>
        <w:rPr>
          <w:rFonts w:hint="default" w:ascii="Times New Roman" w:hAnsi="Times New Roman" w:cs="Times New Roman"/>
          <w:sz w:val="28"/>
          <w:szCs w:val="28"/>
        </w:rPr>
        <w:t>柴油加油机</w:t>
      </w:r>
      <w:r>
        <w:rPr>
          <w:rFonts w:hint="eastAsia" w:cs="Times New Roman"/>
          <w:sz w:val="28"/>
          <w:szCs w:val="28"/>
          <w:lang w:eastAsia="zh-CN"/>
        </w:rPr>
        <w:t>、</w:t>
      </w:r>
      <w:r>
        <w:rPr>
          <w:rFonts w:hint="eastAsia" w:cs="Times New Roman"/>
          <w:sz w:val="28"/>
          <w:szCs w:val="28"/>
          <w:lang w:val="en-US" w:eastAsia="zh-CN"/>
        </w:rPr>
        <w:t>3台乙醇汽油</w:t>
      </w:r>
      <w:r>
        <w:rPr>
          <w:rFonts w:hint="default" w:ascii="Times New Roman" w:hAnsi="Times New Roman" w:cs="Times New Roman"/>
          <w:sz w:val="28"/>
          <w:szCs w:val="28"/>
        </w:rPr>
        <w:t>加油机）；埋地油罐布置在罩棚下，为承重汽、柴油罐区；站房布置在罩棚的</w:t>
      </w:r>
      <w:r>
        <w:rPr>
          <w:rFonts w:hint="eastAsia" w:cs="Times New Roman"/>
          <w:sz w:val="28"/>
          <w:szCs w:val="28"/>
          <w:lang w:val="en-US" w:eastAsia="zh-CN"/>
        </w:rPr>
        <w:t>东</w:t>
      </w:r>
      <w:r>
        <w:rPr>
          <w:rFonts w:hint="default" w:ascii="Times New Roman" w:hAnsi="Times New Roman" w:cs="Times New Roman"/>
          <w:sz w:val="28"/>
          <w:szCs w:val="28"/>
        </w:rPr>
        <w:t>侧</w:t>
      </w:r>
      <w:r>
        <w:rPr>
          <w:rFonts w:hint="eastAsia" w:ascii="Times New Roman" w:hAnsi="Times New Roman" w:cs="Times New Roman"/>
          <w:sz w:val="28"/>
          <w:szCs w:val="28"/>
          <w:lang w:eastAsia="zh-CN"/>
        </w:rPr>
        <w:t>。</w:t>
      </w:r>
      <w:r>
        <w:rPr>
          <w:rFonts w:hint="default" w:ascii="Times New Roman" w:hAnsi="Times New Roman" w:cs="Times New Roman"/>
          <w:sz w:val="28"/>
          <w:szCs w:val="28"/>
        </w:rPr>
        <w:t>本项目选择的加油设备与油品储存过程相匹配。</w:t>
      </w:r>
    </w:p>
    <w:p w14:paraId="6706C5F4">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highlight w:val="none"/>
          <w:lang w:val="en-US" w:eastAsia="zh-CN"/>
        </w:rPr>
      </w:pPr>
      <w:bookmarkStart w:id="293" w:name="_Toc29922"/>
      <w:bookmarkStart w:id="294" w:name="_Toc11980"/>
      <w:bookmarkStart w:id="295" w:name="_Toc41246718"/>
      <w:r>
        <w:rPr>
          <w:rFonts w:hint="default" w:ascii="Times New Roman" w:hAnsi="Times New Roman" w:eastAsia="楷体" w:cs="Times New Roman"/>
          <w:color w:val="auto"/>
          <w:sz w:val="32"/>
          <w:szCs w:val="32"/>
          <w:highlight w:val="none"/>
          <w:lang w:val="en-US" w:eastAsia="zh-CN"/>
        </w:rPr>
        <w:t>7.3生产或者储存过程配套和辅助工程分析</w:t>
      </w:r>
      <w:bookmarkEnd w:id="291"/>
      <w:bookmarkEnd w:id="292"/>
      <w:bookmarkEnd w:id="293"/>
      <w:bookmarkEnd w:id="294"/>
      <w:bookmarkEnd w:id="295"/>
    </w:p>
    <w:p w14:paraId="3F3D2A1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本项目配套和辅助工程的需求和供应情况，见表7</w:t>
      </w:r>
      <w:r>
        <w:rPr>
          <w:rFonts w:hint="eastAsia" w:ascii="Times New Roman" w:hAnsi="Times New Roman" w:cs="Times New Roman"/>
          <w:sz w:val="28"/>
          <w:szCs w:val="28"/>
          <w:lang w:val="en-US" w:eastAsia="zh-CN"/>
        </w:rPr>
        <w:t>.3</w:t>
      </w:r>
      <w:r>
        <w:rPr>
          <w:rFonts w:hint="default" w:ascii="Times New Roman" w:hAnsi="Times New Roman" w:cs="Times New Roman"/>
          <w:sz w:val="28"/>
          <w:szCs w:val="28"/>
        </w:rPr>
        <w:t>-1。</w:t>
      </w:r>
    </w:p>
    <w:p w14:paraId="5D6E1B22">
      <w:pPr>
        <w:keepNext w:val="0"/>
        <w:keepLines w:val="0"/>
        <w:pageBreakBefore w:val="0"/>
        <w:widowControl w:val="0"/>
        <w:kinsoku/>
        <w:wordWrap/>
        <w:overflowPunct/>
        <w:topLinePunct w:val="0"/>
        <w:autoSpaceDE/>
        <w:autoSpaceDN/>
        <w:bidi w:val="0"/>
        <w:adjustRightInd/>
        <w:snapToGrid/>
        <w:spacing w:before="164" w:beforeLines="50" w:after="164" w:afterLines="50" w:line="240" w:lineRule="auto"/>
        <w:jc w:val="center"/>
        <w:textAlignment w:val="auto"/>
        <w:rPr>
          <w:rFonts w:hint="default" w:ascii="Times New Roman" w:hAnsi="Times New Roman" w:eastAsia="黑体" w:cs="Times New Roman"/>
          <w:b w:val="0"/>
          <w:bCs w:val="0"/>
          <w:sz w:val="24"/>
          <w:szCs w:val="24"/>
        </w:rPr>
      </w:pPr>
      <w:r>
        <w:rPr>
          <w:rFonts w:hint="default" w:ascii="Times New Roman" w:hAnsi="Times New Roman" w:eastAsia="黑体" w:cs="Times New Roman"/>
          <w:sz w:val="24"/>
          <w:szCs w:val="24"/>
        </w:rPr>
        <w:t>表7</w:t>
      </w:r>
      <w:r>
        <w:rPr>
          <w:rFonts w:hint="eastAsia" w:ascii="Times New Roman" w:hAnsi="Times New Roman" w:eastAsia="黑体" w:cs="Times New Roman"/>
          <w:sz w:val="24"/>
          <w:szCs w:val="24"/>
          <w:lang w:val="en-US" w:eastAsia="zh-CN"/>
        </w:rPr>
        <w:t>.3</w:t>
      </w:r>
      <w:r>
        <w:rPr>
          <w:rFonts w:hint="default" w:ascii="Times New Roman" w:hAnsi="Times New Roman" w:eastAsia="黑体" w:cs="Times New Roman"/>
          <w:sz w:val="24"/>
          <w:szCs w:val="24"/>
        </w:rPr>
        <w:t>-1</w:t>
      </w:r>
      <w:r>
        <w:rPr>
          <w:rFonts w:hint="eastAsia"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本项目配套和辅助工程的需求和供应情况统计表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2"/>
        <w:gridCol w:w="1453"/>
        <w:gridCol w:w="1983"/>
        <w:gridCol w:w="5182"/>
      </w:tblGrid>
      <w:tr w14:paraId="1C388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blHeader/>
          <w:jc w:val="center"/>
        </w:trPr>
        <w:tc>
          <w:tcPr>
            <w:tcW w:w="416" w:type="pct"/>
            <w:vAlign w:val="center"/>
          </w:tcPr>
          <w:p w14:paraId="353E3E3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序号</w:t>
            </w:r>
          </w:p>
        </w:tc>
        <w:tc>
          <w:tcPr>
            <w:tcW w:w="773" w:type="pct"/>
            <w:vAlign w:val="center"/>
          </w:tcPr>
          <w:p w14:paraId="7CD6B55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配套和辅助</w:t>
            </w:r>
          </w:p>
          <w:p w14:paraId="50D1B4C7">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工程名称</w:t>
            </w:r>
          </w:p>
        </w:tc>
        <w:tc>
          <w:tcPr>
            <w:tcW w:w="1055" w:type="pct"/>
            <w:vAlign w:val="center"/>
          </w:tcPr>
          <w:p w14:paraId="5E6021FA">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需求情况</w:t>
            </w:r>
          </w:p>
        </w:tc>
        <w:tc>
          <w:tcPr>
            <w:tcW w:w="2756" w:type="pct"/>
            <w:vAlign w:val="center"/>
          </w:tcPr>
          <w:p w14:paraId="37AE689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供应情况</w:t>
            </w:r>
          </w:p>
        </w:tc>
      </w:tr>
      <w:tr w14:paraId="3C7E5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6" w:type="pct"/>
            <w:vAlign w:val="center"/>
          </w:tcPr>
          <w:p w14:paraId="27D356CD">
            <w:pPr>
              <w:jc w:val="center"/>
              <w:rPr>
                <w:rFonts w:hint="default" w:ascii="Times New Roman" w:hAnsi="Times New Roman" w:cs="Times New Roman"/>
                <w:szCs w:val="21"/>
              </w:rPr>
            </w:pPr>
            <w:r>
              <w:rPr>
                <w:rFonts w:hint="default" w:ascii="Times New Roman" w:hAnsi="Times New Roman" w:cs="Times New Roman"/>
                <w:szCs w:val="21"/>
              </w:rPr>
              <w:t>1</w:t>
            </w:r>
          </w:p>
        </w:tc>
        <w:tc>
          <w:tcPr>
            <w:tcW w:w="773" w:type="pct"/>
            <w:vAlign w:val="center"/>
          </w:tcPr>
          <w:p w14:paraId="4912F902">
            <w:pPr>
              <w:jc w:val="center"/>
              <w:rPr>
                <w:rFonts w:hint="default" w:ascii="Times New Roman" w:hAnsi="Times New Roman" w:cs="Times New Roman"/>
                <w:szCs w:val="21"/>
              </w:rPr>
            </w:pPr>
            <w:r>
              <w:rPr>
                <w:rFonts w:hint="default" w:ascii="Times New Roman" w:hAnsi="Times New Roman" w:cs="Times New Roman"/>
                <w:szCs w:val="21"/>
              </w:rPr>
              <w:t>给水</w:t>
            </w:r>
          </w:p>
        </w:tc>
        <w:tc>
          <w:tcPr>
            <w:tcW w:w="1055" w:type="pct"/>
            <w:vAlign w:val="center"/>
          </w:tcPr>
          <w:p w14:paraId="28C8731D">
            <w:pPr>
              <w:jc w:val="center"/>
              <w:rPr>
                <w:rFonts w:hint="default" w:ascii="Times New Roman" w:hAnsi="Times New Roman" w:cs="Times New Roman"/>
                <w:szCs w:val="21"/>
              </w:rPr>
            </w:pPr>
            <w:r>
              <w:rPr>
                <w:rFonts w:hint="default" w:ascii="Times New Roman" w:hAnsi="Times New Roman" w:cs="Times New Roman"/>
                <w:szCs w:val="21"/>
              </w:rPr>
              <w:t>生活用水</w:t>
            </w:r>
          </w:p>
        </w:tc>
        <w:tc>
          <w:tcPr>
            <w:tcW w:w="2756" w:type="pct"/>
            <w:vAlign w:val="center"/>
          </w:tcPr>
          <w:p w14:paraId="32239809">
            <w:pPr>
              <w:jc w:val="left"/>
              <w:rPr>
                <w:rFonts w:hint="default" w:ascii="Times New Roman" w:hAnsi="Times New Roman" w:cs="Times New Roman"/>
                <w:szCs w:val="21"/>
                <w:lang w:bidi="en-US"/>
              </w:rPr>
            </w:pPr>
            <w:r>
              <w:rPr>
                <w:rFonts w:hint="default" w:ascii="Times New Roman" w:hAnsi="Times New Roman" w:cs="Times New Roman"/>
                <w:szCs w:val="21"/>
              </w:rPr>
              <w:t>站内给水依托</w:t>
            </w:r>
            <w:r>
              <w:rPr>
                <w:rFonts w:hint="default" w:ascii="Times New Roman" w:hAnsi="Times New Roman" w:cs="Times New Roman"/>
                <w:szCs w:val="21"/>
                <w:lang w:val="en-US" w:eastAsia="zh-CN"/>
              </w:rPr>
              <w:t>市政</w:t>
            </w:r>
            <w:r>
              <w:rPr>
                <w:rFonts w:hint="default" w:ascii="Times New Roman" w:hAnsi="Times New Roman" w:cs="Times New Roman"/>
                <w:szCs w:val="21"/>
              </w:rPr>
              <w:t>供给，供水设施能够满足本项目用水需求。</w:t>
            </w:r>
          </w:p>
        </w:tc>
      </w:tr>
      <w:tr w14:paraId="66DE5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atLeast"/>
          <w:jc w:val="center"/>
        </w:trPr>
        <w:tc>
          <w:tcPr>
            <w:tcW w:w="416" w:type="pct"/>
            <w:vAlign w:val="center"/>
          </w:tcPr>
          <w:p w14:paraId="4B3BE453">
            <w:pPr>
              <w:jc w:val="center"/>
              <w:rPr>
                <w:rFonts w:hint="default" w:ascii="Times New Roman" w:hAnsi="Times New Roman" w:cs="Times New Roman"/>
                <w:szCs w:val="21"/>
              </w:rPr>
            </w:pPr>
            <w:r>
              <w:rPr>
                <w:rFonts w:hint="default" w:ascii="Times New Roman" w:hAnsi="Times New Roman" w:cs="Times New Roman"/>
                <w:szCs w:val="21"/>
              </w:rPr>
              <w:t>2</w:t>
            </w:r>
          </w:p>
        </w:tc>
        <w:tc>
          <w:tcPr>
            <w:tcW w:w="773" w:type="pct"/>
            <w:vAlign w:val="center"/>
          </w:tcPr>
          <w:p w14:paraId="19503A31">
            <w:pPr>
              <w:jc w:val="center"/>
              <w:rPr>
                <w:rFonts w:hint="default" w:ascii="Times New Roman" w:hAnsi="Times New Roman" w:cs="Times New Roman"/>
                <w:szCs w:val="21"/>
                <w:lang w:bidi="en-US"/>
              </w:rPr>
            </w:pPr>
            <w:r>
              <w:rPr>
                <w:rFonts w:hint="default" w:ascii="Times New Roman" w:hAnsi="Times New Roman" w:cs="Times New Roman"/>
                <w:szCs w:val="21"/>
                <w:lang w:bidi="en-US"/>
              </w:rPr>
              <w:t>排水</w:t>
            </w:r>
          </w:p>
        </w:tc>
        <w:tc>
          <w:tcPr>
            <w:tcW w:w="1055" w:type="pct"/>
            <w:vAlign w:val="center"/>
          </w:tcPr>
          <w:p w14:paraId="39927240">
            <w:pPr>
              <w:pStyle w:val="5"/>
              <w:spacing w:line="240" w:lineRule="auto"/>
              <w:ind w:firstLine="0" w:firstLineChars="0"/>
              <w:rPr>
                <w:rFonts w:hint="default" w:ascii="Times New Roman" w:hAnsi="Times New Roman" w:cs="Times New Roman"/>
                <w:sz w:val="21"/>
                <w:szCs w:val="21"/>
              </w:rPr>
            </w:pPr>
            <w:r>
              <w:rPr>
                <w:rFonts w:hint="default" w:ascii="Times New Roman" w:hAnsi="Times New Roman" w:cs="Times New Roman"/>
                <w:sz w:val="21"/>
                <w:szCs w:val="21"/>
              </w:rPr>
              <w:t>雨水系统及生活污水系统</w:t>
            </w:r>
          </w:p>
        </w:tc>
        <w:tc>
          <w:tcPr>
            <w:tcW w:w="2756" w:type="pct"/>
            <w:vAlign w:val="center"/>
          </w:tcPr>
          <w:p w14:paraId="01B75A29">
            <w:pPr>
              <w:numPr>
                <w:ilvl w:val="0"/>
                <w:numId w:val="8"/>
              </w:numPr>
              <w:jc w:val="left"/>
              <w:rPr>
                <w:rFonts w:hint="default" w:ascii="Times New Roman" w:hAnsi="Times New Roman" w:cs="Times New Roman"/>
                <w:szCs w:val="21"/>
              </w:rPr>
            </w:pPr>
            <w:r>
              <w:rPr>
                <w:rFonts w:hint="default" w:ascii="Times New Roman" w:hAnsi="Times New Roman" w:cs="Times New Roman"/>
                <w:szCs w:val="21"/>
              </w:rPr>
              <w:t>加油站排水包括生产污水、雨水系统及生活污水系统。</w:t>
            </w:r>
          </w:p>
          <w:p w14:paraId="3DFDB391">
            <w:pPr>
              <w:numPr>
                <w:ilvl w:val="0"/>
                <w:numId w:val="8"/>
              </w:numPr>
              <w:jc w:val="left"/>
              <w:rPr>
                <w:rFonts w:hint="default" w:ascii="Times New Roman" w:hAnsi="Times New Roman" w:cs="Times New Roman"/>
                <w:szCs w:val="21"/>
              </w:rPr>
            </w:pPr>
            <w:r>
              <w:rPr>
                <w:rFonts w:hint="default" w:ascii="Times New Roman" w:hAnsi="Times New Roman" w:cs="Times New Roman"/>
                <w:szCs w:val="21"/>
              </w:rPr>
              <w:t>生产污水主要源自储罐清洗（一般为每5年清洗一次）。清洗油罐时采用活动式回收桶回收，并用车运至污水处理厂处理。</w:t>
            </w:r>
          </w:p>
          <w:p w14:paraId="7874D2AB">
            <w:pPr>
              <w:numPr>
                <w:ilvl w:val="0"/>
                <w:numId w:val="8"/>
              </w:numPr>
              <w:jc w:val="left"/>
              <w:rPr>
                <w:rFonts w:hint="default" w:ascii="Times New Roman" w:hAnsi="Times New Roman" w:cs="Times New Roman"/>
                <w:szCs w:val="21"/>
              </w:rPr>
            </w:pPr>
            <w:r>
              <w:rPr>
                <w:rFonts w:hint="default" w:ascii="Times New Roman" w:hAnsi="Times New Roman" w:cs="Times New Roman"/>
                <w:szCs w:val="21"/>
              </w:rPr>
              <w:t>站内生活污水排入</w:t>
            </w:r>
            <w:r>
              <w:rPr>
                <w:rFonts w:hint="eastAsia" w:cs="Times New Roman"/>
                <w:szCs w:val="21"/>
                <w:lang w:val="en-US" w:eastAsia="zh-CN"/>
              </w:rPr>
              <w:t>市政污水管网</w:t>
            </w:r>
            <w:r>
              <w:rPr>
                <w:rFonts w:hint="default" w:ascii="Times New Roman" w:hAnsi="Times New Roman" w:cs="Times New Roman"/>
                <w:szCs w:val="21"/>
              </w:rPr>
              <w:t>。</w:t>
            </w:r>
          </w:p>
          <w:p w14:paraId="0821A1B7">
            <w:pPr>
              <w:numPr>
                <w:ilvl w:val="0"/>
                <w:numId w:val="8"/>
              </w:numPr>
              <w:jc w:val="left"/>
              <w:rPr>
                <w:rFonts w:hint="default" w:ascii="Times New Roman" w:hAnsi="Times New Roman" w:cs="Times New Roman"/>
                <w:szCs w:val="21"/>
              </w:rPr>
            </w:pPr>
            <w:r>
              <w:rPr>
                <w:rFonts w:hint="default" w:ascii="Times New Roman" w:hAnsi="Times New Roman" w:cs="Times New Roman"/>
                <w:szCs w:val="21"/>
              </w:rPr>
              <w:t>站内雨水散排。</w:t>
            </w:r>
          </w:p>
        </w:tc>
      </w:tr>
      <w:tr w14:paraId="3EF84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6" w:type="pct"/>
            <w:vAlign w:val="center"/>
          </w:tcPr>
          <w:p w14:paraId="05520172">
            <w:pPr>
              <w:jc w:val="center"/>
              <w:rPr>
                <w:rFonts w:hint="default" w:ascii="Times New Roman" w:hAnsi="Times New Roman" w:cs="Times New Roman"/>
                <w:szCs w:val="21"/>
              </w:rPr>
            </w:pPr>
            <w:r>
              <w:rPr>
                <w:rFonts w:hint="default" w:ascii="Times New Roman" w:hAnsi="Times New Roman" w:cs="Times New Roman"/>
                <w:szCs w:val="21"/>
              </w:rPr>
              <w:t>3</w:t>
            </w:r>
          </w:p>
        </w:tc>
        <w:tc>
          <w:tcPr>
            <w:tcW w:w="773" w:type="pct"/>
            <w:vAlign w:val="center"/>
          </w:tcPr>
          <w:p w14:paraId="0CA5BF3D">
            <w:pPr>
              <w:jc w:val="center"/>
              <w:rPr>
                <w:rFonts w:hint="default" w:ascii="Times New Roman" w:hAnsi="Times New Roman" w:cs="Times New Roman"/>
                <w:szCs w:val="21"/>
              </w:rPr>
            </w:pPr>
            <w:r>
              <w:rPr>
                <w:rFonts w:hint="default" w:ascii="Times New Roman" w:hAnsi="Times New Roman" w:cs="Times New Roman"/>
                <w:szCs w:val="21"/>
              </w:rPr>
              <w:t>供配电</w:t>
            </w:r>
          </w:p>
        </w:tc>
        <w:tc>
          <w:tcPr>
            <w:tcW w:w="1055" w:type="pct"/>
            <w:vAlign w:val="center"/>
          </w:tcPr>
          <w:p w14:paraId="13594254">
            <w:pPr>
              <w:jc w:val="left"/>
              <w:rPr>
                <w:rFonts w:hint="default" w:ascii="Times New Roman" w:hAnsi="Times New Roman" w:cs="Times New Roman"/>
                <w:szCs w:val="21"/>
              </w:rPr>
            </w:pPr>
            <w:r>
              <w:rPr>
                <w:rFonts w:hint="default" w:ascii="Times New Roman" w:hAnsi="Times New Roman" w:cs="Times New Roman"/>
                <w:szCs w:val="21"/>
              </w:rPr>
              <w:t>信息系统应设不间断供电电源；站房、罩棚</w:t>
            </w:r>
            <w:r>
              <w:rPr>
                <w:rFonts w:hint="default" w:ascii="Times New Roman" w:hAnsi="Times New Roman" w:cs="Times New Roman"/>
                <w:szCs w:val="21"/>
                <w:lang w:eastAsia="zh-CN"/>
              </w:rPr>
              <w:t>、</w:t>
            </w:r>
            <w:r>
              <w:rPr>
                <w:rFonts w:hint="default" w:ascii="Times New Roman" w:hAnsi="Times New Roman" w:cs="Times New Roman"/>
                <w:szCs w:val="21"/>
              </w:rPr>
              <w:t>配电</w:t>
            </w:r>
            <w:r>
              <w:rPr>
                <w:rFonts w:hint="default" w:ascii="Times New Roman" w:hAnsi="Times New Roman" w:cs="Times New Roman"/>
                <w:szCs w:val="21"/>
                <w:lang w:val="en-US" w:eastAsia="zh-CN"/>
              </w:rPr>
              <w:t>间</w:t>
            </w:r>
            <w:r>
              <w:rPr>
                <w:rFonts w:hint="default" w:ascii="Times New Roman" w:hAnsi="Times New Roman" w:cs="Times New Roman"/>
                <w:szCs w:val="21"/>
              </w:rPr>
              <w:t>等处设置应急照明；爆炸危险区域内电气设备选用防爆型</w:t>
            </w:r>
          </w:p>
        </w:tc>
        <w:tc>
          <w:tcPr>
            <w:tcW w:w="5182" w:type="dxa"/>
            <w:vAlign w:val="center"/>
          </w:tcPr>
          <w:p w14:paraId="758B0C81">
            <w:pPr>
              <w:numPr>
                <w:ilvl w:val="0"/>
                <w:numId w:val="9"/>
              </w:numPr>
              <w:jc w:val="left"/>
              <w:rPr>
                <w:rFonts w:hint="default" w:ascii="Times New Roman" w:hAnsi="Times New Roman" w:cs="Times New Roman"/>
                <w:szCs w:val="21"/>
                <w:highlight w:val="none"/>
              </w:rPr>
            </w:pPr>
            <w:r>
              <w:rPr>
                <w:rFonts w:hint="default" w:ascii="Times New Roman" w:hAnsi="Times New Roman" w:cs="Times New Roman"/>
                <w:szCs w:val="21"/>
                <w:highlight w:val="none"/>
              </w:rPr>
              <w:t>供电负荷为三级负荷，电源引自</w:t>
            </w:r>
            <w:r>
              <w:rPr>
                <w:rFonts w:hint="default" w:ascii="Times New Roman" w:hAnsi="Times New Roman" w:cs="Times New Roman"/>
                <w:szCs w:val="21"/>
                <w:highlight w:val="none"/>
                <w:lang w:val="en-US" w:eastAsia="zh-CN"/>
              </w:rPr>
              <w:t>市政</w:t>
            </w:r>
            <w:r>
              <w:rPr>
                <w:rFonts w:hint="default" w:ascii="Times New Roman" w:hAnsi="Times New Roman" w:cs="Times New Roman"/>
                <w:szCs w:val="21"/>
                <w:highlight w:val="none"/>
              </w:rPr>
              <w:t>供电线路</w:t>
            </w:r>
          </w:p>
          <w:p w14:paraId="31D1230D">
            <w:pPr>
              <w:numPr>
                <w:ilvl w:val="0"/>
                <w:numId w:val="9"/>
              </w:numPr>
              <w:jc w:val="left"/>
              <w:rPr>
                <w:rFonts w:hint="default" w:ascii="Times New Roman" w:hAnsi="Times New Roman" w:cs="Times New Roman"/>
                <w:szCs w:val="21"/>
                <w:highlight w:val="none"/>
              </w:rPr>
            </w:pPr>
            <w:r>
              <w:rPr>
                <w:rFonts w:hint="eastAsia" w:cs="Times New Roman"/>
                <w:szCs w:val="21"/>
                <w:highlight w:val="none"/>
                <w:lang w:val="en-US" w:eastAsia="zh-CN"/>
              </w:rPr>
              <w:t>信息</w:t>
            </w:r>
            <w:r>
              <w:rPr>
                <w:rFonts w:hint="default" w:ascii="Times New Roman" w:hAnsi="Times New Roman" w:cs="Times New Roman"/>
                <w:szCs w:val="21"/>
                <w:highlight w:val="none"/>
              </w:rPr>
              <w:t>系统由 UPS 提供稳定的电源</w:t>
            </w:r>
            <w:r>
              <w:rPr>
                <w:rFonts w:hint="eastAsia" w:cs="Times New Roman"/>
                <w:szCs w:val="21"/>
                <w:highlight w:val="none"/>
                <w:lang w:eastAsia="zh-CN"/>
              </w:rPr>
              <w:t>，</w:t>
            </w:r>
            <w:r>
              <w:rPr>
                <w:rFonts w:hint="default" w:ascii="Times New Roman" w:hAnsi="Times New Roman" w:cs="Times New Roman"/>
                <w:szCs w:val="21"/>
                <w:highlight w:val="none"/>
              </w:rPr>
              <w:t>后备电池容量可在电源故障时持续稳定供电</w:t>
            </w:r>
            <w:r>
              <w:rPr>
                <w:rFonts w:hint="eastAsia" w:cs="Times New Roman"/>
                <w:szCs w:val="21"/>
                <w:highlight w:val="none"/>
                <w:lang w:val="en-US" w:eastAsia="zh-CN"/>
              </w:rPr>
              <w:t>60</w:t>
            </w:r>
            <w:r>
              <w:rPr>
                <w:rFonts w:hint="default" w:ascii="Times New Roman" w:hAnsi="Times New Roman" w:cs="Times New Roman"/>
                <w:szCs w:val="21"/>
                <w:highlight w:val="none"/>
              </w:rPr>
              <w:t>分钟</w:t>
            </w:r>
            <w:r>
              <w:rPr>
                <w:rFonts w:hint="default" w:ascii="Times New Roman" w:hAnsi="Times New Roman" w:cs="Times New Roman"/>
                <w:szCs w:val="21"/>
                <w:highlight w:val="none"/>
                <w:lang w:eastAsia="zh-CN"/>
              </w:rPr>
              <w:t>；</w:t>
            </w:r>
          </w:p>
          <w:p w14:paraId="2A7CE32B">
            <w:pPr>
              <w:jc w:val="left"/>
              <w:rPr>
                <w:rFonts w:hint="default" w:ascii="Times New Roman" w:hAnsi="Times New Roman" w:cs="Times New Roman"/>
                <w:szCs w:val="21"/>
                <w:highlight w:val="none"/>
              </w:rPr>
            </w:pPr>
            <w:r>
              <w:rPr>
                <w:rFonts w:hint="default" w:ascii="Times New Roman" w:hAnsi="Times New Roman" w:cs="Times New Roman"/>
                <w:szCs w:val="21"/>
                <w:highlight w:val="none"/>
              </w:rPr>
              <w:t>3、站房、罩棚、控制室、配电室设应急照明灯，应急照明电源采用自带蓄电池，连续供电时间不少于90min。</w:t>
            </w:r>
          </w:p>
          <w:p w14:paraId="0752B5DC">
            <w:pPr>
              <w:jc w:val="left"/>
              <w:rPr>
                <w:rFonts w:hint="default" w:ascii="Times New Roman" w:hAnsi="Times New Roman" w:cs="Times New Roman"/>
                <w:szCs w:val="21"/>
                <w:highlight w:val="none"/>
              </w:rPr>
            </w:pPr>
            <w:r>
              <w:rPr>
                <w:rFonts w:hint="eastAsia" w:cs="Times New Roman"/>
                <w:szCs w:val="21"/>
                <w:highlight w:val="none"/>
                <w:lang w:val="en-US" w:eastAsia="zh-CN"/>
              </w:rPr>
              <w:t>4、</w:t>
            </w:r>
            <w:r>
              <w:rPr>
                <w:rFonts w:hint="default" w:ascii="Times New Roman" w:hAnsi="Times New Roman" w:cs="Times New Roman"/>
                <w:szCs w:val="21"/>
                <w:highlight w:val="none"/>
              </w:rPr>
              <w:t>罩棚、站房等建构筑物的照明灯具，选用非防爆型，罩棚下的灯具选用防护等级IP</w:t>
            </w:r>
            <w:r>
              <w:rPr>
                <w:rFonts w:hint="eastAsia" w:cs="Times New Roman"/>
                <w:szCs w:val="21"/>
                <w:highlight w:val="none"/>
                <w:lang w:val="en-US" w:eastAsia="zh-CN"/>
              </w:rPr>
              <w:t>44</w:t>
            </w:r>
            <w:r>
              <w:rPr>
                <w:rFonts w:hint="default" w:ascii="Times New Roman" w:hAnsi="Times New Roman" w:cs="Times New Roman"/>
                <w:szCs w:val="21"/>
                <w:highlight w:val="none"/>
              </w:rPr>
              <w:t>的LED灯具。</w:t>
            </w:r>
          </w:p>
          <w:p w14:paraId="31BDDD49">
            <w:pPr>
              <w:jc w:val="left"/>
              <w:rPr>
                <w:rFonts w:hint="default" w:ascii="Times New Roman" w:hAnsi="Times New Roman" w:cs="Times New Roman"/>
                <w:szCs w:val="21"/>
                <w:highlight w:val="none"/>
              </w:rPr>
            </w:pPr>
            <w:r>
              <w:rPr>
                <w:rFonts w:hint="eastAsia" w:cs="Times New Roman"/>
                <w:szCs w:val="21"/>
                <w:highlight w:val="none"/>
                <w:lang w:val="en-US" w:eastAsia="zh-CN"/>
              </w:rPr>
              <w:t>5、爆炸危险区域内安装的电气设备、仪表选用符合相应等级的防爆型设备，爆炸危险区域电气设备电缆接线采用防爆挠性管保护，电气线路套管穿过不同区域之间的孔洞采用非燃性材料严密封堵，在爆炸性气体环境1区、2区内钢管配线的电气线路用防爆胶泥做隔离密封。电气电缆埋地选用铠装电缆，其它电缆选用聚氯乙烯电缆。仪表电缆及导线均采用阻燃型、聚氯乙烯绝缘聚氯乙烯护套，护套颜色采用天兰色；其他回路选用一般控制电缆，护套颜色采用黑色。</w:t>
            </w:r>
          </w:p>
          <w:p w14:paraId="06D49A3E">
            <w:pPr>
              <w:jc w:val="left"/>
              <w:rPr>
                <w:rFonts w:hint="default" w:ascii="Times New Roman" w:hAnsi="Times New Roman" w:cs="Times New Roman"/>
                <w:szCs w:val="21"/>
              </w:rPr>
            </w:pPr>
            <w:r>
              <w:rPr>
                <w:rFonts w:hint="eastAsia" w:cs="Times New Roman"/>
                <w:szCs w:val="21"/>
                <w:highlight w:val="none"/>
                <w:lang w:val="en-US" w:eastAsia="zh-CN"/>
              </w:rPr>
              <w:t>6、</w:t>
            </w:r>
            <w:r>
              <w:rPr>
                <w:rFonts w:hint="default" w:ascii="Times New Roman" w:hAnsi="Times New Roman" w:cs="Times New Roman"/>
                <w:szCs w:val="21"/>
                <w:highlight w:val="none"/>
              </w:rPr>
              <w:t>爆炸危险区域照明灯具选用防爆型灯具，其防爆等级不低ExdIIBT4级。</w:t>
            </w:r>
          </w:p>
        </w:tc>
      </w:tr>
      <w:tr w14:paraId="7C6BE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6" w:type="pct"/>
            <w:vAlign w:val="center"/>
          </w:tcPr>
          <w:p w14:paraId="1BA1F591">
            <w:pPr>
              <w:jc w:val="center"/>
              <w:rPr>
                <w:rFonts w:hint="default" w:ascii="Times New Roman" w:hAnsi="Times New Roman" w:cs="Times New Roman"/>
                <w:szCs w:val="21"/>
              </w:rPr>
            </w:pPr>
            <w:r>
              <w:rPr>
                <w:rFonts w:hint="default" w:ascii="Times New Roman" w:hAnsi="Times New Roman" w:cs="Times New Roman"/>
                <w:szCs w:val="21"/>
              </w:rPr>
              <w:t>4</w:t>
            </w:r>
          </w:p>
        </w:tc>
        <w:tc>
          <w:tcPr>
            <w:tcW w:w="773" w:type="pct"/>
            <w:vAlign w:val="center"/>
          </w:tcPr>
          <w:p w14:paraId="08C20617">
            <w:pPr>
              <w:jc w:val="center"/>
              <w:rPr>
                <w:rFonts w:hint="default" w:ascii="Times New Roman" w:hAnsi="Times New Roman" w:cs="Times New Roman"/>
                <w:szCs w:val="21"/>
              </w:rPr>
            </w:pPr>
            <w:r>
              <w:rPr>
                <w:rFonts w:hint="default" w:ascii="Times New Roman" w:hAnsi="Times New Roman" w:cs="Times New Roman"/>
                <w:szCs w:val="21"/>
              </w:rPr>
              <w:t>防雷、防静电接地</w:t>
            </w:r>
          </w:p>
        </w:tc>
        <w:tc>
          <w:tcPr>
            <w:tcW w:w="1055" w:type="pct"/>
            <w:vAlign w:val="center"/>
          </w:tcPr>
          <w:p w14:paraId="6A5939D2">
            <w:pPr>
              <w:numPr>
                <w:ilvl w:val="0"/>
                <w:numId w:val="10"/>
              </w:numPr>
              <w:jc w:val="left"/>
              <w:rPr>
                <w:rFonts w:hint="default" w:ascii="Times New Roman" w:hAnsi="Times New Roman" w:cs="Times New Roman"/>
                <w:szCs w:val="21"/>
              </w:rPr>
            </w:pPr>
            <w:r>
              <w:rPr>
                <w:rFonts w:hint="default" w:ascii="Times New Roman" w:hAnsi="Times New Roman" w:cs="Times New Roman"/>
                <w:szCs w:val="21"/>
              </w:rPr>
              <w:t>油品储存区、加油岛等为</w:t>
            </w:r>
            <w:r>
              <w:rPr>
                <w:rFonts w:hint="default" w:ascii="Times New Roman" w:hAnsi="Times New Roman" w:cs="Times New Roman"/>
                <w:szCs w:val="21"/>
                <w:lang w:val="en-US" w:eastAsia="zh-CN"/>
              </w:rPr>
              <w:t>第</w:t>
            </w:r>
            <w:r>
              <w:rPr>
                <w:rFonts w:hint="default" w:ascii="Times New Roman" w:hAnsi="Times New Roman" w:cs="Times New Roman"/>
                <w:szCs w:val="21"/>
              </w:rPr>
              <w:t>二类防雷建筑物，加油机、油罐、电气设备金属外壳应做接地，法兰应跨接</w:t>
            </w:r>
          </w:p>
        </w:tc>
        <w:tc>
          <w:tcPr>
            <w:tcW w:w="5182" w:type="dxa"/>
            <w:vAlign w:val="center"/>
          </w:tcPr>
          <w:p w14:paraId="656266DA">
            <w:pPr>
              <w:pStyle w:val="5"/>
              <w:spacing w:line="240" w:lineRule="auto"/>
              <w:ind w:firstLine="0" w:firstLineChars="0"/>
              <w:jc w:val="left"/>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1、站房为砖混结构，其屋面设有避雷带。罩棚为二类防雷构筑物，利用钢结构支柱及基础圈梁内的钢筋作接地极，组成防雷接地系统；埋地油罐区的油罐做防雷接地，埋地油罐和罐内的各金属部件，与非埋地部分的工艺金属管道相互做电气连接并接地。</w:t>
            </w:r>
          </w:p>
          <w:p w14:paraId="020BF4F5">
            <w:pPr>
              <w:pStyle w:val="5"/>
              <w:spacing w:line="240" w:lineRule="auto"/>
              <w:ind w:firstLine="0" w:firstLineChars="0"/>
              <w:jc w:val="left"/>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2.</w:t>
            </w:r>
            <w:r>
              <w:rPr>
                <w:rFonts w:hint="default" w:ascii="Times New Roman" w:hAnsi="Times New Roman" w:cs="Times New Roman"/>
                <w:sz w:val="21"/>
                <w:szCs w:val="21"/>
                <w:highlight w:val="none"/>
                <w:lang w:val="en-US" w:eastAsia="zh-CN"/>
              </w:rPr>
              <w:t>防雷接地、防静电接地、电气设备的工作接地、保护接地及信息系统的接地采用共用接地装置，接地电阻不应大于4Ω。</w:t>
            </w:r>
          </w:p>
          <w:p w14:paraId="73A59625">
            <w:pPr>
              <w:pStyle w:val="5"/>
              <w:spacing w:line="240" w:lineRule="auto"/>
              <w:ind w:firstLine="0" w:firstLineChars="0"/>
              <w:jc w:val="left"/>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3.</w:t>
            </w:r>
            <w:r>
              <w:rPr>
                <w:rFonts w:hint="default" w:ascii="Times New Roman" w:hAnsi="Times New Roman" w:cs="Times New Roman"/>
                <w:sz w:val="21"/>
                <w:szCs w:val="21"/>
                <w:highlight w:val="none"/>
                <w:lang w:val="en-US" w:eastAsia="zh-CN"/>
              </w:rPr>
              <w:t>装有阻火器的通气管与接地装置可靠连接；卸油场地设有卸车静电接地报警器和本安型人体导除静电装置。</w:t>
            </w:r>
          </w:p>
          <w:p w14:paraId="0176BB32">
            <w:pPr>
              <w:pStyle w:val="5"/>
              <w:spacing w:line="240" w:lineRule="auto"/>
              <w:ind w:firstLine="0" w:firstLineChars="0"/>
              <w:jc w:val="left"/>
              <w:rPr>
                <w:rFonts w:hint="default"/>
                <w:lang w:val="en-US" w:eastAsia="zh-CN"/>
              </w:rPr>
            </w:pPr>
            <w:r>
              <w:rPr>
                <w:rFonts w:hint="eastAsia" w:cs="Times New Roman"/>
                <w:sz w:val="21"/>
                <w:szCs w:val="21"/>
                <w:highlight w:val="none"/>
                <w:lang w:val="en-US" w:eastAsia="zh-CN"/>
              </w:rPr>
              <w:t>4.</w:t>
            </w:r>
            <w:r>
              <w:rPr>
                <w:rFonts w:hint="default" w:ascii="Times New Roman" w:hAnsi="Times New Roman" w:cs="Times New Roman"/>
                <w:sz w:val="21"/>
                <w:szCs w:val="21"/>
                <w:highlight w:val="none"/>
                <w:lang w:val="en-US" w:eastAsia="zh-CN"/>
              </w:rPr>
              <w:t>对金属管道的法兰等的连接处采取导线跨接；在供配电系统的电源端安装与设备耐压水平相适应的过电压（电涌）保护器。</w:t>
            </w:r>
          </w:p>
        </w:tc>
      </w:tr>
      <w:tr w14:paraId="1E705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416" w:type="pct"/>
            <w:vAlign w:val="center"/>
          </w:tcPr>
          <w:p w14:paraId="419D2BA9">
            <w:pPr>
              <w:jc w:val="center"/>
              <w:rPr>
                <w:rFonts w:hint="default" w:ascii="Times New Roman" w:hAnsi="Times New Roman" w:cs="Times New Roman"/>
                <w:szCs w:val="21"/>
              </w:rPr>
            </w:pPr>
            <w:r>
              <w:rPr>
                <w:rFonts w:hint="default" w:ascii="Times New Roman" w:hAnsi="Times New Roman" w:cs="Times New Roman"/>
                <w:szCs w:val="21"/>
              </w:rPr>
              <w:t>5</w:t>
            </w:r>
          </w:p>
        </w:tc>
        <w:tc>
          <w:tcPr>
            <w:tcW w:w="773" w:type="pct"/>
            <w:vAlign w:val="center"/>
          </w:tcPr>
          <w:p w14:paraId="2A94C0E8">
            <w:pPr>
              <w:jc w:val="center"/>
              <w:rPr>
                <w:rFonts w:hint="default" w:ascii="Times New Roman" w:hAnsi="Times New Roman" w:cs="Times New Roman"/>
                <w:szCs w:val="21"/>
              </w:rPr>
            </w:pPr>
            <w:r>
              <w:rPr>
                <w:rFonts w:hint="default" w:ascii="Times New Roman" w:hAnsi="Times New Roman" w:cs="Times New Roman"/>
                <w:szCs w:val="21"/>
              </w:rPr>
              <w:t>采暖</w:t>
            </w:r>
          </w:p>
        </w:tc>
        <w:tc>
          <w:tcPr>
            <w:tcW w:w="1055" w:type="pct"/>
            <w:vAlign w:val="center"/>
          </w:tcPr>
          <w:p w14:paraId="7585E585">
            <w:pPr>
              <w:jc w:val="center"/>
              <w:rPr>
                <w:rFonts w:hint="eastAsia" w:ascii="Times New Roman" w:hAnsi="Times New Roman" w:eastAsia="宋体" w:cs="Times New Roman"/>
                <w:szCs w:val="21"/>
                <w:highlight w:val="none"/>
                <w:lang w:eastAsia="zh-CN"/>
              </w:rPr>
            </w:pPr>
            <w:r>
              <w:rPr>
                <w:rFonts w:hint="eastAsia" w:cs="Times New Roman"/>
                <w:szCs w:val="21"/>
                <w:highlight w:val="none"/>
                <w:lang w:val="en-US" w:eastAsia="zh-CN"/>
              </w:rPr>
              <w:t>市政</w:t>
            </w:r>
          </w:p>
        </w:tc>
        <w:tc>
          <w:tcPr>
            <w:tcW w:w="2756" w:type="pct"/>
            <w:vAlign w:val="center"/>
          </w:tcPr>
          <w:p w14:paraId="2F04CB03">
            <w:pPr>
              <w:numPr>
                <w:ilvl w:val="0"/>
                <w:numId w:val="0"/>
              </w:numPr>
              <w:rPr>
                <w:rFonts w:hint="default" w:ascii="Times New Roman" w:hAnsi="Times New Roman" w:eastAsia="宋体" w:cs="Times New Roman"/>
                <w:sz w:val="21"/>
                <w:szCs w:val="21"/>
                <w:highlight w:val="none"/>
                <w:lang w:eastAsia="zh-CN"/>
              </w:rPr>
            </w:pPr>
            <w:r>
              <w:rPr>
                <w:rFonts w:hint="default"/>
                <w:highlight w:val="none"/>
                <w:lang w:val="zh-CN" w:eastAsia="zh-CN"/>
              </w:rPr>
              <w:t>冬季采暖依托市政供暖。</w:t>
            </w:r>
          </w:p>
        </w:tc>
      </w:tr>
      <w:tr w14:paraId="21D3C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4" w:hRule="atLeast"/>
          <w:jc w:val="center"/>
        </w:trPr>
        <w:tc>
          <w:tcPr>
            <w:tcW w:w="416" w:type="pct"/>
            <w:vAlign w:val="center"/>
          </w:tcPr>
          <w:p w14:paraId="10D61B45">
            <w:pPr>
              <w:jc w:val="center"/>
              <w:rPr>
                <w:rFonts w:hint="default" w:ascii="Times New Roman" w:hAnsi="Times New Roman" w:cs="Times New Roman"/>
                <w:szCs w:val="21"/>
              </w:rPr>
            </w:pPr>
            <w:r>
              <w:rPr>
                <w:rFonts w:hint="default" w:ascii="Times New Roman" w:hAnsi="Times New Roman" w:cs="Times New Roman"/>
                <w:szCs w:val="21"/>
              </w:rPr>
              <w:t>6</w:t>
            </w:r>
          </w:p>
        </w:tc>
        <w:tc>
          <w:tcPr>
            <w:tcW w:w="773" w:type="pct"/>
            <w:vAlign w:val="center"/>
          </w:tcPr>
          <w:p w14:paraId="3D9DB767">
            <w:pPr>
              <w:jc w:val="center"/>
              <w:rPr>
                <w:rFonts w:hint="default" w:ascii="Times New Roman" w:hAnsi="Times New Roman" w:cs="Times New Roman"/>
                <w:szCs w:val="21"/>
              </w:rPr>
            </w:pPr>
            <w:r>
              <w:rPr>
                <w:rFonts w:hint="default" w:ascii="Times New Roman" w:hAnsi="Times New Roman" w:cs="Times New Roman"/>
                <w:szCs w:val="21"/>
                <w:lang w:val="en-US" w:eastAsia="zh-CN"/>
              </w:rPr>
              <w:t>自动化</w:t>
            </w:r>
            <w:r>
              <w:rPr>
                <w:rFonts w:hint="default" w:ascii="Times New Roman" w:hAnsi="Times New Roman" w:cs="Times New Roman"/>
                <w:szCs w:val="21"/>
              </w:rPr>
              <w:t>控制系统</w:t>
            </w:r>
          </w:p>
        </w:tc>
        <w:tc>
          <w:tcPr>
            <w:tcW w:w="1055" w:type="pct"/>
            <w:vAlign w:val="center"/>
          </w:tcPr>
          <w:p w14:paraId="4108F2BE">
            <w:pPr>
              <w:numPr>
                <w:ilvl w:val="0"/>
                <w:numId w:val="11"/>
              </w:numPr>
              <w:jc w:val="left"/>
              <w:rPr>
                <w:rFonts w:hint="default" w:ascii="Times New Roman" w:hAnsi="Times New Roman" w:cs="Times New Roman"/>
                <w:szCs w:val="21"/>
              </w:rPr>
            </w:pPr>
            <w:r>
              <w:rPr>
                <w:rFonts w:hint="default" w:ascii="Times New Roman" w:hAnsi="Times New Roman" w:cs="Times New Roman"/>
                <w:szCs w:val="21"/>
              </w:rPr>
              <w:t>液位监控系统、检漏系统</w:t>
            </w:r>
          </w:p>
          <w:p w14:paraId="06140B4E">
            <w:pPr>
              <w:numPr>
                <w:ilvl w:val="0"/>
                <w:numId w:val="11"/>
              </w:numPr>
              <w:jc w:val="left"/>
              <w:rPr>
                <w:rFonts w:hint="default" w:ascii="Times New Roman" w:hAnsi="Times New Roman" w:cs="Times New Roman"/>
                <w:szCs w:val="21"/>
              </w:rPr>
            </w:pPr>
            <w:r>
              <w:rPr>
                <w:rFonts w:hint="default" w:ascii="Times New Roman" w:hAnsi="Times New Roman" w:cs="Times New Roman"/>
                <w:szCs w:val="21"/>
              </w:rPr>
              <w:t>检漏系统</w:t>
            </w:r>
          </w:p>
          <w:p w14:paraId="17A51135">
            <w:pPr>
              <w:numPr>
                <w:ilvl w:val="0"/>
                <w:numId w:val="11"/>
              </w:numPr>
              <w:jc w:val="left"/>
              <w:rPr>
                <w:rFonts w:hint="default" w:ascii="Times New Roman" w:hAnsi="Times New Roman" w:cs="Times New Roman"/>
                <w:sz w:val="21"/>
                <w:szCs w:val="21"/>
              </w:rPr>
            </w:pPr>
            <w:r>
              <w:rPr>
                <w:rFonts w:hint="default" w:ascii="Times New Roman" w:hAnsi="Times New Roman" w:cs="Times New Roman"/>
                <w:szCs w:val="21"/>
              </w:rPr>
              <w:t>视频监控系统</w:t>
            </w:r>
          </w:p>
          <w:p w14:paraId="2D73F4B9">
            <w:pPr>
              <w:numPr>
                <w:ilvl w:val="0"/>
                <w:numId w:val="11"/>
              </w:numPr>
              <w:jc w:val="left"/>
              <w:rPr>
                <w:rFonts w:hint="default" w:ascii="Times New Roman" w:hAnsi="Times New Roman" w:cs="Times New Roman"/>
                <w:sz w:val="21"/>
                <w:szCs w:val="21"/>
              </w:rPr>
            </w:pPr>
            <w:r>
              <w:rPr>
                <w:rFonts w:hint="default" w:ascii="Times New Roman" w:hAnsi="Times New Roman" w:cs="Times New Roman"/>
                <w:szCs w:val="21"/>
              </w:rPr>
              <w:t>紧急切断系统</w:t>
            </w:r>
          </w:p>
        </w:tc>
        <w:tc>
          <w:tcPr>
            <w:tcW w:w="5182" w:type="dxa"/>
            <w:vAlign w:val="center"/>
          </w:tcPr>
          <w:p w14:paraId="31BE3049">
            <w:pPr>
              <w:pStyle w:val="5"/>
              <w:spacing w:line="240" w:lineRule="auto"/>
              <w:ind w:firstLine="0" w:firstLineChars="0"/>
              <w:jc w:val="left"/>
              <w:rPr>
                <w:sz w:val="21"/>
                <w:szCs w:val="21"/>
              </w:rPr>
            </w:pPr>
            <w:r>
              <w:rPr>
                <w:rFonts w:hint="eastAsia"/>
                <w:sz w:val="21"/>
                <w:szCs w:val="21"/>
              </w:rPr>
              <w:t>1、</w:t>
            </w:r>
            <w:r>
              <w:rPr>
                <w:sz w:val="21"/>
                <w:szCs w:val="21"/>
              </w:rPr>
              <w:t>油罐采用液位监控系统，每台油罐上设置一台具有高液位报警功能的远传液位计，仪表检测信号远传至</w:t>
            </w:r>
            <w:r>
              <w:rPr>
                <w:rFonts w:hint="eastAsia"/>
                <w:sz w:val="21"/>
                <w:szCs w:val="21"/>
              </w:rPr>
              <w:t>控制室</w:t>
            </w:r>
            <w:r>
              <w:rPr>
                <w:sz w:val="21"/>
                <w:szCs w:val="21"/>
              </w:rPr>
              <w:t>。油罐采取卸油时的防满溢措施。油料达到油罐容量的90%时，能触动高液位报警装置；油料达到油罐容量95%时，能自动停止油料继续进罐。高液位报警装置设置在</w:t>
            </w:r>
            <w:r>
              <w:rPr>
                <w:rFonts w:hint="eastAsia"/>
                <w:sz w:val="21"/>
                <w:szCs w:val="21"/>
              </w:rPr>
              <w:t>站房控制室</w:t>
            </w:r>
            <w:r>
              <w:rPr>
                <w:sz w:val="21"/>
                <w:szCs w:val="21"/>
              </w:rPr>
              <w:t>内。</w:t>
            </w:r>
          </w:p>
          <w:p w14:paraId="0B5F552F">
            <w:pPr>
              <w:pStyle w:val="5"/>
              <w:spacing w:line="240" w:lineRule="auto"/>
              <w:ind w:firstLine="0" w:firstLineChars="0"/>
              <w:jc w:val="left"/>
              <w:rPr>
                <w:sz w:val="21"/>
                <w:szCs w:val="21"/>
              </w:rPr>
            </w:pPr>
            <w:r>
              <w:rPr>
                <w:rFonts w:hint="eastAsia"/>
                <w:sz w:val="21"/>
                <w:szCs w:val="21"/>
              </w:rPr>
              <w:t>2、油罐和双层管道分别设有油气渗漏检测报警装置。</w:t>
            </w:r>
          </w:p>
          <w:p w14:paraId="46BEEA88">
            <w:pPr>
              <w:pStyle w:val="5"/>
              <w:spacing w:line="240" w:lineRule="auto"/>
              <w:ind w:firstLine="0" w:firstLineChars="0"/>
              <w:jc w:val="left"/>
              <w:rPr>
                <w:sz w:val="21"/>
                <w:szCs w:val="21"/>
              </w:rPr>
            </w:pPr>
            <w:r>
              <w:rPr>
                <w:rFonts w:hint="eastAsia"/>
                <w:sz w:val="21"/>
                <w:szCs w:val="21"/>
              </w:rPr>
              <w:t>3、</w:t>
            </w:r>
            <w:r>
              <w:rPr>
                <w:sz w:val="21"/>
                <w:szCs w:val="21"/>
              </w:rPr>
              <w:t>该站设有视频监控系统，显示器设置在营业室内，监控范围可覆盖作业区。录像存储时间不少于30天。</w:t>
            </w:r>
          </w:p>
          <w:p w14:paraId="44D4791D">
            <w:pPr>
              <w:pStyle w:val="5"/>
              <w:spacing w:line="240" w:lineRule="auto"/>
              <w:ind w:firstLine="0" w:firstLineChars="0"/>
              <w:jc w:val="left"/>
              <w:rPr>
                <w:rFonts w:hint="default" w:ascii="Times New Roman" w:hAnsi="Times New Roman" w:cs="Times New Roman"/>
                <w:sz w:val="21"/>
                <w:szCs w:val="21"/>
              </w:rPr>
            </w:pPr>
            <w:r>
              <w:rPr>
                <w:rFonts w:hint="eastAsia"/>
                <w:sz w:val="21"/>
                <w:szCs w:val="21"/>
              </w:rPr>
              <w:t>4、</w:t>
            </w:r>
            <w:r>
              <w:rPr>
                <w:sz w:val="21"/>
                <w:szCs w:val="21"/>
              </w:rPr>
              <w:t>罩棚支柱</w:t>
            </w:r>
            <w:r>
              <w:rPr>
                <w:rFonts w:hint="eastAsia"/>
                <w:sz w:val="21"/>
                <w:szCs w:val="21"/>
              </w:rPr>
              <w:t>和</w:t>
            </w:r>
            <w:r>
              <w:rPr>
                <w:sz w:val="21"/>
                <w:szCs w:val="21"/>
              </w:rPr>
              <w:t>营业室便于操作的位置设置紧急切断按钮。紧急切断系统只能手动复位。</w:t>
            </w:r>
          </w:p>
        </w:tc>
      </w:tr>
      <w:tr w14:paraId="2AC20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16" w:type="pct"/>
            <w:vAlign w:val="center"/>
          </w:tcPr>
          <w:p w14:paraId="10DCF9D8">
            <w:pPr>
              <w:jc w:val="center"/>
              <w:rPr>
                <w:rFonts w:hint="default" w:ascii="Times New Roman" w:hAnsi="Times New Roman" w:cs="Times New Roman"/>
                <w:szCs w:val="21"/>
              </w:rPr>
            </w:pPr>
            <w:r>
              <w:rPr>
                <w:rFonts w:hint="default" w:ascii="Times New Roman" w:hAnsi="Times New Roman" w:cs="Times New Roman"/>
                <w:szCs w:val="21"/>
              </w:rPr>
              <w:t>7</w:t>
            </w:r>
          </w:p>
        </w:tc>
        <w:tc>
          <w:tcPr>
            <w:tcW w:w="773" w:type="pct"/>
            <w:vAlign w:val="center"/>
          </w:tcPr>
          <w:p w14:paraId="239120BD">
            <w:pPr>
              <w:jc w:val="center"/>
              <w:rPr>
                <w:rFonts w:hint="default" w:ascii="Times New Roman" w:hAnsi="Times New Roman" w:cs="Times New Roman"/>
                <w:szCs w:val="21"/>
              </w:rPr>
            </w:pPr>
            <w:r>
              <w:rPr>
                <w:rFonts w:hint="default" w:ascii="Times New Roman" w:hAnsi="Times New Roman" w:cs="Times New Roman"/>
                <w:szCs w:val="21"/>
              </w:rPr>
              <w:t>消防系统</w:t>
            </w:r>
          </w:p>
        </w:tc>
        <w:tc>
          <w:tcPr>
            <w:tcW w:w="1055" w:type="pct"/>
            <w:vAlign w:val="center"/>
          </w:tcPr>
          <w:p w14:paraId="43488C2E">
            <w:pPr>
              <w:jc w:val="center"/>
              <w:rPr>
                <w:rFonts w:hint="default" w:ascii="Times New Roman" w:hAnsi="Times New Roman" w:cs="Times New Roman"/>
                <w:szCs w:val="21"/>
              </w:rPr>
            </w:pPr>
            <w:r>
              <w:rPr>
                <w:rFonts w:hint="default" w:ascii="Times New Roman" w:hAnsi="Times New Roman" w:cs="Times New Roman"/>
                <w:szCs w:val="21"/>
              </w:rPr>
              <w:t>灭火器</w:t>
            </w:r>
          </w:p>
        </w:tc>
        <w:tc>
          <w:tcPr>
            <w:tcW w:w="2756" w:type="pct"/>
            <w:vAlign w:val="center"/>
          </w:tcPr>
          <w:p w14:paraId="13747189">
            <w:pPr>
              <w:pStyle w:val="5"/>
              <w:spacing w:line="240" w:lineRule="auto"/>
              <w:ind w:firstLine="0" w:firstLineChars="0"/>
              <w:jc w:val="left"/>
              <w:rPr>
                <w:rFonts w:hint="default" w:ascii="Times New Roman" w:hAnsi="Times New Roman" w:cs="Times New Roman"/>
                <w:sz w:val="21"/>
                <w:szCs w:val="21"/>
              </w:rPr>
            </w:pPr>
            <w:r>
              <w:rPr>
                <w:rFonts w:hint="default" w:ascii="Times New Roman" w:hAnsi="Times New Roman" w:cs="Times New Roman"/>
                <w:sz w:val="21"/>
                <w:szCs w:val="21"/>
              </w:rPr>
              <w:t>1、站内不设消防给水系统；</w:t>
            </w:r>
          </w:p>
          <w:p w14:paraId="59A32AC1">
            <w:pPr>
              <w:pStyle w:val="5"/>
              <w:spacing w:line="240" w:lineRule="auto"/>
              <w:ind w:firstLine="0" w:firstLineChars="0"/>
              <w:jc w:val="left"/>
              <w:rPr>
                <w:rFonts w:hint="default" w:ascii="Times New Roman" w:hAnsi="Times New Roman" w:cs="Times New Roman"/>
                <w:sz w:val="21"/>
                <w:szCs w:val="21"/>
              </w:rPr>
            </w:pPr>
            <w:r>
              <w:rPr>
                <w:rFonts w:hint="default" w:ascii="Times New Roman" w:hAnsi="Times New Roman" w:cs="Times New Roman"/>
                <w:sz w:val="21"/>
                <w:szCs w:val="21"/>
              </w:rPr>
              <w:t>2、该站汽柴油储罐区配备2台35kg推车式干粉灭火器，加油机附近配备</w:t>
            </w:r>
            <w:r>
              <w:rPr>
                <w:rFonts w:hint="eastAsia" w:cs="Times New Roman"/>
                <w:sz w:val="21"/>
                <w:szCs w:val="21"/>
                <w:lang w:val="en-US" w:eastAsia="zh-CN"/>
              </w:rPr>
              <w:t>8</w:t>
            </w:r>
            <w:r>
              <w:rPr>
                <w:rFonts w:hint="default" w:ascii="Times New Roman" w:hAnsi="Times New Roman" w:cs="Times New Roman"/>
                <w:sz w:val="21"/>
                <w:szCs w:val="21"/>
              </w:rPr>
              <w:t>具MF/ABC5式灭火器，站房配备</w:t>
            </w:r>
            <w:r>
              <w:rPr>
                <w:rFonts w:hint="eastAsia" w:cs="Times New Roman"/>
                <w:sz w:val="21"/>
                <w:szCs w:val="21"/>
                <w:lang w:val="en-US" w:eastAsia="zh-CN"/>
              </w:rPr>
              <w:t>6</w:t>
            </w:r>
            <w:r>
              <w:rPr>
                <w:rFonts w:hint="default" w:ascii="Times New Roman" w:hAnsi="Times New Roman" w:cs="Times New Roman"/>
                <w:sz w:val="21"/>
                <w:szCs w:val="21"/>
              </w:rPr>
              <w:t>具MF/ABC5式灭火器。消防器材箱里配备灭火毯 5 块、并配备消防斧、消防桶、消防锨、消防钩等消防器材。消防器材箱旁设消防砂 2m</w:t>
            </w:r>
            <w:r>
              <w:rPr>
                <w:rFonts w:hint="default" w:ascii="Times New Roman" w:hAnsi="Times New Roman" w:cs="Times New Roman"/>
                <w:sz w:val="21"/>
                <w:szCs w:val="21"/>
                <w:vertAlign w:val="superscript"/>
              </w:rPr>
              <w:t>3</w:t>
            </w:r>
            <w:r>
              <w:rPr>
                <w:rFonts w:hint="default" w:ascii="Times New Roman" w:hAnsi="Times New Roman" w:cs="Times New Roman"/>
                <w:sz w:val="21"/>
                <w:szCs w:val="21"/>
              </w:rPr>
              <w:t>，储砂箱为地上式。</w:t>
            </w:r>
          </w:p>
        </w:tc>
      </w:tr>
    </w:tbl>
    <w:p w14:paraId="6A42B981">
      <w:pPr>
        <w:keepNext w:val="0"/>
        <w:keepLines w:val="0"/>
        <w:pageBreakBefore w:val="0"/>
        <w:widowControl w:val="0"/>
        <w:kinsoku/>
        <w:wordWrap/>
        <w:overflowPunct/>
        <w:topLinePunct w:val="0"/>
        <w:autoSpaceDE/>
        <w:autoSpaceDN/>
        <w:bidi w:val="0"/>
        <w:adjustRightInd w:val="0"/>
        <w:snapToGrid w:val="0"/>
        <w:spacing w:before="164" w:beforeLines="50" w:line="360" w:lineRule="auto"/>
        <w:ind w:firstLine="560" w:firstLineChars="200"/>
        <w:textAlignment w:val="auto"/>
        <w:rPr>
          <w:rFonts w:hint="default" w:ascii="Times New Roman" w:hAnsi="Times New Roman" w:cs="Times New Roman"/>
          <w:sz w:val="28"/>
          <w:szCs w:val="28"/>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r>
        <w:rPr>
          <w:rFonts w:hint="default" w:ascii="Times New Roman" w:hAnsi="Times New Roman" w:cs="Times New Roman"/>
          <w:sz w:val="28"/>
          <w:szCs w:val="28"/>
        </w:rPr>
        <w:t>本项目配套与辅助工程的供应量可以满足本项目的需求量，匹配情况较好。</w:t>
      </w:r>
    </w:p>
    <w:p w14:paraId="313981A1">
      <w:pPr>
        <w:keepNext w:val="0"/>
        <w:keepLines w:val="0"/>
        <w:pageBreakBefore w:val="0"/>
        <w:widowControl w:val="0"/>
        <w:kinsoku/>
        <w:wordWrap/>
        <w:overflowPunct/>
        <w:topLinePunct w:val="0"/>
        <w:autoSpaceDE/>
        <w:autoSpaceDN/>
        <w:bidi w:val="0"/>
        <w:adjustRightInd/>
        <w:snapToGrid/>
        <w:spacing w:before="490" w:beforeLines="150" w:after="490" w:afterLines="150" w:line="360" w:lineRule="auto"/>
        <w:ind w:firstLine="0"/>
        <w:jc w:val="center"/>
        <w:textAlignment w:val="auto"/>
        <w:outlineLvl w:val="0"/>
        <w:rPr>
          <w:rFonts w:hint="default" w:ascii="Times New Roman" w:hAnsi="Times New Roman" w:eastAsia="黑体" w:cs="Times New Roman"/>
          <w:b/>
          <w:bCs/>
          <w:kern w:val="2"/>
          <w:sz w:val="32"/>
          <w:szCs w:val="32"/>
          <w:lang w:val="en-US" w:eastAsia="zh-CN" w:bidi="ar-SA"/>
        </w:rPr>
      </w:pPr>
      <w:bookmarkStart w:id="296" w:name="_Toc848"/>
      <w:bookmarkStart w:id="297" w:name="_Toc410311988"/>
      <w:bookmarkStart w:id="298" w:name="_Toc21831"/>
      <w:bookmarkStart w:id="299" w:name="_Toc410311911"/>
      <w:bookmarkStart w:id="300" w:name="_Toc41246719"/>
      <w:r>
        <w:rPr>
          <w:rFonts w:hint="default" w:ascii="Times New Roman" w:hAnsi="Times New Roman" w:eastAsia="黑体" w:cs="Times New Roman"/>
          <w:b/>
          <w:bCs w:val="0"/>
          <w:kern w:val="32"/>
          <w:sz w:val="32"/>
          <w:szCs w:val="32"/>
          <w:lang w:val="en-US" w:eastAsia="zh-CN" w:bidi="ar-SA"/>
        </w:rPr>
        <w:t>8安全对策与建议</w:t>
      </w:r>
      <w:bookmarkEnd w:id="296"/>
      <w:bookmarkEnd w:id="297"/>
      <w:bookmarkEnd w:id="298"/>
      <w:bookmarkEnd w:id="299"/>
      <w:bookmarkEnd w:id="300"/>
    </w:p>
    <w:p w14:paraId="507BBACF">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01" w:name="_Toc410311989"/>
      <w:bookmarkStart w:id="302" w:name="_Toc410311912"/>
      <w:bookmarkStart w:id="303" w:name="_Toc28738"/>
      <w:bookmarkStart w:id="304" w:name="_Toc41246720"/>
      <w:bookmarkStart w:id="305" w:name="_Toc6102"/>
      <w:r>
        <w:rPr>
          <w:rFonts w:hint="default" w:ascii="Times New Roman" w:hAnsi="Times New Roman" w:eastAsia="楷体" w:cs="Times New Roman"/>
          <w:color w:val="auto"/>
          <w:sz w:val="32"/>
          <w:szCs w:val="32"/>
          <w:lang w:val="en-US" w:eastAsia="zh-CN"/>
        </w:rPr>
        <w:t>8.1</w:t>
      </w:r>
      <w:bookmarkEnd w:id="301"/>
      <w:bookmarkEnd w:id="302"/>
      <w:r>
        <w:rPr>
          <w:rFonts w:hint="default" w:ascii="Times New Roman" w:hAnsi="Times New Roman" w:eastAsia="楷体" w:cs="Times New Roman"/>
          <w:color w:val="auto"/>
          <w:sz w:val="32"/>
          <w:szCs w:val="32"/>
          <w:lang w:val="en-US" w:eastAsia="zh-CN"/>
        </w:rPr>
        <w:t>建设项目的选址</w:t>
      </w:r>
      <w:bookmarkEnd w:id="303"/>
      <w:bookmarkEnd w:id="304"/>
      <w:bookmarkEnd w:id="305"/>
    </w:p>
    <w:p w14:paraId="2B0248B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采用安全检查表法对本项目的选址进行评价，符合相关要求。本次评价不再补充相关安全对策措施。</w:t>
      </w:r>
    </w:p>
    <w:p w14:paraId="319D1F78">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06" w:name="_Toc41246722"/>
      <w:bookmarkStart w:id="307" w:name="_Toc25225"/>
      <w:bookmarkStart w:id="308" w:name="_Toc17917"/>
      <w:r>
        <w:rPr>
          <w:rFonts w:hint="default" w:ascii="Times New Roman" w:hAnsi="Times New Roman" w:eastAsia="楷体" w:cs="Times New Roman"/>
          <w:color w:val="auto"/>
          <w:sz w:val="32"/>
          <w:szCs w:val="32"/>
          <w:lang w:val="en-US" w:eastAsia="zh-CN"/>
        </w:rPr>
        <w:t>8.</w:t>
      </w:r>
      <w:bookmarkEnd w:id="306"/>
      <w:r>
        <w:rPr>
          <w:rFonts w:hint="default" w:ascii="Times New Roman" w:hAnsi="Times New Roman" w:eastAsia="楷体" w:cs="Times New Roman"/>
          <w:color w:val="auto"/>
          <w:sz w:val="32"/>
          <w:szCs w:val="32"/>
          <w:lang w:val="en-US" w:eastAsia="zh-CN"/>
        </w:rPr>
        <w:t>2主要技术、工艺或者方式和装置、设备、设施</w:t>
      </w:r>
      <w:bookmarkEnd w:id="307"/>
      <w:bookmarkEnd w:id="308"/>
    </w:p>
    <w:p w14:paraId="70D79802">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default" w:ascii="Times New Roman" w:hAnsi="Times New Roman" w:eastAsia="黑体" w:cs="Times New Roman"/>
          <w:b/>
          <w:bCs/>
          <w:color w:val="auto"/>
          <w:kern w:val="2"/>
          <w:sz w:val="28"/>
          <w:szCs w:val="32"/>
          <w:lang w:val="en-US" w:eastAsia="zh-CN" w:bidi="ar-SA"/>
        </w:rPr>
      </w:pPr>
      <w:bookmarkStart w:id="309" w:name="_Toc146488892"/>
      <w:bookmarkStart w:id="310" w:name="_Toc6902"/>
      <w:bookmarkStart w:id="311" w:name="_Toc41246723"/>
      <w:r>
        <w:rPr>
          <w:rFonts w:hint="default" w:ascii="Times New Roman" w:hAnsi="Times New Roman" w:eastAsia="黑体" w:cs="Times New Roman"/>
          <w:b/>
          <w:bCs/>
          <w:color w:val="auto"/>
          <w:kern w:val="2"/>
          <w:sz w:val="28"/>
          <w:szCs w:val="32"/>
          <w:lang w:val="en-US" w:eastAsia="zh-CN" w:bidi="ar-SA"/>
        </w:rPr>
        <w:t>8.2.1油罐</w:t>
      </w:r>
      <w:bookmarkEnd w:id="309"/>
      <w:bookmarkEnd w:id="310"/>
      <w:bookmarkEnd w:id="311"/>
    </w:p>
    <w:p w14:paraId="6BF7F635">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根据《汽车加油加气加氢站技术标准》（GB50156-2021）第6.1.1条，加油站的</w:t>
      </w:r>
      <w:r>
        <w:rPr>
          <w:rFonts w:hint="eastAsia" w:hAnsi="Times New Roman" w:cs="Times New Roman"/>
          <w:lang w:eastAsia="zh-CN"/>
        </w:rPr>
        <w:t>乙醇汽油</w:t>
      </w:r>
      <w:r>
        <w:rPr>
          <w:rFonts w:hint="default" w:ascii="Times New Roman" w:hAnsi="Times New Roman" w:cs="Times New Roman"/>
        </w:rPr>
        <w:t>罐和柴油罐应埋地设置，严禁设在室内或地下室内。</w:t>
      </w:r>
    </w:p>
    <w:p w14:paraId="0FA26B82">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根据《汽车加油加气加氢站技术标准》（GB50156-2021）第6.1.2条，汽车加油站的储油罐应采用卧式油罐。</w:t>
      </w:r>
    </w:p>
    <w:p w14:paraId="64470128">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根据《汽车加油加气加氢站技术标准》（GB50156-2021）第6.1.5条，选用的</w:t>
      </w:r>
      <w:r>
        <w:rPr>
          <w:rFonts w:hint="eastAsia" w:hAnsi="Times New Roman" w:cs="Times New Roman"/>
          <w:lang w:val="en-US" w:eastAsia="zh-CN"/>
        </w:rPr>
        <w:t>双层玻璃纤维</w:t>
      </w:r>
      <w:r>
        <w:rPr>
          <w:rFonts w:hint="default" w:ascii="Times New Roman" w:hAnsi="Times New Roman" w:cs="Times New Roman"/>
        </w:rPr>
        <w:t>增强塑料油罐应符合现行行业标准《加油站用埋地玻璃纤维增强塑料双层油罐工程技术规范》SH/T3177的有关规定。</w:t>
      </w:r>
    </w:p>
    <w:p w14:paraId="168DF6CF">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根据《汽车加油加气加氢站技术标准》（GB50156-2021）第6.1.9条，双层油罐内壁与外壁之间应有满足渗漏检测要求的贯通间隙。</w:t>
      </w:r>
    </w:p>
    <w:p w14:paraId="4A6523BD">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根据《汽车加油加气加氢站技术标准》（GB50156-2021）第6.1.10条，玻璃纤维增强塑料双层油罐应设渗漏检测立管，并应符合下列规定：①检测立管应采用钢管，直径宜为80mm，壁厚不宜小于4mm；</w:t>
      </w:r>
      <w:bookmarkStart w:id="312" w:name="_Toc19944"/>
      <w:r>
        <w:rPr>
          <w:rFonts w:hint="default" w:ascii="Times New Roman" w:hAnsi="Times New Roman" w:cs="Times New Roman"/>
        </w:rPr>
        <w:t>②检测立管应位于油罐顶部的纵向中心线上；</w:t>
      </w:r>
      <w:bookmarkEnd w:id="312"/>
      <w:r>
        <w:rPr>
          <w:rFonts w:hint="default" w:ascii="Times New Roman" w:hAnsi="Times New Roman" w:cs="Times New Roman"/>
        </w:rPr>
        <w:t>③检测立管的底部管口应与油罐内、外壁间隙相连通，顶部管口应装防尘盖；④检测立管应满足人工检测和在线监测的要求，并应保证油罐内、外壁任何部位出现渗漏均能被发现。</w:t>
      </w:r>
    </w:p>
    <w:p w14:paraId="3E95F405">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根据《汽车加油加气加氢站技术标准》（GB50156-2021）第6.1.11条，油罐应采用钢制人孔盖。</w:t>
      </w:r>
    </w:p>
    <w:p w14:paraId="41BAC49D">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根据《汽车加油加气加氢站技术标准》（GB50156-2021）第6.1.12条，油罐设在非车行道下面时，罐顶的覆土厚度不应小于0.5m。外层为玻璃纤维增强塑料材料的油罐，回填料应符合产品说明书的要求。</w:t>
      </w:r>
    </w:p>
    <w:p w14:paraId="347293EA">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根据《汽车加油加气加氢站技术标准》（GB50156-2021）第6.1.13条，当埋地油罐受地下水或雨水作用有上浮的可能时，应采取防止油罐上浮的措施。</w:t>
      </w:r>
    </w:p>
    <w:p w14:paraId="0FA2F41E">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根据《汽车加油加气加氢站技术标准》（GB50156-2021）第6.1.14条，埋地油罐的人孔应设操作井。</w:t>
      </w:r>
    </w:p>
    <w:p w14:paraId="449B4FDB">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6.1.15条，油罐卸油应采取防满溢措施。油料达到油罐容量的90%时，应能触动高液位报警装置；油料达到油罐容量的95%时，应能自动停止油料继续进罐。高液位报警装置应位于工作人员便于觉察的地点。</w:t>
      </w:r>
    </w:p>
    <w:p w14:paraId="69DC7367">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根据《汽车加油加气加氢站技术标准》（GB50156-2021）第6.1.16条，设有油气回收系统的加油站，站内油罐应设带有高液位报警功能的液位监测系统。</w:t>
      </w:r>
    </w:p>
    <w:p w14:paraId="615AD8D6">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根据《钢制常压储罐 第1部分：储存对水有污染的易燃和不燃液体的埋地卧式圆筒形单层和双层储罐》（AQ 3020-2008）第6.3条，焊接到罐体上的附件所用材料，应与罐体材料相容。</w:t>
      </w:r>
    </w:p>
    <w:p w14:paraId="634E1023">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根据《钢制常压储罐 第1部分：储存对水有污染的易燃和不燃液体的埋地卧式圆筒形单层和双层储罐》（AQ 3020-2008）第7.3条，对双层罐而言，第二层罐应包焊住内罐，构成一个套装的不可渗漏的储罐。第二层罐至少应包覆内罐公称体积的97%。为了持续检测罐体的完整性，罐壁间隙最高点至少应设两个接口，与罐体渗漏检测系统相联接。</w:t>
      </w:r>
    </w:p>
    <w:p w14:paraId="2A136475">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根据《加油站用埋地玻璃纤维增强塑料双层油罐工程技术规范》（SH/T3177-2015）第5.1条，油罐用材料的选用应考虑使用条件、材料的性能、制造工艺以及经济合理性。</w:t>
      </w:r>
    </w:p>
    <w:p w14:paraId="1898EB5F">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加油站用埋地玻璃纤维增强塑料双层油罐工程技术规范》（SH/T3177-2015）第5.2条，油罐用材料应具有材料生产单位的质量证明文件。制造单位应按照质量证明文件进行验收，必要时制造单位应对所使用的材料进行复验；制造单位应对所取得的材料及材料证明文件的真实性和一致性负责。</w:t>
      </w:r>
    </w:p>
    <w:p w14:paraId="66102C42">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加油站用埋地玻璃纤维增强塑料双层油罐工程技术规范》（SH/T3177-2015）第5.3条，油罐材料应符合相应安全技术规范、标准的规定，满足油罐安全使用要求。制造单位自行制作或配制的油罐主体用材料应符合本规范的要求，并对材料质量负责。用于制造油罐壳体的树脂，应复验热变形温度。</w:t>
      </w:r>
    </w:p>
    <w:p w14:paraId="42658629">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根据《双层罐渗漏检测系统 第1部分：通则》（GB/T30040.1-2013）第5.1.1条，渗漏检测系统应在发生渗漏或出现系统故障的情况下发出警报。任何渗漏检测系统都应由声光报警器指示每一次渗漏。渗漏检测系统还应符合如下要求：①电源中断后，渗漏检测系统应在供电恢复时自动启动；②渗漏检测系统应能在0.08MPa～0.11MPa之间的大气压条件下工作；③安装在露天的渗漏检测系统及其部件的适用温度为-40℃～40℃；④安装在防霜冻区域的渗漏检测系统及其部件的适用温度为-5℃～50℃；⑤埋地储罐使用的渗漏检测系统及其部件的适用温度为-5℃～30℃。</w:t>
      </w:r>
    </w:p>
    <w:p w14:paraId="1FAD53F6">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根据《双层罐渗漏检测系统 第1部分：通则》（GB/T30040.1-2013）第5.1.2条，安装于存在潜在爆炸性环境中的渗漏检测系统及其部件应防爆。如果系统及其部件内部存在爆炸性环境的可能，也应防爆。</w:t>
      </w:r>
    </w:p>
    <w:p w14:paraId="693A56A9">
      <w:pPr>
        <w:pStyle w:val="20"/>
        <w:numPr>
          <w:ilvl w:val="0"/>
          <w:numId w:val="12"/>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根据《双层罐渗漏检测系统 第1部分：通则》（GB/T30040.1-2013）第5.1.7条，若渗漏检测系统用于监测不止一个储罐或管道设施，警报发生时应能够显示或检测出是哪一个储罐或那一条管道发生了渗漏。</w:t>
      </w:r>
    </w:p>
    <w:p w14:paraId="6E0847DD">
      <w:pPr>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default" w:ascii="Times New Roman" w:hAnsi="Times New Roman" w:eastAsia="宋体" w:cs="Times New Roman"/>
          <w:b/>
          <w:bCs/>
          <w:sz w:val="28"/>
          <w:szCs w:val="28"/>
        </w:rPr>
      </w:pPr>
      <w:bookmarkStart w:id="313" w:name="_Toc41246724"/>
      <w:bookmarkStart w:id="314" w:name="_Toc1976"/>
      <w:bookmarkStart w:id="315" w:name="_Toc31486"/>
      <w:bookmarkStart w:id="316" w:name="_Toc146488893"/>
      <w:r>
        <w:rPr>
          <w:rFonts w:hint="default" w:ascii="Times New Roman" w:hAnsi="Times New Roman" w:eastAsia="宋体" w:cs="Times New Roman"/>
          <w:b/>
          <w:bCs/>
          <w:sz w:val="28"/>
          <w:szCs w:val="28"/>
        </w:rPr>
        <w:t>8</w:t>
      </w:r>
      <w:r>
        <w:rPr>
          <w:rFonts w:hint="default" w:ascii="Times New Roman" w:hAnsi="Times New Roman" w:eastAsia="黑体" w:cs="Times New Roman"/>
          <w:b/>
          <w:bCs/>
          <w:color w:val="auto"/>
          <w:kern w:val="2"/>
          <w:sz w:val="28"/>
          <w:szCs w:val="32"/>
          <w:lang w:val="en-US" w:eastAsia="zh-CN" w:bidi="ar-SA"/>
        </w:rPr>
        <w:t>.2.2加油机</w:t>
      </w:r>
      <w:bookmarkEnd w:id="313"/>
      <w:bookmarkEnd w:id="314"/>
      <w:bookmarkEnd w:id="315"/>
      <w:bookmarkEnd w:id="316"/>
    </w:p>
    <w:p w14:paraId="2739D2F9">
      <w:pPr>
        <w:pStyle w:val="20"/>
        <w:numPr>
          <w:ilvl w:val="0"/>
          <w:numId w:val="13"/>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根据《汽车加油加气加氢站技术标准》（GB50156-2021）第6.2.1条，加油机不得设置在室内。</w:t>
      </w:r>
    </w:p>
    <w:p w14:paraId="652A6525">
      <w:pPr>
        <w:pStyle w:val="20"/>
        <w:numPr>
          <w:ilvl w:val="0"/>
          <w:numId w:val="13"/>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根据《汽车加油加气加氢站技术标准》（GB50156-2021）第6.2.2条，加油枪应采用自封式加油枪，</w:t>
      </w:r>
      <w:r>
        <w:rPr>
          <w:rFonts w:hint="eastAsia" w:hAnsi="Times New Roman" w:cs="Times New Roman"/>
          <w:lang w:eastAsia="zh-CN"/>
        </w:rPr>
        <w:t>乙醇汽油</w:t>
      </w:r>
      <w:r>
        <w:rPr>
          <w:rFonts w:hint="default" w:ascii="Times New Roman" w:hAnsi="Times New Roman" w:cs="Times New Roman"/>
        </w:rPr>
        <w:t>加油枪的流量不应大于50L/min。</w:t>
      </w:r>
    </w:p>
    <w:p w14:paraId="175C819E">
      <w:pPr>
        <w:pStyle w:val="20"/>
        <w:numPr>
          <w:ilvl w:val="0"/>
          <w:numId w:val="13"/>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根据《汽车加油加气加氢站技术标准》（GB50156-2021）第6.2.3条，加油软管上宜设安全拉断阀。</w:t>
      </w:r>
    </w:p>
    <w:p w14:paraId="1FB7F7D4">
      <w:pPr>
        <w:pStyle w:val="20"/>
        <w:numPr>
          <w:ilvl w:val="0"/>
          <w:numId w:val="13"/>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根据《汽车加油加气加氢站技术标准》（GB50156-2021）第6.2.5条，采用一机多油品的加油机时，加油机上的放枪位应有各油品的文字标识，加油枪应有颜色标识。</w:t>
      </w:r>
    </w:p>
    <w:p w14:paraId="6C924DD2">
      <w:pPr>
        <w:pStyle w:val="20"/>
        <w:numPr>
          <w:ilvl w:val="0"/>
          <w:numId w:val="13"/>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14.2.3.4条，加油岛端部的加油机等岛上的工艺设备应有防止车辆误碰撞的措施和警示标识，采用钢管防撞柱（栏）时，其钢管的直径不应小于100mm，高度不应小于0.5m，并应设置牢固。</w:t>
      </w:r>
    </w:p>
    <w:p w14:paraId="6FD280FC">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17" w:name="_Toc41246725"/>
      <w:bookmarkStart w:id="318" w:name="_Toc22972"/>
      <w:bookmarkStart w:id="319" w:name="_Toc6764"/>
      <w:bookmarkStart w:id="320" w:name="_Toc146488894"/>
      <w:r>
        <w:rPr>
          <w:rFonts w:hint="default" w:ascii="Times New Roman" w:hAnsi="Times New Roman" w:eastAsia="黑体" w:cs="Times New Roman"/>
          <w:b/>
          <w:bCs/>
          <w:color w:val="auto"/>
          <w:sz w:val="28"/>
          <w:szCs w:val="32"/>
          <w:lang w:val="en-US" w:eastAsia="zh-CN"/>
        </w:rPr>
        <w:t>8.2.3工艺管道系统</w:t>
      </w:r>
      <w:bookmarkEnd w:id="317"/>
      <w:bookmarkEnd w:id="318"/>
      <w:bookmarkEnd w:id="319"/>
      <w:bookmarkEnd w:id="320"/>
    </w:p>
    <w:p w14:paraId="715FB622">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根据《汽车加油加气加氢站技术标准》（GB50156-2021）第6.3.1条，</w:t>
      </w:r>
      <w:r>
        <w:rPr>
          <w:rFonts w:hint="eastAsia" w:hAnsi="Times New Roman" w:cs="Times New Roman"/>
          <w:lang w:eastAsia="zh-CN"/>
        </w:rPr>
        <w:t>乙醇汽油</w:t>
      </w:r>
      <w:r>
        <w:rPr>
          <w:rFonts w:hint="default" w:ascii="Times New Roman" w:hAnsi="Times New Roman" w:cs="Times New Roman"/>
        </w:rPr>
        <w:t>和柴油油罐车卸油必须采用密闭卸油方式。</w:t>
      </w:r>
      <w:r>
        <w:rPr>
          <w:rFonts w:hint="eastAsia" w:hAnsi="Times New Roman" w:cs="Times New Roman"/>
          <w:lang w:eastAsia="zh-CN"/>
        </w:rPr>
        <w:t>乙醇汽油</w:t>
      </w:r>
      <w:r>
        <w:rPr>
          <w:rFonts w:hint="default" w:ascii="Times New Roman" w:hAnsi="Times New Roman" w:cs="Times New Roman"/>
        </w:rPr>
        <w:t>油罐车应具有卸油油气回收系统。</w:t>
      </w:r>
    </w:p>
    <w:p w14:paraId="29DA1B58">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根据《汽车加油加气加氢站技术标准》（GB50156-2021）第6.3.2条，每个油罐应各自设置卸油管道和卸油接口。各卸油接口及油气回收接口应有明显的标识。</w:t>
      </w:r>
    </w:p>
    <w:p w14:paraId="06547949">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根据《汽车加油加气加氢站技术标准》（GB50156-2021）第6.3.3条，卸油接口应装设快速接头及密封盖。</w:t>
      </w:r>
    </w:p>
    <w:p w14:paraId="47EB3103">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根据《汽车加油加气加氢站技术标准》（GB50156-2021）第6.3.4条，加油站卸油油气回收系统的设计应符合下列规定：</w:t>
      </w:r>
      <w:bookmarkStart w:id="321" w:name="_Toc28821"/>
      <w:r>
        <w:rPr>
          <w:rFonts w:hint="default" w:ascii="Times New Roman" w:hAnsi="Times New Roman" w:cs="Times New Roman"/>
        </w:rPr>
        <w:t>①</w:t>
      </w:r>
      <w:r>
        <w:rPr>
          <w:rFonts w:hint="eastAsia" w:hAnsi="Times New Roman" w:cs="Times New Roman"/>
          <w:lang w:eastAsia="zh-CN"/>
        </w:rPr>
        <w:t>乙醇汽油</w:t>
      </w:r>
      <w:r>
        <w:rPr>
          <w:rFonts w:hint="default" w:ascii="Times New Roman" w:hAnsi="Times New Roman" w:cs="Times New Roman"/>
        </w:rPr>
        <w:t>罐车向站内油罐卸油应采用平衡式密闭油气回收系统；</w:t>
      </w:r>
      <w:bookmarkEnd w:id="321"/>
      <w:r>
        <w:rPr>
          <w:rFonts w:hint="default" w:ascii="Times New Roman" w:hAnsi="Times New Roman" w:cs="Times New Roman"/>
        </w:rPr>
        <w:t>②各</w:t>
      </w:r>
      <w:r>
        <w:rPr>
          <w:rFonts w:hint="eastAsia" w:hAnsi="Times New Roman" w:cs="Times New Roman"/>
          <w:lang w:eastAsia="zh-CN"/>
        </w:rPr>
        <w:t>乙醇汽油</w:t>
      </w:r>
      <w:r>
        <w:rPr>
          <w:rFonts w:hint="default" w:ascii="Times New Roman" w:hAnsi="Times New Roman" w:cs="Times New Roman"/>
        </w:rPr>
        <w:t>罐可共用一根卸油油气回收主管，回收主管的公称直径不宜小于100mm；③卸油油气回收管道的接口宜采用自闭式快速接头和盖帽，采用非自闭式快速接头时，应在靠近快速接头的连接管道上装设阀门和盖帽。</w:t>
      </w:r>
    </w:p>
    <w:p w14:paraId="6E5CCC77">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根据《汽车加油加气加氢站技术标准》（GB50156-2021）第6.3.6条，加油站应采用加油油气回收系统。</w:t>
      </w:r>
    </w:p>
    <w:p w14:paraId="49A6924C">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根据《汽车加油加气加氢站技术标准》（GB50156-2021）第6.3.7条，加油油气回收系统的设计应符合下列规定：</w:t>
      </w:r>
      <w:bookmarkStart w:id="322" w:name="_Toc5950"/>
      <w:r>
        <w:rPr>
          <w:rFonts w:hint="default" w:ascii="Times New Roman" w:hAnsi="Times New Roman" w:cs="Times New Roman"/>
        </w:rPr>
        <w:t>①应采用真空辅助式油气回收系统；</w:t>
      </w:r>
      <w:bookmarkEnd w:id="322"/>
      <w:r>
        <w:rPr>
          <w:rFonts w:hint="default" w:ascii="Times New Roman" w:hAnsi="Times New Roman" w:cs="Times New Roman"/>
        </w:rPr>
        <w:t>②</w:t>
      </w:r>
      <w:r>
        <w:rPr>
          <w:rFonts w:hint="eastAsia" w:hAnsi="Times New Roman" w:cs="Times New Roman"/>
          <w:lang w:eastAsia="zh-CN"/>
        </w:rPr>
        <w:t>乙醇汽油</w:t>
      </w:r>
      <w:r>
        <w:rPr>
          <w:rFonts w:hint="default" w:ascii="Times New Roman" w:hAnsi="Times New Roman" w:cs="Times New Roman"/>
        </w:rPr>
        <w:t>加油机与油罐之间应设油气回收管道，多台</w:t>
      </w:r>
      <w:r>
        <w:rPr>
          <w:rFonts w:hint="eastAsia" w:hAnsi="Times New Roman" w:cs="Times New Roman"/>
          <w:lang w:eastAsia="zh-CN"/>
        </w:rPr>
        <w:t>乙醇汽油</w:t>
      </w:r>
      <w:r>
        <w:rPr>
          <w:rFonts w:hint="default" w:ascii="Times New Roman" w:hAnsi="Times New Roman" w:cs="Times New Roman"/>
        </w:rPr>
        <w:t>加油机可共用一根油气回收主管，油气回收主管的公称直径不应小于50mm；</w:t>
      </w:r>
      <w:bookmarkStart w:id="323" w:name="_Toc27655"/>
      <w:r>
        <w:rPr>
          <w:rFonts w:hint="default" w:ascii="Times New Roman" w:hAnsi="Times New Roman" w:cs="Times New Roman"/>
        </w:rPr>
        <w:t>③加油油气回收系统应采取防止油气反向流至加油枪的措施；</w:t>
      </w:r>
      <w:bookmarkEnd w:id="323"/>
      <w:r>
        <w:rPr>
          <w:rFonts w:hint="default" w:ascii="Times New Roman" w:hAnsi="Times New Roman" w:cs="Times New Roman"/>
        </w:rPr>
        <w:t>④加油机应具备回收油气功能，其气液比宜设定为1.0～1.2；⑤在加油机底部与油气回收立管的连接处，应安装一个用于检测液阻和系统密闭性的丝接三通，其旁通短管上应设公称直径为25mm的球阀及丝堵。</w:t>
      </w:r>
    </w:p>
    <w:p w14:paraId="1AF9F0C7">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根据《汽车加油加气加氢站技术标准》（GB50156-2021）第6.3.8条，油罐的接合管设置应符合下列规定：</w:t>
      </w:r>
      <w:bookmarkStart w:id="324" w:name="_Toc1739"/>
      <w:r>
        <w:rPr>
          <w:rFonts w:hint="default" w:ascii="Times New Roman" w:hAnsi="Times New Roman" w:cs="Times New Roman"/>
        </w:rPr>
        <w:t>①接合管应为金属材质；</w:t>
      </w:r>
      <w:bookmarkEnd w:id="324"/>
      <w:r>
        <w:rPr>
          <w:rFonts w:hint="default" w:ascii="Times New Roman" w:hAnsi="Times New Roman" w:cs="Times New Roman"/>
        </w:rPr>
        <w:t>②接合管应设在油罐的顶部，其中进油接合管、出油接合管应设在人孔盖上；③进油管应伸至罐内距罐底50mm～100mm 处，进油立管的底端应为45°斜管口或T形管口。进油管管壁上不得有与油罐气相空间相通的开口；</w:t>
      </w:r>
      <w:bookmarkStart w:id="325" w:name="_Toc20693"/>
      <w:r>
        <w:rPr>
          <w:rFonts w:hint="default" w:ascii="Times New Roman" w:hAnsi="Times New Roman" w:cs="Times New Roman"/>
        </w:rPr>
        <w:t>④</w:t>
      </w:r>
      <w:bookmarkEnd w:id="325"/>
      <w:r>
        <w:rPr>
          <w:rFonts w:hint="default" w:ascii="Times New Roman" w:hAnsi="Times New Roman" w:cs="Times New Roman"/>
        </w:rPr>
        <w:t>油罐的量油孔应设带锁的量油帽，量油孔下部的接合管宜向下伸至罐内距罐底200mm处，并应有检尺时使接合管内液位与罐内液位相一致的技术措施；</w:t>
      </w:r>
      <w:bookmarkStart w:id="326" w:name="_Toc12962"/>
      <w:r>
        <w:rPr>
          <w:rFonts w:hint="default" w:ascii="Times New Roman" w:hAnsi="Times New Roman" w:cs="Times New Roman"/>
        </w:rPr>
        <w:t>⑤油罐人孔井内的管道及设备应保证油罐人孔盖的可拆装性；</w:t>
      </w:r>
      <w:bookmarkEnd w:id="326"/>
      <w:r>
        <w:rPr>
          <w:rFonts w:hint="default" w:ascii="Times New Roman" w:hAnsi="Times New Roman" w:cs="Times New Roman"/>
        </w:rPr>
        <w:t>⑥人孔盖上的接合管与引出井外管道的连接，宜采用金属软管过渡连接。</w:t>
      </w:r>
    </w:p>
    <w:p w14:paraId="1FAC1856">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根据《汽车加油加气加氢站技术标准》（GB50156-2021）第6.3.9条，</w:t>
      </w:r>
      <w:r>
        <w:rPr>
          <w:rFonts w:hint="eastAsia" w:hAnsi="Times New Roman" w:cs="Times New Roman"/>
          <w:lang w:eastAsia="zh-CN"/>
        </w:rPr>
        <w:t>乙醇汽油</w:t>
      </w:r>
      <w:r>
        <w:rPr>
          <w:rFonts w:hint="default" w:ascii="Times New Roman" w:hAnsi="Times New Roman" w:cs="Times New Roman"/>
        </w:rPr>
        <w:t>罐与柴油罐的通气管应分开设置。</w:t>
      </w:r>
      <w:r>
        <w:rPr>
          <w:rFonts w:hint="eastAsia" w:hAnsi="Times New Roman" w:cs="Times New Roman"/>
          <w:lang w:val="en-US" w:eastAsia="zh-CN"/>
        </w:rPr>
        <w:t>沿建构筑物的柱向上敷设的通气管，管口应高出建筑物的顶面2m及以上。通气管管口应设置阻火器</w:t>
      </w:r>
      <w:r>
        <w:rPr>
          <w:rFonts w:hint="default" w:ascii="Times New Roman" w:hAnsi="Times New Roman" w:cs="Times New Roman"/>
        </w:rPr>
        <w:t>。</w:t>
      </w:r>
    </w:p>
    <w:p w14:paraId="5B362CE7">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根据《汽车加油加气加氢站技术标准》（GB50156-2021）第6.3.10条，通气管的公称直径不应小于50mm。</w:t>
      </w:r>
    </w:p>
    <w:p w14:paraId="1934F2F9">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根据《汽车加油加气加氢站技术标准》（GB50156-2021）第6.3.11条，当加油站采用油气回收系统时，</w:t>
      </w:r>
      <w:r>
        <w:rPr>
          <w:rFonts w:hint="eastAsia" w:hAnsi="Times New Roman" w:cs="Times New Roman"/>
          <w:lang w:eastAsia="zh-CN"/>
        </w:rPr>
        <w:t>乙醇汽油</w:t>
      </w:r>
      <w:r>
        <w:rPr>
          <w:rFonts w:hint="default" w:ascii="Times New Roman" w:hAnsi="Times New Roman" w:cs="Times New Roman"/>
        </w:rPr>
        <w:t>罐的通气管管口除应装设阻火器外，尚应装设呼吸阀。呼吸阀的工作正压宜为2kPa～3kPa，工作负压宜为1.5kPa~2kPa。</w:t>
      </w:r>
    </w:p>
    <w:p w14:paraId="37707C9E">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6.3.12条，加油站工艺管道的选用应符合下列规定：①地面敷设的工艺管道应采用符合现行国家标准《输送流体用无缝钢管》GB/T8163的无缝钢管；②其他管道应采用输送流体用无缝钢管或适于输送油品的热塑性塑料管道，所采用的热塑性塑料管道应有质量证明文件，非烃类车用燃料不得采用不导静电的热塑性塑料管道；③无缝钢管的公称壁厚不应小于4mm，埋地钢管的连接应采用焊接；④热塑性塑料管道的主体结构层应为无孔隙聚乙烯材料，壁厚不应小于4mm，埋地部分的热塑性塑料管道应采用配套的专用连接管件电熔连接；⑤导静电热塑性塑料管道导静电衬层的体电阻率应小于10</w:t>
      </w:r>
      <w:r>
        <w:rPr>
          <w:rFonts w:hint="default" w:ascii="Times New Roman" w:hAnsi="Times New Roman" w:cs="Times New Roman"/>
          <w:vertAlign w:val="superscript"/>
        </w:rPr>
        <w:t>8</w:t>
      </w:r>
      <w:r>
        <w:rPr>
          <w:rFonts w:hint="default" w:ascii="Times New Roman" w:hAnsi="Times New Roman" w:cs="Times New Roman"/>
        </w:rPr>
        <w:t>Ω·m，表面电阻率应小于10</w:t>
      </w:r>
      <w:r>
        <w:rPr>
          <w:rFonts w:hint="default" w:ascii="Times New Roman" w:hAnsi="Times New Roman" w:cs="Times New Roman"/>
          <w:vertAlign w:val="superscript"/>
        </w:rPr>
        <w:t>10</w:t>
      </w:r>
      <w:r>
        <w:rPr>
          <w:rFonts w:hint="default" w:ascii="Times New Roman" w:hAnsi="Times New Roman" w:cs="Times New Roman"/>
        </w:rPr>
        <w:t>Ω。</w:t>
      </w:r>
    </w:p>
    <w:p w14:paraId="2F601D1E">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根据《汽车加油加气加氢站技术标准》（GB50156-2021）第6.3.13条，油罐车卸油时用的卸油连通软管、油气回收连通软管，应采用导静电耐油软管，其体电阻率应小于10</w:t>
      </w:r>
      <w:r>
        <w:rPr>
          <w:rFonts w:hint="default" w:ascii="Times New Roman" w:hAnsi="Times New Roman" w:cs="Times New Roman"/>
          <w:vertAlign w:val="superscript"/>
        </w:rPr>
        <w:t>8</w:t>
      </w:r>
      <w:r>
        <w:rPr>
          <w:rFonts w:hint="default" w:ascii="Times New Roman" w:hAnsi="Times New Roman" w:cs="Times New Roman"/>
        </w:rPr>
        <w:t>Ω·m，表面电阻率应小于10</w:t>
      </w:r>
      <w:r>
        <w:rPr>
          <w:rFonts w:hint="default" w:ascii="Times New Roman" w:hAnsi="Times New Roman" w:cs="Times New Roman"/>
          <w:vertAlign w:val="superscript"/>
        </w:rPr>
        <w:t>10</w:t>
      </w:r>
      <w:r>
        <w:rPr>
          <w:rFonts w:hint="default" w:ascii="Times New Roman" w:hAnsi="Times New Roman" w:cs="Times New Roman"/>
        </w:rPr>
        <w:t>Ω，或采用内附金属丝（网）的橡胶软管。</w:t>
      </w:r>
    </w:p>
    <w:p w14:paraId="56D4DAB4">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根据《汽车加油加气加氢站技术标准》（GB50156-2021）第6.3.14条，加油站内的工艺管道除必须露出地面的以外，均应埋地敷设。当采用管沟敷设时，管沟必须用中性沙子或细土填满、填实。</w:t>
      </w:r>
    </w:p>
    <w:p w14:paraId="4BF48EFF">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6.3.15条，卸油管道、卸油油气回收管道、加油油气回收管道和油罐通气管横管，应坡向埋地油罐。卸油管道的坡度不应小于2%，卸油油气回收管道、加油油气回收管道和油罐通气管横管的坡度，不应小于1%。</w:t>
      </w:r>
    </w:p>
    <w:p w14:paraId="553B5A5F">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6.3.16条，受地形限制，加油油气回收管道坡向油罐的坡度无法满足本标准第6.3.14条的要求时，可在管道靠近油罐的位置设置集液器，且管道坡向集液器的坡度不应小于1%。</w:t>
      </w:r>
    </w:p>
    <w:p w14:paraId="3B70014F">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6.3.17条，埋地工艺管道的埋设深度不得小于0.4m。敷设在混凝土场地或道路下面的管道，管顶低于混凝土层下表面不得小于0.2m。管道周围应回填不小于100mm厚的中性沙子或细土。</w:t>
      </w:r>
    </w:p>
    <w:p w14:paraId="33663BBF">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根据《汽车加油加气加氢站技术标准》（GB50156-2021）第6.3.18条，工艺管道不应穿过或跨越站房等与其无直接关系的建（构）筑物；与管沟、电缆沟和排水沟相交叉时，应采取相应的防护措施。</w:t>
      </w:r>
    </w:p>
    <w:p w14:paraId="24DFFB64">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根据《汽车加油加气加氢站技术标准》（GB50156-2021）第6.3.20条，埋地钢质管道外表面的防腐设计，应符合现行国家标准《钢质管道外腐蚀控制规范》GB/T21447的有关规定。</w:t>
      </w:r>
    </w:p>
    <w:p w14:paraId="67EA8F72">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根据《加油站作业安全规范》（AQ3010-2022）第5.2.11条，经双方检查确认具备开阀卸油条件后，将卸油口对应油罐进油阀门打开，在缓慢开启油罐车卸油阀门，通过采取调节阀开度等措施控制卸油流速不大于4.5m/s。</w:t>
      </w:r>
    </w:p>
    <w:p w14:paraId="1CE23DD7">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根据《汽车加油加气加氢站技术标准》（GB50156-2021）第6.5.5条，加油站埋地加油管道应采用双层管道。双层管道的设计应符合下列规定：</w:t>
      </w:r>
      <w:bookmarkStart w:id="327" w:name="_Toc24746"/>
      <w:r>
        <w:rPr>
          <w:rFonts w:hint="default" w:ascii="Times New Roman" w:hAnsi="Times New Roman" w:cs="Times New Roman"/>
        </w:rPr>
        <w:t>①双层管道的内层管应符合本标准第6.3节的有关规定；</w:t>
      </w:r>
      <w:bookmarkEnd w:id="327"/>
      <w:r>
        <w:rPr>
          <w:rFonts w:hint="default" w:ascii="Times New Roman" w:hAnsi="Times New Roman" w:cs="Times New Roman"/>
        </w:rPr>
        <w:t>②采用双层非金属管道时，外层管应满足耐油、耐腐蚀、耐老化和系统试验压力的要求；③双层管道系统的内层管与外层管之间的缝隙应贯通；④双层管道系统的最低点应设检漏点；⑤双层管道坡向检漏点的坡度不应小于5‰，并应保证内层管和外层管任何部位出现渗漏均能在检漏点处被发现；</w:t>
      </w:r>
      <w:bookmarkStart w:id="328" w:name="_Toc25270"/>
      <w:r>
        <w:rPr>
          <w:rFonts w:hint="default" w:ascii="Times New Roman" w:hAnsi="Times New Roman" w:cs="Times New Roman"/>
        </w:rPr>
        <w:t>⑥管道系统的渗漏检测宜采用在线监测系统。</w:t>
      </w:r>
      <w:bookmarkEnd w:id="328"/>
    </w:p>
    <w:p w14:paraId="329517C2">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根据《汽车加油加气加氢站技术标准》（GB50156-2021）第6.5.6条，双层油罐的渗漏检测宜采用在线监测系统。采用液体传感器监测时，传感器的检测精度不应大于3.5mm。</w:t>
      </w:r>
    </w:p>
    <w:p w14:paraId="21B1D101">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根据《油气回收系统防爆技术要求》（GB/T34661-2017）第5.2.1条，加油站油品管道的设计压力应为0.5MPa，油气回收系统回气管道的设计压力不应小于0.13MPa。</w:t>
      </w:r>
    </w:p>
    <w:p w14:paraId="6744CDA9">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油气回收系统防爆技术要求》（GB/T34661-2017）第5.2.2.1条，油罐车卸油管道的公称直径宜为DN100或DN80，油气回收管道直径宜为DN80，比卸油管道直径小一个规格等级（即：DN100的卸油管道应配DN80的油气回收管道，DN80的卸油管道应配DN50的油气回收管道），且不应小于DN50。卸油连通软管、油气回收连通软管，应采用电阻率不大于10</w:t>
      </w:r>
      <w:r>
        <w:rPr>
          <w:rFonts w:hint="default" w:ascii="Times New Roman" w:hAnsi="Times New Roman" w:cs="Times New Roman"/>
          <w:vertAlign w:val="superscript"/>
        </w:rPr>
        <w:t>5</w:t>
      </w:r>
      <w:r>
        <w:rPr>
          <w:rFonts w:hint="default" w:ascii="Times New Roman" w:hAnsi="Times New Roman" w:cs="Times New Roman"/>
        </w:rPr>
        <w:t>Ω·m的耐油软管。</w:t>
      </w:r>
    </w:p>
    <w:p w14:paraId="22AE27DF">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根据《油气回收系统防爆技术要求》（GB/T34661-2017）第5.2.2.2条，油罐车上的油气回收管道接口，应装设手动阀门。</w:t>
      </w:r>
    </w:p>
    <w:p w14:paraId="24C4ACAA">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根据《油气回收系统防爆技术要求》（GB/T34661-2017）第5.2.3.2条，多台</w:t>
      </w:r>
      <w:r>
        <w:rPr>
          <w:rFonts w:hint="eastAsia" w:hAnsi="Times New Roman" w:cs="Times New Roman"/>
          <w:lang w:eastAsia="zh-CN"/>
        </w:rPr>
        <w:t>乙醇汽油</w:t>
      </w:r>
      <w:r>
        <w:rPr>
          <w:rFonts w:hint="default" w:ascii="Times New Roman" w:hAnsi="Times New Roman" w:cs="Times New Roman"/>
        </w:rPr>
        <w:t>加油机公用一根油气回收总管的，各支路油气回收管道与总管之间应分别设置阻火器，油气回收总管直径不应小于DN50。</w:t>
      </w:r>
    </w:p>
    <w:p w14:paraId="28303BEE">
      <w:pPr>
        <w:pStyle w:val="20"/>
        <w:numPr>
          <w:ilvl w:val="0"/>
          <w:numId w:val="14"/>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根据《油气回收系统防爆技术要求》（GB/T34661-2017）第5.2.3.2条，加装油气回收系统的加油机应以油气回收加油枪作为终端。油气回收油枪应具有或通过阀门控制油路、气路同时开启、关闭和自封功能。</w:t>
      </w:r>
    </w:p>
    <w:p w14:paraId="0D0C136A">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29" w:name="_Toc41246727"/>
      <w:bookmarkStart w:id="330" w:name="_Toc11760"/>
      <w:bookmarkStart w:id="331" w:name="_Toc21134"/>
      <w:r>
        <w:rPr>
          <w:rFonts w:hint="default" w:ascii="Times New Roman" w:hAnsi="Times New Roman" w:eastAsia="楷体" w:cs="Times New Roman"/>
          <w:color w:val="auto"/>
          <w:sz w:val="32"/>
          <w:szCs w:val="32"/>
          <w:lang w:val="en-US" w:eastAsia="zh-CN"/>
        </w:rPr>
        <w:t>8.</w:t>
      </w:r>
      <w:bookmarkEnd w:id="329"/>
      <w:r>
        <w:rPr>
          <w:rFonts w:hint="default" w:ascii="Times New Roman" w:hAnsi="Times New Roman" w:eastAsia="楷体" w:cs="Times New Roman"/>
          <w:color w:val="auto"/>
          <w:sz w:val="32"/>
          <w:szCs w:val="32"/>
          <w:lang w:val="en-US" w:eastAsia="zh-CN"/>
        </w:rPr>
        <w:t>3配套和辅助工程</w:t>
      </w:r>
      <w:bookmarkEnd w:id="330"/>
      <w:bookmarkEnd w:id="331"/>
      <w:bookmarkStart w:id="332" w:name="_Toc1267"/>
      <w:bookmarkStart w:id="333" w:name="_Toc41246728"/>
    </w:p>
    <w:p w14:paraId="25F4FA23">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34" w:name="_Toc22844"/>
      <w:bookmarkStart w:id="335" w:name="_Toc146488896"/>
      <w:r>
        <w:rPr>
          <w:rFonts w:hint="default" w:ascii="Times New Roman" w:hAnsi="Times New Roman" w:eastAsia="黑体" w:cs="Times New Roman"/>
          <w:b/>
          <w:bCs/>
          <w:color w:val="auto"/>
          <w:sz w:val="28"/>
          <w:szCs w:val="32"/>
          <w:lang w:val="en-US" w:eastAsia="zh-CN"/>
        </w:rPr>
        <w:t>8.3.1</w:t>
      </w:r>
      <w:bookmarkEnd w:id="332"/>
      <w:r>
        <w:rPr>
          <w:rFonts w:hint="default" w:ascii="Times New Roman" w:hAnsi="Times New Roman" w:eastAsia="黑体" w:cs="Times New Roman"/>
          <w:b/>
          <w:bCs/>
          <w:color w:val="auto"/>
          <w:sz w:val="28"/>
          <w:szCs w:val="32"/>
          <w:lang w:val="en-US" w:eastAsia="zh-CN"/>
        </w:rPr>
        <w:t>供配电</w:t>
      </w:r>
      <w:bookmarkEnd w:id="333"/>
      <w:bookmarkEnd w:id="334"/>
      <w:bookmarkEnd w:id="335"/>
    </w:p>
    <w:p w14:paraId="09C8460C">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根据《汽车加油加气加氢站技术标准》（GB50156-2021）第13.1.1条，加油站的供电负荷等级可为三级，信息系统应设不间断供电电源。</w:t>
      </w:r>
    </w:p>
    <w:p w14:paraId="2F9997F0">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根据《汽车加油加气加氢站技术标准》（GB50156-2021）第13.1.2条，加油站的供电电源宜采用电压为380/220的外接电源。</w:t>
      </w:r>
    </w:p>
    <w:p w14:paraId="461FDA04">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根据《汽车加油加气加氢站技术标准》（GB50156-2021）第13.1.3条，本项目罩棚、站房、控制室等处设置的事故照明连续供电时间不应少于90min。</w:t>
      </w:r>
    </w:p>
    <w:p w14:paraId="615F90CD">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根据《汽车加油加气加氢站技术标准》（GB50156-2021）第13.1.5条，加油站的电缆宜采用直埋或电缆穿管敷设。电缆穿越行车道部分应穿钢管保护。</w:t>
      </w:r>
    </w:p>
    <w:p w14:paraId="1A3EF06F">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根据《汽车加油加气加氢站技术标准》（GB50156-2021）第13.1.6条，当采用电缆沟敷设电缆时，作业区内的电缆沟内必须充沙填实。电缆不得与油品管道以及热力管道敷设在同一沟内。</w:t>
      </w:r>
    </w:p>
    <w:p w14:paraId="640F4720">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13.1.7条，爆炸危险区域内的电气设备选型、安装、电力线路敷设等，应符合现行国家标准《爆炸危险环境电力装置设计规范》GB50058的有关规定。根据《爆炸危险环境电力装置设计规范》（GB50058-2014）附录C，爆炸危险区域内电气设备的防爆等级不低于Exd</w:t>
      </w:r>
      <w:r>
        <w:rPr>
          <w:rFonts w:hint="default" w:ascii="Times New Roman" w:hAnsi="Times New Roman" w:cs="Times New Roman"/>
        </w:rPr>
        <w:fldChar w:fldCharType="begin"/>
      </w:r>
      <w:r>
        <w:rPr>
          <w:rFonts w:hint="default" w:ascii="Times New Roman" w:hAnsi="Times New Roman" w:cs="Times New Roman"/>
        </w:rPr>
        <w:instrText xml:space="preserve">= 2 \* ROMAN</w:instrText>
      </w:r>
      <w:r>
        <w:rPr>
          <w:rFonts w:hint="default" w:ascii="Times New Roman" w:hAnsi="Times New Roman" w:cs="Times New Roman"/>
        </w:rPr>
        <w:fldChar w:fldCharType="separate"/>
      </w:r>
      <w:r>
        <w:rPr>
          <w:rFonts w:hint="default" w:ascii="Times New Roman" w:hAnsi="Times New Roman" w:cs="Times New Roman"/>
        </w:rPr>
        <w:t>II</w:t>
      </w:r>
      <w:r>
        <w:rPr>
          <w:rFonts w:hint="default" w:ascii="Times New Roman" w:hAnsi="Times New Roman" w:cs="Times New Roman"/>
        </w:rPr>
        <w:fldChar w:fldCharType="end"/>
      </w:r>
      <w:r>
        <w:rPr>
          <w:rFonts w:hint="default" w:ascii="Times New Roman" w:hAnsi="Times New Roman" w:cs="Times New Roman"/>
        </w:rPr>
        <w:t>BT4级。</w:t>
      </w:r>
    </w:p>
    <w:p w14:paraId="7854A3AA">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根据《汽车加油加气加氢站技术标准》（GB50156-2021）第13.1.8条，加油站内爆炸危险区域以外的照明灯具，可选用非防爆型。罩棚下处于非爆炸危险区域的灯具应选用防护等级不低于IP44级的照明灯具。</w:t>
      </w:r>
    </w:p>
    <w:p w14:paraId="7275FD4E">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根据《电气装置安装工程 接地装置施工及验收规范》（GB50169-2016）第3.0.4条，电气装置的下列金属部分，均必须接地：①电气设备的金属底座、框架及外壳和传动装置；②携带式或移动式用电器具的金属底座和外壳；③配电、控制、保护作用的屏（柜、箱）及操作台的金属框架和底座；④电力电缆的金属护层、接头盒终端头和金属保护管及二次电缆的屏蔽层；⑤配电装置的金属遮拦；⑥电热设备的金属外壳。</w:t>
      </w:r>
    </w:p>
    <w:p w14:paraId="579FF1BC">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根据《爆炸危险环境电力装置设计规范》（GB50058-2014）第5.4.1.2条，加油作业区电线采用金属导管配线。无护套的电线不应作为供配电线路。</w:t>
      </w:r>
    </w:p>
    <w:p w14:paraId="09762855">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爆炸危险环境电力装置设计规范》（GB50058-2014）第5.4.1.4条，加油作业区的电缆明设或在沟内敷设时电缆的最小截面应符合下列规定：①在1区内应采用铜芯电缆；除本质安全电路外，在2区内宜采用铜芯电缆。铜芯电力电缆横截面尺不应小于2.5mm</w:t>
      </w:r>
      <w:r>
        <w:rPr>
          <w:rFonts w:hint="default" w:ascii="Times New Roman" w:hAnsi="Times New Roman" w:cs="Times New Roman"/>
          <w:vertAlign w:val="superscript"/>
        </w:rPr>
        <w:t>2</w:t>
      </w:r>
      <w:r>
        <w:rPr>
          <w:rFonts w:hint="default" w:ascii="Times New Roman" w:hAnsi="Times New Roman" w:cs="Times New Roman"/>
        </w:rPr>
        <w:t>，控制电缆铜芯横截面不应小于1.0mm</w:t>
      </w:r>
      <w:r>
        <w:rPr>
          <w:rFonts w:hint="default" w:ascii="Times New Roman" w:hAnsi="Times New Roman" w:cs="Times New Roman"/>
          <w:vertAlign w:val="superscript"/>
        </w:rPr>
        <w:t>2</w:t>
      </w:r>
      <w:r>
        <w:rPr>
          <w:rFonts w:hint="default" w:ascii="Times New Roman" w:hAnsi="Times New Roman" w:cs="Times New Roman"/>
        </w:rPr>
        <w:t>；②在2区内，电力铜芯电缆不应小于1.5mm</w:t>
      </w:r>
      <w:r>
        <w:rPr>
          <w:rFonts w:hint="default" w:ascii="Times New Roman" w:hAnsi="Times New Roman" w:cs="Times New Roman"/>
          <w:vertAlign w:val="superscript"/>
        </w:rPr>
        <w:t>2</w:t>
      </w:r>
      <w:r>
        <w:rPr>
          <w:rFonts w:hint="default" w:ascii="Times New Roman" w:hAnsi="Times New Roman" w:cs="Times New Roman"/>
        </w:rPr>
        <w:t>，照明铜芯电缆不应小于1.5mm</w:t>
      </w:r>
      <w:r>
        <w:rPr>
          <w:rFonts w:hint="default" w:ascii="Times New Roman" w:hAnsi="Times New Roman" w:cs="Times New Roman"/>
          <w:vertAlign w:val="superscript"/>
        </w:rPr>
        <w:t>2</w:t>
      </w:r>
      <w:r>
        <w:rPr>
          <w:rFonts w:hint="default" w:ascii="Times New Roman" w:hAnsi="Times New Roman" w:cs="Times New Roman"/>
        </w:rPr>
        <w:t>，控制铜芯电缆不应小于1.0 mm</w:t>
      </w:r>
      <w:r>
        <w:rPr>
          <w:rFonts w:hint="default" w:ascii="Times New Roman" w:hAnsi="Times New Roman" w:cs="Times New Roman"/>
          <w:vertAlign w:val="superscript"/>
        </w:rPr>
        <w:t>2</w:t>
      </w:r>
      <w:r>
        <w:rPr>
          <w:rFonts w:hint="default" w:ascii="Times New Roman" w:hAnsi="Times New Roman" w:cs="Times New Roman"/>
        </w:rPr>
        <w:t>。</w:t>
      </w:r>
    </w:p>
    <w:p w14:paraId="544FFAB7">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爆炸危险环境电力装置设计规范》（GB50058-2014）第5.4.3条，电气线路宜直接埋地敷设，采用电缆沟敷设时沟内应充砂。敷设电气线路的沟道或导管，所穿过的不同区域之间墙或楼板处的孔洞应用用非燃烧材料严密封堵。</w:t>
      </w:r>
    </w:p>
    <w:p w14:paraId="36332700">
      <w:pPr>
        <w:pStyle w:val="20"/>
        <w:numPr>
          <w:ilvl w:val="0"/>
          <w:numId w:val="15"/>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根据《爆炸危险环境电力装置设计规范》（GB50058-2014）第5.4.3.5条，加油机作业区在爆炸性气体环境内钢管配线的电气线路应做好隔离密封。在1区加油机内和操作井内电缆线路严禁有中间接头。</w:t>
      </w:r>
    </w:p>
    <w:p w14:paraId="7F1D8509">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36" w:name="_Toc6885"/>
      <w:bookmarkStart w:id="337" w:name="_Toc13322"/>
      <w:bookmarkStart w:id="338" w:name="_Toc41246729"/>
      <w:bookmarkStart w:id="339" w:name="_Toc146488897"/>
      <w:bookmarkStart w:id="340" w:name="_Toc41246730"/>
      <w:r>
        <w:rPr>
          <w:rFonts w:hint="default" w:ascii="Times New Roman" w:hAnsi="Times New Roman" w:eastAsia="黑体" w:cs="Times New Roman"/>
          <w:b/>
          <w:bCs/>
          <w:color w:val="auto"/>
          <w:sz w:val="28"/>
          <w:szCs w:val="32"/>
          <w:lang w:val="en-US" w:eastAsia="zh-CN"/>
        </w:rPr>
        <w:t>8.3.2</w:t>
      </w:r>
      <w:bookmarkEnd w:id="336"/>
      <w:r>
        <w:rPr>
          <w:rFonts w:hint="default" w:ascii="Times New Roman" w:hAnsi="Times New Roman" w:eastAsia="黑体" w:cs="Times New Roman"/>
          <w:b/>
          <w:bCs/>
          <w:color w:val="auto"/>
          <w:sz w:val="28"/>
          <w:szCs w:val="32"/>
          <w:lang w:val="en-US" w:eastAsia="zh-CN"/>
        </w:rPr>
        <w:t>防雷、防静电</w:t>
      </w:r>
      <w:bookmarkEnd w:id="337"/>
      <w:bookmarkEnd w:id="338"/>
      <w:bookmarkEnd w:id="339"/>
    </w:p>
    <w:p w14:paraId="18E9BFEF">
      <w:pPr>
        <w:pStyle w:val="20"/>
        <w:numPr>
          <w:ilvl w:val="0"/>
          <w:numId w:val="16"/>
        </w:numPr>
        <w:tabs>
          <w:tab w:val="left" w:pos="1280"/>
        </w:tabs>
        <w:overflowPunct w:val="0"/>
        <w:ind w:firstLine="560" w:firstLineChars="200"/>
        <w:jc w:val="both"/>
        <w:rPr>
          <w:rFonts w:hint="default" w:ascii="Times New Roman" w:hAnsi="Times New Roman" w:cs="Times New Roman"/>
        </w:rPr>
      </w:pPr>
      <w:bookmarkStart w:id="341" w:name="_Toc545"/>
      <w:r>
        <w:rPr>
          <w:rFonts w:hint="default" w:ascii="Times New Roman" w:hAnsi="Times New Roman" w:cs="Times New Roman"/>
        </w:rPr>
        <w:t>根据《汽车加油加气加氢站技术标准》（GB50156-2021）第13.2.1条，储油罐必须进行防雷接地，接地点不应少于两处。</w:t>
      </w:r>
    </w:p>
    <w:p w14:paraId="2FD37E73">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根据《汽车加油加气加氢站技术标准》（GB50156-2021）第13.2.2条，本项目防雷接地、防静电接地、电气设备的工作接地、保护接地及信息系统的接地等，宜共用接地装置，接地电阻不应大于4Ω。</w:t>
      </w:r>
    </w:p>
    <w:p w14:paraId="022B3F9B">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根据《汽车加油加气加氢站技术标准》（GB50156-2021）第13.2.4条，埋地钢制油罐以及非金属油罐顶部的金属部件和罐内的各金属部件，必须与非埋地部分的工艺金属管道相互做电气连接并接地。</w:t>
      </w:r>
    </w:p>
    <w:p w14:paraId="75FEF391">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根据《汽车加油加气加氢站技术标准》（GB50156-2021）第13.2.5条，加油站内油气放空管在接入全站共用接地装置后，可不单独做防雷接地。</w:t>
      </w:r>
    </w:p>
    <w:p w14:paraId="3B802A4F">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13.2.6条，当汽车加油站内的站房和罩棚等建筑物需要防直击雷时，应采用接闪带（网）保护。当罩棚采用金属屋面时，宜利用屋面作为接闪器，但应符合下列规定：①板间的连接应是持久的电气贯通，可采用铜锌合金焊、熔焊、卷边压接、缝接、螺钉或螺栓连接；②金属板下面不应有易燃物品，热镀锌钢板的厚度不应小于0.5mm，铝板的厚度不应小于0.65mm，锌板的厚度不应小于0.7mm；</w:t>
      </w:r>
      <w:bookmarkStart w:id="342" w:name="_Toc24131"/>
      <w:r>
        <w:rPr>
          <w:rFonts w:hint="default" w:ascii="Times New Roman" w:hAnsi="Times New Roman" w:cs="Times New Roman"/>
        </w:rPr>
        <w:t>③金属板应无绝缘被覆层。</w:t>
      </w:r>
      <w:bookmarkEnd w:id="342"/>
    </w:p>
    <w:p w14:paraId="31464D08">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根据《汽车加油加气加氢站技术标准》（GB50156-2021）第13.2.7条，储罐液位、泄漏监测系统应采用铠装电缆或导线穿钢管配线。配线电缆金属层两端、保护钢管两端均应接地。</w:t>
      </w:r>
    </w:p>
    <w:p w14:paraId="7881E0F7">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根据《汽车加油加气加氢站技术标准》（GB50156-2021）第13.2.8条，加油站信息系统的配电线路首、末端与电子器件连接时，应装设与电子器件耐压水平相适应的过电压(电涌)保护器。</w:t>
      </w:r>
    </w:p>
    <w:p w14:paraId="45135065">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13.2.9条，380/220V供配电系统宜采用TN-S系统，当外供电源为380V时，可采用TN-C-S系统。供电系统的电缆金属外皮或电缆金属保护管两端均应接地，在供配电系统的电源端应安装与设备耐压水平相适应的过电压（电涌）保护器。</w:t>
      </w:r>
    </w:p>
    <w:p w14:paraId="458A352A">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根据《汽车加油加气加氢站技术标准》（GB50156-2021）第13.2.11条，加油站的油罐车卸车场地应设卸车用的防静电接地装置，并应设置能检测跨接线及监视接地装置状态的静电接地仪。</w:t>
      </w:r>
    </w:p>
    <w:p w14:paraId="6EAEF3B2">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根据《汽车加油加气加氢站技术标准》（GB50156-2021）第13.2.12条，在爆炸危险区域内工艺管道上的法兰、胶管两端等连接处应用金属线跨接。当法兰的连接螺栓不少于5根时，在非腐蚀环境下可不跨接。</w:t>
      </w:r>
    </w:p>
    <w:p w14:paraId="184798EC">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根据《汽车加油加气加氢站技术标准》（GB50156-2021）第13.2.13条，油罐车卸油用的卸油软管、油气回收软管与两端接头，应保证可靠的电气连接。</w:t>
      </w:r>
    </w:p>
    <w:p w14:paraId="0687F4D4">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根据《汽车加油加气加氢站技术标准》（GB50156-2021）第13.2.14条，采用导静电的热塑性塑料管道时，导电内衬应接地。</w:t>
      </w:r>
    </w:p>
    <w:p w14:paraId="60F85196">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根据《汽车加油加气加氢站技术标准》（GB50156-2021）第13.2.16条，油罐车卸车场地内用于防静电跨接的固定接地装置不应设置在爆炸危险1区。</w:t>
      </w:r>
    </w:p>
    <w:p w14:paraId="07D932CC">
      <w:pPr>
        <w:pStyle w:val="20"/>
        <w:numPr>
          <w:ilvl w:val="0"/>
          <w:numId w:val="16"/>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根据《防雷减灾管理办法》（气象局令[20</w:t>
      </w:r>
      <w:r>
        <w:rPr>
          <w:rFonts w:hint="eastAsia" w:hAnsi="Times New Roman" w:cs="Times New Roman"/>
          <w:lang w:val="en-US" w:eastAsia="zh-CN"/>
        </w:rPr>
        <w:t>25</w:t>
      </w:r>
      <w:r>
        <w:rPr>
          <w:rFonts w:hint="default" w:ascii="Times New Roman" w:hAnsi="Times New Roman" w:cs="Times New Roman"/>
        </w:rPr>
        <w:t>]第</w:t>
      </w:r>
      <w:r>
        <w:rPr>
          <w:rFonts w:hint="eastAsia" w:hAnsi="Times New Roman" w:cs="Times New Roman"/>
          <w:lang w:val="en-US" w:eastAsia="zh-CN"/>
        </w:rPr>
        <w:t>44</w:t>
      </w:r>
      <w:r>
        <w:rPr>
          <w:rFonts w:hint="default" w:ascii="Times New Roman" w:hAnsi="Times New Roman" w:cs="Times New Roman"/>
        </w:rPr>
        <w:t>号）第</w:t>
      </w:r>
      <w:r>
        <w:rPr>
          <w:rFonts w:hint="eastAsia" w:hAnsi="Times New Roman" w:cs="Times New Roman"/>
          <w:lang w:val="en-US" w:eastAsia="zh-CN"/>
        </w:rPr>
        <w:t>十三</w:t>
      </w:r>
      <w:r>
        <w:rPr>
          <w:rFonts w:hint="default" w:ascii="Times New Roman" w:hAnsi="Times New Roman" w:cs="Times New Roman"/>
        </w:rPr>
        <w:t>条，投入使用后的雷电防护装置应当根据国家有关建筑物防雷标准实行定期检测制度。雷电防护装置应当每年检测一次，对爆炸和火灾危险环境场所的雷电防护装置应当每半年检测一次。</w:t>
      </w:r>
    </w:p>
    <w:p w14:paraId="4A3EEC14">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43" w:name="_Toc16154"/>
      <w:bookmarkStart w:id="344" w:name="_Toc20542"/>
      <w:bookmarkStart w:id="345" w:name="_Toc146488898"/>
      <w:r>
        <w:rPr>
          <w:rFonts w:hint="default" w:ascii="Times New Roman" w:hAnsi="Times New Roman" w:eastAsia="黑体" w:cs="Times New Roman"/>
          <w:b/>
          <w:bCs/>
          <w:color w:val="auto"/>
          <w:sz w:val="28"/>
          <w:szCs w:val="32"/>
          <w:lang w:val="en-US" w:eastAsia="zh-CN"/>
        </w:rPr>
        <w:t>8.3.3</w:t>
      </w:r>
      <w:bookmarkEnd w:id="341"/>
      <w:r>
        <w:rPr>
          <w:rFonts w:hint="default" w:ascii="Times New Roman" w:hAnsi="Times New Roman" w:eastAsia="黑体" w:cs="Times New Roman"/>
          <w:b/>
          <w:bCs/>
          <w:color w:val="auto"/>
          <w:sz w:val="28"/>
          <w:szCs w:val="32"/>
          <w:lang w:val="en-US" w:eastAsia="zh-CN"/>
        </w:rPr>
        <w:t>紧急切断系统</w:t>
      </w:r>
      <w:bookmarkEnd w:id="343"/>
      <w:bookmarkEnd w:id="344"/>
      <w:bookmarkEnd w:id="345"/>
    </w:p>
    <w:p w14:paraId="0FEFB06D">
      <w:pPr>
        <w:pStyle w:val="20"/>
        <w:numPr>
          <w:ilvl w:val="0"/>
          <w:numId w:val="17"/>
        </w:numPr>
        <w:tabs>
          <w:tab w:val="left" w:pos="1280"/>
        </w:tabs>
        <w:overflowPunct w:val="0"/>
        <w:ind w:firstLine="560" w:firstLineChars="200"/>
        <w:jc w:val="both"/>
        <w:rPr>
          <w:rFonts w:hint="default" w:ascii="Times New Roman" w:hAnsi="Times New Roman" w:cs="Times New Roman"/>
        </w:rPr>
      </w:pPr>
      <w:bookmarkStart w:id="346" w:name="_Toc30563"/>
      <w:r>
        <w:rPr>
          <w:rFonts w:hint="default" w:ascii="Times New Roman" w:hAnsi="Times New Roman" w:cs="Times New Roman"/>
        </w:rPr>
        <w:t>根据《汽车加油加气加氢站技术标准》（GB50156-2021）第13.5.</w:t>
      </w:r>
      <w:r>
        <w:rPr>
          <w:rFonts w:hint="eastAsia" w:hAnsi="Times New Roman" w:cs="Times New Roman"/>
          <w:lang w:val="en-US" w:eastAsia="zh-CN"/>
        </w:rPr>
        <w:t>1</w:t>
      </w:r>
      <w:r>
        <w:rPr>
          <w:rFonts w:hint="default" w:ascii="Times New Roman" w:hAnsi="Times New Roman" w:cs="Times New Roman"/>
        </w:rPr>
        <w:t>条，</w:t>
      </w:r>
      <w:r>
        <w:rPr>
          <w:rFonts w:hint="eastAsia" w:hAnsi="Times New Roman" w:cs="Times New Roman"/>
          <w:lang w:val="en-US" w:eastAsia="zh-CN"/>
        </w:rPr>
        <w:t>加油站应设置紧急切断系统，该系统应能在事故状态下实现紧急停车和关闭紧急切断阀的保护功能。</w:t>
      </w:r>
    </w:p>
    <w:p w14:paraId="781AC4E2">
      <w:pPr>
        <w:pStyle w:val="20"/>
        <w:numPr>
          <w:ilvl w:val="0"/>
          <w:numId w:val="17"/>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13.5.2条，紧急切断系统应至少在下列位置设置紧急切断按钮：①在汽车加油站现场工作人员容易接近且较为安全的位置；②在控制室、值班室内或站房收银台等有人员值守的位置。</w:t>
      </w:r>
    </w:p>
    <w:p w14:paraId="1722042F">
      <w:pPr>
        <w:pStyle w:val="20"/>
        <w:numPr>
          <w:ilvl w:val="0"/>
          <w:numId w:val="17"/>
        </w:numPr>
        <w:tabs>
          <w:tab w:val="left" w:pos="1280"/>
        </w:tabs>
        <w:overflowPunct w:val="0"/>
        <w:ind w:firstLine="560" w:firstLineChars="200"/>
        <w:jc w:val="both"/>
        <w:rPr>
          <w:rFonts w:hint="default" w:ascii="Times New Roman" w:hAnsi="Times New Roman" w:cs="Times New Roman"/>
          <w:highlight w:val="none"/>
        </w:rPr>
      </w:pPr>
      <w:r>
        <w:rPr>
          <w:rFonts w:hint="default" w:ascii="Times New Roman" w:hAnsi="Times New Roman" w:cs="Times New Roman"/>
          <w:highlight w:val="none"/>
        </w:rPr>
        <w:t>根据《汽车加油加气加氢站技术标准》（GB50156-2021）第13.5.3条，工艺设备的电源</w:t>
      </w:r>
      <w:r>
        <w:rPr>
          <w:rFonts w:hint="eastAsia" w:hAnsi="Times New Roman" w:cs="Times New Roman"/>
          <w:highlight w:val="none"/>
          <w:lang w:val="en-US" w:eastAsia="zh-CN"/>
        </w:rPr>
        <w:t>和工艺管道上的紧急切断阀应能由手动</w:t>
      </w:r>
      <w:r>
        <w:rPr>
          <w:rFonts w:hint="default" w:ascii="Times New Roman" w:hAnsi="Times New Roman" w:cs="Times New Roman"/>
          <w:highlight w:val="none"/>
        </w:rPr>
        <w:t>启动的远程控制切断系统操纵关闭。</w:t>
      </w:r>
    </w:p>
    <w:p w14:paraId="14C2708A">
      <w:pPr>
        <w:pStyle w:val="20"/>
        <w:numPr>
          <w:ilvl w:val="0"/>
          <w:numId w:val="17"/>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根据《汽车加油加气加氢站技术标准》（GB50156-2021）第13.5.4条，紧急切断系统应只能手动复位。</w:t>
      </w:r>
    </w:p>
    <w:p w14:paraId="2D631348">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47" w:name="_Toc28090"/>
      <w:bookmarkStart w:id="348" w:name="_Toc146488899"/>
      <w:r>
        <w:rPr>
          <w:rFonts w:hint="default" w:ascii="Times New Roman" w:hAnsi="Times New Roman" w:eastAsia="黑体" w:cs="Times New Roman"/>
          <w:b/>
          <w:bCs/>
          <w:color w:val="auto"/>
          <w:sz w:val="28"/>
          <w:szCs w:val="32"/>
          <w:lang w:val="en-US" w:eastAsia="zh-CN"/>
        </w:rPr>
        <w:t>8.3.4消防设施及排水</w:t>
      </w:r>
      <w:bookmarkEnd w:id="347"/>
      <w:bookmarkEnd w:id="348"/>
    </w:p>
    <w:p w14:paraId="23F1E4FE">
      <w:pPr>
        <w:pStyle w:val="20"/>
        <w:numPr>
          <w:ilvl w:val="0"/>
          <w:numId w:val="18"/>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12.1.1条，加油作业区每2台加油机应配置不少于2具5kg手提式干粉灭火器，或1具5kg手提式干粉灭火器和1具6L泡沫灭火器。地下储罐应配置1台不小于35kg推车式干粉灭火器。</w:t>
      </w:r>
      <w:r>
        <w:rPr>
          <w:rFonts w:hint="eastAsia" w:hAnsi="Times New Roman" w:cs="Times New Roman"/>
          <w:lang w:val="en-US" w:eastAsia="zh-CN"/>
        </w:rPr>
        <w:t>二级加油加气合建站</w:t>
      </w:r>
      <w:r>
        <w:rPr>
          <w:rFonts w:hint="default" w:ascii="Times New Roman" w:hAnsi="Times New Roman" w:cs="Times New Roman"/>
        </w:rPr>
        <w:t>应配置灭火毯5块、沙子2m</w:t>
      </w:r>
      <w:r>
        <w:rPr>
          <w:rFonts w:hint="default" w:ascii="Times New Roman" w:hAnsi="Times New Roman" w:cs="Times New Roman"/>
          <w:vertAlign w:val="superscript"/>
        </w:rPr>
        <w:t>3</w:t>
      </w:r>
      <w:r>
        <w:rPr>
          <w:rFonts w:hint="default" w:ascii="Times New Roman" w:hAnsi="Times New Roman" w:cs="Times New Roman"/>
        </w:rPr>
        <w:t>。</w:t>
      </w:r>
    </w:p>
    <w:p w14:paraId="60F94E13">
      <w:pPr>
        <w:pStyle w:val="20"/>
        <w:numPr>
          <w:ilvl w:val="0"/>
          <w:numId w:val="18"/>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lang w:val="zh-CN"/>
        </w:rPr>
        <w:t>根据</w:t>
      </w:r>
      <w:r>
        <w:rPr>
          <w:rFonts w:hint="default" w:ascii="Times New Roman" w:hAnsi="Times New Roman" w:cs="Times New Roman"/>
        </w:rPr>
        <w:t>《汽车加油加气加氢站技术标准》（GB50156-2021）</w:t>
      </w:r>
      <w:r>
        <w:rPr>
          <w:rFonts w:hint="default" w:ascii="Times New Roman" w:hAnsi="Times New Roman" w:cs="Times New Roman"/>
          <w:lang w:val="zh-CN"/>
        </w:rPr>
        <w:t>第1</w:t>
      </w:r>
      <w:r>
        <w:rPr>
          <w:rFonts w:hint="default" w:ascii="Times New Roman" w:hAnsi="Times New Roman" w:cs="Times New Roman"/>
        </w:rPr>
        <w:t>2</w:t>
      </w:r>
      <w:r>
        <w:rPr>
          <w:rFonts w:hint="default" w:ascii="Times New Roman" w:hAnsi="Times New Roman" w:cs="Times New Roman"/>
          <w:lang w:val="zh-CN"/>
        </w:rPr>
        <w:t>.1.2条，其余建筑的灭火器配置，应符合现行国家标准《建筑灭火器配置设计规范》（GB 50140-2005）的规定。</w:t>
      </w:r>
    </w:p>
    <w:p w14:paraId="538E1440">
      <w:pPr>
        <w:pStyle w:val="20"/>
        <w:numPr>
          <w:ilvl w:val="0"/>
          <w:numId w:val="18"/>
        </w:numPr>
        <w:tabs>
          <w:tab w:val="left" w:pos="1280"/>
        </w:tabs>
        <w:overflowPunct w:val="0"/>
        <w:ind w:firstLine="560" w:firstLineChars="200"/>
        <w:jc w:val="both"/>
        <w:rPr>
          <w:rFonts w:hint="default" w:ascii="Times New Roman" w:hAnsi="Times New Roman" w:cs="Times New Roman"/>
          <w:highlight w:val="none"/>
        </w:rPr>
      </w:pPr>
      <w:r>
        <w:rPr>
          <w:rFonts w:hint="default" w:ascii="Times New Roman" w:hAnsi="Times New Roman" w:cs="Times New Roman"/>
          <w:highlight w:val="none"/>
        </w:rPr>
        <w:t>根据《汽车加油加气加氢站技术标准》（GB50156-2021）第12.3.2条，加油站的排水应符合下列规定：①站内地面雨水可散流排出站外②加油站排出建筑物或围墙的污水，在建筑物墙外或围墙内应分别设水封井。水封井的水封高度不应小于0.25m；水封井应设沉泥段，沉泥段高度不应小于0.25m；③清洗油罐的污水应集中收集处理，不应直接进入排水管道；④排出站外的污水应符合国家有关的污水排放标准；⑤加油站不应采用暗沟排水。</w:t>
      </w:r>
    </w:p>
    <w:p w14:paraId="2C6F93C8">
      <w:pPr>
        <w:pStyle w:val="20"/>
        <w:numPr>
          <w:ilvl w:val="0"/>
          <w:numId w:val="18"/>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根据《加油站作业安全规范》（AQ3010-2022）第8.1.13条，清出的罐底污杂应存放在油桶或指定容器内并作出危险废弃物的标识，不应随意倾倒。</w:t>
      </w:r>
    </w:p>
    <w:p w14:paraId="2803EE02">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49" w:name="_Toc5934"/>
      <w:bookmarkStart w:id="350" w:name="_Toc146488900"/>
      <w:r>
        <w:rPr>
          <w:rFonts w:hint="default" w:ascii="Times New Roman" w:hAnsi="Times New Roman" w:eastAsia="黑体" w:cs="Times New Roman"/>
          <w:b/>
          <w:bCs/>
          <w:color w:val="auto"/>
          <w:sz w:val="28"/>
          <w:szCs w:val="32"/>
          <w:lang w:val="en-US" w:eastAsia="zh-CN"/>
        </w:rPr>
        <w:t>8.3.5建（构）筑物</w:t>
      </w:r>
      <w:bookmarkEnd w:id="349"/>
      <w:bookmarkEnd w:id="350"/>
    </w:p>
    <w:bookmarkEnd w:id="340"/>
    <w:bookmarkEnd w:id="346"/>
    <w:p w14:paraId="10D67652">
      <w:pPr>
        <w:pStyle w:val="20"/>
        <w:numPr>
          <w:ilvl w:val="0"/>
          <w:numId w:val="19"/>
        </w:numPr>
        <w:tabs>
          <w:tab w:val="left" w:pos="1280"/>
        </w:tabs>
        <w:overflowPunct w:val="0"/>
        <w:ind w:firstLine="560" w:firstLineChars="200"/>
        <w:jc w:val="both"/>
        <w:rPr>
          <w:rFonts w:hint="default" w:ascii="Times New Roman" w:hAnsi="Times New Roman" w:cs="Times New Roman"/>
        </w:rPr>
      </w:pPr>
      <w:bookmarkStart w:id="351" w:name="_Toc41246731"/>
      <w:r>
        <w:rPr>
          <w:rFonts w:hint="default" w:ascii="Times New Roman" w:hAnsi="Times New Roman" w:cs="Times New Roman"/>
        </w:rPr>
        <w:t>根据《汽车加油加气加氢站技术标准》（GB50156-2021）第14.2.1条，加油作业区内的站房及其它附属建筑物的耐火等级不应低于二级。罩棚顶棚可采用无防火保护的钢结构。</w:t>
      </w:r>
    </w:p>
    <w:p w14:paraId="41AD888D">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根据《汽车加油加气加氢站技术标准》（GB50156-2021）第14.2.2条，汽车加油场地罩棚柱应有防止车辆碰撞的技术措施。</w:t>
      </w:r>
    </w:p>
    <w:p w14:paraId="5766E9AE">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14.2.3条，加油岛的设计应符合下列规定：①加油岛应高出停车位的地坪0.15-0.20m；②加油岛两端的宽度不应小于1.2m；③加油岛上的罩棚立柱边缘距离端部不应小于0.6m；④靠近岛端部的加油机等岛上的工艺设备应有防止车辆误碰撞的措施和警示标识。采用钢管防撞柱（栏）时，其钢管的直径不应小于100mm，高度不应小于0.5m，并应设置牢固。</w:t>
      </w:r>
    </w:p>
    <w:p w14:paraId="5FF8CC7C">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根据《汽车加油加气加氢站技术标准》（GB50156-2021）第14.2.9条，站房可由办公室、值班室、营业室、控制室、变配电室、卫生间和便利店等组成，站房内可设非明火餐厨设备。</w:t>
      </w:r>
    </w:p>
    <w:p w14:paraId="162F0A22">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根据《汽车加油加气加氢站技术标准》（GB50156-2021）第14.2.10条，站房的一部分位于加油站作业区时，该加油站房的建筑面积不宜超过300m</w:t>
      </w:r>
      <w:r>
        <w:rPr>
          <w:rFonts w:hint="default" w:ascii="Times New Roman" w:hAnsi="Times New Roman" w:cs="Times New Roman"/>
          <w:vertAlign w:val="superscript"/>
        </w:rPr>
        <w:t>2</w:t>
      </w:r>
      <w:r>
        <w:rPr>
          <w:rFonts w:hint="default" w:ascii="Times New Roman" w:hAnsi="Times New Roman" w:cs="Times New Roman"/>
        </w:rPr>
        <w:t>，且该加油站房内不得有明火设备。</w:t>
      </w:r>
    </w:p>
    <w:p w14:paraId="0545D993">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根据《汽车加油加气加氢站技术标准》（GB50156-2021）第14.2.12条，站房与餐厅、汽车服务、锅炉房、厨房、员工宿舍、司机休息室等设施合建，之间应设置无门窗洞口，且耐火极限不低于3.00h的实体墙。</w:t>
      </w:r>
    </w:p>
    <w:p w14:paraId="396FEC7A">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根据《汽车加油加气加氢站技术标准》（GB50156-2021）第14.2.15条，加油站内不应建地下和半地下室。</w:t>
      </w:r>
    </w:p>
    <w:p w14:paraId="014D051E">
      <w:pPr>
        <w:pStyle w:val="20"/>
        <w:numPr>
          <w:ilvl w:val="0"/>
          <w:numId w:val="19"/>
        </w:numPr>
        <w:tabs>
          <w:tab w:val="left" w:pos="1280"/>
        </w:tabs>
        <w:overflowPunct w:val="0"/>
        <w:ind w:firstLine="560" w:firstLineChars="200"/>
        <w:jc w:val="both"/>
        <w:rPr>
          <w:rFonts w:hint="default" w:ascii="Times New Roman" w:hAnsi="Times New Roman" w:cs="Times New Roman"/>
        </w:rPr>
      </w:pPr>
      <w:r>
        <w:rPr>
          <w:rFonts w:hint="default" w:ascii="Times New Roman" w:hAnsi="Times New Roman" w:cs="Times New Roman"/>
        </w:rPr>
        <w:t>根据《汽车加油加气加氢站技术标准》（GB50156-2021）第14.2.16条，埋地油罐的操作井、位于作业区的排水井应采取防渗漏措施，位于爆炸危险区域内的操作井和排水井应有防止产生火花的措施。</w:t>
      </w:r>
    </w:p>
    <w:p w14:paraId="6D133273">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52" w:name="_Toc12528"/>
      <w:bookmarkStart w:id="353" w:name="_Toc146488902"/>
      <w:r>
        <w:rPr>
          <w:rFonts w:hint="default" w:ascii="Times New Roman" w:hAnsi="Times New Roman" w:eastAsia="黑体" w:cs="Times New Roman"/>
          <w:b/>
          <w:bCs/>
          <w:color w:val="auto"/>
          <w:sz w:val="28"/>
          <w:szCs w:val="32"/>
          <w:lang w:val="en-US" w:eastAsia="zh-CN"/>
        </w:rPr>
        <w:t>8.3.</w:t>
      </w:r>
      <w:r>
        <w:rPr>
          <w:rFonts w:hint="eastAsia" w:eastAsia="黑体" w:cs="Times New Roman"/>
          <w:b/>
          <w:bCs/>
          <w:color w:val="auto"/>
          <w:sz w:val="28"/>
          <w:szCs w:val="32"/>
          <w:lang w:val="en-US" w:eastAsia="zh-CN"/>
        </w:rPr>
        <w:t>6</w:t>
      </w:r>
      <w:r>
        <w:rPr>
          <w:rFonts w:hint="default" w:ascii="Times New Roman" w:hAnsi="Times New Roman" w:eastAsia="黑体" w:cs="Times New Roman"/>
          <w:b/>
          <w:bCs/>
          <w:color w:val="auto"/>
          <w:sz w:val="28"/>
          <w:szCs w:val="32"/>
          <w:lang w:val="en-US" w:eastAsia="zh-CN"/>
        </w:rPr>
        <w:t>绿化</w:t>
      </w:r>
      <w:bookmarkEnd w:id="352"/>
      <w:bookmarkEnd w:id="353"/>
    </w:p>
    <w:p w14:paraId="7812C3F3">
      <w:pPr>
        <w:pStyle w:val="5"/>
        <w:keepNext w:val="0"/>
        <w:keepLines w:val="0"/>
        <w:pageBreakBefore w:val="0"/>
        <w:widowControl w:val="0"/>
        <w:numPr>
          <w:ilvl w:val="0"/>
          <w:numId w:val="20"/>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根据《汽车加油加气加氢站技术标准》（GB50156-2021）第14.3.1条，汽车加油加气加氢站作业区内不得种植油性植物。</w:t>
      </w:r>
      <w:bookmarkEnd w:id="351"/>
    </w:p>
    <w:p w14:paraId="05186134">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r>
        <w:rPr>
          <w:rFonts w:hint="default" w:ascii="Times New Roman" w:hAnsi="Times New Roman" w:eastAsia="黑体" w:cs="Times New Roman"/>
          <w:b/>
          <w:bCs/>
          <w:color w:val="auto"/>
          <w:sz w:val="28"/>
          <w:szCs w:val="32"/>
          <w:lang w:val="en-US" w:eastAsia="zh-CN"/>
        </w:rPr>
        <w:t>8.3.</w:t>
      </w:r>
      <w:r>
        <w:rPr>
          <w:rFonts w:hint="eastAsia" w:ascii="Times New Roman" w:hAnsi="Times New Roman" w:eastAsia="黑体" w:cs="Times New Roman"/>
          <w:b/>
          <w:bCs/>
          <w:color w:val="auto"/>
          <w:sz w:val="28"/>
          <w:szCs w:val="32"/>
          <w:lang w:val="en-US" w:eastAsia="zh-CN"/>
        </w:rPr>
        <w:t>7</w:t>
      </w:r>
      <w:r>
        <w:rPr>
          <w:rFonts w:hint="default" w:ascii="Times New Roman" w:hAnsi="Times New Roman" w:eastAsia="黑体" w:cs="Times New Roman"/>
          <w:b/>
          <w:bCs/>
          <w:color w:val="auto"/>
          <w:sz w:val="28"/>
          <w:szCs w:val="32"/>
          <w:lang w:val="en-US" w:eastAsia="zh-CN"/>
        </w:rPr>
        <w:t>自助加油</w:t>
      </w:r>
    </w:p>
    <w:p w14:paraId="06B3EA4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kern w:val="28"/>
          <w:sz w:val="28"/>
          <w:szCs w:val="28"/>
          <w:lang w:val="en-US" w:eastAsia="zh-CN" w:bidi="ar-SA"/>
        </w:rPr>
      </w:pPr>
      <w:r>
        <w:rPr>
          <w:rFonts w:hint="default"/>
          <w:sz w:val="28"/>
          <w:szCs w:val="28"/>
        </w:rPr>
        <w:t>（1）</w:t>
      </w:r>
      <w:r>
        <w:rPr>
          <w:rFonts w:hint="default" w:ascii="Times New Roman" w:hAnsi="Times New Roman" w:eastAsia="宋体" w:cs="Times New Roman"/>
          <w:kern w:val="28"/>
          <w:sz w:val="28"/>
          <w:szCs w:val="28"/>
          <w:lang w:val="en-US" w:eastAsia="zh-CN" w:bidi="ar-SA"/>
        </w:rPr>
        <w:t>根据《汽车加油加气加氢站技术标准》（GB50156-2021）第6.6.4条，自助加油机除应符合本标准第6.2节的规定外，尚应符合下列规定：①应采用防静电加油枪、键盘，或专设消除人体静电装置并有显著标识；②应标示自助加油操作说明；③应具备音频提示系统，在提起加油枪后可提示油品品种、标号并进行操作指导；④加油枪应设置跌落时即自动停止加油作业的功能，并应具有无压自封功能；⑤应设置紧急停机开关。</w:t>
      </w:r>
    </w:p>
    <w:p w14:paraId="11FEBC0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kern w:val="28"/>
          <w:sz w:val="28"/>
          <w:szCs w:val="28"/>
          <w:lang w:val="en-US" w:eastAsia="zh-CN" w:bidi="ar-SA"/>
        </w:rPr>
      </w:pPr>
      <w:r>
        <w:rPr>
          <w:rFonts w:hint="default" w:ascii="Times New Roman" w:hAnsi="Times New Roman" w:eastAsia="宋体" w:cs="Times New Roman"/>
          <w:kern w:val="28"/>
          <w:sz w:val="28"/>
          <w:szCs w:val="28"/>
          <w:lang w:val="en-US" w:eastAsia="zh-CN" w:bidi="ar-SA"/>
        </w:rPr>
        <w:t>（2）根据《汽车加油加气加氢站技术标准》（GB50156-2021）第6.6.5条，自助加油站应设置视频监视系统，该系统应能覆盖加油区、卸油区、人孔井、收银区、便利店等区域。视频设备不应因车辆遮挡而影响监视。</w:t>
      </w:r>
    </w:p>
    <w:p w14:paraId="0DD45A7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kern w:val="28"/>
          <w:sz w:val="28"/>
          <w:szCs w:val="28"/>
          <w:lang w:val="en-US" w:eastAsia="zh-CN" w:bidi="ar-SA"/>
        </w:rPr>
      </w:pPr>
      <w:r>
        <w:rPr>
          <w:rFonts w:hint="default" w:ascii="Times New Roman" w:hAnsi="Times New Roman" w:eastAsia="宋体" w:cs="Times New Roman"/>
          <w:kern w:val="28"/>
          <w:sz w:val="28"/>
          <w:szCs w:val="28"/>
          <w:lang w:val="en-US" w:eastAsia="zh-CN" w:bidi="ar-SA"/>
        </w:rPr>
        <w:t>（3）根据《汽车加油加气加氢站技术标准》（GB50156-2021）第6.6.6条， 自助加油站的营业室内应设监控系统，该系统应具备下列监控功能：①营业员可通过监控系统确认每台自助加油机的使用情况；②可分别控制每台自助加油机的加油和停止状态；③发生紧急情况时可启动紧急切断开关停止所有加油机运行；④可与顾客进行单独对话，指导其操作；⑤可对整个加油场地进行广播。</w:t>
      </w:r>
    </w:p>
    <w:p w14:paraId="782F9B4F">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354" w:name="_Toc13029"/>
      <w:r>
        <w:rPr>
          <w:rFonts w:hint="default" w:ascii="Times New Roman" w:hAnsi="Times New Roman" w:eastAsia="黑体" w:cs="Times New Roman"/>
          <w:b/>
          <w:bCs/>
          <w:color w:val="auto"/>
          <w:sz w:val="28"/>
          <w:szCs w:val="32"/>
          <w:lang w:val="en-US" w:eastAsia="zh-CN"/>
        </w:rPr>
        <w:t>8.3.</w:t>
      </w:r>
      <w:r>
        <w:rPr>
          <w:rFonts w:hint="eastAsia" w:eastAsia="黑体" w:cs="Times New Roman"/>
          <w:b/>
          <w:bCs/>
          <w:color w:val="auto"/>
          <w:sz w:val="28"/>
          <w:szCs w:val="32"/>
          <w:lang w:val="en-US" w:eastAsia="zh-CN"/>
        </w:rPr>
        <w:t>8</w:t>
      </w:r>
      <w:r>
        <w:rPr>
          <w:rFonts w:hint="default" w:ascii="Times New Roman" w:hAnsi="Times New Roman" w:eastAsia="黑体" w:cs="Times New Roman"/>
          <w:b/>
          <w:bCs/>
          <w:color w:val="auto"/>
          <w:sz w:val="28"/>
          <w:szCs w:val="32"/>
          <w:lang w:val="en-US" w:eastAsia="zh-CN"/>
        </w:rPr>
        <w:t>其他</w:t>
      </w:r>
      <w:bookmarkEnd w:id="354"/>
    </w:p>
    <w:p w14:paraId="66F82633">
      <w:pPr>
        <w:pStyle w:val="5"/>
        <w:keepNext w:val="0"/>
        <w:keepLines w:val="0"/>
        <w:pageBreakBefore w:val="0"/>
        <w:widowControl w:val="0"/>
        <w:numPr>
          <w:ilvl w:val="0"/>
          <w:numId w:val="21"/>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根据《加油站作业安全规范》（AQ3010-2022）第5.2.4条，卸油作业现场应设置隔离警示标识；</w:t>
      </w:r>
    </w:p>
    <w:p w14:paraId="2C887131">
      <w:pPr>
        <w:pStyle w:val="5"/>
        <w:keepNext w:val="0"/>
        <w:keepLines w:val="0"/>
        <w:pageBreakBefore w:val="0"/>
        <w:widowControl w:val="0"/>
        <w:numPr>
          <w:ilvl w:val="0"/>
          <w:numId w:val="21"/>
        </w:numPr>
        <w:kinsoku/>
        <w:wordWrap/>
        <w:overflowPunct/>
        <w:topLinePunct w:val="0"/>
        <w:autoSpaceDE/>
        <w:autoSpaceDN/>
        <w:bidi w:val="0"/>
        <w:adjustRightInd w:val="0"/>
        <w:snapToGrid w:val="0"/>
        <w:ind w:firstLine="561" w:firstLineChars="0"/>
        <w:jc w:val="both"/>
        <w:textAlignment w:val="auto"/>
        <w:rPr>
          <w:rFonts w:hint="eastAsia" w:ascii="Times New Roman" w:hAnsi="Times New Roman" w:eastAsia="宋体" w:cs="Times New Roman"/>
          <w:bCs/>
          <w:kern w:val="0"/>
          <w:sz w:val="28"/>
          <w:szCs w:val="28"/>
          <w:lang w:val="en-US" w:eastAsia="zh-CN" w:bidi="ar-SA"/>
        </w:rPr>
      </w:pPr>
      <w:r>
        <w:rPr>
          <w:rFonts w:hint="default" w:ascii="Times New Roman" w:hAnsi="Times New Roman" w:cs="Times New Roman"/>
        </w:rPr>
        <w:t>根据《加油站作业安全规范》（AQ3010-2022）第5.2.5条，手提式灭火器宜摆放在距卸油口2m-3m处。</w:t>
      </w:r>
    </w:p>
    <w:p w14:paraId="405DD785">
      <w:pPr>
        <w:pStyle w:val="5"/>
        <w:keepNext w:val="0"/>
        <w:keepLines w:val="0"/>
        <w:pageBreakBefore w:val="0"/>
        <w:widowControl w:val="0"/>
        <w:numPr>
          <w:ilvl w:val="0"/>
          <w:numId w:val="21"/>
        </w:numPr>
        <w:kinsoku/>
        <w:wordWrap/>
        <w:overflowPunct/>
        <w:topLinePunct w:val="0"/>
        <w:autoSpaceDE/>
        <w:autoSpaceDN/>
        <w:bidi w:val="0"/>
        <w:adjustRightInd w:val="0"/>
        <w:snapToGrid w:val="0"/>
        <w:ind w:firstLine="561" w:firstLineChars="0"/>
        <w:jc w:val="both"/>
        <w:textAlignment w:val="auto"/>
        <w:rPr>
          <w:rFonts w:hint="eastAsia" w:ascii="Times New Roman" w:hAnsi="Times New Roman" w:eastAsia="宋体" w:cs="Times New Roman"/>
          <w:bCs/>
          <w:kern w:val="0"/>
          <w:sz w:val="28"/>
          <w:szCs w:val="28"/>
          <w:lang w:val="en-US" w:eastAsia="zh-CN" w:bidi="ar-SA"/>
        </w:rPr>
      </w:pPr>
      <w:r>
        <w:rPr>
          <w:rFonts w:hint="eastAsia" w:ascii="Times New Roman" w:hAnsi="Times New Roman" w:eastAsia="宋体" w:cs="Times New Roman"/>
          <w:bCs/>
          <w:kern w:val="0"/>
          <w:sz w:val="28"/>
          <w:szCs w:val="28"/>
          <w:lang w:val="en-US" w:eastAsia="zh-CN" w:bidi="ar-SA"/>
        </w:rPr>
        <w:t>根据《加油站作业安全规范》（AQ3010-2022）第4.5条，设有可燃气体声光报警装置的加油作业区内可允许客户使用手机支付，当现场报警器报警时，应立即停止使用手机和停止加油相关作业，并按应急预案进行应急处置。可燃气体检测报警设计应符合GB/T 50493的规定。</w:t>
      </w:r>
    </w:p>
    <w:p w14:paraId="306FABEC">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55" w:name="_Toc41246721"/>
      <w:bookmarkStart w:id="356" w:name="_Toc5969"/>
      <w:bookmarkStart w:id="357" w:name="_Toc28487"/>
      <w:bookmarkStart w:id="358" w:name="_Toc41246732"/>
      <w:r>
        <w:rPr>
          <w:rFonts w:hint="default" w:ascii="Times New Roman" w:hAnsi="Times New Roman" w:eastAsia="楷体" w:cs="Times New Roman"/>
          <w:color w:val="auto"/>
          <w:sz w:val="32"/>
          <w:szCs w:val="32"/>
          <w:lang w:val="en-US" w:eastAsia="zh-CN"/>
        </w:rPr>
        <w:t>8.4</w:t>
      </w:r>
      <w:bookmarkEnd w:id="355"/>
      <w:r>
        <w:rPr>
          <w:rFonts w:hint="default" w:ascii="Times New Roman" w:hAnsi="Times New Roman" w:eastAsia="楷体" w:cs="Times New Roman"/>
          <w:color w:val="auto"/>
          <w:sz w:val="32"/>
          <w:szCs w:val="32"/>
          <w:lang w:val="en-US" w:eastAsia="zh-CN"/>
        </w:rPr>
        <w:t>主要装置、设备、设施的布局</w:t>
      </w:r>
      <w:bookmarkEnd w:id="356"/>
      <w:bookmarkEnd w:id="357"/>
    </w:p>
    <w:p w14:paraId="4F3DC365">
      <w:pPr>
        <w:pStyle w:val="5"/>
        <w:keepNext w:val="0"/>
        <w:keepLines w:val="0"/>
        <w:pageBreakBefore w:val="0"/>
        <w:widowControl w:val="0"/>
        <w:numPr>
          <w:ilvl w:val="0"/>
          <w:numId w:val="22"/>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根据《汽车加油加气加氢站技术标准》（GB50156-2021）第5.0.3条，作业区与辅助服务区之间应有界线标识。</w:t>
      </w:r>
    </w:p>
    <w:p w14:paraId="32DB9CFF">
      <w:pPr>
        <w:pStyle w:val="5"/>
        <w:keepNext w:val="0"/>
        <w:keepLines w:val="0"/>
        <w:pageBreakBefore w:val="0"/>
        <w:widowControl w:val="0"/>
        <w:numPr>
          <w:ilvl w:val="0"/>
          <w:numId w:val="22"/>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根据《汽车加油加气加氢站技术标准》（GB50156-2021）第5.0.5条，作业区内，不得有“明火地点”或“散发火花地点”。</w:t>
      </w:r>
    </w:p>
    <w:p w14:paraId="6D20C69E">
      <w:pPr>
        <w:pStyle w:val="5"/>
        <w:keepNext w:val="0"/>
        <w:keepLines w:val="0"/>
        <w:pageBreakBefore w:val="0"/>
        <w:widowControl w:val="0"/>
        <w:numPr>
          <w:ilvl w:val="0"/>
          <w:numId w:val="22"/>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根据《汽车加油加气加氢站技术标准》（GB50156-2021）第5.0.11条，加油站内的爆炸危险区域，不应超出站区围墙和可用地界线。</w:t>
      </w:r>
    </w:p>
    <w:p w14:paraId="1597965B">
      <w:pPr>
        <w:pStyle w:val="5"/>
        <w:keepNext w:val="0"/>
        <w:keepLines w:val="0"/>
        <w:pageBreakBefore w:val="0"/>
        <w:widowControl w:val="0"/>
        <w:numPr>
          <w:ilvl w:val="0"/>
          <w:numId w:val="22"/>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汽车加油加气加氢站技术标准》（GB50156-2021）第5.0.12条，工艺设备与站外建（构）筑物之间，宜设置不燃烧体实体围墙，围墙高度相对于站内和站外地坪均不宜低于2.2m。当加油站的工艺设备与站外建（构）筑物之间的距离大于本标准表4.0.4~表4.0.8中安全间距的1.5倍，且大于25m时，可设置非实体围墙。面向车辆入口和出口道路的一侧可设非实体围墙或不设围墙。与站区限毗邻的一、二级耐火等级的站外建（构）筑物，其面向加油站侧无门、窗、孔洞的外墙，可视为站区实体围墙的一部分，但站内工艺设备与其的安全距离应符合本标准表4.0.4的相关规定。</w:t>
      </w:r>
    </w:p>
    <w:p w14:paraId="0849043A">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59" w:name="_Toc19028"/>
      <w:bookmarkStart w:id="360" w:name="_Toc15109"/>
      <w:r>
        <w:rPr>
          <w:rFonts w:hint="default" w:ascii="Times New Roman" w:hAnsi="Times New Roman" w:eastAsia="楷体" w:cs="Times New Roman"/>
          <w:color w:val="auto"/>
          <w:sz w:val="32"/>
          <w:szCs w:val="32"/>
          <w:lang w:val="en-US" w:eastAsia="zh-CN"/>
        </w:rPr>
        <w:t>8.5安全管理</w:t>
      </w:r>
      <w:bookmarkEnd w:id="358"/>
      <w:bookmarkEnd w:id="359"/>
      <w:bookmarkEnd w:id="360"/>
    </w:p>
    <w:p w14:paraId="56803820">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中华人民共和国安全生产法》（中华人民共和国主席令[2021]第八十八号，2021年09月01日施行）第三十一条，生产经营单位新建、改建、扩建工程项目（以下统称建设项目）的安全设施，必须与主体工程同时设计、同时施工、同时投入生产和使用。安全设施投资应当纳入建设项目概算。</w:t>
      </w:r>
    </w:p>
    <w:p w14:paraId="13958044">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危险化学品建设项目安全监督管理办法》（国家安全生产监督管理总局令[2012]第45号，依据总局令[2015]第79号修正）第七条规定，建设单位应当分别选择具备相应资质单位进行设计、施工和监理。涉及重点监管危险化工工艺、重点监管危险化学品或者危险 化学品重大危险源的建设项目，应当由具有石油化工医药行业相 应资质的设计单位设计。</w:t>
      </w:r>
    </w:p>
    <w:p w14:paraId="0708C201">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根据《危险化学品建设项目安全监督管理办法》（国家安全生产监督管理总局令 第45号）第十六条，建设单位应当在建设项目初步设计完成后、详细设计开始前，向出具建设项目设立安全评价意见书的安全生产监督管理部门申请建设项目安全设施设计审查。</w:t>
      </w:r>
    </w:p>
    <w:p w14:paraId="78E720C7">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根据《中华人民共和国安全生产法》（中华人民共和国主席令[2021]第八十八号，2021年09月01日施行）第二十四条，危险物品的经营、储存单位，应当设置安全生产管理机构或者配备专职安全生产管理人员。</w:t>
      </w:r>
    </w:p>
    <w:p w14:paraId="1F6DF902">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中华人民共和国安全生产法》（中华人民共和国主席令[2021]第八十八号，2021年09月01日施行）第二十七条，生产经营单位的主要负责人和安全生产管理人员必须具备与本单位所从事的生产经营活动相应的安全生产知识和管理能力。</w:t>
      </w:r>
    </w:p>
    <w:p w14:paraId="7FC48FAC">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中华人民共和国安全生产法》（中华人民共和国主席令[2021]第八十八号，2021年09月01日施行）第二十八条，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53D934C2">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根据《辽宁省雷电灾害防御管理规定》第九条规定，加油站防雷接地设施安装完毕后，必须按规范要求委托具有资质的防雷设施检测机构对其进行测试，并取得防雷防静电检测合格报告。</w:t>
      </w:r>
    </w:p>
    <w:p w14:paraId="34C291B5">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根据《辽宁省企业安全生产主体责任规定》（辽宁省人民政府令第264号，辽宁省人民政府令[2021]第341号修正）第二十条，加油站应当依法参加工伤保险，为从业人员缴纳保险费。</w:t>
      </w:r>
    </w:p>
    <w:p w14:paraId="7194D86E">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根据《辽宁省企业安全生产主体责任规定》（辽宁省人民政府令第264号，辽宁省人民政府令[2021]第341号修正）第六条，建立健全主要负责人、安全管理人员的责任制，建立健全安全生产管理制度和操作规程。</w:t>
      </w:r>
    </w:p>
    <w:p w14:paraId="032E6C42">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生产安全事故应急预案管理办法》（应急管理部令第2号，2019年9月1日起实施）第五条，生产经营单位主要负责人负责组织编制和实施本单位的应急预案，并对应急预案的真实性和实用性负责；各分管负责人应当按照职责分工落实应急预案规定的职责。</w:t>
      </w:r>
    </w:p>
    <w:p w14:paraId="4BCC3476">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生产安全事故应急预案管理办法》（应急管理部令第2号，2019年9月1日起实施），第二十六条，危险化学品经营、储存单位应当在应急预案公布之日起20个工作日内，按照分级属地原则，向县级以上人民政府应急管理部门和其他负有安全生产监督管理职责的部门进行备案。</w:t>
      </w:r>
    </w:p>
    <w:p w14:paraId="12737B6A">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生产安全事故应急预案管理办法》（应急管理部令第2号，2019年9月1日起实施），生产经营单位应当制定本单位的应急预案演练计划，根据本单位的事故风险特点，每年至少组织一次综合应急预案演练或者专项应急预案演练，每半年至少组织一次现场处置方案演练。</w:t>
      </w:r>
    </w:p>
    <w:p w14:paraId="2B730764">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default" w:ascii="Times New Roman" w:hAnsi="Times New Roman" w:cs="Times New Roman"/>
        </w:rPr>
      </w:pPr>
      <w:r>
        <w:rPr>
          <w:rFonts w:hint="default" w:ascii="Times New Roman" w:hAnsi="Times New Roman" w:cs="Times New Roman"/>
        </w:rPr>
        <w:t>根据《生产经营单位安全培训规定》（国家安全生产监督管理总局令第3号，2015年5月29日国家安全监督管理局令第80号修订）第三条，生产经营单位应当依照安全生产法和有关法律、行政法规和本规定，建立健全安全培训工作制度。</w:t>
      </w:r>
    </w:p>
    <w:p w14:paraId="364EB1F8">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eastAsia" w:ascii="Times New Roman" w:hAnsi="Times New Roman" w:cs="Times New Roman"/>
          <w:lang w:eastAsia="zh-CN"/>
        </w:rPr>
      </w:pPr>
      <w:r>
        <w:rPr>
          <w:rFonts w:hint="eastAsia" w:cs="Times New Roman"/>
          <w:lang w:val="en-US" w:eastAsia="zh-CN"/>
        </w:rPr>
        <w:t>根据</w:t>
      </w:r>
      <w:r>
        <w:rPr>
          <w:rFonts w:hint="eastAsia" w:ascii="Times New Roman" w:hAnsi="Times New Roman" w:cs="Times New Roman"/>
          <w:lang w:eastAsia="zh-CN"/>
        </w:rPr>
        <w:t>《辽宁省危险化学品建设项目管理实施细则》第三十八条</w:t>
      </w:r>
      <w:r>
        <w:rPr>
          <w:rFonts w:hint="eastAsia" w:cs="Times New Roman"/>
          <w:lang w:eastAsia="zh-CN"/>
        </w:rPr>
        <w:t>，安全生产监管管理部门对实行简易程序建设项目的安全条件审查、安全设施设计审查合并进行。安全条件审查通过后，再进行安全设施设计审查。审查决定同意的，向建设单位同时出具《安全条件审查意见书》和《设计审查意见书》。</w:t>
      </w:r>
    </w:p>
    <w:p w14:paraId="780A5BCC">
      <w:pPr>
        <w:pStyle w:val="5"/>
        <w:keepNext w:val="0"/>
        <w:keepLines w:val="0"/>
        <w:pageBreakBefore w:val="0"/>
        <w:widowControl w:val="0"/>
        <w:numPr>
          <w:ilvl w:val="0"/>
          <w:numId w:val="23"/>
        </w:numPr>
        <w:kinsoku/>
        <w:wordWrap/>
        <w:overflowPunct/>
        <w:topLinePunct w:val="0"/>
        <w:autoSpaceDE/>
        <w:autoSpaceDN/>
        <w:bidi w:val="0"/>
        <w:adjustRightInd w:val="0"/>
        <w:snapToGrid w:val="0"/>
        <w:ind w:firstLine="561" w:firstLineChars="0"/>
        <w:jc w:val="both"/>
        <w:textAlignment w:val="auto"/>
        <w:rPr>
          <w:rFonts w:hint="eastAsia" w:ascii="Times New Roman" w:hAnsi="Times New Roman" w:eastAsia="宋体" w:cs="Times New Roman"/>
          <w:sz w:val="28"/>
          <w:szCs w:val="28"/>
          <w:lang w:eastAsia="zh-CN"/>
        </w:rPr>
      </w:pPr>
      <w:r>
        <w:rPr>
          <w:rFonts w:hint="eastAsia" w:ascii="Times New Roman" w:hAnsi="Times New Roman" w:cs="Times New Roman"/>
          <w:lang w:val="en-US" w:eastAsia="zh-CN"/>
        </w:rPr>
        <w:t>根据</w:t>
      </w:r>
      <w:r>
        <w:rPr>
          <w:rFonts w:hint="default" w:ascii="Times New Roman" w:hAnsi="Times New Roman" w:cs="Times New Roman"/>
        </w:rPr>
        <w:t>《危险化学品经营许可证管理办法》（国家安全生产监</w:t>
      </w:r>
      <w:r>
        <w:rPr>
          <w:rFonts w:hint="default" w:ascii="Times New Roman" w:hAnsi="Times New Roman" w:eastAsia="宋体" w:cs="Times New Roman"/>
        </w:rPr>
        <w:t>督管理总局令第55号，国家安全生产监督管理总局令第79号修订，2015年07月01日实施）</w:t>
      </w:r>
      <w:r>
        <w:rPr>
          <w:rFonts w:hint="eastAsia" w:ascii="Times New Roman" w:hAnsi="Times New Roman" w:eastAsia="宋体" w:cs="Times New Roman"/>
          <w:lang w:val="en-US" w:eastAsia="zh-CN"/>
        </w:rPr>
        <w:t>第六条，①经营和储存场所、设施、建筑物符合《建筑设计防火规范》（GB50016）、《石油化工企业设计防火规范》（GB50160）、《汽车加油加气站设计与施工规范》（GB50156）、《石油库设计规范》（GB50074）等相关国家标准、行业标准的规定；②企业主要负责人和安全生产管理人员具备与本企业危险化学品经营活动相适应的安全生产知识和管理能力，经专门的安全生产培训和安全生产监督管理部门考核合格，取得相应安全资格证书；特种作业人员经专门的安全作业培训，取得特种作业操作证书；其他从业人员依照有关规定经安全生产教育和专业技术培训合格；③有健全的安全生产规章制度和岗位操作规程；④有符合国家规定的危险化学品事故应急预案，并配备必要的应急救援器材、设备；⑤法律、法规和国家标准或者行业标准规定的其他安全生产条件。</w:t>
      </w:r>
      <w:bookmarkStart w:id="361" w:name="_Toc410311917"/>
      <w:bookmarkStart w:id="362" w:name="_Toc410311994"/>
      <w:bookmarkStart w:id="363" w:name="_Toc41246733"/>
    </w:p>
    <w:p w14:paraId="47076848">
      <w:pPr>
        <w:rPr>
          <w:rFonts w:hint="eastAsia"/>
          <w:lang w:eastAsia="zh-CN"/>
        </w:rPr>
      </w:pPr>
    </w:p>
    <w:p w14:paraId="3BEB40DD">
      <w:pPr>
        <w:pStyle w:val="5"/>
        <w:keepNext w:val="0"/>
        <w:keepLines w:val="0"/>
        <w:pageBreakBefore w:val="0"/>
        <w:widowControl w:val="0"/>
        <w:numPr>
          <w:ilvl w:val="0"/>
          <w:numId w:val="0"/>
        </w:numPr>
        <w:kinsoku/>
        <w:wordWrap/>
        <w:overflowPunct/>
        <w:topLinePunct w:val="0"/>
        <w:autoSpaceDE/>
        <w:autoSpaceDN/>
        <w:bidi w:val="0"/>
        <w:adjustRightInd w:val="0"/>
        <w:snapToGrid w:val="0"/>
        <w:ind w:left="561" w:leftChars="0"/>
        <w:jc w:val="left"/>
        <w:textAlignment w:val="auto"/>
        <w:rPr>
          <w:rFonts w:hint="default" w:ascii="Times New Roman" w:hAnsi="Times New Roman" w:eastAsia="黑体" w:cs="Times New Roman"/>
          <w:sz w:val="32"/>
          <w:szCs w:val="32"/>
        </w:rPr>
      </w:pPr>
    </w:p>
    <w:p w14:paraId="26DB56D6">
      <w:pPr>
        <w:jc w:val="both"/>
        <w:outlineLvl w:val="9"/>
        <w:rPr>
          <w:rFonts w:hint="eastAsia" w:ascii="Times New Roman" w:hAnsi="Times New Roman" w:eastAsia="黑体" w:cs="Times New Roman"/>
          <w:sz w:val="32"/>
          <w:szCs w:val="32"/>
          <w:lang w:eastAsia="zh-CN"/>
        </w:rPr>
      </w:pPr>
    </w:p>
    <w:p w14:paraId="64E9C14C">
      <w:pPr>
        <w:jc w:val="both"/>
        <w:outlineLvl w:val="9"/>
        <w:rPr>
          <w:rFonts w:hint="eastAsia" w:ascii="Times New Roman" w:hAnsi="Times New Roman" w:eastAsia="黑体" w:cs="Times New Roman"/>
          <w:sz w:val="32"/>
          <w:szCs w:val="32"/>
          <w:lang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73EE3FC2">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364" w:name="_Toc10405"/>
      <w:bookmarkStart w:id="365" w:name="_Toc11968"/>
      <w:r>
        <w:rPr>
          <w:rFonts w:hint="default" w:ascii="Times New Roman" w:hAnsi="Times New Roman" w:eastAsia="黑体" w:cs="Times New Roman"/>
          <w:b/>
          <w:bCs w:val="0"/>
          <w:kern w:val="32"/>
          <w:sz w:val="32"/>
          <w:szCs w:val="32"/>
          <w:lang w:val="en-US" w:eastAsia="zh-CN"/>
        </w:rPr>
        <w:t>9</w:t>
      </w:r>
      <w:bookmarkEnd w:id="361"/>
      <w:bookmarkEnd w:id="362"/>
      <w:r>
        <w:rPr>
          <w:rFonts w:hint="default" w:ascii="Times New Roman" w:hAnsi="Times New Roman" w:eastAsia="黑体" w:cs="Times New Roman"/>
          <w:b/>
          <w:bCs w:val="0"/>
          <w:kern w:val="32"/>
          <w:sz w:val="32"/>
          <w:szCs w:val="32"/>
          <w:lang w:val="en-US" w:eastAsia="zh-CN"/>
        </w:rPr>
        <w:t>评价结论</w:t>
      </w:r>
      <w:bookmarkEnd w:id="363"/>
      <w:bookmarkEnd w:id="364"/>
      <w:bookmarkEnd w:id="365"/>
    </w:p>
    <w:p w14:paraId="2CC757E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366" w:name="_Toc410311995"/>
      <w:bookmarkStart w:id="367" w:name="_Toc410311918"/>
      <w:r>
        <w:rPr>
          <w:rFonts w:hint="default" w:ascii="Times New Roman" w:hAnsi="Times New Roman" w:cs="Times New Roman"/>
          <w:sz w:val="28"/>
          <w:szCs w:val="28"/>
        </w:rPr>
        <w:t>根据本项目危险、有害因素分析和定性、定量评价结果，辽宁诺诚安全科技有限公司对</w:t>
      </w:r>
      <w:r>
        <w:rPr>
          <w:rFonts w:hint="eastAsia" w:cs="Times New Roman"/>
          <w:bCs/>
          <w:kern w:val="0"/>
          <w:sz w:val="28"/>
          <w:szCs w:val="28"/>
          <w:lang w:eastAsia="zh-CN"/>
        </w:rPr>
        <w:t>中国石油天然气股份有限公司河北销售绥中第二加油站</w:t>
      </w:r>
      <w:r>
        <w:rPr>
          <w:rFonts w:hint="eastAsia" w:cs="Times New Roman"/>
          <w:bCs/>
          <w:kern w:val="0"/>
          <w:sz w:val="28"/>
          <w:szCs w:val="28"/>
          <w:lang w:val="en-US" w:eastAsia="zh-CN"/>
        </w:rPr>
        <w:t>改建项目</w:t>
      </w:r>
      <w:r>
        <w:rPr>
          <w:rFonts w:hint="default" w:ascii="Times New Roman" w:hAnsi="Times New Roman" w:cs="Times New Roman"/>
          <w:sz w:val="28"/>
          <w:szCs w:val="28"/>
        </w:rPr>
        <w:t>设立安全评价结论如下：</w:t>
      </w:r>
    </w:p>
    <w:p w14:paraId="4036FA91">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68" w:name="_Toc2433"/>
      <w:bookmarkStart w:id="369" w:name="_Toc28208"/>
      <w:bookmarkStart w:id="370" w:name="_Toc41246734"/>
      <w:r>
        <w:rPr>
          <w:rFonts w:hint="default" w:ascii="Times New Roman" w:hAnsi="Times New Roman" w:eastAsia="楷体" w:cs="Times New Roman"/>
          <w:color w:val="auto"/>
          <w:sz w:val="32"/>
          <w:szCs w:val="32"/>
          <w:lang w:val="en-US" w:eastAsia="zh-CN"/>
        </w:rPr>
        <w:t>9.1</w:t>
      </w:r>
      <w:bookmarkEnd w:id="366"/>
      <w:bookmarkEnd w:id="367"/>
      <w:r>
        <w:rPr>
          <w:rFonts w:hint="default" w:ascii="Times New Roman" w:hAnsi="Times New Roman" w:eastAsia="楷体" w:cs="Times New Roman"/>
          <w:color w:val="auto"/>
          <w:sz w:val="32"/>
          <w:szCs w:val="32"/>
          <w:lang w:val="en-US" w:eastAsia="zh-CN"/>
        </w:rPr>
        <w:t>主要危险、有害因素分析结果</w:t>
      </w:r>
      <w:bookmarkEnd w:id="368"/>
      <w:bookmarkEnd w:id="369"/>
      <w:bookmarkEnd w:id="370"/>
    </w:p>
    <w:p w14:paraId="1FA9FDD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bookmarkStart w:id="371" w:name="_Toc446312577"/>
      <w:bookmarkStart w:id="372" w:name="_Toc278879233"/>
      <w:bookmarkStart w:id="373" w:name="_Toc274467299"/>
      <w:r>
        <w:rPr>
          <w:rFonts w:hint="default" w:ascii="Times New Roman" w:hAnsi="Times New Roman" w:cs="Times New Roman"/>
          <w:sz w:val="28"/>
          <w:szCs w:val="28"/>
          <w:lang w:val="zh-CN"/>
        </w:rPr>
        <w:t>（1）危险、有害物质辨识</w:t>
      </w:r>
    </w:p>
    <w:p w14:paraId="7CB6D40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rPr>
        <w:t>本</w:t>
      </w:r>
      <w:r>
        <w:rPr>
          <w:rFonts w:hint="default" w:ascii="Times New Roman" w:hAnsi="Times New Roman" w:cs="Times New Roman"/>
          <w:sz w:val="28"/>
          <w:szCs w:val="28"/>
          <w:lang w:val="zh-CN"/>
        </w:rPr>
        <w:t>项目经营的危险、有害物质是</w:t>
      </w:r>
      <w:r>
        <w:rPr>
          <w:rFonts w:hint="eastAsia" w:cs="Times New Roman"/>
          <w:sz w:val="28"/>
          <w:szCs w:val="28"/>
          <w:lang w:val="zh-CN"/>
        </w:rPr>
        <w:t>乙醇汽油</w:t>
      </w:r>
      <w:r>
        <w:rPr>
          <w:rFonts w:hint="default" w:ascii="Times New Roman" w:hAnsi="Times New Roman" w:cs="Times New Roman"/>
          <w:sz w:val="28"/>
          <w:szCs w:val="28"/>
          <w:lang w:val="zh-CN"/>
        </w:rPr>
        <w:t>、柴油。</w:t>
      </w:r>
      <w:r>
        <w:rPr>
          <w:rFonts w:hint="eastAsia" w:cs="Times New Roman"/>
          <w:sz w:val="28"/>
          <w:szCs w:val="28"/>
          <w:lang w:val="zh-CN"/>
        </w:rPr>
        <w:t>乙醇汽油</w:t>
      </w:r>
      <w:r>
        <w:rPr>
          <w:rFonts w:hint="default" w:ascii="Times New Roman" w:hAnsi="Times New Roman" w:cs="Times New Roman"/>
          <w:sz w:val="28"/>
          <w:szCs w:val="28"/>
          <w:lang w:val="zh-CN"/>
        </w:rPr>
        <w:t>是国家首批重点监管的危险化学品。</w:t>
      </w:r>
    </w:p>
    <w:p w14:paraId="2AA6F64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lang w:val="zh-CN"/>
        </w:rPr>
        <w:t>（2）危险化工工艺辨识</w:t>
      </w:r>
    </w:p>
    <w:p w14:paraId="0B75F77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lang w:val="zh-CN"/>
        </w:rPr>
      </w:pPr>
      <w:r>
        <w:rPr>
          <w:rFonts w:hint="default" w:ascii="Times New Roman" w:hAnsi="Times New Roman" w:cs="Times New Roman"/>
          <w:sz w:val="28"/>
          <w:szCs w:val="28"/>
        </w:rPr>
        <w:t>本</w:t>
      </w:r>
      <w:r>
        <w:rPr>
          <w:rFonts w:hint="default" w:ascii="Times New Roman" w:hAnsi="Times New Roman" w:cs="Times New Roman"/>
          <w:sz w:val="28"/>
          <w:szCs w:val="28"/>
          <w:lang w:val="zh-CN"/>
        </w:rPr>
        <w:t>项目采用的工艺不属于国家重点监管的危险化工工艺。</w:t>
      </w:r>
    </w:p>
    <w:p w14:paraId="55B65AD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lang w:val="zh-CN"/>
        </w:rPr>
      </w:pPr>
      <w:r>
        <w:rPr>
          <w:rFonts w:hint="default" w:ascii="Times New Roman" w:hAnsi="Times New Roman" w:cs="Times New Roman"/>
          <w:sz w:val="28"/>
          <w:szCs w:val="28"/>
          <w:highlight w:val="none"/>
          <w:lang w:val="zh-CN"/>
        </w:rPr>
        <w:t>（3）危险、有害因素</w:t>
      </w:r>
    </w:p>
    <w:p w14:paraId="7CD7D97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t>本项目存在的主要危险、有害因素有：火灾、可燃液体蒸汽爆炸、管道爆炸、泄漏</w:t>
      </w:r>
      <w:r>
        <w:rPr>
          <w:rFonts w:hint="eastAsia" w:cs="Times New Roman"/>
          <w:sz w:val="28"/>
          <w:szCs w:val="28"/>
          <w:highlight w:val="none"/>
          <w:lang w:eastAsia="zh-CN"/>
        </w:rPr>
        <w:t>、</w:t>
      </w:r>
      <w:r>
        <w:rPr>
          <w:rFonts w:hint="default" w:ascii="Times New Roman" w:hAnsi="Times New Roman" w:cs="Times New Roman"/>
          <w:sz w:val="28"/>
          <w:szCs w:val="28"/>
          <w:highlight w:val="none"/>
        </w:rPr>
        <w:t>中毒、窒息、触电、厂（场）内车辆致害、高处坠落、机械致害、物体打击、坍塌和其他（噪声）等。</w:t>
      </w:r>
    </w:p>
    <w:p w14:paraId="370BC58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（4）危险化学品重大危险源辨识</w:t>
      </w:r>
    </w:p>
    <w:p w14:paraId="32652A3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根据《危险化学品重大危险源辨识》（GB18218-2018）进行辨识，本项目未构成危险化学品重大危险源。</w:t>
      </w:r>
    </w:p>
    <w:p w14:paraId="3F1E3AC2">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74" w:name="_Toc3563"/>
      <w:bookmarkStart w:id="375" w:name="_Toc16761"/>
      <w:bookmarkStart w:id="376" w:name="_Toc41246735"/>
      <w:r>
        <w:rPr>
          <w:rFonts w:hint="default" w:ascii="Times New Roman" w:hAnsi="Times New Roman" w:eastAsia="楷体" w:cs="Times New Roman"/>
          <w:color w:val="auto"/>
          <w:sz w:val="32"/>
          <w:szCs w:val="32"/>
          <w:lang w:val="en-US" w:eastAsia="zh-CN"/>
        </w:rPr>
        <w:t>9.2评价结果</w:t>
      </w:r>
      <w:bookmarkEnd w:id="374"/>
      <w:bookmarkEnd w:id="375"/>
      <w:bookmarkEnd w:id="376"/>
    </w:p>
    <w:p w14:paraId="40ABE80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（1）通过安全检查表法对本项目的选址和总平面布置进行评价，本项目选址符合规划，站址所在地的地质条件良好，</w:t>
      </w:r>
      <w:r>
        <w:rPr>
          <w:rFonts w:hint="eastAsia" w:cs="Times New Roman"/>
          <w:sz w:val="28"/>
          <w:szCs w:val="28"/>
          <w:lang w:eastAsia="zh-CN"/>
        </w:rPr>
        <w:t>乙醇汽油</w:t>
      </w:r>
      <w:r>
        <w:rPr>
          <w:rFonts w:hint="default" w:ascii="Times New Roman" w:hAnsi="Times New Roman" w:cs="Times New Roman"/>
          <w:sz w:val="28"/>
          <w:szCs w:val="28"/>
        </w:rPr>
        <w:t>、柴油工艺设施与站外、内建（构）筑物之间的安全间距符合要求。</w:t>
      </w:r>
    </w:p>
    <w:p w14:paraId="1B37DAB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t>（2）通过预先危险性评价法对加油站工艺过程单元进行分析，火灾、可燃液体蒸汽爆炸、管道爆炸、泄漏的危险程度为Ⅲ级，危险程度为危险的，需要采取相应安全措施并予以重视；中毒、窒息、触电、厂（场）内车辆致害、高处坠落、机械致害、物体打击、坍塌和其他（噪声）的危险等级为Ⅱ级，临界的，需要注意。</w:t>
      </w:r>
    </w:p>
    <w:p w14:paraId="011DEBA4">
      <w:pPr>
        <w:keepNext w:val="0"/>
        <w:keepLines w:val="0"/>
        <w:pageBreakBefore w:val="0"/>
        <w:widowControl w:val="0"/>
        <w:tabs>
          <w:tab w:val="left" w:pos="1134"/>
        </w:tabs>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highlight w:val="none"/>
          <w:lang w:eastAsia="zh-CN"/>
        </w:rPr>
      </w:pPr>
      <w:r>
        <w:rPr>
          <w:rFonts w:hint="default" w:ascii="Times New Roman" w:hAnsi="Times New Roman" w:cs="Times New Roman"/>
          <w:sz w:val="28"/>
          <w:szCs w:val="28"/>
          <w:highlight w:val="none"/>
        </w:rPr>
        <w:t>（3）采用</w:t>
      </w:r>
      <w:r>
        <w:rPr>
          <w:rFonts w:hint="eastAsia" w:cs="Times New Roman"/>
          <w:sz w:val="28"/>
          <w:szCs w:val="28"/>
          <w:highlight w:val="none"/>
          <w:lang w:eastAsia="zh-CN"/>
        </w:rPr>
        <w:t>乙醇汽油</w:t>
      </w:r>
      <w:r>
        <w:rPr>
          <w:rFonts w:hint="default" w:ascii="Times New Roman" w:hAnsi="Times New Roman" w:cs="Times New Roman"/>
          <w:sz w:val="28"/>
          <w:szCs w:val="28"/>
          <w:highlight w:val="none"/>
        </w:rPr>
        <w:t>泄漏蒸气云爆炸计算结果：</w:t>
      </w:r>
      <w:r>
        <w:rPr>
          <w:rFonts w:hint="eastAsia" w:cs="Times New Roman"/>
          <w:sz w:val="28"/>
          <w:szCs w:val="28"/>
          <w:highlight w:val="none"/>
          <w:lang w:eastAsia="zh-CN"/>
        </w:rPr>
        <w:t>乙醇汽油</w:t>
      </w:r>
      <w:r>
        <w:rPr>
          <w:rFonts w:hint="default" w:ascii="Times New Roman" w:hAnsi="Times New Roman" w:cs="Times New Roman"/>
          <w:sz w:val="28"/>
          <w:szCs w:val="28"/>
          <w:highlight w:val="none"/>
        </w:rPr>
        <w:t>罐发生泄漏引发蒸气云爆炸，死亡半径为</w:t>
      </w:r>
      <w:r>
        <w:rPr>
          <w:rFonts w:hint="eastAsia" w:ascii="Times New Roman" w:hAnsi="Times New Roman" w:cs="Times New Roman"/>
          <w:sz w:val="28"/>
          <w:szCs w:val="28"/>
          <w:highlight w:val="none"/>
          <w:lang w:val="en-US" w:eastAsia="zh-CN"/>
        </w:rPr>
        <w:t>1</w:t>
      </w:r>
      <w:r>
        <w:rPr>
          <w:rFonts w:hint="eastAsia" w:cs="Times New Roman"/>
          <w:sz w:val="28"/>
          <w:szCs w:val="28"/>
          <w:highlight w:val="none"/>
          <w:lang w:val="en-US" w:eastAsia="zh-CN"/>
        </w:rPr>
        <w:t>6.76</w:t>
      </w:r>
      <w:r>
        <w:rPr>
          <w:rFonts w:hint="default" w:ascii="Times New Roman" w:hAnsi="Times New Roman" w:cs="Times New Roman"/>
          <w:sz w:val="28"/>
          <w:szCs w:val="28"/>
          <w:highlight w:val="none"/>
        </w:rPr>
        <w:t>m。站内站房在死亡半径之</w:t>
      </w:r>
      <w:r>
        <w:rPr>
          <w:rFonts w:hint="eastAsia" w:ascii="Times New Roman" w:hAnsi="Times New Roman" w:cs="Times New Roman"/>
          <w:sz w:val="28"/>
          <w:szCs w:val="28"/>
          <w:highlight w:val="none"/>
          <w:lang w:val="en-US" w:eastAsia="zh-CN"/>
        </w:rPr>
        <w:t>内</w:t>
      </w:r>
      <w:r>
        <w:rPr>
          <w:rFonts w:hint="default" w:ascii="Times New Roman" w:hAnsi="Times New Roman" w:cs="Times New Roman"/>
          <w:sz w:val="28"/>
          <w:szCs w:val="28"/>
          <w:highlight w:val="none"/>
        </w:rPr>
        <w:t>，如果发生蒸气云爆炸，站房及其内人员会受到死亡威胁</w:t>
      </w:r>
      <w:r>
        <w:rPr>
          <w:rFonts w:hint="eastAsia" w:ascii="Times New Roman" w:hAnsi="Times New Roman" w:cs="Times New Roman"/>
          <w:sz w:val="28"/>
          <w:szCs w:val="28"/>
          <w:highlight w:val="none"/>
          <w:lang w:eastAsia="zh-CN"/>
        </w:rPr>
        <w:t>。</w:t>
      </w:r>
    </w:p>
    <w:p w14:paraId="203A778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本项目选用双层管道及油罐，油罐安装有液位仪及测漏仪等安全技术手段，发生油品泄漏的概率较小，因此，对周边造成的影响较小。</w:t>
      </w:r>
    </w:p>
    <w:p w14:paraId="58FF8E3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（4）本项目采用</w:t>
      </w:r>
      <w:r>
        <w:rPr>
          <w:rFonts w:hint="eastAsia" w:ascii="Times New Roman" w:hAnsi="Times New Roman" w:cs="Times New Roman"/>
          <w:sz w:val="28"/>
          <w:szCs w:val="28"/>
          <w:lang w:val="en-US" w:eastAsia="zh-CN"/>
        </w:rPr>
        <w:t>自吸</w:t>
      </w:r>
      <w:r>
        <w:rPr>
          <w:rFonts w:hint="default" w:ascii="Times New Roman" w:hAnsi="Times New Roman" w:cs="Times New Roman"/>
          <w:sz w:val="28"/>
          <w:szCs w:val="28"/>
        </w:rPr>
        <w:t>泵式加油和密闭卸油方式，其工艺在国内均有使用，其工艺流程成熟，埋地玻璃纤维增强塑料双层油罐安全性能良好。</w:t>
      </w:r>
    </w:p>
    <w:p w14:paraId="53D2ED2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通过总结设立安全评价工作的成果以及较充分的行业调研，针对本项目存在的危险有害因素，在平面布局、工艺设备、安全设施、综合管理等方面提出了安全对策措施与建议，建设单位如能采纳和落实本评价报告提出的安全对策措施与建议，项目建成后，能够保证各项安全生产规章制度的实施与监督，就能有效地将风险控制在可接受的程度内，实现建设项目安全运行。</w:t>
      </w:r>
    </w:p>
    <w:p w14:paraId="0A43DF8E">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77" w:name="_Toc24354"/>
      <w:bookmarkStart w:id="378" w:name="_Toc41246737"/>
      <w:bookmarkStart w:id="379" w:name="_Toc19394"/>
      <w:r>
        <w:rPr>
          <w:rFonts w:hint="default" w:ascii="Times New Roman" w:hAnsi="Times New Roman" w:eastAsia="楷体" w:cs="Times New Roman"/>
          <w:color w:val="auto"/>
          <w:sz w:val="32"/>
          <w:szCs w:val="32"/>
          <w:lang w:val="en-US" w:eastAsia="zh-CN"/>
        </w:rPr>
        <w:t>9.</w:t>
      </w:r>
      <w:bookmarkEnd w:id="371"/>
      <w:bookmarkEnd w:id="372"/>
      <w:bookmarkEnd w:id="373"/>
      <w:r>
        <w:rPr>
          <w:rFonts w:hint="default" w:ascii="Times New Roman" w:hAnsi="Times New Roman" w:eastAsia="楷体" w:cs="Times New Roman"/>
          <w:color w:val="auto"/>
          <w:sz w:val="32"/>
          <w:szCs w:val="32"/>
          <w:lang w:val="en-US" w:eastAsia="zh-CN"/>
        </w:rPr>
        <w:t>3设立安全评价结论</w:t>
      </w:r>
      <w:bookmarkEnd w:id="377"/>
      <w:bookmarkEnd w:id="378"/>
      <w:bookmarkEnd w:id="379"/>
    </w:p>
    <w:p w14:paraId="33C720F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中华人民共和国安全生产法》（中华人民共和国主席令[2021]第八十八号，2021年09月01日施行）、《危险化学品安全管理条例》（中华人民共和国国务院令[2011]第591号，中华人民共和国国务院令[2013]第645号修订，2013年12月7日实施）、《危险化学品建设项目安全监督管理办法》（原国家安全生产督监管理总局令[2012]第45号，原国家安全监督管理局令[2015]第79号修订，2015年07月01日实施）、《</w:t>
      </w:r>
      <w:r>
        <w:rPr>
          <w:rFonts w:hint="default" w:ascii="Times New Roman" w:hAnsi="Times New Roman" w:cs="Times New Roman"/>
        </w:rPr>
        <w:fldChar w:fldCharType="begin"/>
      </w:r>
      <w:r>
        <w:rPr>
          <w:rFonts w:hint="default" w:ascii="Times New Roman" w:hAnsi="Times New Roman" w:cs="Times New Roman"/>
        </w:rPr>
        <w:instrText xml:space="preserve"> HYPERLINK "https://gf.1190119.com/list-170.htm" </w:instrText>
      </w:r>
      <w:r>
        <w:rPr>
          <w:rFonts w:hint="default" w:ascii="Times New Roman" w:hAnsi="Times New Roman" w:cs="Times New Roman"/>
        </w:rPr>
        <w:fldChar w:fldCharType="separate"/>
      </w:r>
      <w:r>
        <w:rPr>
          <w:rFonts w:hint="default" w:ascii="Times New Roman" w:hAnsi="Times New Roman" w:cs="Times New Roman"/>
          <w:sz w:val="28"/>
          <w:szCs w:val="28"/>
        </w:rPr>
        <w:t>汽车加油加气加氢站技术标准</w:t>
      </w:r>
      <w:r>
        <w:rPr>
          <w:rFonts w:hint="default" w:ascii="Times New Roman" w:hAnsi="Times New Roman" w:cs="Times New Roman"/>
          <w:sz w:val="28"/>
          <w:szCs w:val="28"/>
        </w:rPr>
        <w:fldChar w:fldCharType="end"/>
      </w:r>
      <w:r>
        <w:rPr>
          <w:rFonts w:hint="default" w:ascii="Times New Roman" w:hAnsi="Times New Roman" w:cs="Times New Roman"/>
          <w:sz w:val="28"/>
          <w:szCs w:val="28"/>
        </w:rPr>
        <w:t>》（GB50156-2021）和《建筑设计防火规范（2018年版）》（GB50016-2014）等国家及行业相关技术标准的要求，对</w:t>
      </w:r>
      <w:r>
        <w:rPr>
          <w:rFonts w:hint="eastAsia" w:cs="Times New Roman"/>
          <w:sz w:val="28"/>
          <w:szCs w:val="28"/>
          <w:lang w:eastAsia="zh-CN"/>
        </w:rPr>
        <w:t>中国石油天然气股份有限公司河北销售绥中第二加油站改建项目</w:t>
      </w:r>
      <w:r>
        <w:rPr>
          <w:rFonts w:hint="default" w:ascii="Times New Roman" w:hAnsi="Times New Roman" w:cs="Times New Roman"/>
          <w:sz w:val="28"/>
          <w:szCs w:val="28"/>
        </w:rPr>
        <w:t>进行了全面的分析和评价。</w:t>
      </w:r>
    </w:p>
    <w:p w14:paraId="6FA37DE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eastAsia" w:cs="Times New Roman"/>
          <w:sz w:val="28"/>
          <w:szCs w:val="28"/>
          <w:lang w:eastAsia="zh-CN"/>
        </w:rPr>
        <w:t>中国石油天然气股份有限公司河北销售绥中第二加油站改建项目</w:t>
      </w:r>
      <w:r>
        <w:rPr>
          <w:rFonts w:hint="default" w:ascii="Times New Roman" w:hAnsi="Times New Roman" w:cs="Times New Roman"/>
          <w:sz w:val="28"/>
          <w:szCs w:val="28"/>
        </w:rPr>
        <w:t>在日后的设计、施工过程中，如能落实本评价报告提出的安全对策措施。项目投产后，能够保证各项安全生产规章制度的实施与监督，就能有效地控制储存、经营过程中的危险因素和有害因素，符合安全生产的要求。</w:t>
      </w:r>
    </w:p>
    <w:p w14:paraId="51EF15C3">
      <w:pPr>
        <w:rPr>
          <w:rFonts w:hint="default" w:ascii="Times New Roman" w:hAnsi="Times New Roman" w:cs="Times New Roman"/>
          <w:bCs/>
          <w:sz w:val="28"/>
          <w:szCs w:val="28"/>
        </w:rPr>
      </w:pPr>
    </w:p>
    <w:p w14:paraId="4793DE6B">
      <w:pPr>
        <w:pStyle w:val="5"/>
        <w:rPr>
          <w:rFonts w:hint="default" w:ascii="Times New Roman" w:hAnsi="Times New Roman" w:cs="Times New Roman"/>
        </w:rPr>
      </w:pPr>
    </w:p>
    <w:p w14:paraId="530EF624">
      <w:pPr>
        <w:rPr>
          <w:rFonts w:hint="default" w:ascii="Times New Roman" w:hAnsi="Times New Roman" w:cs="Times New Roman"/>
        </w:rPr>
      </w:pPr>
    </w:p>
    <w:p w14:paraId="7B7D4045">
      <w:pPr>
        <w:pStyle w:val="5"/>
        <w:rPr>
          <w:rFonts w:hint="default" w:ascii="Times New Roman" w:hAnsi="Times New Roman" w:cs="Times New Roman"/>
        </w:rPr>
      </w:pPr>
    </w:p>
    <w:p w14:paraId="2528C91F">
      <w:pPr>
        <w:pStyle w:val="5"/>
        <w:rPr>
          <w:rFonts w:hint="default" w:ascii="Times New Roman" w:hAnsi="Times New Roman" w:cs="Times New Roman"/>
        </w:rPr>
      </w:pPr>
    </w:p>
    <w:p w14:paraId="158D5A2C">
      <w:pPr>
        <w:pStyle w:val="5"/>
        <w:rPr>
          <w:rFonts w:hint="default" w:ascii="Times New Roman" w:hAnsi="Times New Roman" w:cs="Times New Roman"/>
        </w:rPr>
      </w:pPr>
    </w:p>
    <w:p w14:paraId="515154B6">
      <w:pPr>
        <w:pStyle w:val="5"/>
        <w:rPr>
          <w:rFonts w:hint="default" w:ascii="Times New Roman" w:hAnsi="Times New Roman" w:cs="Times New Roman"/>
        </w:rPr>
      </w:pPr>
    </w:p>
    <w:p w14:paraId="15DE9EE5">
      <w:pPr>
        <w:pStyle w:val="5"/>
        <w:rPr>
          <w:rFonts w:hint="default" w:ascii="Times New Roman" w:hAnsi="Times New Roman" w:cs="Times New Roman"/>
        </w:rPr>
      </w:pPr>
    </w:p>
    <w:p w14:paraId="3038BE1D">
      <w:pPr>
        <w:pStyle w:val="5"/>
        <w:ind w:left="0" w:leftChars="0" w:firstLine="0" w:firstLineChars="0"/>
        <w:jc w:val="both"/>
        <w:rPr>
          <w:rFonts w:hint="default" w:ascii="Times New Roman" w:hAnsi="Times New Roman" w:cs="Times New Roman"/>
        </w:rPr>
      </w:pPr>
    </w:p>
    <w:p w14:paraId="4229DB89">
      <w:pPr>
        <w:pStyle w:val="5"/>
        <w:rPr>
          <w:rFonts w:hint="default" w:ascii="Times New Roman" w:hAnsi="Times New Roman" w:cs="Times New Roman"/>
        </w:rPr>
      </w:pPr>
    </w:p>
    <w:p w14:paraId="0C6E5134">
      <w:pPr>
        <w:ind w:firstLine="320"/>
        <w:jc w:val="center"/>
        <w:rPr>
          <w:rFonts w:hint="default" w:ascii="Times New Roman" w:hAnsi="Times New Roman" w:eastAsia="黑体" w:cs="Times New Roman"/>
          <w:sz w:val="32"/>
          <w:szCs w:val="32"/>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bookmarkStart w:id="380" w:name="_Toc410311997"/>
      <w:bookmarkStart w:id="381" w:name="_Toc410311920"/>
      <w:bookmarkStart w:id="382" w:name="_Toc41246738"/>
    </w:p>
    <w:p w14:paraId="39CD8934">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383" w:name="_Toc5578"/>
      <w:bookmarkStart w:id="384" w:name="_Toc13739"/>
      <w:r>
        <w:rPr>
          <w:rFonts w:hint="default" w:ascii="Times New Roman" w:hAnsi="Times New Roman" w:eastAsia="黑体" w:cs="Times New Roman"/>
          <w:b/>
          <w:bCs w:val="0"/>
          <w:kern w:val="32"/>
          <w:sz w:val="32"/>
          <w:szCs w:val="32"/>
          <w:lang w:val="en-US" w:eastAsia="zh-CN"/>
        </w:rPr>
        <w:t>10与建设单位交换意见</w:t>
      </w:r>
      <w:bookmarkEnd w:id="380"/>
      <w:bookmarkEnd w:id="381"/>
      <w:bookmarkEnd w:id="382"/>
      <w:bookmarkEnd w:id="383"/>
      <w:bookmarkEnd w:id="384"/>
    </w:p>
    <w:p w14:paraId="5919D6B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579E5554">
      <w:pPr>
        <w:ind w:firstLine="280"/>
        <w:rPr>
          <w:rFonts w:hint="default" w:ascii="Times New Roman" w:hAnsi="Times New Roman" w:cs="Times New Roman"/>
          <w:sz w:val="28"/>
          <w:szCs w:val="28"/>
        </w:rPr>
      </w:pPr>
    </w:p>
    <w:p w14:paraId="08EA2952">
      <w:pPr>
        <w:ind w:firstLine="560" w:firstLineChars="200"/>
        <w:rPr>
          <w:rFonts w:hint="default" w:ascii="Times New Roman" w:hAnsi="Times New Roman" w:cs="Times New Roman"/>
          <w:sz w:val="28"/>
          <w:szCs w:val="28"/>
        </w:rPr>
      </w:pPr>
    </w:p>
    <w:p w14:paraId="0FA7E8FC">
      <w:pPr>
        <w:ind w:firstLine="280"/>
        <w:rPr>
          <w:rFonts w:hint="default" w:ascii="Times New Roman" w:hAnsi="Times New Roman" w:cs="Times New Roman"/>
          <w:spacing w:val="10"/>
          <w:szCs w:val="21"/>
        </w:rPr>
      </w:pPr>
      <w:r>
        <w:rPr>
          <w:rFonts w:hint="default" w:ascii="Times New Roman" w:hAnsi="Times New Roman" w:cs="Times New Roman"/>
          <w:sz w:val="28"/>
          <w:szCs w:val="28"/>
        </w:rPr>
        <w:br w:type="page"/>
      </w:r>
      <w:bookmarkStart w:id="385" w:name="_Toc41246745"/>
      <w:bookmarkStart w:id="386" w:name="_Toc41246746"/>
    </w:p>
    <w:p w14:paraId="7C517DCF">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387" w:name="_Toc25047"/>
      <w:bookmarkStart w:id="388" w:name="_Toc24079"/>
      <w:r>
        <w:rPr>
          <w:rFonts w:hint="default" w:ascii="Times New Roman" w:hAnsi="Times New Roman" w:eastAsia="黑体" w:cs="Times New Roman"/>
          <w:b/>
          <w:bCs w:val="0"/>
          <w:kern w:val="32"/>
          <w:sz w:val="32"/>
          <w:szCs w:val="32"/>
          <w:lang w:val="en-US" w:eastAsia="zh-CN"/>
        </w:rPr>
        <w:t>附录1评价依据</w:t>
      </w:r>
      <w:bookmarkEnd w:id="387"/>
      <w:bookmarkEnd w:id="388"/>
    </w:p>
    <w:p w14:paraId="1F2C167C">
      <w:pPr>
        <w:pStyle w:val="3"/>
        <w:keepNext/>
        <w:keepLines/>
        <w:pageBreakBefore w:val="0"/>
        <w:widowControl w:val="0"/>
        <w:kinsoku/>
        <w:wordWrap/>
        <w:overflowPunct/>
        <w:topLinePunct w:val="0"/>
        <w:autoSpaceDE/>
        <w:autoSpaceDN/>
        <w:bidi w:val="0"/>
        <w:adjustRightInd w:val="0"/>
        <w:snapToGrid w:val="0"/>
        <w:spacing w:before="313" w:beforeLines="100" w:after="313" w:afterLines="100" w:line="360" w:lineRule="auto"/>
        <w:jc w:val="center"/>
        <w:textAlignment w:val="auto"/>
        <w:rPr>
          <w:rFonts w:hint="default" w:ascii="Times New Roman" w:hAnsi="Times New Roman" w:eastAsia="楷体" w:cs="Times New Roman"/>
          <w:color w:val="auto"/>
          <w:sz w:val="32"/>
          <w:szCs w:val="32"/>
          <w:lang w:val="en-US" w:eastAsia="zh-CN"/>
        </w:rPr>
      </w:pPr>
      <w:bookmarkStart w:id="389" w:name="_Toc8405"/>
      <w:bookmarkStart w:id="390" w:name="_Toc4682"/>
      <w:bookmarkStart w:id="391" w:name="_Toc41246777"/>
      <w:bookmarkStart w:id="392" w:name="_Toc410311941"/>
      <w:bookmarkStart w:id="393" w:name="_Toc3112542"/>
      <w:bookmarkStart w:id="394" w:name="_Toc410312018"/>
      <w:bookmarkStart w:id="395" w:name="_Toc9359"/>
      <w:r>
        <w:rPr>
          <w:rFonts w:hint="default" w:ascii="Times New Roman" w:hAnsi="Times New Roman" w:eastAsia="楷体" w:cs="Times New Roman"/>
          <w:color w:val="auto"/>
          <w:sz w:val="32"/>
          <w:szCs w:val="32"/>
          <w:lang w:val="en-US" w:eastAsia="zh-CN"/>
        </w:rPr>
        <w:t>F1.1法律</w:t>
      </w:r>
      <w:bookmarkEnd w:id="389"/>
      <w:bookmarkEnd w:id="390"/>
    </w:p>
    <w:p w14:paraId="63A60653">
      <w:pPr>
        <w:pStyle w:val="26"/>
        <w:numPr>
          <w:ilvl w:val="0"/>
          <w:numId w:val="24"/>
        </w:numPr>
        <w:tabs>
          <w:tab w:val="left" w:pos="1260"/>
        </w:tabs>
        <w:kinsoku w:val="0"/>
        <w:overflowPunct w:val="0"/>
        <w:autoSpaceDE w:val="0"/>
        <w:autoSpaceDN w:val="0"/>
        <w:ind w:firstLine="56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《中华人民共和国安全生产法》（中华人民共和国主席令</w:t>
      </w:r>
      <w:r>
        <w:rPr>
          <w:rFonts w:hint="eastAsia" w:ascii="Times New Roman" w:hAnsi="Times New Roman" w:eastAsia="宋体" w:cs="Times New Roman"/>
          <w:color w:val="auto"/>
          <w:highlight w:val="none"/>
        </w:rPr>
        <w:t>[2021]</w:t>
      </w:r>
      <w:r>
        <w:rPr>
          <w:rFonts w:ascii="Times New Roman" w:hAnsi="Times New Roman" w:eastAsia="宋体" w:cs="Times New Roman"/>
          <w:color w:val="auto"/>
          <w:highlight w:val="none"/>
        </w:rPr>
        <w:t>第八十八号，2021年09月01日</w:t>
      </w:r>
      <w:r>
        <w:rPr>
          <w:rFonts w:hint="eastAsia" w:ascii="Times New Roman" w:hAnsi="Times New Roman" w:eastAsia="宋体" w:cs="Times New Roman"/>
          <w:color w:val="auto"/>
          <w:highlight w:val="none"/>
        </w:rPr>
        <w:t>实施</w:t>
      </w:r>
      <w:r>
        <w:rPr>
          <w:rFonts w:ascii="Times New Roman" w:hAnsi="Times New Roman" w:eastAsia="宋体" w:cs="Times New Roman"/>
          <w:color w:val="auto"/>
          <w:highlight w:val="none"/>
        </w:rPr>
        <w:t>）</w:t>
      </w:r>
    </w:p>
    <w:p w14:paraId="1A3F8D6B">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ascii="Times New Roman" w:hAnsi="Times New Roman" w:eastAsia="宋体" w:cs="Times New Roman"/>
          <w:color w:val="auto"/>
          <w:kern w:val="28"/>
          <w:sz w:val="28"/>
          <w:szCs w:val="20"/>
          <w:highlight w:val="none"/>
          <w:lang w:val="en-US" w:eastAsia="zh-CN" w:bidi="ar-SA"/>
        </w:rPr>
        <w:t>《中华人民共和国消防法》（中华人民共和国主席令</w:t>
      </w:r>
      <w:r>
        <w:rPr>
          <w:rFonts w:hint="eastAsia" w:ascii="Times New Roman" w:hAnsi="Times New Roman" w:eastAsia="宋体" w:cs="Times New Roman"/>
          <w:color w:val="auto"/>
          <w:kern w:val="28"/>
          <w:sz w:val="28"/>
          <w:szCs w:val="20"/>
          <w:highlight w:val="none"/>
          <w:lang w:val="en-US" w:eastAsia="zh-CN" w:bidi="ar-SA"/>
        </w:rPr>
        <w:t>[2021]</w:t>
      </w:r>
      <w:r>
        <w:rPr>
          <w:rFonts w:ascii="Times New Roman" w:hAnsi="Times New Roman" w:eastAsia="宋体" w:cs="Times New Roman"/>
          <w:color w:val="auto"/>
          <w:kern w:val="28"/>
          <w:sz w:val="28"/>
          <w:szCs w:val="20"/>
          <w:highlight w:val="none"/>
          <w:lang w:val="en-US" w:eastAsia="zh-CN" w:bidi="ar-SA"/>
        </w:rPr>
        <w:t>第</w:t>
      </w:r>
      <w:r>
        <w:rPr>
          <w:rFonts w:hint="eastAsia" w:ascii="Times New Roman" w:hAnsi="Times New Roman" w:eastAsia="宋体" w:cs="Times New Roman"/>
          <w:color w:val="auto"/>
          <w:kern w:val="28"/>
          <w:sz w:val="28"/>
          <w:szCs w:val="20"/>
          <w:highlight w:val="none"/>
          <w:lang w:val="en-US" w:eastAsia="zh-CN" w:bidi="ar-SA"/>
        </w:rPr>
        <w:t>八十一</w:t>
      </w:r>
      <w:r>
        <w:rPr>
          <w:rFonts w:ascii="Times New Roman" w:hAnsi="Times New Roman" w:eastAsia="宋体" w:cs="Times New Roman"/>
          <w:color w:val="auto"/>
          <w:kern w:val="28"/>
          <w:sz w:val="28"/>
          <w:szCs w:val="20"/>
          <w:highlight w:val="none"/>
          <w:lang w:val="en-US" w:eastAsia="zh-CN" w:bidi="ar-SA"/>
        </w:rPr>
        <w:t>号，20</w:t>
      </w:r>
      <w:r>
        <w:rPr>
          <w:rFonts w:hint="eastAsia" w:ascii="Times New Roman" w:hAnsi="Times New Roman" w:eastAsia="宋体" w:cs="Times New Roman"/>
          <w:color w:val="auto"/>
          <w:kern w:val="28"/>
          <w:sz w:val="28"/>
          <w:szCs w:val="20"/>
          <w:highlight w:val="none"/>
          <w:lang w:val="en-US" w:eastAsia="zh-CN" w:bidi="ar-SA"/>
        </w:rPr>
        <w:t>21</w:t>
      </w:r>
      <w:r>
        <w:rPr>
          <w:rFonts w:ascii="Times New Roman" w:hAnsi="Times New Roman" w:eastAsia="宋体" w:cs="Times New Roman"/>
          <w:color w:val="auto"/>
          <w:kern w:val="28"/>
          <w:sz w:val="28"/>
          <w:szCs w:val="20"/>
          <w:highlight w:val="none"/>
          <w:lang w:val="en-US" w:eastAsia="zh-CN" w:bidi="ar-SA"/>
        </w:rPr>
        <w:t>年04月</w:t>
      </w:r>
      <w:r>
        <w:rPr>
          <w:rFonts w:hint="eastAsia" w:ascii="Times New Roman" w:hAnsi="Times New Roman" w:eastAsia="宋体" w:cs="Times New Roman"/>
          <w:color w:val="auto"/>
          <w:kern w:val="28"/>
          <w:sz w:val="28"/>
          <w:szCs w:val="20"/>
          <w:highlight w:val="none"/>
          <w:lang w:val="en-US" w:eastAsia="zh-CN" w:bidi="ar-SA"/>
        </w:rPr>
        <w:t>29</w:t>
      </w:r>
      <w:r>
        <w:rPr>
          <w:rFonts w:ascii="Times New Roman" w:hAnsi="Times New Roman" w:eastAsia="宋体" w:cs="Times New Roman"/>
          <w:color w:val="auto"/>
          <w:kern w:val="28"/>
          <w:sz w:val="28"/>
          <w:szCs w:val="20"/>
          <w:highlight w:val="none"/>
          <w:lang w:val="en-US" w:eastAsia="zh-CN" w:bidi="ar-SA"/>
        </w:rPr>
        <w:t>日</w:t>
      </w:r>
      <w:r>
        <w:rPr>
          <w:rFonts w:hint="eastAsia" w:ascii="Times New Roman" w:hAnsi="Times New Roman" w:eastAsia="宋体" w:cs="Times New Roman"/>
          <w:color w:val="auto"/>
          <w:kern w:val="28"/>
          <w:sz w:val="28"/>
          <w:szCs w:val="20"/>
          <w:highlight w:val="none"/>
          <w:lang w:val="en-US" w:eastAsia="zh-CN" w:bidi="ar-SA"/>
        </w:rPr>
        <w:t>实施</w:t>
      </w:r>
      <w:r>
        <w:rPr>
          <w:rFonts w:ascii="Times New Roman" w:hAnsi="Times New Roman" w:eastAsia="宋体" w:cs="Times New Roman"/>
          <w:color w:val="auto"/>
          <w:kern w:val="28"/>
          <w:sz w:val="28"/>
          <w:szCs w:val="20"/>
          <w:highlight w:val="none"/>
          <w:lang w:val="en-US" w:eastAsia="zh-CN" w:bidi="ar-SA"/>
        </w:rPr>
        <w:t>）</w:t>
      </w:r>
    </w:p>
    <w:p w14:paraId="00671DBB">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ascii="Times New Roman" w:hAnsi="Times New Roman" w:eastAsia="宋体" w:cs="Times New Roman"/>
          <w:color w:val="auto"/>
          <w:kern w:val="28"/>
          <w:sz w:val="28"/>
          <w:szCs w:val="20"/>
          <w:highlight w:val="none"/>
          <w:lang w:val="en-US" w:eastAsia="zh-CN" w:bidi="ar-SA"/>
        </w:rPr>
        <w:t>《中华人民共和国职业病防治法》（中华人民共和国主席令</w:t>
      </w:r>
      <w:r>
        <w:rPr>
          <w:rFonts w:hint="eastAsia" w:ascii="Times New Roman" w:hAnsi="Times New Roman" w:eastAsia="宋体" w:cs="Times New Roman"/>
          <w:color w:val="auto"/>
          <w:kern w:val="28"/>
          <w:sz w:val="28"/>
          <w:szCs w:val="20"/>
          <w:highlight w:val="none"/>
          <w:lang w:val="en-US" w:eastAsia="zh-CN" w:bidi="ar-SA"/>
        </w:rPr>
        <w:t>[2018]</w:t>
      </w:r>
      <w:r>
        <w:rPr>
          <w:rFonts w:ascii="Times New Roman" w:hAnsi="Times New Roman" w:eastAsia="宋体" w:cs="Times New Roman"/>
          <w:color w:val="auto"/>
          <w:kern w:val="28"/>
          <w:sz w:val="28"/>
          <w:szCs w:val="20"/>
          <w:highlight w:val="none"/>
          <w:lang w:val="en-US" w:eastAsia="zh-CN" w:bidi="ar-SA"/>
        </w:rPr>
        <w:t>第</w:t>
      </w:r>
      <w:r>
        <w:rPr>
          <w:rFonts w:hint="eastAsia" w:ascii="Times New Roman" w:hAnsi="Times New Roman" w:eastAsia="宋体" w:cs="Times New Roman"/>
          <w:color w:val="auto"/>
          <w:kern w:val="28"/>
          <w:sz w:val="28"/>
          <w:szCs w:val="20"/>
          <w:highlight w:val="none"/>
          <w:lang w:val="en-US" w:eastAsia="zh-CN" w:bidi="ar-SA"/>
        </w:rPr>
        <w:t>二十四</w:t>
      </w:r>
      <w:r>
        <w:rPr>
          <w:rFonts w:ascii="Times New Roman" w:hAnsi="Times New Roman" w:eastAsia="宋体" w:cs="Times New Roman"/>
          <w:color w:val="auto"/>
          <w:kern w:val="28"/>
          <w:sz w:val="28"/>
          <w:szCs w:val="20"/>
          <w:highlight w:val="none"/>
          <w:lang w:val="en-US" w:eastAsia="zh-CN" w:bidi="ar-SA"/>
        </w:rPr>
        <w:t>号，201</w:t>
      </w:r>
      <w:r>
        <w:rPr>
          <w:rFonts w:hint="eastAsia" w:ascii="Times New Roman" w:hAnsi="Times New Roman" w:eastAsia="宋体" w:cs="Times New Roman"/>
          <w:color w:val="auto"/>
          <w:kern w:val="28"/>
          <w:sz w:val="28"/>
          <w:szCs w:val="20"/>
          <w:highlight w:val="none"/>
          <w:lang w:val="en-US" w:eastAsia="zh-CN" w:bidi="ar-SA"/>
        </w:rPr>
        <w:t>8</w:t>
      </w:r>
      <w:r>
        <w:rPr>
          <w:rFonts w:ascii="Times New Roman" w:hAnsi="Times New Roman" w:eastAsia="宋体" w:cs="Times New Roman"/>
          <w:color w:val="auto"/>
          <w:kern w:val="28"/>
          <w:sz w:val="28"/>
          <w:szCs w:val="20"/>
          <w:highlight w:val="none"/>
          <w:lang w:val="en-US" w:eastAsia="zh-CN" w:bidi="ar-SA"/>
        </w:rPr>
        <w:t>年12月</w:t>
      </w:r>
      <w:r>
        <w:rPr>
          <w:rFonts w:hint="eastAsia" w:ascii="Times New Roman" w:hAnsi="Times New Roman" w:eastAsia="宋体" w:cs="Times New Roman"/>
          <w:color w:val="auto"/>
          <w:kern w:val="28"/>
          <w:sz w:val="28"/>
          <w:szCs w:val="20"/>
          <w:highlight w:val="none"/>
          <w:lang w:val="en-US" w:eastAsia="zh-CN" w:bidi="ar-SA"/>
        </w:rPr>
        <w:t>29</w:t>
      </w:r>
      <w:r>
        <w:rPr>
          <w:rFonts w:ascii="Times New Roman" w:hAnsi="Times New Roman" w:eastAsia="宋体" w:cs="Times New Roman"/>
          <w:color w:val="auto"/>
          <w:kern w:val="28"/>
          <w:sz w:val="28"/>
          <w:szCs w:val="20"/>
          <w:highlight w:val="none"/>
          <w:lang w:val="en-US" w:eastAsia="zh-CN" w:bidi="ar-SA"/>
        </w:rPr>
        <w:t>日</w:t>
      </w:r>
      <w:r>
        <w:rPr>
          <w:rFonts w:hint="eastAsia" w:ascii="Times New Roman" w:hAnsi="Times New Roman" w:eastAsia="宋体" w:cs="Times New Roman"/>
          <w:color w:val="auto"/>
          <w:kern w:val="28"/>
          <w:sz w:val="28"/>
          <w:szCs w:val="20"/>
          <w:highlight w:val="none"/>
          <w:lang w:val="en-US" w:eastAsia="zh-CN" w:bidi="ar-SA"/>
        </w:rPr>
        <w:t>实施</w:t>
      </w:r>
      <w:r>
        <w:rPr>
          <w:rFonts w:ascii="Times New Roman" w:hAnsi="Times New Roman" w:eastAsia="宋体" w:cs="Times New Roman"/>
          <w:color w:val="auto"/>
          <w:kern w:val="28"/>
          <w:sz w:val="28"/>
          <w:szCs w:val="20"/>
          <w:highlight w:val="none"/>
          <w:lang w:val="en-US" w:eastAsia="zh-CN" w:bidi="ar-SA"/>
        </w:rPr>
        <w:t>）</w:t>
      </w:r>
    </w:p>
    <w:p w14:paraId="745D605C">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ascii="Times New Roman" w:hAnsi="Times New Roman" w:eastAsia="宋体" w:cs="Times New Roman"/>
          <w:color w:val="auto"/>
          <w:kern w:val="28"/>
          <w:sz w:val="28"/>
          <w:szCs w:val="20"/>
          <w:highlight w:val="none"/>
          <w:lang w:val="en-US" w:eastAsia="zh-CN" w:bidi="ar-SA"/>
        </w:rPr>
        <w:t>《中华人民共和国气象法》（中华人民共和国主席令</w:t>
      </w:r>
      <w:r>
        <w:rPr>
          <w:rFonts w:hint="eastAsia" w:ascii="Times New Roman" w:hAnsi="Times New Roman" w:eastAsia="宋体" w:cs="Times New Roman"/>
          <w:color w:val="auto"/>
          <w:kern w:val="28"/>
          <w:sz w:val="28"/>
          <w:szCs w:val="20"/>
          <w:highlight w:val="none"/>
          <w:lang w:val="en-US" w:eastAsia="zh-CN" w:bidi="ar-SA"/>
        </w:rPr>
        <w:t>[2016]</w:t>
      </w:r>
      <w:r>
        <w:rPr>
          <w:rFonts w:ascii="Times New Roman" w:hAnsi="Times New Roman" w:eastAsia="宋体" w:cs="Times New Roman"/>
          <w:color w:val="auto"/>
          <w:kern w:val="28"/>
          <w:sz w:val="28"/>
          <w:szCs w:val="20"/>
          <w:highlight w:val="none"/>
          <w:lang w:val="en-US" w:eastAsia="zh-CN" w:bidi="ar-SA"/>
        </w:rPr>
        <w:t>第</w:t>
      </w:r>
      <w:r>
        <w:rPr>
          <w:rFonts w:hint="eastAsia" w:ascii="Times New Roman" w:hAnsi="Times New Roman" w:eastAsia="宋体" w:cs="Times New Roman"/>
          <w:color w:val="auto"/>
          <w:kern w:val="28"/>
          <w:sz w:val="28"/>
          <w:szCs w:val="20"/>
          <w:highlight w:val="none"/>
          <w:lang w:val="en-US" w:eastAsia="zh-CN" w:bidi="ar-SA"/>
        </w:rPr>
        <w:t>五十七</w:t>
      </w:r>
      <w:r>
        <w:rPr>
          <w:rFonts w:ascii="Times New Roman" w:hAnsi="Times New Roman" w:eastAsia="宋体" w:cs="Times New Roman"/>
          <w:color w:val="auto"/>
          <w:kern w:val="28"/>
          <w:sz w:val="28"/>
          <w:szCs w:val="20"/>
          <w:highlight w:val="none"/>
          <w:lang w:val="en-US" w:eastAsia="zh-CN" w:bidi="ar-SA"/>
        </w:rPr>
        <w:t>号，20</w:t>
      </w:r>
      <w:r>
        <w:rPr>
          <w:rFonts w:hint="eastAsia" w:ascii="Times New Roman" w:hAnsi="Times New Roman" w:eastAsia="宋体" w:cs="Times New Roman"/>
          <w:color w:val="auto"/>
          <w:kern w:val="28"/>
          <w:sz w:val="28"/>
          <w:szCs w:val="20"/>
          <w:highlight w:val="none"/>
          <w:lang w:val="en-US" w:eastAsia="zh-CN" w:bidi="ar-SA"/>
        </w:rPr>
        <w:t>16</w:t>
      </w:r>
      <w:r>
        <w:rPr>
          <w:rFonts w:ascii="Times New Roman" w:hAnsi="Times New Roman" w:eastAsia="宋体" w:cs="Times New Roman"/>
          <w:color w:val="auto"/>
          <w:kern w:val="28"/>
          <w:sz w:val="28"/>
          <w:szCs w:val="20"/>
          <w:highlight w:val="none"/>
          <w:lang w:val="en-US" w:eastAsia="zh-CN" w:bidi="ar-SA"/>
        </w:rPr>
        <w:t>年</w:t>
      </w:r>
      <w:r>
        <w:rPr>
          <w:rFonts w:hint="eastAsia" w:ascii="Times New Roman" w:hAnsi="Times New Roman" w:eastAsia="宋体" w:cs="Times New Roman"/>
          <w:color w:val="auto"/>
          <w:kern w:val="28"/>
          <w:sz w:val="28"/>
          <w:szCs w:val="20"/>
          <w:highlight w:val="none"/>
          <w:lang w:val="en-US" w:eastAsia="zh-CN" w:bidi="ar-SA"/>
        </w:rPr>
        <w:t>11</w:t>
      </w:r>
      <w:r>
        <w:rPr>
          <w:rFonts w:ascii="Times New Roman" w:hAnsi="Times New Roman" w:eastAsia="宋体" w:cs="Times New Roman"/>
          <w:color w:val="auto"/>
          <w:kern w:val="28"/>
          <w:sz w:val="28"/>
          <w:szCs w:val="20"/>
          <w:highlight w:val="none"/>
          <w:lang w:val="en-US" w:eastAsia="zh-CN" w:bidi="ar-SA"/>
        </w:rPr>
        <w:t>月</w:t>
      </w:r>
      <w:r>
        <w:rPr>
          <w:rFonts w:hint="eastAsia" w:ascii="Times New Roman" w:hAnsi="Times New Roman" w:eastAsia="宋体" w:cs="Times New Roman"/>
          <w:color w:val="auto"/>
          <w:kern w:val="28"/>
          <w:sz w:val="28"/>
          <w:szCs w:val="20"/>
          <w:highlight w:val="none"/>
          <w:lang w:val="en-US" w:eastAsia="zh-CN" w:bidi="ar-SA"/>
        </w:rPr>
        <w:t>07</w:t>
      </w:r>
      <w:r>
        <w:rPr>
          <w:rFonts w:ascii="Times New Roman" w:hAnsi="Times New Roman" w:eastAsia="宋体" w:cs="Times New Roman"/>
          <w:color w:val="auto"/>
          <w:kern w:val="28"/>
          <w:sz w:val="28"/>
          <w:szCs w:val="20"/>
          <w:highlight w:val="none"/>
          <w:lang w:val="en-US" w:eastAsia="zh-CN" w:bidi="ar-SA"/>
        </w:rPr>
        <w:t>日</w:t>
      </w:r>
      <w:r>
        <w:rPr>
          <w:rFonts w:hint="eastAsia" w:ascii="Times New Roman" w:hAnsi="Times New Roman" w:eastAsia="宋体" w:cs="Times New Roman"/>
          <w:color w:val="auto"/>
          <w:kern w:val="28"/>
          <w:sz w:val="28"/>
          <w:szCs w:val="20"/>
          <w:highlight w:val="none"/>
          <w:lang w:val="en-US" w:eastAsia="zh-CN" w:bidi="ar-SA"/>
        </w:rPr>
        <w:t>实施</w:t>
      </w:r>
      <w:r>
        <w:rPr>
          <w:rFonts w:ascii="Times New Roman" w:hAnsi="Times New Roman" w:eastAsia="宋体" w:cs="Times New Roman"/>
          <w:color w:val="auto"/>
          <w:kern w:val="28"/>
          <w:sz w:val="28"/>
          <w:szCs w:val="20"/>
          <w:highlight w:val="none"/>
          <w:lang w:val="en-US" w:eastAsia="zh-CN" w:bidi="ar-SA"/>
        </w:rPr>
        <w:t>）</w:t>
      </w:r>
    </w:p>
    <w:p w14:paraId="61D84480">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ascii="Times New Roman" w:hAnsi="Times New Roman" w:eastAsia="宋体" w:cs="Times New Roman"/>
          <w:color w:val="auto"/>
          <w:kern w:val="28"/>
          <w:sz w:val="28"/>
          <w:szCs w:val="20"/>
          <w:highlight w:val="none"/>
          <w:lang w:val="en-US" w:eastAsia="zh-CN" w:bidi="ar-SA"/>
        </w:rPr>
        <w:t>《中华人民共和国突发事件应对法》（中华人民共和国主席令</w:t>
      </w:r>
      <w:r>
        <w:rPr>
          <w:rFonts w:hint="eastAsia" w:ascii="Times New Roman" w:hAnsi="Times New Roman" w:eastAsia="宋体" w:cs="Times New Roman"/>
          <w:color w:val="auto"/>
          <w:kern w:val="28"/>
          <w:sz w:val="28"/>
          <w:szCs w:val="20"/>
          <w:highlight w:val="none"/>
          <w:lang w:val="en-US" w:eastAsia="zh-CN" w:bidi="ar-SA"/>
        </w:rPr>
        <w:t>[2024]</w:t>
      </w:r>
      <w:r>
        <w:rPr>
          <w:rFonts w:ascii="Times New Roman" w:hAnsi="Times New Roman" w:eastAsia="宋体" w:cs="Times New Roman"/>
          <w:color w:val="auto"/>
          <w:kern w:val="28"/>
          <w:sz w:val="28"/>
          <w:szCs w:val="20"/>
          <w:highlight w:val="none"/>
          <w:lang w:val="en-US" w:eastAsia="zh-CN" w:bidi="ar-SA"/>
        </w:rPr>
        <w:t>第</w:t>
      </w:r>
      <w:r>
        <w:rPr>
          <w:rFonts w:hint="eastAsia" w:ascii="Times New Roman" w:hAnsi="Times New Roman" w:eastAsia="宋体" w:cs="Times New Roman"/>
          <w:color w:val="auto"/>
          <w:kern w:val="28"/>
          <w:sz w:val="28"/>
          <w:szCs w:val="20"/>
          <w:highlight w:val="none"/>
          <w:lang w:val="en-US" w:eastAsia="zh-CN" w:bidi="ar-SA"/>
        </w:rPr>
        <w:t>二十五</w:t>
      </w:r>
      <w:r>
        <w:rPr>
          <w:rFonts w:ascii="Times New Roman" w:hAnsi="Times New Roman" w:eastAsia="宋体" w:cs="Times New Roman"/>
          <w:color w:val="auto"/>
          <w:kern w:val="28"/>
          <w:sz w:val="28"/>
          <w:szCs w:val="20"/>
          <w:highlight w:val="none"/>
          <w:lang w:val="en-US" w:eastAsia="zh-CN" w:bidi="ar-SA"/>
        </w:rPr>
        <w:t>号，20</w:t>
      </w:r>
      <w:r>
        <w:rPr>
          <w:rFonts w:hint="eastAsia" w:ascii="Times New Roman" w:hAnsi="Times New Roman" w:eastAsia="宋体" w:cs="Times New Roman"/>
          <w:color w:val="auto"/>
          <w:kern w:val="28"/>
          <w:sz w:val="28"/>
          <w:szCs w:val="20"/>
          <w:highlight w:val="none"/>
          <w:lang w:val="en-US" w:eastAsia="zh-CN" w:bidi="ar-SA"/>
        </w:rPr>
        <w:t>24</w:t>
      </w:r>
      <w:r>
        <w:rPr>
          <w:rFonts w:ascii="Times New Roman" w:hAnsi="Times New Roman" w:eastAsia="宋体" w:cs="Times New Roman"/>
          <w:color w:val="auto"/>
          <w:kern w:val="28"/>
          <w:sz w:val="28"/>
          <w:szCs w:val="20"/>
          <w:highlight w:val="none"/>
          <w:lang w:val="en-US" w:eastAsia="zh-CN" w:bidi="ar-SA"/>
        </w:rPr>
        <w:t>年11月01日</w:t>
      </w:r>
      <w:r>
        <w:rPr>
          <w:rFonts w:hint="eastAsia" w:ascii="Times New Roman" w:hAnsi="Times New Roman" w:eastAsia="宋体" w:cs="Times New Roman"/>
          <w:color w:val="auto"/>
          <w:kern w:val="28"/>
          <w:sz w:val="28"/>
          <w:szCs w:val="20"/>
          <w:highlight w:val="none"/>
          <w:lang w:val="en-US" w:eastAsia="zh-CN" w:bidi="ar-SA"/>
        </w:rPr>
        <w:t>实施</w:t>
      </w:r>
      <w:r>
        <w:rPr>
          <w:rFonts w:ascii="Times New Roman" w:hAnsi="Times New Roman" w:eastAsia="宋体" w:cs="Times New Roman"/>
          <w:color w:val="auto"/>
          <w:kern w:val="28"/>
          <w:sz w:val="28"/>
          <w:szCs w:val="20"/>
          <w:highlight w:val="none"/>
          <w:lang w:val="en-US" w:eastAsia="zh-CN" w:bidi="ar-SA"/>
        </w:rPr>
        <w:t>）</w:t>
      </w:r>
    </w:p>
    <w:p w14:paraId="580F286B">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hint="eastAsia" w:ascii="Times New Roman" w:hAnsi="Times New Roman" w:eastAsia="宋体" w:cs="Times New Roman"/>
          <w:color w:val="auto"/>
          <w:kern w:val="28"/>
          <w:sz w:val="28"/>
          <w:szCs w:val="20"/>
          <w:highlight w:val="none"/>
          <w:lang w:val="en-US" w:eastAsia="zh-CN" w:bidi="ar-SA"/>
        </w:rPr>
        <w:t>《中华人民共和国环境保护法》（中华人民共和国主席令[2014]第九号，2015年01月01日实施）</w:t>
      </w:r>
    </w:p>
    <w:p w14:paraId="1575C6D8">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hint="eastAsia" w:ascii="Times New Roman" w:hAnsi="Times New Roman" w:eastAsia="宋体" w:cs="Times New Roman"/>
          <w:color w:val="auto"/>
          <w:kern w:val="28"/>
          <w:sz w:val="28"/>
          <w:szCs w:val="20"/>
          <w:highlight w:val="none"/>
          <w:lang w:val="en-US" w:eastAsia="zh-CN" w:bidi="ar-SA"/>
        </w:rPr>
        <w:t>《中华人民共和国消防法》（中华人民共和国主席令[2021]第八十一号，2021年04月29日实施）</w:t>
      </w:r>
    </w:p>
    <w:p w14:paraId="4187868A">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ascii="Times New Roman" w:hAnsi="Times New Roman" w:eastAsia="宋体" w:cs="Times New Roman"/>
          <w:color w:val="auto"/>
          <w:kern w:val="28"/>
          <w:sz w:val="28"/>
          <w:szCs w:val="20"/>
          <w:highlight w:val="none"/>
          <w:lang w:val="en-US" w:eastAsia="zh-CN" w:bidi="ar-SA"/>
        </w:rPr>
        <w:t>《中华人民共和国水污染防治法》（中华人民共和国主席令</w:t>
      </w:r>
      <w:r>
        <w:rPr>
          <w:rFonts w:hint="eastAsia" w:ascii="Times New Roman" w:hAnsi="Times New Roman" w:eastAsia="宋体" w:cs="Times New Roman"/>
          <w:color w:val="auto"/>
          <w:kern w:val="28"/>
          <w:sz w:val="28"/>
          <w:szCs w:val="20"/>
          <w:highlight w:val="none"/>
          <w:lang w:val="en-US" w:eastAsia="zh-CN" w:bidi="ar-SA"/>
        </w:rPr>
        <w:t>[2017]</w:t>
      </w:r>
      <w:r>
        <w:rPr>
          <w:rFonts w:ascii="Times New Roman" w:hAnsi="Times New Roman" w:eastAsia="宋体" w:cs="Times New Roman"/>
          <w:color w:val="auto"/>
          <w:kern w:val="28"/>
          <w:sz w:val="28"/>
          <w:szCs w:val="20"/>
          <w:highlight w:val="none"/>
          <w:lang w:val="en-US" w:eastAsia="zh-CN" w:bidi="ar-SA"/>
        </w:rPr>
        <w:t>第</w:t>
      </w:r>
      <w:r>
        <w:rPr>
          <w:rFonts w:hint="eastAsia" w:ascii="Times New Roman" w:hAnsi="Times New Roman" w:eastAsia="宋体" w:cs="Times New Roman"/>
          <w:color w:val="auto"/>
          <w:kern w:val="28"/>
          <w:sz w:val="28"/>
          <w:szCs w:val="20"/>
          <w:highlight w:val="none"/>
          <w:lang w:val="en-US" w:eastAsia="zh-CN" w:bidi="ar-SA"/>
        </w:rPr>
        <w:t>七十</w:t>
      </w:r>
      <w:r>
        <w:rPr>
          <w:rFonts w:ascii="Times New Roman" w:hAnsi="Times New Roman" w:eastAsia="宋体" w:cs="Times New Roman"/>
          <w:color w:val="auto"/>
          <w:kern w:val="28"/>
          <w:sz w:val="28"/>
          <w:szCs w:val="20"/>
          <w:highlight w:val="none"/>
          <w:lang w:val="en-US" w:eastAsia="zh-CN" w:bidi="ar-SA"/>
        </w:rPr>
        <w:t>号，20</w:t>
      </w:r>
      <w:r>
        <w:rPr>
          <w:rFonts w:hint="eastAsia" w:ascii="Times New Roman" w:hAnsi="Times New Roman" w:eastAsia="宋体" w:cs="Times New Roman"/>
          <w:color w:val="auto"/>
          <w:kern w:val="28"/>
          <w:sz w:val="28"/>
          <w:szCs w:val="20"/>
          <w:highlight w:val="none"/>
          <w:lang w:val="en-US" w:eastAsia="zh-CN" w:bidi="ar-SA"/>
        </w:rPr>
        <w:t>18</w:t>
      </w:r>
      <w:r>
        <w:rPr>
          <w:rFonts w:ascii="Times New Roman" w:hAnsi="Times New Roman" w:eastAsia="宋体" w:cs="Times New Roman"/>
          <w:color w:val="auto"/>
          <w:kern w:val="28"/>
          <w:sz w:val="28"/>
          <w:szCs w:val="20"/>
          <w:highlight w:val="none"/>
          <w:lang w:val="en-US" w:eastAsia="zh-CN" w:bidi="ar-SA"/>
        </w:rPr>
        <w:t>年0</w:t>
      </w:r>
      <w:r>
        <w:rPr>
          <w:rFonts w:hint="eastAsia" w:ascii="Times New Roman" w:hAnsi="Times New Roman" w:eastAsia="宋体" w:cs="Times New Roman"/>
          <w:color w:val="auto"/>
          <w:kern w:val="28"/>
          <w:sz w:val="28"/>
          <w:szCs w:val="20"/>
          <w:highlight w:val="none"/>
          <w:lang w:val="en-US" w:eastAsia="zh-CN" w:bidi="ar-SA"/>
        </w:rPr>
        <w:t>1</w:t>
      </w:r>
      <w:r>
        <w:rPr>
          <w:rFonts w:ascii="Times New Roman" w:hAnsi="Times New Roman" w:eastAsia="宋体" w:cs="Times New Roman"/>
          <w:color w:val="auto"/>
          <w:kern w:val="28"/>
          <w:sz w:val="28"/>
          <w:szCs w:val="20"/>
          <w:highlight w:val="none"/>
          <w:lang w:val="en-US" w:eastAsia="zh-CN" w:bidi="ar-SA"/>
        </w:rPr>
        <w:t>月01日</w:t>
      </w:r>
      <w:r>
        <w:rPr>
          <w:rFonts w:hint="eastAsia" w:ascii="Times New Roman" w:hAnsi="Times New Roman" w:eastAsia="宋体" w:cs="Times New Roman"/>
          <w:color w:val="auto"/>
          <w:kern w:val="28"/>
          <w:sz w:val="28"/>
          <w:szCs w:val="20"/>
          <w:highlight w:val="none"/>
          <w:lang w:val="en-US" w:eastAsia="zh-CN" w:bidi="ar-SA"/>
        </w:rPr>
        <w:t>实施</w:t>
      </w:r>
      <w:r>
        <w:rPr>
          <w:rFonts w:ascii="Times New Roman" w:hAnsi="Times New Roman" w:eastAsia="宋体" w:cs="Times New Roman"/>
          <w:color w:val="auto"/>
          <w:kern w:val="28"/>
          <w:sz w:val="28"/>
          <w:szCs w:val="20"/>
          <w:highlight w:val="none"/>
          <w:lang w:val="en-US" w:eastAsia="zh-CN" w:bidi="ar-SA"/>
        </w:rPr>
        <w:t>）</w:t>
      </w:r>
    </w:p>
    <w:p w14:paraId="58367EC7">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hint="eastAsia" w:ascii="Times New Roman" w:hAnsi="Times New Roman" w:eastAsia="宋体" w:cs="Times New Roman"/>
          <w:color w:val="auto"/>
          <w:kern w:val="28"/>
          <w:sz w:val="28"/>
          <w:szCs w:val="20"/>
          <w:highlight w:val="none"/>
          <w:lang w:val="en-US" w:eastAsia="zh-CN" w:bidi="ar-SA"/>
        </w:rPr>
        <w:t>《中华人民共和国大气污染防治法》（中华人民共和国主席令[2018]第十六号，2018年10月26日实施）</w:t>
      </w:r>
    </w:p>
    <w:p w14:paraId="7DD905A1">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hint="eastAsia" w:ascii="Times New Roman" w:hAnsi="Times New Roman" w:eastAsia="宋体" w:cs="Times New Roman"/>
          <w:color w:val="auto"/>
          <w:kern w:val="28"/>
          <w:sz w:val="28"/>
          <w:szCs w:val="20"/>
          <w:highlight w:val="none"/>
          <w:lang w:val="en-US" w:eastAsia="zh-CN" w:bidi="ar-SA"/>
        </w:rPr>
        <w:t>《中华人民共和国土壤污染防治法》（中华人民共和国主席令[2018]第八号，2019年01月01日实施）</w:t>
      </w:r>
    </w:p>
    <w:p w14:paraId="5DEB13D5">
      <w:pPr>
        <w:widowControl w:val="0"/>
        <w:numPr>
          <w:ilvl w:val="0"/>
          <w:numId w:val="24"/>
        </w:numPr>
        <w:tabs>
          <w:tab w:val="left" w:pos="1260"/>
        </w:tabs>
        <w:kinsoku w:val="0"/>
        <w:overflowPunct w:val="0"/>
        <w:autoSpaceDE w:val="0"/>
        <w:autoSpaceDN w:val="0"/>
        <w:adjustRightInd w:val="0"/>
        <w:snapToGrid w:val="0"/>
        <w:spacing w:line="360" w:lineRule="auto"/>
        <w:ind w:firstLine="560" w:firstLineChars="200"/>
        <w:jc w:val="both"/>
        <w:rPr>
          <w:rFonts w:ascii="Times New Roman" w:hAnsi="Times New Roman" w:eastAsia="宋体" w:cs="Times New Roman"/>
          <w:color w:val="auto"/>
          <w:kern w:val="28"/>
          <w:sz w:val="28"/>
          <w:szCs w:val="20"/>
          <w:highlight w:val="none"/>
          <w:lang w:val="en-US" w:eastAsia="zh-CN" w:bidi="ar-SA"/>
        </w:rPr>
      </w:pPr>
      <w:r>
        <w:rPr>
          <w:rFonts w:hint="eastAsia" w:ascii="Times New Roman" w:hAnsi="Times New Roman" w:eastAsia="宋体" w:cs="Times New Roman"/>
          <w:color w:val="auto"/>
          <w:kern w:val="28"/>
          <w:sz w:val="28"/>
          <w:szCs w:val="20"/>
          <w:highlight w:val="none"/>
          <w:lang w:val="en-US" w:eastAsia="zh-CN" w:bidi="ar-SA"/>
        </w:rPr>
        <w:t>《中华人民共和国危险化学品安全法》（中华人民共和国主席令[2025]第六十四号，2026年05月01日实施）</w:t>
      </w:r>
    </w:p>
    <w:p w14:paraId="4124A461">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396" w:name="_Toc12681"/>
      <w:bookmarkStart w:id="397" w:name="_Toc41246773"/>
      <w:bookmarkStart w:id="398" w:name="_Toc24790"/>
      <w:r>
        <w:rPr>
          <w:rFonts w:hint="default" w:ascii="Times New Roman" w:hAnsi="Times New Roman" w:eastAsia="楷体" w:cs="Times New Roman"/>
          <w:b/>
          <w:bCs/>
          <w:sz w:val="32"/>
          <w:szCs w:val="32"/>
          <w:lang w:val="en-US" w:eastAsia="zh-CN"/>
        </w:rPr>
        <w:t>F1.2法规</w:t>
      </w:r>
      <w:bookmarkEnd w:id="396"/>
      <w:bookmarkEnd w:id="397"/>
      <w:r>
        <w:rPr>
          <w:rFonts w:hint="default" w:ascii="Times New Roman" w:hAnsi="Times New Roman" w:eastAsia="楷体" w:cs="Times New Roman"/>
          <w:b/>
          <w:bCs/>
          <w:sz w:val="32"/>
          <w:szCs w:val="32"/>
          <w:lang w:val="en-US" w:eastAsia="zh-CN"/>
        </w:rPr>
        <w:t>、地方法规</w:t>
      </w:r>
      <w:bookmarkEnd w:id="398"/>
    </w:p>
    <w:p w14:paraId="1D43DADB">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《建设工程安全生产管理条例》（国务院令第393号，2004年2月1日施行）</w:t>
      </w:r>
    </w:p>
    <w:p w14:paraId="7DD8FA72">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《建设工程抗震管理条例》（国务院令第744号，2021年09月01日施行）</w:t>
      </w:r>
    </w:p>
    <w:p w14:paraId="4D299A21">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《生产安全事故应急条例》（国务院令第708号，2019年04月01日施行）</w:t>
      </w:r>
    </w:p>
    <w:p w14:paraId="4E9E0D32">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《生产安全事故报告和调查处理条例》（国务院令第493号，2007年06月01日施行）</w:t>
      </w:r>
    </w:p>
    <w:p w14:paraId="2A81667F">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《危险化学品安全管理条例（2013年修订）》（国务院令第645号，2011年12月01日施行）</w:t>
      </w:r>
    </w:p>
    <w:p w14:paraId="00ABC9EF">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《工伤保险条例》（国务院令第586号，2011年01月01日施行）</w:t>
      </w:r>
    </w:p>
    <w:p w14:paraId="49E3F1BE">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《气象灾害防御条例（201</w:t>
      </w:r>
      <w:r>
        <w:rPr>
          <w:rFonts w:hint="default" w:ascii="Times New Roman" w:hAnsi="Times New Roman" w:cs="Times New Roman"/>
          <w:sz w:val="28"/>
          <w:szCs w:val="28"/>
          <w:lang w:val="en-US" w:eastAsia="zh-CN"/>
        </w:rPr>
        <w:t>7</w:t>
      </w:r>
      <w:r>
        <w:rPr>
          <w:rFonts w:hint="default" w:ascii="Times New Roman" w:hAnsi="Times New Roman" w:cs="Times New Roman"/>
          <w:sz w:val="28"/>
          <w:szCs w:val="28"/>
        </w:rPr>
        <w:t>年修订）》（国务院令</w:t>
      </w:r>
      <w:r>
        <w:rPr>
          <w:rFonts w:hint="default" w:ascii="Times New Roman" w:hAnsi="Times New Roman" w:cs="Times New Roman"/>
          <w:sz w:val="28"/>
          <w:szCs w:val="28"/>
          <w:lang w:val="en-US" w:eastAsia="zh-CN"/>
        </w:rPr>
        <w:t>第</w:t>
      </w:r>
      <w:r>
        <w:rPr>
          <w:rFonts w:hint="default" w:ascii="Times New Roman" w:hAnsi="Times New Roman" w:cs="Times New Roman"/>
          <w:sz w:val="28"/>
          <w:szCs w:val="28"/>
        </w:rPr>
        <w:t>687号，201</w:t>
      </w:r>
      <w:r>
        <w:rPr>
          <w:rFonts w:hint="eastAsia" w:cs="Times New Roman"/>
          <w:sz w:val="28"/>
          <w:szCs w:val="28"/>
          <w:lang w:val="en-US" w:eastAsia="zh-CN"/>
        </w:rPr>
        <w:t>7</w:t>
      </w:r>
      <w:r>
        <w:rPr>
          <w:rFonts w:hint="default" w:ascii="Times New Roman" w:hAnsi="Times New Roman" w:cs="Times New Roman"/>
          <w:sz w:val="28"/>
          <w:szCs w:val="28"/>
        </w:rPr>
        <w:t>年</w:t>
      </w:r>
      <w:r>
        <w:rPr>
          <w:rFonts w:hint="eastAsia" w:cs="Times New Roman"/>
          <w:sz w:val="28"/>
          <w:szCs w:val="28"/>
          <w:lang w:val="en-US" w:eastAsia="zh-CN"/>
        </w:rPr>
        <w:t>10</w:t>
      </w:r>
      <w:r>
        <w:rPr>
          <w:rFonts w:hint="default" w:ascii="Times New Roman" w:hAnsi="Times New Roman" w:cs="Times New Roman"/>
          <w:sz w:val="28"/>
          <w:szCs w:val="28"/>
        </w:rPr>
        <w:t>月</w:t>
      </w:r>
      <w:r>
        <w:rPr>
          <w:rFonts w:hint="eastAsia" w:cs="Times New Roman"/>
          <w:sz w:val="28"/>
          <w:szCs w:val="28"/>
          <w:lang w:val="en-US" w:eastAsia="zh-CN"/>
        </w:rPr>
        <w:t>7</w:t>
      </w:r>
      <w:r>
        <w:rPr>
          <w:rFonts w:hint="default" w:ascii="Times New Roman" w:hAnsi="Times New Roman" w:cs="Times New Roman"/>
          <w:sz w:val="28"/>
          <w:szCs w:val="28"/>
        </w:rPr>
        <w:t>日施行）</w:t>
      </w:r>
    </w:p>
    <w:p w14:paraId="4256EDD9">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《国务院关于进一步加强企业安全生产工作的通知》（国发[2010]23号，2010年7月19日施行）</w:t>
      </w:r>
    </w:p>
    <w:p w14:paraId="32E8A74E">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《辽宁省安全生产条例》（辽宁省第十四届人民代表大会常务委员会第十六次会议修正，自2025年05月29日实施）</w:t>
      </w:r>
    </w:p>
    <w:p w14:paraId="63261872">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《辽宁省突发事件应对条例》（辽宁省十三届大会常委会第十七次会议修订，自2020年3月30日实施）</w:t>
      </w:r>
    </w:p>
    <w:p w14:paraId="0384D316">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《辽宁省防震减灾条例》（辽宁省第十一届人民代表大会常务委员会公告，2011年6月1日施行）</w:t>
      </w:r>
    </w:p>
    <w:p w14:paraId="113C9B73">
      <w:pPr>
        <w:keepNext w:val="0"/>
        <w:keepLines w:val="0"/>
        <w:pageBreakBefore w:val="0"/>
        <w:widowControl w:val="0"/>
        <w:numPr>
          <w:ilvl w:val="0"/>
          <w:numId w:val="25"/>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《辽宁省消防条例》（辽宁省第十三届人民代表大会常务委员会第二十五次会议修订，2022年11月9日施行）</w:t>
      </w:r>
    </w:p>
    <w:p w14:paraId="4E3265E6">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highlight w:val="none"/>
          <w:lang w:val="en-US" w:eastAsia="zh-CN"/>
        </w:rPr>
      </w:pPr>
      <w:bookmarkStart w:id="399" w:name="_Toc410311938"/>
      <w:bookmarkStart w:id="400" w:name="_Toc3450"/>
      <w:bookmarkStart w:id="401" w:name="_Toc410312015"/>
      <w:bookmarkStart w:id="402" w:name="_Toc41246774"/>
      <w:bookmarkStart w:id="403" w:name="_Toc3112539"/>
      <w:bookmarkStart w:id="404" w:name="_Toc13970"/>
      <w:r>
        <w:rPr>
          <w:rFonts w:hint="default" w:ascii="Times New Roman" w:hAnsi="Times New Roman" w:eastAsia="楷体" w:cs="Times New Roman"/>
          <w:b/>
          <w:bCs/>
          <w:sz w:val="32"/>
          <w:szCs w:val="32"/>
          <w:highlight w:val="none"/>
          <w:lang w:val="en-US" w:eastAsia="zh-CN"/>
        </w:rPr>
        <w:t>F1.3</w:t>
      </w:r>
      <w:bookmarkEnd w:id="399"/>
      <w:bookmarkEnd w:id="400"/>
      <w:bookmarkEnd w:id="401"/>
      <w:bookmarkEnd w:id="402"/>
      <w:bookmarkEnd w:id="403"/>
      <w:r>
        <w:rPr>
          <w:rFonts w:hint="default" w:ascii="Times New Roman" w:hAnsi="Times New Roman" w:eastAsia="楷体" w:cs="Times New Roman"/>
          <w:b/>
          <w:bCs/>
          <w:sz w:val="32"/>
          <w:szCs w:val="32"/>
          <w:highlight w:val="none"/>
          <w:lang w:val="en-US" w:eastAsia="zh-CN"/>
        </w:rPr>
        <w:t>部门规章、地方规章</w:t>
      </w:r>
      <w:bookmarkEnd w:id="404"/>
    </w:p>
    <w:p w14:paraId="6CE9FBCB">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405" w:name="_Toc41246775"/>
      <w:bookmarkStart w:id="406" w:name="_Toc410312016"/>
      <w:bookmarkStart w:id="407" w:name="_Toc3112540"/>
      <w:bookmarkStart w:id="408" w:name="_Toc410311939"/>
      <w:r>
        <w:rPr>
          <w:rFonts w:hint="default" w:ascii="Times New Roman" w:hAnsi="Times New Roman" w:cs="Times New Roman"/>
          <w:sz w:val="28"/>
          <w:szCs w:val="28"/>
        </w:rPr>
        <w:t>《危险化学品建设项目安全监督管理办法》（国家安全生产监督管理总局令第79号，2015年7月1日施行）</w:t>
      </w:r>
    </w:p>
    <w:p w14:paraId="08703478">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w:t>
      </w:r>
      <w:r>
        <w:rPr>
          <w:rFonts w:hint="default" w:ascii="Times New Roman" w:hAnsi="Times New Roman" w:cs="Times New Roman"/>
          <w:sz w:val="28"/>
          <w:szCs w:val="28"/>
          <w:lang w:val="en-US" w:eastAsia="zh-CN"/>
        </w:rPr>
        <w:t>关于印发</w:t>
      </w:r>
      <w:r>
        <w:rPr>
          <w:rFonts w:hint="default" w:ascii="Times New Roman" w:hAnsi="Times New Roman" w:eastAsia="宋体" w:cs="Times New Roman"/>
          <w:iCs/>
          <w:sz w:val="28"/>
        </w:rPr>
        <w:t>&lt;</w:t>
      </w:r>
      <w:r>
        <w:rPr>
          <w:rFonts w:hint="default" w:ascii="Times New Roman" w:hAnsi="Times New Roman" w:cs="Times New Roman"/>
          <w:sz w:val="28"/>
          <w:szCs w:val="28"/>
        </w:rPr>
        <w:t>危险化学品建设项目安全评价细则</w:t>
      </w:r>
      <w:r>
        <w:rPr>
          <w:rFonts w:hint="default" w:ascii="Times New Roman" w:hAnsi="Times New Roman" w:cs="Times New Roman"/>
          <w:sz w:val="28"/>
          <w:szCs w:val="28"/>
          <w:lang w:eastAsia="zh-CN"/>
        </w:rPr>
        <w:t>（</w:t>
      </w:r>
      <w:r>
        <w:rPr>
          <w:rFonts w:hint="default" w:ascii="Times New Roman" w:hAnsi="Times New Roman" w:cs="Times New Roman"/>
          <w:sz w:val="28"/>
          <w:szCs w:val="28"/>
        </w:rPr>
        <w:t>试行</w:t>
      </w:r>
      <w:r>
        <w:rPr>
          <w:rFonts w:hint="default" w:ascii="Times New Roman" w:hAnsi="Times New Roman" w:cs="Times New Roman"/>
          <w:sz w:val="28"/>
          <w:szCs w:val="28"/>
          <w:lang w:eastAsia="zh-CN"/>
        </w:rPr>
        <w:t>）</w:t>
      </w:r>
      <w:r>
        <w:rPr>
          <w:rFonts w:hint="default" w:ascii="Times New Roman" w:hAnsi="Times New Roman" w:eastAsia="宋体" w:cs="Times New Roman"/>
          <w:bCs/>
          <w:kern w:val="2"/>
          <w:sz w:val="28"/>
          <w:szCs w:val="28"/>
          <w:highlight w:val="none"/>
          <w:lang w:eastAsia="zh-CN" w:bidi="ar-SA"/>
        </w:rPr>
        <w:t>&gt;</w:t>
      </w:r>
      <w:r>
        <w:rPr>
          <w:rFonts w:hint="default" w:ascii="Times New Roman" w:hAnsi="Times New Roman" w:cs="Times New Roman"/>
          <w:sz w:val="28"/>
          <w:szCs w:val="28"/>
        </w:rPr>
        <w:t>的通知》（安监总危化255号</w:t>
      </w: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2008年01月01日施行</w:t>
      </w:r>
      <w:r>
        <w:rPr>
          <w:rFonts w:hint="default" w:ascii="Times New Roman" w:hAnsi="Times New Roman" w:cs="Times New Roman"/>
          <w:sz w:val="28"/>
          <w:szCs w:val="28"/>
        </w:rPr>
        <w:t>）</w:t>
      </w:r>
    </w:p>
    <w:p w14:paraId="24A670B0">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《生产安全事故应急预案管理办法》（应急管理部令第2号，2019年09月01日</w:t>
      </w:r>
      <w:r>
        <w:rPr>
          <w:rFonts w:hint="default" w:ascii="Times New Roman" w:hAnsi="Times New Roman" w:cs="Times New Roman"/>
          <w:sz w:val="28"/>
          <w:szCs w:val="28"/>
          <w:lang w:val="en-US" w:eastAsia="zh-CN"/>
        </w:rPr>
        <w:t>施行</w:t>
      </w:r>
      <w:r>
        <w:rPr>
          <w:rFonts w:hint="default" w:ascii="Times New Roman" w:hAnsi="Times New Roman" w:cs="Times New Roman"/>
          <w:sz w:val="28"/>
          <w:szCs w:val="28"/>
        </w:rPr>
        <w:t>）</w:t>
      </w:r>
    </w:p>
    <w:p w14:paraId="7EC45F06">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bCs/>
          <w:sz w:val="28"/>
          <w:szCs w:val="28"/>
        </w:rPr>
      </w:pPr>
      <w:r>
        <w:rPr>
          <w:rFonts w:hint="default" w:ascii="Times New Roman" w:hAnsi="Times New Roman" w:cs="Times New Roman"/>
          <w:sz w:val="28"/>
          <w:szCs w:val="28"/>
        </w:rPr>
        <w:t>《生产经营单位安全培训规定》（国家安全生产监督管理总局令第80号，2015年07月01日</w:t>
      </w:r>
      <w:r>
        <w:rPr>
          <w:rFonts w:hint="default" w:ascii="Times New Roman" w:hAnsi="Times New Roman" w:cs="Times New Roman"/>
          <w:sz w:val="28"/>
          <w:szCs w:val="28"/>
          <w:lang w:val="en-US" w:eastAsia="zh-CN"/>
        </w:rPr>
        <w:t>施行</w:t>
      </w:r>
      <w:r>
        <w:rPr>
          <w:rFonts w:hint="default" w:ascii="Times New Roman" w:hAnsi="Times New Roman" w:cs="Times New Roman"/>
          <w:sz w:val="28"/>
          <w:szCs w:val="28"/>
        </w:rPr>
        <w:t>）</w:t>
      </w:r>
    </w:p>
    <w:p w14:paraId="64FC01CB">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《安全生产培训管理办法》（国家安全生产监督管理总局令第80号，2015年07月01日施行）</w:t>
      </w:r>
    </w:p>
    <w:p w14:paraId="7A5DF49E">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《产业结构调整指导目录（2024年本）》（国家发展和改革委员会令第7号，2024年02月01日施行）</w:t>
      </w:r>
    </w:p>
    <w:p w14:paraId="4565F0A5">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《建设工程消防设计审查验收管理暂行规定（2023年修正）》（住房和城乡建设部令</w:t>
      </w:r>
      <w:r>
        <w:rPr>
          <w:rFonts w:hint="default" w:ascii="Times New Roman" w:hAnsi="Times New Roman" w:cs="Times New Roman"/>
          <w:sz w:val="28"/>
          <w:szCs w:val="28"/>
          <w:lang w:val="en-US" w:eastAsia="zh-CN"/>
        </w:rPr>
        <w:t>第</w:t>
      </w:r>
      <w:r>
        <w:rPr>
          <w:rFonts w:hint="default" w:ascii="Times New Roman" w:hAnsi="Times New Roman" w:cs="Times New Roman"/>
          <w:sz w:val="28"/>
          <w:szCs w:val="28"/>
        </w:rPr>
        <w:t>58号，2023年10月30日施行）</w:t>
      </w:r>
    </w:p>
    <w:p w14:paraId="5186C090">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eastAsia="宋体" w:cs="Times New Roman"/>
          <w:sz w:val="28"/>
          <w:szCs w:val="28"/>
        </w:rPr>
        <w:t>《防雷减灾管理办法》（中国气象局令[2025]44号，2025年6月1日实施）</w:t>
      </w:r>
    </w:p>
    <w:p w14:paraId="112C934E">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《雷电防护装置设计审核和竣工验收规定》（气象局令第37号，2021年01月01日施行）</w:t>
      </w:r>
    </w:p>
    <w:p w14:paraId="2209EDEC">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《辽宁省雷电灾害防御管理规定（2018年修改）》（辽宁省人民政府令[2018]324号，2018年12月04日施行）</w:t>
      </w:r>
    </w:p>
    <w:p w14:paraId="02E44DC4">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《辽宁省企业安全生产主体责任规定（2021年修正）》（辽宁省人民政府令第341号修正，2021年05月18日施行）</w:t>
      </w:r>
    </w:p>
    <w:p w14:paraId="44789371">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《危险化学品生产建设项目安全风险防控指南(试行) 》</w:t>
      </w:r>
      <w:r>
        <w:rPr>
          <w:rFonts w:hint="eastAsia" w:ascii="Times New Roman" w:hAnsi="Times New Roman" w:cs="Times New Roman"/>
          <w:sz w:val="28"/>
          <w:szCs w:val="28"/>
          <w:lang w:eastAsia="zh-CN"/>
        </w:rPr>
        <w:t>（</w:t>
      </w:r>
      <w:r>
        <w:rPr>
          <w:rFonts w:hint="default" w:ascii="Times New Roman" w:hAnsi="Times New Roman" w:cs="Times New Roman"/>
          <w:sz w:val="28"/>
          <w:szCs w:val="28"/>
        </w:rPr>
        <w:t>应急管理部令第</w:t>
      </w:r>
      <w:r>
        <w:rPr>
          <w:rFonts w:hint="eastAsia" w:ascii="Times New Roman" w:hAnsi="Times New Roman" w:cs="Times New Roman"/>
          <w:sz w:val="28"/>
          <w:szCs w:val="28"/>
          <w:lang w:val="en-US" w:eastAsia="zh-CN"/>
        </w:rPr>
        <w:t>5</w:t>
      </w:r>
      <w:r>
        <w:rPr>
          <w:rFonts w:hint="default" w:ascii="Times New Roman" w:hAnsi="Times New Roman" w:cs="Times New Roman"/>
          <w:sz w:val="28"/>
          <w:szCs w:val="28"/>
        </w:rPr>
        <w:t>2号，20</w:t>
      </w:r>
      <w:r>
        <w:rPr>
          <w:rFonts w:hint="eastAsia" w:ascii="Times New Roman" w:hAnsi="Times New Roman" w:cs="Times New Roman"/>
          <w:sz w:val="28"/>
          <w:szCs w:val="28"/>
          <w:lang w:val="en-US" w:eastAsia="zh-CN"/>
        </w:rPr>
        <w:t>22</w:t>
      </w:r>
      <w:r>
        <w:rPr>
          <w:rFonts w:hint="default" w:ascii="Times New Roman" w:hAnsi="Times New Roman" w:cs="Times New Roman"/>
          <w:sz w:val="28"/>
          <w:szCs w:val="28"/>
        </w:rPr>
        <w:t>年0</w:t>
      </w:r>
      <w:r>
        <w:rPr>
          <w:rFonts w:hint="eastAsia" w:ascii="Times New Roman" w:hAnsi="Times New Roman" w:cs="Times New Roman"/>
          <w:sz w:val="28"/>
          <w:szCs w:val="28"/>
          <w:lang w:val="en-US" w:eastAsia="zh-CN"/>
        </w:rPr>
        <w:t>6</w:t>
      </w:r>
      <w:r>
        <w:rPr>
          <w:rFonts w:hint="default" w:ascii="Times New Roman" w:hAnsi="Times New Roman" w:cs="Times New Roman"/>
          <w:sz w:val="28"/>
          <w:szCs w:val="28"/>
        </w:rPr>
        <w:t>月1</w:t>
      </w:r>
      <w:r>
        <w:rPr>
          <w:rFonts w:hint="eastAsia" w:ascii="Times New Roman" w:hAnsi="Times New Roman" w:cs="Times New Roman"/>
          <w:sz w:val="28"/>
          <w:szCs w:val="28"/>
          <w:lang w:val="en-US" w:eastAsia="zh-CN"/>
        </w:rPr>
        <w:t>0</w:t>
      </w:r>
      <w:r>
        <w:rPr>
          <w:rFonts w:hint="default" w:ascii="Times New Roman" w:hAnsi="Times New Roman" w:cs="Times New Roman"/>
          <w:sz w:val="28"/>
          <w:szCs w:val="28"/>
        </w:rPr>
        <w:t>日</w:t>
      </w:r>
      <w:r>
        <w:rPr>
          <w:rFonts w:hint="default" w:ascii="Times New Roman" w:hAnsi="Times New Roman" w:cs="Times New Roman"/>
          <w:sz w:val="28"/>
          <w:szCs w:val="28"/>
          <w:lang w:val="en-US" w:eastAsia="zh-CN"/>
        </w:rPr>
        <w:t>施行</w:t>
      </w:r>
      <w:r>
        <w:rPr>
          <w:rFonts w:hint="default" w:ascii="Times New Roman" w:hAnsi="Times New Roman" w:cs="Times New Roman"/>
          <w:sz w:val="28"/>
          <w:szCs w:val="28"/>
        </w:rPr>
        <w:t>）</w:t>
      </w:r>
    </w:p>
    <w:p w14:paraId="3BF3743F">
      <w:pPr>
        <w:keepNext w:val="0"/>
        <w:keepLines w:val="0"/>
        <w:pageBreakBefore w:val="0"/>
        <w:widowControl w:val="0"/>
        <w:numPr>
          <w:ilvl w:val="0"/>
          <w:numId w:val="26"/>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《危险化学品经营许可证管理办法》（国家安全生产监督管理总局令第55号，国家安全生产监督管理总局令第79号修订，2015年07月01日实施）</w:t>
      </w:r>
    </w:p>
    <w:p w14:paraId="08F16ECD">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09" w:name="_Toc3604"/>
      <w:r>
        <w:rPr>
          <w:rFonts w:hint="default" w:ascii="Times New Roman" w:hAnsi="Times New Roman" w:eastAsia="楷体" w:cs="Times New Roman"/>
          <w:b/>
          <w:bCs/>
          <w:sz w:val="32"/>
          <w:szCs w:val="32"/>
          <w:lang w:val="en-US" w:eastAsia="zh-CN"/>
        </w:rPr>
        <w:t>F1.4规范性文件</w:t>
      </w:r>
      <w:bookmarkEnd w:id="409"/>
    </w:p>
    <w:p w14:paraId="7F9CBAA3">
      <w:pPr>
        <w:keepNext w:val="0"/>
        <w:keepLines w:val="0"/>
        <w:pageBreakBefore w:val="0"/>
        <w:widowControl w:val="0"/>
        <w:numPr>
          <w:ilvl w:val="0"/>
          <w:numId w:val="27"/>
        </w:numPr>
        <w:tabs>
          <w:tab w:val="left" w:pos="1188"/>
        </w:tabs>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kern w:val="2"/>
          <w:sz w:val="28"/>
          <w:szCs w:val="28"/>
          <w:lang w:val="en-US" w:eastAsia="zh-CN" w:bidi="ar-SA"/>
        </w:rPr>
      </w:pPr>
      <w:r>
        <w:rPr>
          <w:color w:val="auto"/>
          <w:sz w:val="28"/>
          <w:szCs w:val="28"/>
        </w:rPr>
        <w:t>《危险化学品目录》（</w:t>
      </w:r>
      <w:r>
        <w:rPr>
          <w:rFonts w:hint="eastAsia"/>
          <w:color w:val="auto"/>
          <w:sz w:val="28"/>
          <w:szCs w:val="28"/>
          <w:lang w:val="en-US" w:eastAsia="zh-CN"/>
        </w:rPr>
        <w:t>2022修正</w:t>
      </w:r>
      <w:r>
        <w:rPr>
          <w:color w:val="auto"/>
          <w:sz w:val="28"/>
          <w:szCs w:val="28"/>
        </w:rPr>
        <w:t>，国家安全生产监督管理总局等十部门公告2015年第5号，20</w:t>
      </w:r>
      <w:r>
        <w:rPr>
          <w:rFonts w:hint="eastAsia"/>
          <w:color w:val="auto"/>
          <w:sz w:val="28"/>
          <w:szCs w:val="28"/>
          <w:lang w:val="en-US" w:eastAsia="zh-CN"/>
        </w:rPr>
        <w:t>23</w:t>
      </w:r>
      <w:r>
        <w:rPr>
          <w:color w:val="auto"/>
          <w:sz w:val="28"/>
          <w:szCs w:val="28"/>
        </w:rPr>
        <w:t>年</w:t>
      </w:r>
      <w:r>
        <w:rPr>
          <w:rFonts w:hint="eastAsia"/>
          <w:color w:val="auto"/>
          <w:sz w:val="28"/>
          <w:szCs w:val="28"/>
          <w:lang w:val="en-US" w:eastAsia="zh-CN"/>
        </w:rPr>
        <w:t>01</w:t>
      </w:r>
      <w:r>
        <w:rPr>
          <w:color w:val="auto"/>
          <w:sz w:val="28"/>
          <w:szCs w:val="28"/>
        </w:rPr>
        <w:t>月</w:t>
      </w:r>
      <w:r>
        <w:rPr>
          <w:rFonts w:hint="eastAsia"/>
          <w:color w:val="auto"/>
          <w:sz w:val="28"/>
          <w:szCs w:val="28"/>
          <w:lang w:val="en-US" w:eastAsia="zh-CN"/>
        </w:rPr>
        <w:t>01</w:t>
      </w:r>
      <w:r>
        <w:rPr>
          <w:color w:val="auto"/>
          <w:sz w:val="28"/>
          <w:szCs w:val="28"/>
        </w:rPr>
        <w:t>日发布）</w:t>
      </w:r>
    </w:p>
    <w:p w14:paraId="1F5667EC">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eastAsia="宋体" w:cs="Times New Roman"/>
          <w:kern w:val="2"/>
          <w:sz w:val="28"/>
          <w:szCs w:val="28"/>
          <w:lang w:val="en-US" w:eastAsia="zh-CN" w:bidi="ar-SA"/>
        </w:rPr>
        <w:t>《国家安全监管总局办公厅关于印发危险化学品目录（2015版）实施指南（试行）的通知》（安监总厅管三[2015]80号，2015年08月19日施行）</w:t>
      </w:r>
    </w:p>
    <w:p w14:paraId="07EDCC03">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eastAsia="宋体" w:cs="Times New Roman"/>
          <w:kern w:val="2"/>
          <w:sz w:val="28"/>
          <w:szCs w:val="28"/>
          <w:lang w:val="en-US" w:eastAsia="zh-CN" w:bidi="ar-SA"/>
        </w:rPr>
      </w:pPr>
      <w:r>
        <w:rPr>
          <w:rFonts w:hint="default" w:ascii="Times New Roman" w:hAnsi="Times New Roman" w:cs="Times New Roman"/>
          <w:sz w:val="28"/>
          <w:szCs w:val="28"/>
        </w:rPr>
        <w:t>《应急管理部办公厅关于修改</w:t>
      </w:r>
      <w:r>
        <w:rPr>
          <w:rFonts w:hint="default" w:ascii="Times New Roman" w:hAnsi="Times New Roman" w:eastAsia="宋体" w:cs="Times New Roman"/>
          <w:iCs/>
          <w:sz w:val="28"/>
        </w:rPr>
        <w:t>&lt;</w:t>
      </w:r>
      <w:r>
        <w:rPr>
          <w:rFonts w:hint="default" w:ascii="Times New Roman" w:hAnsi="Times New Roman" w:cs="Times New Roman"/>
          <w:sz w:val="28"/>
          <w:szCs w:val="28"/>
        </w:rPr>
        <w:t>危险化学品目录（2015版）实施指南（试行）</w:t>
      </w:r>
      <w:r>
        <w:rPr>
          <w:rFonts w:hint="default" w:ascii="Times New Roman" w:hAnsi="Times New Roman" w:eastAsia="宋体" w:cs="Times New Roman"/>
          <w:bCs/>
          <w:kern w:val="2"/>
          <w:sz w:val="28"/>
          <w:szCs w:val="28"/>
          <w:highlight w:val="none"/>
          <w:lang w:eastAsia="zh-CN" w:bidi="ar-SA"/>
        </w:rPr>
        <w:t>&gt;</w:t>
      </w:r>
      <w:r>
        <w:rPr>
          <w:rFonts w:hint="default" w:ascii="Times New Roman" w:hAnsi="Times New Roman" w:cs="Times New Roman"/>
          <w:sz w:val="28"/>
          <w:szCs w:val="28"/>
        </w:rPr>
        <w:t>涉及柴油部分内容的通知》（应急厅[2022]300号，2023年1月1日施行）</w:t>
      </w:r>
    </w:p>
    <w:p w14:paraId="225F6E65">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《关于调整危险化学品目录（2015版）的公告》（应急管理部等十部门公告2022年第8号，2023年01月01日施行）</w:t>
      </w:r>
    </w:p>
    <w:p w14:paraId="2986A52B">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《应急管理部办公厅关于认真做好柴油安全许可有关工作的通知》（应急厅函〔2022〕317号）</w:t>
      </w:r>
    </w:p>
    <w:p w14:paraId="0EBB8631">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《应急管理部办公厅关于印发〈危险化学品企业生产安全事故应急准备指南〉的通知》（应急〔2019〕62号，2019年12月26日发布）</w:t>
      </w:r>
    </w:p>
    <w:p w14:paraId="3630B51B">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《特别管控危险化学品目录（第一版）》（应急管理部、工业信息化部、公安部、交通运输部公告[2020]第</w:t>
      </w:r>
      <w:r>
        <w:rPr>
          <w:rFonts w:hint="eastAsia" w:cs="Times New Roman"/>
          <w:sz w:val="28"/>
          <w:szCs w:val="28"/>
          <w:lang w:val="en-US" w:eastAsia="zh-CN"/>
        </w:rPr>
        <w:t>3</w:t>
      </w:r>
      <w:r>
        <w:rPr>
          <w:rFonts w:hint="default" w:ascii="Times New Roman" w:hAnsi="Times New Roman" w:cs="Times New Roman"/>
          <w:sz w:val="28"/>
          <w:szCs w:val="28"/>
        </w:rPr>
        <w:t>号，2020年06月03日施行）</w:t>
      </w:r>
    </w:p>
    <w:p w14:paraId="4A950770">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《易制毒化学品的分类和品种目录（2021年版）》（国办函[2021]58号，2021年05月28日施行）</w:t>
      </w:r>
    </w:p>
    <w:p w14:paraId="567CDCF5">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《易制爆危险化学品名录（2017年版）》（公安部公告，2017年05月11日）</w:t>
      </w:r>
    </w:p>
    <w:p w14:paraId="03796A25">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《高毒物品目录（2003年版）》（卫法监发[2003]142号，2003年06月10日施行）</w:t>
      </w:r>
    </w:p>
    <w:p w14:paraId="70EF9574">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《国家安全监管总局关于公布首批重点监管的危险化学品目录的通知》（安监总管三[2011]95号，2011年06月21日施行）</w:t>
      </w:r>
    </w:p>
    <w:p w14:paraId="6E5EA2D3">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《国家安全监管总局办公厅关于印发首批重点监管的危险化学品安全措施和应急处置原则的通知》（安监总厅管三[2011]142号，2011年07月01日施行）</w:t>
      </w:r>
    </w:p>
    <w:p w14:paraId="690212D7">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《国家安全监管总局关于公布第二批重点监管危险化学品名录的通知》（安监总管三[2013]12号，2013年02月05日施行）</w:t>
      </w:r>
    </w:p>
    <w:p w14:paraId="3DB1DF3A">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《国家安全监管总局关于公布首批重点监管的危险化工工艺目录的通知》（安监总管三[2009]116号，2009年06月12日施行）</w:t>
      </w:r>
    </w:p>
    <w:p w14:paraId="10AA4F9F">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《国家安全监管总局关于公布第二批重点监管危险化工工艺目录和调整首批重点监管危险化工工艺中部分典型工艺的通知》（安监总管三[2013]3号，2013年02月05日施行）</w:t>
      </w:r>
    </w:p>
    <w:p w14:paraId="0CB7790E">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《关于印发&lt;化工和危险化学品生产经营单位重大生产安全事故隐患判定标准（试行）&gt;和&lt;烟花爆竹生产经营单位重大生产安全事故隐患判定标准（试行）&gt;的通知》（安监总管三121号，2017年11月13日施行）</w:t>
      </w:r>
    </w:p>
    <w:p w14:paraId="2483EA7B">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《国家安全监管总局办公厅关于进一步加强加油站安全生产工作的通知》（安监总厅管三[2016]8号，2016年2月5日施行）</w:t>
      </w:r>
    </w:p>
    <w:p w14:paraId="0110D673">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《关于印发&lt;企业安全生产费用提取和使用管理办法&gt;的通知》（财政部 应急部 财资[2022]136号，2022年11月21日施行）</w:t>
      </w:r>
    </w:p>
    <w:p w14:paraId="685A2CAF">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《关于印发辽宁省安全生产监督管理局贯彻落实〈生产安全事故应急预案管理办法〉实施细则的通知》（辽安监应急5号，2017年9月13日施行）</w:t>
      </w:r>
    </w:p>
    <w:bookmarkEnd w:id="405"/>
    <w:bookmarkEnd w:id="406"/>
    <w:bookmarkEnd w:id="407"/>
    <w:bookmarkEnd w:id="408"/>
    <w:p w14:paraId="7BECD113">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bookmarkStart w:id="410" w:name="_Toc410312017"/>
      <w:bookmarkStart w:id="411" w:name="_Toc410311940"/>
      <w:r>
        <w:rPr>
          <w:rFonts w:hint="default" w:ascii="Times New Roman" w:hAnsi="Times New Roman" w:cs="Times New Roman"/>
          <w:sz w:val="28"/>
          <w:szCs w:val="28"/>
        </w:rPr>
        <w:t>《辽宁省应急管理厅关于修改辽宁省非煤矿矿山建设项目安全设施设计审查/企业安全生产许可安全评价中介服务行业规范标准等5个中介服务行业规范标准的通知》（辽应急规划6号，2019年5月1日施行）</w:t>
      </w:r>
    </w:p>
    <w:p w14:paraId="70F46563">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《关于印发&lt;辽宁省危险化学品建设项目安全监督管理实施细则&gt;的通知》（辽安监管三[2016]第24号，2016年12月01日施行）</w:t>
      </w:r>
    </w:p>
    <w:p w14:paraId="5E525715">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《国务院安全生产委员会关于印发&lt;关于强化危险化学品“一件事”全链条安全管理的措施&gt;的通知》（安委[2025]4号）</w:t>
      </w:r>
    </w:p>
    <w:p w14:paraId="4139B52B">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《国务院办公厅关于推动成品油流通高质量发展的意见》（国办发[2025]5号，2025年1月27日实施）</w:t>
      </w:r>
    </w:p>
    <w:p w14:paraId="75D028F8">
      <w:pPr>
        <w:keepNext w:val="0"/>
        <w:keepLines w:val="0"/>
        <w:pageBreakBefore w:val="0"/>
        <w:widowControl w:val="0"/>
        <w:numPr>
          <w:ilvl w:val="0"/>
          <w:numId w:val="27"/>
        </w:numPr>
        <w:kinsoku/>
        <w:wordWrap/>
        <w:overflowPunct/>
        <w:topLinePunct w:val="0"/>
        <w:autoSpaceDE/>
        <w:autoSpaceDN/>
        <w:bidi w:val="0"/>
        <w:adjustRightInd w:val="0"/>
        <w:snapToGrid w:val="0"/>
        <w:spacing w:line="360" w:lineRule="auto"/>
        <w:ind w:left="0" w:leftChars="0"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《化工和危险化学品生产经营企业重大生产安全事故隐患判定准则 》</w:t>
      </w:r>
      <w:r>
        <w:rPr>
          <w:rFonts w:hint="eastAsia" w:cs="Times New Roman"/>
          <w:sz w:val="28"/>
          <w:szCs w:val="28"/>
          <w:lang w:eastAsia="zh-CN"/>
        </w:rPr>
        <w:t>（应急部公告[2026]2号，</w:t>
      </w:r>
      <w:r>
        <w:rPr>
          <w:rFonts w:hint="default" w:ascii="Times New Roman" w:hAnsi="Times New Roman" w:cs="Times New Roman"/>
          <w:sz w:val="28"/>
          <w:szCs w:val="28"/>
        </w:rPr>
        <w:t>202</w:t>
      </w:r>
      <w:r>
        <w:rPr>
          <w:rFonts w:hint="eastAsia" w:cs="Times New Roman"/>
          <w:sz w:val="28"/>
          <w:szCs w:val="28"/>
          <w:lang w:val="en-US" w:eastAsia="zh-CN"/>
        </w:rPr>
        <w:t>6</w:t>
      </w:r>
      <w:r>
        <w:rPr>
          <w:rFonts w:hint="default" w:ascii="Times New Roman" w:hAnsi="Times New Roman" w:cs="Times New Roman"/>
          <w:sz w:val="28"/>
          <w:szCs w:val="28"/>
        </w:rPr>
        <w:t>年</w:t>
      </w:r>
      <w:r>
        <w:rPr>
          <w:rFonts w:hint="eastAsia" w:cs="Times New Roman"/>
          <w:sz w:val="28"/>
          <w:szCs w:val="28"/>
          <w:lang w:val="en-US" w:eastAsia="zh-CN"/>
        </w:rPr>
        <w:t>9</w:t>
      </w:r>
      <w:r>
        <w:rPr>
          <w:rFonts w:hint="default" w:ascii="Times New Roman" w:hAnsi="Times New Roman" w:cs="Times New Roman"/>
          <w:sz w:val="28"/>
          <w:szCs w:val="28"/>
        </w:rPr>
        <w:t>月</w:t>
      </w:r>
      <w:r>
        <w:rPr>
          <w:rFonts w:hint="eastAsia" w:cs="Times New Roman"/>
          <w:sz w:val="28"/>
          <w:szCs w:val="28"/>
          <w:lang w:val="en-US" w:eastAsia="zh-CN"/>
        </w:rPr>
        <w:t>30</w:t>
      </w:r>
      <w:r>
        <w:rPr>
          <w:rFonts w:hint="default" w:ascii="Times New Roman" w:hAnsi="Times New Roman" w:cs="Times New Roman"/>
          <w:sz w:val="28"/>
          <w:szCs w:val="28"/>
        </w:rPr>
        <w:t>日实施</w:t>
      </w:r>
      <w:r>
        <w:rPr>
          <w:rFonts w:hint="eastAsia" w:cs="Times New Roman"/>
          <w:sz w:val="28"/>
          <w:szCs w:val="28"/>
          <w:lang w:eastAsia="zh-CN"/>
        </w:rPr>
        <w:t>）</w:t>
      </w:r>
    </w:p>
    <w:p w14:paraId="3274E1C2">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12" w:name="_Toc41246776"/>
      <w:bookmarkStart w:id="413" w:name="_Toc28570"/>
      <w:bookmarkStart w:id="414" w:name="_Toc3259"/>
      <w:bookmarkStart w:id="415" w:name="_Toc3112541"/>
      <w:r>
        <w:rPr>
          <w:rFonts w:hint="default" w:ascii="Times New Roman" w:hAnsi="Times New Roman" w:eastAsia="楷体" w:cs="Times New Roman"/>
          <w:b/>
          <w:bCs/>
          <w:sz w:val="32"/>
          <w:szCs w:val="32"/>
          <w:lang w:val="en-US" w:eastAsia="zh-CN"/>
        </w:rPr>
        <w:t>F1.5国家标准</w:t>
      </w:r>
      <w:bookmarkEnd w:id="410"/>
      <w:bookmarkEnd w:id="411"/>
      <w:bookmarkEnd w:id="412"/>
      <w:bookmarkEnd w:id="413"/>
      <w:bookmarkEnd w:id="414"/>
      <w:bookmarkEnd w:id="415"/>
    </w:p>
    <w:p w14:paraId="541D6FD0">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《汽车加油加气加氢站技术标准》（GB</w:t>
      </w:r>
      <w:r>
        <w:rPr>
          <w:rFonts w:hint="default" w:ascii="Times New Roman" w:hAnsi="Times New Roman" w:eastAsia="宋体" w:cs="Times New Roman"/>
          <w:sz w:val="28"/>
          <w:szCs w:val="28"/>
          <w:lang w:val="en-US" w:eastAsia="zh-CN"/>
        </w:rPr>
        <w:t xml:space="preserve"> </w:t>
      </w:r>
      <w:r>
        <w:rPr>
          <w:rFonts w:hint="default" w:ascii="Times New Roman" w:hAnsi="Times New Roman" w:eastAsia="宋体" w:cs="Times New Roman"/>
          <w:sz w:val="28"/>
          <w:szCs w:val="28"/>
        </w:rPr>
        <w:t>50156-2021）</w:t>
      </w:r>
    </w:p>
    <w:p w14:paraId="31CB43C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《车用柴油》（GB 19147-2016/XG1-2018）</w:t>
      </w:r>
    </w:p>
    <w:p w14:paraId="03ED177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w:t>
      </w:r>
      <w:r>
        <w:rPr>
          <w:rFonts w:hint="eastAsia" w:cs="Times New Roman"/>
          <w:sz w:val="28"/>
          <w:szCs w:val="28"/>
          <w:lang w:eastAsia="zh-CN"/>
        </w:rPr>
        <w:t>乙醇汽油</w:t>
      </w:r>
      <w:r>
        <w:rPr>
          <w:rFonts w:hint="default" w:ascii="Times New Roman" w:hAnsi="Times New Roman" w:cs="Times New Roman"/>
          <w:sz w:val="28"/>
          <w:szCs w:val="28"/>
        </w:rPr>
        <w:t>（E10）》（GB 18351-2017）</w:t>
      </w:r>
    </w:p>
    <w:p w14:paraId="57174AD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w:t>
      </w:r>
      <w:r>
        <w:rPr>
          <w:rFonts w:hint="eastAsia" w:cs="Times New Roman"/>
          <w:sz w:val="28"/>
          <w:szCs w:val="28"/>
          <w:lang w:eastAsia="zh-CN"/>
        </w:rPr>
        <w:t>乙醇汽油</w:t>
      </w:r>
      <w:r>
        <w:rPr>
          <w:rFonts w:hint="default" w:ascii="Times New Roman" w:hAnsi="Times New Roman" w:cs="Times New Roman"/>
          <w:sz w:val="28"/>
          <w:szCs w:val="28"/>
        </w:rPr>
        <w:t>储运设计规范》（GB/T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t>50610-2010）</w:t>
      </w:r>
    </w:p>
    <w:p w14:paraId="5F0467E1">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《加油站大气污染物排放标准》（GB 20952-2020）</w:t>
      </w:r>
    </w:p>
    <w:p w14:paraId="402275F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《加油站作业安全规范》（AQ 3010-2022）</w:t>
      </w:r>
    </w:p>
    <w:p w14:paraId="0A8BE9C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《危险化学品企业特殊作业安全规范》（GB</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t>30871-2022）</w:t>
      </w:r>
    </w:p>
    <w:p w14:paraId="369E7D2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《建筑设计防火规范（2018年版）》（GB 50016-2014）</w:t>
      </w:r>
    </w:p>
    <w:p w14:paraId="569BEA28">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《建筑防火通用规范》（GB 55037-2022）</w:t>
      </w:r>
    </w:p>
    <w:p w14:paraId="08608F7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《建筑灭火器配置设计规范》（GB 50140-2005）</w:t>
      </w:r>
    </w:p>
    <w:p w14:paraId="03D51CD3">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《汽车加油加气站消防安全管理》</w:t>
      </w:r>
      <w:r>
        <w:rPr>
          <w:rFonts w:hint="default" w:ascii="Times New Roman" w:hAnsi="Times New Roman" w:cs="Times New Roman"/>
          <w:sz w:val="28"/>
          <w:szCs w:val="28"/>
          <w:lang w:eastAsia="zh-CN"/>
        </w:rPr>
        <w:t>（</w:t>
      </w:r>
      <w:r>
        <w:rPr>
          <w:rFonts w:hint="default" w:ascii="Times New Roman" w:hAnsi="Times New Roman" w:cs="Times New Roman"/>
          <w:sz w:val="28"/>
          <w:szCs w:val="28"/>
        </w:rPr>
        <w:t>XF/T 3004</w:t>
      </w:r>
      <w:r>
        <w:rPr>
          <w:rFonts w:hint="default" w:ascii="Times New Roman" w:hAnsi="Times New Roman" w:cs="Times New Roman"/>
          <w:sz w:val="28"/>
          <w:szCs w:val="28"/>
          <w:lang w:val="en-US" w:eastAsia="zh-CN"/>
        </w:rPr>
        <w:t>-</w:t>
      </w:r>
      <w:r>
        <w:rPr>
          <w:rFonts w:hint="default" w:ascii="Times New Roman" w:hAnsi="Times New Roman" w:cs="Times New Roman"/>
          <w:sz w:val="28"/>
          <w:szCs w:val="28"/>
        </w:rPr>
        <w:t>2020</w:t>
      </w:r>
      <w:r>
        <w:rPr>
          <w:rFonts w:hint="default" w:ascii="Times New Roman" w:hAnsi="Times New Roman" w:cs="Times New Roman"/>
          <w:sz w:val="28"/>
          <w:szCs w:val="28"/>
          <w:lang w:eastAsia="zh-CN"/>
        </w:rPr>
        <w:t>）</w:t>
      </w:r>
    </w:p>
    <w:p w14:paraId="29C8F34A">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《石油化工可燃气体和有毒气体检测报警设计标准》（GB/T 50493-2019）</w:t>
      </w:r>
    </w:p>
    <w:p w14:paraId="4F25C1A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《爆炸危险环境电力装置设计规范》（GB 50058-2014）</w:t>
      </w:r>
    </w:p>
    <w:p w14:paraId="5AA4F5FB">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w:t>
      </w:r>
      <w:r>
        <w:rPr>
          <w:rFonts w:hint="default" w:ascii="Times New Roman" w:hAnsi="Times New Roman" w:cs="Times New Roman"/>
          <w:sz w:val="28"/>
          <w:szCs w:val="28"/>
          <w:lang w:val="en-US" w:eastAsia="zh-CN"/>
        </w:rPr>
        <w:t>外壳防护等级（IP代码）</w:t>
      </w:r>
      <w:r>
        <w:rPr>
          <w:rFonts w:hint="default" w:ascii="Times New Roman" w:hAnsi="Times New Roman" w:cs="Times New Roman"/>
          <w:sz w:val="28"/>
          <w:szCs w:val="28"/>
        </w:rPr>
        <w:t>》（GB</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t>500</w:t>
      </w:r>
      <w:r>
        <w:rPr>
          <w:rFonts w:hint="default" w:ascii="Times New Roman" w:hAnsi="Times New Roman" w:cs="Times New Roman"/>
          <w:sz w:val="28"/>
          <w:szCs w:val="28"/>
          <w:lang w:val="en-US" w:eastAsia="zh-CN"/>
        </w:rPr>
        <w:t>34</w:t>
      </w:r>
      <w:r>
        <w:rPr>
          <w:rFonts w:hint="default" w:ascii="Times New Roman" w:hAnsi="Times New Roman" w:cs="Times New Roman"/>
          <w:sz w:val="28"/>
          <w:szCs w:val="28"/>
        </w:rPr>
        <w:t>-201</w:t>
      </w:r>
      <w:r>
        <w:rPr>
          <w:rFonts w:hint="default" w:ascii="Times New Roman" w:hAnsi="Times New Roman" w:cs="Times New Roman"/>
          <w:sz w:val="28"/>
          <w:szCs w:val="28"/>
          <w:lang w:val="en-US" w:eastAsia="zh-CN"/>
        </w:rPr>
        <w:t>3</w:t>
      </w:r>
      <w:r>
        <w:rPr>
          <w:rFonts w:hint="default" w:ascii="Times New Roman" w:hAnsi="Times New Roman" w:cs="Times New Roman"/>
          <w:sz w:val="28"/>
          <w:szCs w:val="28"/>
        </w:rPr>
        <w:t>）</w:t>
      </w:r>
    </w:p>
    <w:p w14:paraId="5FE81C9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《供配电系统设计规范》（GB 50052-2009）</w:t>
      </w:r>
    </w:p>
    <w:p w14:paraId="1517C9A9">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《低压配电设计规范》</w:t>
      </w:r>
      <w:r>
        <w:rPr>
          <w:rFonts w:hint="eastAsia" w:cs="Times New Roman"/>
          <w:sz w:val="28"/>
          <w:szCs w:val="28"/>
          <w:lang w:eastAsia="zh-CN"/>
        </w:rPr>
        <w:t>（</w:t>
      </w:r>
      <w:r>
        <w:rPr>
          <w:rFonts w:hint="default" w:ascii="Times New Roman" w:hAnsi="Times New Roman" w:cs="Times New Roman"/>
          <w:sz w:val="28"/>
          <w:szCs w:val="28"/>
        </w:rPr>
        <w:t>GB 50054-2011</w:t>
      </w:r>
      <w:r>
        <w:rPr>
          <w:rFonts w:hint="eastAsia" w:cs="Times New Roman"/>
          <w:sz w:val="28"/>
          <w:szCs w:val="28"/>
          <w:lang w:eastAsia="zh-CN"/>
        </w:rPr>
        <w:t>）</w:t>
      </w:r>
      <w:r>
        <w:rPr>
          <w:rFonts w:hint="default" w:ascii="Times New Roman" w:hAnsi="Times New Roman" w:cs="Times New Roman"/>
          <w:sz w:val="28"/>
          <w:szCs w:val="28"/>
        </w:rPr>
        <w:t xml:space="preserve"> </w:t>
      </w:r>
    </w:p>
    <w:p w14:paraId="1672588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《用电安全导则》</w:t>
      </w:r>
      <w:r>
        <w:rPr>
          <w:rFonts w:hint="eastAsia" w:cs="Times New Roman"/>
          <w:sz w:val="28"/>
          <w:szCs w:val="28"/>
          <w:lang w:eastAsia="zh-CN"/>
        </w:rPr>
        <w:t>（</w:t>
      </w:r>
      <w:r>
        <w:rPr>
          <w:rFonts w:hint="default" w:ascii="Times New Roman" w:hAnsi="Times New Roman" w:cs="Times New Roman"/>
          <w:sz w:val="28"/>
          <w:szCs w:val="28"/>
        </w:rPr>
        <w:t xml:space="preserve"> GB</w:t>
      </w:r>
      <w:r>
        <w:rPr>
          <w:rFonts w:hint="eastAsia" w:cs="Times New Roman"/>
          <w:sz w:val="28"/>
          <w:szCs w:val="28"/>
          <w:lang w:val="en-US" w:eastAsia="zh-CN"/>
        </w:rPr>
        <w:t>/</w:t>
      </w:r>
      <w:r>
        <w:rPr>
          <w:rFonts w:hint="default" w:ascii="Times New Roman" w:hAnsi="Times New Roman" w:cs="Times New Roman"/>
          <w:sz w:val="28"/>
          <w:szCs w:val="28"/>
        </w:rPr>
        <w:t>T 13869-2017</w:t>
      </w:r>
      <w:r>
        <w:rPr>
          <w:rFonts w:hint="eastAsia" w:cs="Times New Roman"/>
          <w:sz w:val="28"/>
          <w:szCs w:val="28"/>
          <w:lang w:eastAsia="zh-CN"/>
        </w:rPr>
        <w:t>）</w:t>
      </w:r>
    </w:p>
    <w:p w14:paraId="7FB0421E">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《防止静电事故通用要求》（GB 12158-2024）</w:t>
      </w:r>
    </w:p>
    <w:p w14:paraId="43DD1E91">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《建筑物防雷设计规范》（GB 50057-2010）</w:t>
      </w:r>
    </w:p>
    <w:p w14:paraId="24B36543">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《建筑照明设计标准》（GB</w:t>
      </w:r>
      <w:r>
        <w:rPr>
          <w:rFonts w:hint="eastAsia" w:cs="Times New Roman"/>
          <w:sz w:val="28"/>
          <w:szCs w:val="28"/>
          <w:lang w:val="en-US" w:eastAsia="zh-CN"/>
        </w:rPr>
        <w:t>/T</w:t>
      </w:r>
      <w:r>
        <w:rPr>
          <w:rFonts w:hint="default" w:ascii="Times New Roman" w:hAnsi="Times New Roman" w:cs="Times New Roman"/>
          <w:sz w:val="28"/>
          <w:szCs w:val="28"/>
        </w:rPr>
        <w:t>50034-20</w:t>
      </w:r>
      <w:r>
        <w:rPr>
          <w:rFonts w:hint="eastAsia" w:cs="Times New Roman"/>
          <w:sz w:val="28"/>
          <w:szCs w:val="28"/>
          <w:lang w:val="en-US" w:eastAsia="zh-CN"/>
        </w:rPr>
        <w:t>24</w:t>
      </w:r>
      <w:r>
        <w:rPr>
          <w:rFonts w:hint="default" w:ascii="Times New Roman" w:hAnsi="Times New Roman" w:cs="Times New Roman"/>
          <w:sz w:val="28"/>
          <w:szCs w:val="28"/>
        </w:rPr>
        <w:t>）</w:t>
      </w:r>
    </w:p>
    <w:p w14:paraId="7CDC0CC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《视频安防监控系统工程设计规范》（GB 50395-2007）</w:t>
      </w:r>
    </w:p>
    <w:p w14:paraId="7BCADDC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《建筑物电子信息系统防雷技术规范》（GB 50343-2012）</w:t>
      </w:r>
    </w:p>
    <w:p w14:paraId="7684D62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《安全色和安全标志》（GB 2894-2025）</w:t>
      </w:r>
    </w:p>
    <w:p w14:paraId="7ECC3E9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《危险化学品重大危险源辨识》（GB 18218-2018）</w:t>
      </w:r>
    </w:p>
    <w:p w14:paraId="5A4DAB1E">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《危险化学品仓库储存通则》（GB</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t>15603-2022）</w:t>
      </w:r>
    </w:p>
    <w:p w14:paraId="15DA57B6">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《危险货物分类和品名编号》（GB 6944-2025）</w:t>
      </w:r>
    </w:p>
    <w:p w14:paraId="011CD138">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《化学品分类和危险性公示通则》（GB 13690-2009）</w:t>
      </w:r>
    </w:p>
    <w:p w14:paraId="7FE38F4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《易燃易爆性商品储存养护技术条件》（GB 17914-2013）</w:t>
      </w:r>
    </w:p>
    <w:p w14:paraId="59EC44A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《生产经营单位生产安全事故应急预案编制导则》（GB/T 29639-2020）</w:t>
      </w:r>
    </w:p>
    <w:p w14:paraId="178CE646">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《生产过程安全卫生要求总则》（GB/T 12801-2008）</w:t>
      </w:r>
    </w:p>
    <w:p w14:paraId="4035A429">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《工作场所毒物危害程度分级标准》（GBZ/T 230-2025）</w:t>
      </w:r>
    </w:p>
    <w:p w14:paraId="3614846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《工作场所有害因素职业接触限值第1部分：化学有害因素》 （第2号修改单GBZ 2.1-2019/XG2-2024）</w:t>
      </w:r>
    </w:p>
    <w:p w14:paraId="14AB4741">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《工作场所有害因素职业接触限值 第2部分：物理因素》（GBZ</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t>2.2-2007）</w:t>
      </w:r>
    </w:p>
    <w:p w14:paraId="50C3AEBB">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《油气回收系统防爆技术要求》（GB/T 34661-2017）</w:t>
      </w:r>
    </w:p>
    <w:p w14:paraId="1F9C3ED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《油气回收装置通用技术条件》（GB/T 35579-2017）</w:t>
      </w:r>
    </w:p>
    <w:p w14:paraId="1893FCCF">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《加油站用埋地玻璃纤维增强塑料双层油罐工程技术规范》（SH/T3177-2015）</w:t>
      </w:r>
    </w:p>
    <w:p w14:paraId="65174BE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第1部分：通则》（GB/T 30040.1-2013）</w:t>
      </w:r>
    </w:p>
    <w:p w14:paraId="0F4E5863">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第2部分：压力和真空系统》（GB/T 30040.2-2013）</w:t>
      </w:r>
    </w:p>
    <w:p w14:paraId="237222D9">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第3部分：储罐的液体媒介系统》（GB/T 30040.3-2013）</w:t>
      </w:r>
    </w:p>
    <w:p w14:paraId="45BB69F6">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第4部分：应用于防渗漏设施或双层间隙的液体或蒸气传感器系统》（GB/T30040.4-2013）</w:t>
      </w:r>
    </w:p>
    <w:p w14:paraId="0C6E7769">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第5部分：储罐液位仪测漏系统》（GB/T 30040.5-2013）</w:t>
      </w:r>
    </w:p>
    <w:p w14:paraId="7FEE0D26">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第6部分：监测井用传感器显示系统》（GB/T 30040.6-2013）</w:t>
      </w:r>
    </w:p>
    <w:p w14:paraId="4EBDC54E">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《双层罐渗漏检测系统 第7部分：双层间隙、防渗漏衬里及防渗漏外套的一般要求和试验方法》（GB/T 30040.7-2013）</w:t>
      </w:r>
    </w:p>
    <w:p w14:paraId="70FBC1A3">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《燃油加油站防爆安全技术 第1部分：燃油加油机防爆安全技术要求》（GB/T 22380.1-2017）</w:t>
      </w:r>
    </w:p>
    <w:p w14:paraId="093EB62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《燃油加油站防爆安全技术 第2部分：加油机用安全拉断阀结构和性能的安全要求》（GB/T 22380.2-2019）</w:t>
      </w:r>
    </w:p>
    <w:p w14:paraId="4412609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cs="Times New Roman"/>
          <w:sz w:val="28"/>
          <w:szCs w:val="28"/>
        </w:rPr>
        <w:t>《生产安全事故分类与编码》（GB 6441-2025）</w:t>
      </w:r>
    </w:p>
    <w:p w14:paraId="01CE45C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《生产过程危险和有害因素分类与代码》（GB/T</w:t>
      </w:r>
      <w:r>
        <w:rPr>
          <w:rFonts w:hint="default" w:ascii="Times New Roman" w:hAnsi="Times New Roman" w:eastAsia="宋体" w:cs="Times New Roman"/>
          <w:sz w:val="28"/>
          <w:szCs w:val="28"/>
          <w:lang w:val="en-US" w:eastAsia="zh-CN"/>
        </w:rPr>
        <w:t xml:space="preserve"> </w:t>
      </w:r>
      <w:r>
        <w:rPr>
          <w:rFonts w:hint="default" w:ascii="Times New Roman" w:hAnsi="Times New Roman" w:eastAsia="宋体" w:cs="Times New Roman"/>
          <w:sz w:val="28"/>
          <w:szCs w:val="28"/>
        </w:rPr>
        <w:t>13861-2022）</w:t>
      </w:r>
    </w:p>
    <w:p w14:paraId="657645FC">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《生产安全事故应急演练基本规范》（AQ/T 9007-2019）</w:t>
      </w:r>
    </w:p>
    <w:p w14:paraId="50AA225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cs="Times New Roman"/>
          <w:sz w:val="28"/>
          <w:szCs w:val="28"/>
        </w:rPr>
        <w:t>《生产经营单位</w:t>
      </w:r>
      <w:r>
        <w:rPr>
          <w:rFonts w:hint="default" w:ascii="Times New Roman" w:hAnsi="Times New Roman" w:eastAsia="宋体" w:cs="Times New Roman"/>
          <w:sz w:val="28"/>
          <w:szCs w:val="28"/>
        </w:rPr>
        <w:t>生产安全事故应急预案评估指南》（AQ/T</w:t>
      </w:r>
      <w:r>
        <w:rPr>
          <w:rFonts w:hint="default" w:ascii="Times New Roman" w:hAnsi="Times New Roman" w:eastAsia="宋体" w:cs="Times New Roman"/>
          <w:sz w:val="28"/>
          <w:szCs w:val="28"/>
          <w:lang w:val="en-US" w:eastAsia="zh-CN"/>
        </w:rPr>
        <w:t xml:space="preserve"> </w:t>
      </w:r>
      <w:r>
        <w:rPr>
          <w:rFonts w:hint="default" w:ascii="Times New Roman" w:hAnsi="Times New Roman" w:eastAsia="宋体" w:cs="Times New Roman"/>
          <w:sz w:val="28"/>
          <w:szCs w:val="28"/>
        </w:rPr>
        <w:t>9011-2019）</w:t>
      </w:r>
    </w:p>
    <w:p w14:paraId="229A2708">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《危险化学品单位应急救援物资配备要求》（GB 30077-20</w:t>
      </w:r>
      <w:r>
        <w:rPr>
          <w:rFonts w:hint="default" w:ascii="Times New Roman" w:hAnsi="Times New Roman" w:eastAsia="宋体" w:cs="Times New Roman"/>
          <w:sz w:val="28"/>
          <w:szCs w:val="28"/>
          <w:lang w:val="en-US" w:eastAsia="zh-CN"/>
        </w:rPr>
        <w:t>2</w:t>
      </w:r>
      <w:r>
        <w:rPr>
          <w:rFonts w:hint="default" w:ascii="Times New Roman" w:hAnsi="Times New Roman" w:eastAsia="宋体" w:cs="Times New Roman"/>
          <w:sz w:val="28"/>
          <w:szCs w:val="28"/>
        </w:rPr>
        <w:t>3）</w:t>
      </w:r>
    </w:p>
    <w:p w14:paraId="758ABFE4">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rPr>
      </w:pPr>
      <w:r>
        <w:rPr>
          <w:rFonts w:hint="default" w:ascii="Times New Roman" w:hAnsi="Times New Roman" w:eastAsia="宋体" w:cs="Times New Roman"/>
          <w:sz w:val="28"/>
          <w:szCs w:val="28"/>
        </w:rPr>
        <w:t>《个体防护装备配备规范 第1部分 总则》（GB</w:t>
      </w:r>
      <w:r>
        <w:rPr>
          <w:rFonts w:hint="default" w:ascii="Times New Roman" w:hAnsi="Times New Roman" w:eastAsia="宋体" w:cs="Times New Roman"/>
          <w:sz w:val="28"/>
          <w:szCs w:val="28"/>
          <w:lang w:val="en-US" w:eastAsia="zh-CN"/>
        </w:rPr>
        <w:t xml:space="preserve"> </w:t>
      </w:r>
      <w:r>
        <w:rPr>
          <w:rFonts w:hint="default" w:ascii="Times New Roman" w:hAnsi="Times New Roman" w:eastAsia="宋体" w:cs="Times New Roman"/>
          <w:sz w:val="28"/>
          <w:szCs w:val="28"/>
        </w:rPr>
        <w:t>39800.1-2020）</w:t>
      </w:r>
    </w:p>
    <w:p w14:paraId="272C4DFB">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rPr>
      </w:pPr>
      <w:r>
        <w:rPr>
          <w:rFonts w:hint="default" w:ascii="Times New Roman" w:hAnsi="Times New Roman" w:eastAsia="宋体" w:cs="Times New Roman"/>
          <w:sz w:val="28"/>
          <w:szCs w:val="28"/>
        </w:rPr>
        <w:t>《个体防护装备配备规范 第2部分 石油、化工、天然气》（GB 39800.2-2020）</w:t>
      </w:r>
    </w:p>
    <w:p w14:paraId="114B121D">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rPr>
      </w:pPr>
      <w:r>
        <w:rPr>
          <w:rFonts w:hint="default" w:ascii="Times New Roman" w:hAnsi="Times New Roman" w:eastAsia="宋体" w:cs="Times New Roman"/>
          <w:sz w:val="28"/>
          <w:szCs w:val="28"/>
          <w:lang w:val="en-US"/>
        </w:rPr>
        <w:t>《安全评价通则》（AQ8001-2007）</w:t>
      </w:r>
    </w:p>
    <w:p w14:paraId="74E65AA5">
      <w:pPr>
        <w:keepNext w:val="0"/>
        <w:keepLines w:val="0"/>
        <w:pageBreakBefore w:val="0"/>
        <w:widowControl w:val="0"/>
        <w:numPr>
          <w:ilvl w:val="0"/>
          <w:numId w:val="28"/>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rPr>
      </w:pPr>
      <w:r>
        <w:rPr>
          <w:rFonts w:hint="default" w:ascii="Times New Roman" w:hAnsi="Times New Roman" w:eastAsia="宋体" w:cs="Times New Roman"/>
          <w:sz w:val="28"/>
          <w:szCs w:val="28"/>
          <w:lang w:val="en-US"/>
        </w:rPr>
        <w:t>《安全</w:t>
      </w:r>
      <w:r>
        <w:rPr>
          <w:rFonts w:hint="eastAsia" w:ascii="Times New Roman" w:hAnsi="Times New Roman" w:eastAsia="宋体" w:cs="Times New Roman"/>
          <w:sz w:val="28"/>
          <w:szCs w:val="28"/>
          <w:lang w:val="en-US" w:eastAsia="zh-CN"/>
        </w:rPr>
        <w:t>预</w:t>
      </w:r>
      <w:r>
        <w:rPr>
          <w:rFonts w:hint="default" w:ascii="Times New Roman" w:hAnsi="Times New Roman" w:eastAsia="宋体" w:cs="Times New Roman"/>
          <w:sz w:val="28"/>
          <w:szCs w:val="28"/>
          <w:lang w:val="en-US"/>
        </w:rPr>
        <w:t>评价</w:t>
      </w:r>
      <w:r>
        <w:rPr>
          <w:rFonts w:hint="eastAsia" w:ascii="Times New Roman" w:hAnsi="Times New Roman" w:eastAsia="宋体" w:cs="Times New Roman"/>
          <w:sz w:val="28"/>
          <w:szCs w:val="28"/>
          <w:lang w:val="en-US" w:eastAsia="zh-CN"/>
        </w:rPr>
        <w:t>导</w:t>
      </w:r>
      <w:r>
        <w:rPr>
          <w:rFonts w:hint="default" w:ascii="Times New Roman" w:hAnsi="Times New Roman" w:eastAsia="宋体" w:cs="Times New Roman"/>
          <w:sz w:val="28"/>
          <w:szCs w:val="28"/>
          <w:lang w:val="en-US"/>
        </w:rPr>
        <w:t>则》（AQ800</w:t>
      </w:r>
      <w:r>
        <w:rPr>
          <w:rFonts w:hint="eastAsia" w:ascii="Times New Roman" w:hAnsi="Times New Roman" w:eastAsia="宋体" w:cs="Times New Roman"/>
          <w:sz w:val="28"/>
          <w:szCs w:val="28"/>
          <w:lang w:val="en-US" w:eastAsia="zh-CN"/>
        </w:rPr>
        <w:t>2</w:t>
      </w:r>
      <w:r>
        <w:rPr>
          <w:rFonts w:hint="default" w:ascii="Times New Roman" w:hAnsi="Times New Roman" w:eastAsia="宋体" w:cs="Times New Roman"/>
          <w:sz w:val="28"/>
          <w:szCs w:val="28"/>
          <w:lang w:val="en-US"/>
        </w:rPr>
        <w:t>-2007）</w:t>
      </w:r>
    </w:p>
    <w:p w14:paraId="7A7ED274">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16" w:name="_Toc31830"/>
      <w:r>
        <w:rPr>
          <w:rFonts w:hint="default" w:ascii="Times New Roman" w:hAnsi="Times New Roman" w:eastAsia="楷体" w:cs="Times New Roman"/>
          <w:b/>
          <w:bCs/>
          <w:sz w:val="32"/>
          <w:szCs w:val="32"/>
          <w:lang w:val="en-US" w:eastAsia="zh-CN"/>
        </w:rPr>
        <w:t>F1.6其它资料或文件</w:t>
      </w:r>
      <w:bookmarkEnd w:id="391"/>
      <w:bookmarkEnd w:id="392"/>
      <w:bookmarkEnd w:id="393"/>
      <w:bookmarkEnd w:id="394"/>
      <w:bookmarkEnd w:id="395"/>
      <w:bookmarkEnd w:id="416"/>
    </w:p>
    <w:p w14:paraId="5016399B">
      <w:pPr>
        <w:numPr>
          <w:ilvl w:val="0"/>
          <w:numId w:val="29"/>
        </w:numPr>
        <w:spacing w:line="300" w:lineRule="auto"/>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辽宁诺诚安全科技有限公司技术人员现场采集的资料；</w:t>
      </w:r>
    </w:p>
    <w:p w14:paraId="5D38253B">
      <w:pPr>
        <w:ind w:firstLine="560" w:firstLineChars="200"/>
        <w:rPr>
          <w:rFonts w:hint="default" w:ascii="Times New Roman" w:hAnsi="Times New Roman" w:cs="Times New Roman"/>
          <w:sz w:val="28"/>
          <w:szCs w:val="28"/>
        </w:rPr>
      </w:pPr>
      <w:r>
        <w:rPr>
          <w:rFonts w:hint="default" w:ascii="Times New Roman" w:hAnsi="Times New Roman" w:cs="Times New Roman"/>
          <w:sz w:val="28"/>
          <w:szCs w:val="28"/>
        </w:rPr>
        <w:t>（3）</w:t>
      </w:r>
      <w:r>
        <w:rPr>
          <w:rFonts w:hint="eastAsia" w:cs="Times New Roman"/>
          <w:sz w:val="28"/>
          <w:szCs w:val="28"/>
          <w:lang w:eastAsia="zh-CN"/>
        </w:rPr>
        <w:t>中国石油天然气股份有限公司河北销售绥中第二加油站</w:t>
      </w:r>
      <w:r>
        <w:rPr>
          <w:rFonts w:hint="default" w:ascii="Times New Roman" w:hAnsi="Times New Roman" w:cs="Times New Roman"/>
          <w:sz w:val="28"/>
          <w:szCs w:val="28"/>
        </w:rPr>
        <w:t>提供的有关书面资料、文件和数据。</w:t>
      </w:r>
    </w:p>
    <w:p w14:paraId="0F9F3A9B">
      <w:pPr>
        <w:pStyle w:val="5"/>
        <w:rPr>
          <w:rFonts w:hint="default" w:ascii="Times New Roman" w:hAnsi="Times New Roman" w:cs="Times New Roman"/>
        </w:rPr>
      </w:pPr>
    </w:p>
    <w:p w14:paraId="16AFAAA3">
      <w:pPr>
        <w:rPr>
          <w:rFonts w:hint="default" w:ascii="Times New Roman" w:hAnsi="Times New Roman" w:cs="Times New Roman"/>
        </w:rPr>
      </w:pPr>
    </w:p>
    <w:p w14:paraId="480458D3">
      <w:pPr>
        <w:pStyle w:val="5"/>
        <w:ind w:left="0" w:leftChars="0" w:firstLine="0" w:firstLineChars="0"/>
        <w:jc w:val="both"/>
        <w:rPr>
          <w:rFonts w:hint="default" w:ascii="Times New Roman" w:hAnsi="Times New Roman" w:cs="Times New Roman"/>
        </w:rPr>
      </w:pPr>
    </w:p>
    <w:p w14:paraId="749C8B4B">
      <w:pPr>
        <w:rPr>
          <w:rFonts w:hint="default" w:ascii="Times New Roman" w:hAnsi="Times New Roman" w:cs="Times New Roman"/>
        </w:rPr>
      </w:pPr>
    </w:p>
    <w:p w14:paraId="6DDF5DBD">
      <w:pPr>
        <w:rPr>
          <w:rFonts w:hint="default" w:ascii="Times New Roman" w:hAnsi="Times New Roman" w:cs="Times New Roma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67C667DD">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417" w:name="_Toc14442"/>
      <w:bookmarkStart w:id="418" w:name="_Toc17898"/>
      <w:r>
        <w:rPr>
          <w:rFonts w:hint="default" w:ascii="Times New Roman" w:hAnsi="Times New Roman" w:eastAsia="黑体" w:cs="Times New Roman"/>
          <w:b/>
          <w:bCs w:val="0"/>
          <w:kern w:val="32"/>
          <w:sz w:val="32"/>
          <w:szCs w:val="32"/>
          <w:lang w:val="en-US" w:eastAsia="zh-CN"/>
        </w:rPr>
        <w:t>附录2选用的安全评价方法简介</w:t>
      </w:r>
      <w:bookmarkEnd w:id="385"/>
      <w:bookmarkEnd w:id="386"/>
      <w:bookmarkEnd w:id="417"/>
      <w:bookmarkEnd w:id="418"/>
    </w:p>
    <w:p w14:paraId="5C4C605B">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19" w:name="_Toc41246747"/>
      <w:bookmarkStart w:id="420" w:name="_Toc20164"/>
      <w:bookmarkStart w:id="421" w:name="_Toc29686"/>
      <w:r>
        <w:rPr>
          <w:rFonts w:hint="default" w:ascii="Times New Roman" w:hAnsi="Times New Roman" w:eastAsia="楷体" w:cs="Times New Roman"/>
          <w:b/>
          <w:bCs/>
          <w:sz w:val="32"/>
          <w:szCs w:val="32"/>
          <w:lang w:val="en-US" w:eastAsia="zh-CN"/>
        </w:rPr>
        <w:t>F2.1安全检查表法</w:t>
      </w:r>
      <w:bookmarkEnd w:id="419"/>
      <w:bookmarkEnd w:id="420"/>
      <w:bookmarkEnd w:id="421"/>
    </w:p>
    <w:p w14:paraId="79B0F693">
      <w:pPr>
        <w:keepNext w:val="0"/>
        <w:keepLines w:val="0"/>
        <w:pageBreakBefore w:val="0"/>
        <w:widowControl w:val="0"/>
        <w:kinsoku/>
        <w:wordWrap/>
        <w:overflowPunct/>
        <w:topLinePunct w:val="0"/>
        <w:autoSpaceDE/>
        <w:autoSpaceDN/>
        <w:bidi w:val="0"/>
        <w:adjustRightInd w:val="0"/>
        <w:snapToGrid/>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6CE74330">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22" w:name="_Toc13121"/>
      <w:bookmarkStart w:id="423" w:name="_Toc41246749"/>
      <w:bookmarkStart w:id="424" w:name="_Toc9381"/>
      <w:r>
        <w:rPr>
          <w:rFonts w:hint="default" w:ascii="Times New Roman" w:hAnsi="Times New Roman" w:eastAsia="楷体" w:cs="Times New Roman"/>
          <w:b/>
          <w:bCs/>
          <w:sz w:val="32"/>
          <w:szCs w:val="32"/>
          <w:lang w:val="en-US" w:eastAsia="zh-CN"/>
        </w:rPr>
        <w:t>F2.2预先危险性分析评价法</w:t>
      </w:r>
      <w:bookmarkEnd w:id="422"/>
      <w:bookmarkEnd w:id="423"/>
      <w:bookmarkEnd w:id="424"/>
    </w:p>
    <w:p w14:paraId="0FD2270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预先危险性分析（Preliminary Hazard Analysis，简称PHA）是在进行某项工程活动（包括设计、施工、生产、维修等）之前，对系统存在的各种危险因素、出现条件和事故可能造成的后果进行宏观、概略分析的系统安全分析方法。其目的是早期发现系统中潜在的危险因素，确定系统的危险等级，提出相应的防范措施，防止这些危险因素发展成为事故，避免考虑不周所造成的损失。</w:t>
      </w:r>
    </w:p>
    <w:p w14:paraId="65B53F0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PHA法概要介绍如下。</w:t>
      </w:r>
    </w:p>
    <w:p w14:paraId="157A4D8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（1）对所分析系统的生产目的、工艺过程、操作条件和周围环境进行充分的调查、了解；</w:t>
      </w:r>
    </w:p>
    <w:p w14:paraId="0DE6785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（2）收集国内外同类生产过程中发生过的事故情况，判断所分析的系统是否也会出现类似情况，查出会造成系统故障、人员伤亡、设备设施及物质损坏、损失的危险性。</w:t>
      </w:r>
    </w:p>
    <w:p w14:paraId="0AE10F2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（3）确定系统中的危险和有害因素（危险源），编制“预先危险性分析表”。</w:t>
      </w:r>
    </w:p>
    <w:p w14:paraId="65ECA9A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（4）根据“危险性等级划分表”，确定危险有害因素的危险等级，找出应重点监控的危险源。</w:t>
      </w:r>
    </w:p>
    <w:p w14:paraId="5F21D3B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eastAsia" w:cs="Times New Roman"/>
          <w:sz w:val="28"/>
          <w:szCs w:val="28"/>
          <w:lang w:eastAsia="zh-CN"/>
        </w:rPr>
        <w:t>（</w:t>
      </w:r>
      <w:r>
        <w:rPr>
          <w:rFonts w:hint="eastAsia" w:cs="Times New Roman"/>
          <w:sz w:val="28"/>
          <w:szCs w:val="28"/>
          <w:lang w:val="en-US" w:eastAsia="zh-CN"/>
        </w:rPr>
        <w:t>5</w:t>
      </w:r>
      <w:r>
        <w:rPr>
          <w:rFonts w:hint="eastAsia" w:cs="Times New Roman"/>
          <w:sz w:val="28"/>
          <w:szCs w:val="28"/>
          <w:lang w:eastAsia="zh-CN"/>
        </w:rPr>
        <w:t>）</w:t>
      </w:r>
      <w:r>
        <w:rPr>
          <w:rFonts w:hint="default" w:ascii="Times New Roman" w:hAnsi="Times New Roman" w:cs="Times New Roman"/>
          <w:sz w:val="28"/>
          <w:szCs w:val="28"/>
        </w:rPr>
        <w:t>按危险和有害因素危险等级制定相应对策措施。</w:t>
      </w:r>
    </w:p>
    <w:p w14:paraId="6E7EEEC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危险等级划分采用美国军用标准MIL-STD-882A所给出的危险等级划分表，如F表2</w:t>
      </w:r>
      <w:r>
        <w:rPr>
          <w:rFonts w:hint="eastAsia" w:ascii="Times New Roman" w:hAnsi="Times New Roman" w:cs="Times New Roman"/>
          <w:sz w:val="28"/>
          <w:szCs w:val="28"/>
          <w:lang w:val="en-US" w:eastAsia="zh-CN"/>
        </w:rPr>
        <w:t>.2</w:t>
      </w:r>
      <w:r>
        <w:rPr>
          <w:rFonts w:hint="default" w:ascii="Times New Roman" w:hAnsi="Times New Roman" w:cs="Times New Roman"/>
          <w:sz w:val="28"/>
          <w:szCs w:val="28"/>
        </w:rPr>
        <w:t>-1所示。</w:t>
      </w:r>
    </w:p>
    <w:p w14:paraId="277B63B0">
      <w:pPr>
        <w:keepNext w:val="0"/>
        <w:keepLines w:val="0"/>
        <w:pageBreakBefore w:val="0"/>
        <w:widowControl w:val="0"/>
        <w:kinsoku/>
        <w:wordWrap/>
        <w:overflowPunct/>
        <w:topLinePunct w:val="0"/>
        <w:autoSpaceDE/>
        <w:autoSpaceDN/>
        <w:bidi w:val="0"/>
        <w:adjustRightInd w:val="0"/>
        <w:snapToGrid w:val="0"/>
        <w:spacing w:before="164" w:beforeLines="50" w:after="164" w:afterLines="50"/>
        <w:ind w:firstLine="0"/>
        <w:jc w:val="center"/>
        <w:textAlignment w:val="auto"/>
        <w:rPr>
          <w:rFonts w:hint="default" w:ascii="Times New Roman" w:hAnsi="Times New Roman" w:eastAsia="黑体" w:cs="Times New Roman"/>
          <w:sz w:val="24"/>
        </w:rPr>
      </w:pPr>
      <w:r>
        <w:rPr>
          <w:rFonts w:hint="default" w:ascii="Times New Roman" w:hAnsi="Times New Roman" w:eastAsia="黑体" w:cs="Times New Roman"/>
          <w:sz w:val="24"/>
        </w:rPr>
        <w:t>F表2</w:t>
      </w:r>
      <w:r>
        <w:rPr>
          <w:rFonts w:hint="default" w:ascii="Times New Roman" w:hAnsi="Times New Roman" w:eastAsia="黑体" w:cs="Times New Roman"/>
          <w:sz w:val="24"/>
          <w:lang w:val="en-US" w:eastAsia="zh-CN"/>
        </w:rPr>
        <w:t>.2</w:t>
      </w:r>
      <w:r>
        <w:rPr>
          <w:rFonts w:hint="default" w:ascii="Times New Roman" w:hAnsi="Times New Roman" w:eastAsia="黑体" w:cs="Times New Roman"/>
          <w:sz w:val="24"/>
        </w:rPr>
        <w:t>-1</w:t>
      </w:r>
      <w:r>
        <w:rPr>
          <w:rFonts w:hint="default" w:ascii="Times New Roman" w:hAnsi="Times New Roman" w:eastAsia="黑体" w:cs="Times New Roman"/>
          <w:sz w:val="24"/>
          <w:lang w:val="en-US" w:eastAsia="zh-CN"/>
        </w:rPr>
        <w:t xml:space="preserve"> </w:t>
      </w:r>
      <w:r>
        <w:rPr>
          <w:rFonts w:hint="default" w:ascii="Times New Roman" w:hAnsi="Times New Roman" w:eastAsia="黑体" w:cs="Times New Roman"/>
          <w:sz w:val="24"/>
        </w:rPr>
        <w:t xml:space="preserve"> 危险等级划分表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450"/>
        <w:gridCol w:w="6869"/>
      </w:tblGrid>
      <w:tr w14:paraId="01D41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1" w:type="dxa"/>
            <w:vAlign w:val="center"/>
          </w:tcPr>
          <w:p w14:paraId="5662DA05">
            <w:pPr>
              <w:adjustRightInd w:val="0"/>
              <w:snapToGrid w:val="0"/>
              <w:jc w:val="center"/>
              <w:rPr>
                <w:rFonts w:hint="default" w:ascii="Times New Roman" w:hAnsi="Times New Roman" w:cs="Times New Roman"/>
              </w:rPr>
            </w:pPr>
            <w:r>
              <w:rPr>
                <w:rFonts w:hint="default" w:ascii="Times New Roman" w:hAnsi="Times New Roman" w:cs="Times New Roman"/>
              </w:rPr>
              <w:t>等 级</w:t>
            </w:r>
          </w:p>
        </w:tc>
        <w:tc>
          <w:tcPr>
            <w:tcW w:w="1236" w:type="dxa"/>
            <w:vAlign w:val="center"/>
          </w:tcPr>
          <w:p w14:paraId="0983A92C">
            <w:pPr>
              <w:adjustRightInd w:val="0"/>
              <w:snapToGrid w:val="0"/>
              <w:jc w:val="center"/>
              <w:rPr>
                <w:rFonts w:hint="default" w:ascii="Times New Roman" w:hAnsi="Times New Roman" w:cs="Times New Roman"/>
              </w:rPr>
            </w:pPr>
            <w:r>
              <w:rPr>
                <w:rFonts w:hint="default" w:ascii="Times New Roman" w:hAnsi="Times New Roman" w:cs="Times New Roman"/>
              </w:rPr>
              <w:t>名  称</w:t>
            </w:r>
          </w:p>
        </w:tc>
        <w:tc>
          <w:tcPr>
            <w:tcW w:w="5853" w:type="dxa"/>
            <w:vAlign w:val="center"/>
          </w:tcPr>
          <w:p w14:paraId="53CC3021">
            <w:pPr>
              <w:adjustRightInd w:val="0"/>
              <w:snapToGrid w:val="0"/>
              <w:jc w:val="center"/>
              <w:rPr>
                <w:rFonts w:hint="default" w:ascii="Times New Roman" w:hAnsi="Times New Roman" w:cs="Times New Roman"/>
              </w:rPr>
            </w:pPr>
            <w:r>
              <w:rPr>
                <w:rFonts w:hint="default" w:ascii="Times New Roman" w:hAnsi="Times New Roman" w:cs="Times New Roman"/>
              </w:rPr>
              <w:t>特   征</w:t>
            </w:r>
          </w:p>
        </w:tc>
      </w:tr>
      <w:tr w14:paraId="3C721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1" w:type="dxa"/>
            <w:vAlign w:val="center"/>
          </w:tcPr>
          <w:p w14:paraId="7DA379C7">
            <w:pPr>
              <w:autoSpaceDE w:val="0"/>
              <w:autoSpaceDN w:val="0"/>
              <w:adjustRightInd w:val="0"/>
              <w:snapToGrid w:val="0"/>
              <w:jc w:val="center"/>
              <w:rPr>
                <w:rFonts w:hint="default" w:ascii="Times New Roman" w:hAnsi="Times New Roman" w:cs="Times New Roman"/>
              </w:rPr>
            </w:pPr>
            <w:r>
              <w:rPr>
                <w:rFonts w:hint="default" w:ascii="Times New Roman" w:hAnsi="Times New Roman" w:cs="Times New Roman"/>
              </w:rPr>
              <w:t>I级</w:t>
            </w:r>
          </w:p>
        </w:tc>
        <w:tc>
          <w:tcPr>
            <w:tcW w:w="1236" w:type="dxa"/>
            <w:vAlign w:val="center"/>
          </w:tcPr>
          <w:p w14:paraId="3FC70C4E">
            <w:pPr>
              <w:adjustRightInd w:val="0"/>
              <w:snapToGrid w:val="0"/>
              <w:jc w:val="center"/>
              <w:rPr>
                <w:rFonts w:hint="default" w:ascii="Times New Roman" w:hAnsi="Times New Roman" w:cs="Times New Roman"/>
              </w:rPr>
            </w:pPr>
            <w:r>
              <w:rPr>
                <w:rFonts w:hint="default" w:ascii="Times New Roman" w:hAnsi="Times New Roman" w:cs="Times New Roman"/>
              </w:rPr>
              <w:t>安全的</w:t>
            </w:r>
          </w:p>
        </w:tc>
        <w:tc>
          <w:tcPr>
            <w:tcW w:w="5853" w:type="dxa"/>
            <w:vAlign w:val="center"/>
          </w:tcPr>
          <w:p w14:paraId="328CB473">
            <w:pPr>
              <w:pStyle w:val="27"/>
              <w:autoSpaceDE/>
              <w:autoSpaceDN/>
              <w:spacing w:line="240" w:lineRule="auto"/>
              <w:rPr>
                <w:rFonts w:hint="default" w:ascii="Times New Roman" w:hAnsi="Times New Roman" w:cs="Times New Roman"/>
              </w:rPr>
            </w:pPr>
            <w:r>
              <w:rPr>
                <w:rFonts w:hint="default" w:ascii="Times New Roman" w:hAnsi="Times New Roman" w:cs="Times New Roman"/>
              </w:rPr>
              <w:t>可以忽略</w:t>
            </w:r>
          </w:p>
        </w:tc>
      </w:tr>
      <w:tr w14:paraId="4C748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1" w:type="dxa"/>
            <w:vAlign w:val="center"/>
          </w:tcPr>
          <w:p w14:paraId="7DD5A30F">
            <w:pPr>
              <w:autoSpaceDE w:val="0"/>
              <w:autoSpaceDN w:val="0"/>
              <w:adjustRightInd w:val="0"/>
              <w:snapToGrid w:val="0"/>
              <w:jc w:val="center"/>
              <w:rPr>
                <w:rFonts w:hint="default" w:ascii="Times New Roman" w:hAnsi="Times New Roman" w:cs="Times New Roman"/>
              </w:rPr>
            </w:pPr>
            <w:r>
              <w:rPr>
                <w:rFonts w:hint="default" w:ascii="Times New Roman" w:hAnsi="Times New Roman" w:cs="Times New Roman"/>
              </w:rPr>
              <w:t>II级</w:t>
            </w:r>
          </w:p>
        </w:tc>
        <w:tc>
          <w:tcPr>
            <w:tcW w:w="1236" w:type="dxa"/>
            <w:vAlign w:val="center"/>
          </w:tcPr>
          <w:p w14:paraId="09B45046">
            <w:pPr>
              <w:adjustRightInd w:val="0"/>
              <w:snapToGrid w:val="0"/>
              <w:jc w:val="center"/>
              <w:rPr>
                <w:rFonts w:hint="default" w:ascii="Times New Roman" w:hAnsi="Times New Roman" w:cs="Times New Roman"/>
              </w:rPr>
            </w:pPr>
            <w:r>
              <w:rPr>
                <w:rFonts w:hint="default" w:ascii="Times New Roman" w:hAnsi="Times New Roman" w:cs="Times New Roman"/>
              </w:rPr>
              <w:t>临界的</w:t>
            </w:r>
          </w:p>
        </w:tc>
        <w:tc>
          <w:tcPr>
            <w:tcW w:w="5853" w:type="dxa"/>
            <w:vAlign w:val="center"/>
          </w:tcPr>
          <w:p w14:paraId="6CB44F6A">
            <w:pPr>
              <w:adjustRightInd w:val="0"/>
              <w:snapToGrid w:val="0"/>
              <w:jc w:val="center"/>
              <w:rPr>
                <w:rFonts w:hint="default" w:ascii="Times New Roman" w:hAnsi="Times New Roman" w:cs="Times New Roman"/>
              </w:rPr>
            </w:pPr>
            <w:r>
              <w:rPr>
                <w:rFonts w:hint="default" w:ascii="Times New Roman" w:hAnsi="Times New Roman" w:cs="Times New Roman"/>
              </w:rPr>
              <w:t>处于事故边缘状态，暂不会造成人员伤亡和财产损失，但应予以排除或采取控制措施</w:t>
            </w:r>
          </w:p>
        </w:tc>
      </w:tr>
      <w:tr w14:paraId="258CF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1" w:type="dxa"/>
            <w:vAlign w:val="center"/>
          </w:tcPr>
          <w:p w14:paraId="4AC19893">
            <w:pPr>
              <w:autoSpaceDE w:val="0"/>
              <w:autoSpaceDN w:val="0"/>
              <w:adjustRightInd w:val="0"/>
              <w:snapToGrid w:val="0"/>
              <w:jc w:val="center"/>
              <w:rPr>
                <w:rFonts w:hint="default" w:ascii="Times New Roman" w:hAnsi="Times New Roman" w:cs="Times New Roman"/>
              </w:rPr>
            </w:pPr>
            <w:r>
              <w:rPr>
                <w:rFonts w:hint="default" w:ascii="Times New Roman" w:hAnsi="Times New Roman" w:cs="Times New Roman"/>
              </w:rPr>
              <w:t>Ⅲ级</w:t>
            </w:r>
          </w:p>
        </w:tc>
        <w:tc>
          <w:tcPr>
            <w:tcW w:w="1236" w:type="dxa"/>
            <w:vAlign w:val="center"/>
          </w:tcPr>
          <w:p w14:paraId="61A4D46B">
            <w:pPr>
              <w:adjustRightInd w:val="0"/>
              <w:snapToGrid w:val="0"/>
              <w:jc w:val="center"/>
              <w:rPr>
                <w:rFonts w:hint="default" w:ascii="Times New Roman" w:hAnsi="Times New Roman" w:cs="Times New Roman"/>
              </w:rPr>
            </w:pPr>
            <w:r>
              <w:rPr>
                <w:rFonts w:hint="default" w:ascii="Times New Roman" w:hAnsi="Times New Roman" w:cs="Times New Roman"/>
              </w:rPr>
              <w:t>危险的</w:t>
            </w:r>
          </w:p>
        </w:tc>
        <w:tc>
          <w:tcPr>
            <w:tcW w:w="5853" w:type="dxa"/>
            <w:vAlign w:val="center"/>
          </w:tcPr>
          <w:p w14:paraId="72C27C1C">
            <w:pPr>
              <w:adjustRightInd w:val="0"/>
              <w:snapToGrid w:val="0"/>
              <w:jc w:val="center"/>
              <w:rPr>
                <w:rFonts w:hint="default" w:ascii="Times New Roman" w:hAnsi="Times New Roman" w:cs="Times New Roman"/>
              </w:rPr>
            </w:pPr>
            <w:r>
              <w:rPr>
                <w:rFonts w:hint="default" w:ascii="Times New Roman" w:hAnsi="Times New Roman" w:cs="Times New Roman"/>
              </w:rPr>
              <w:t>会造成人员伤亡和系统破坏，要立即采取措施</w:t>
            </w:r>
          </w:p>
        </w:tc>
      </w:tr>
      <w:tr w14:paraId="3C4BC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1" w:type="dxa"/>
            <w:vAlign w:val="center"/>
          </w:tcPr>
          <w:p w14:paraId="760FD739">
            <w:pPr>
              <w:autoSpaceDE w:val="0"/>
              <w:autoSpaceDN w:val="0"/>
              <w:adjustRightInd w:val="0"/>
              <w:snapToGrid w:val="0"/>
              <w:jc w:val="center"/>
              <w:rPr>
                <w:rFonts w:hint="default" w:ascii="Times New Roman" w:hAnsi="Times New Roman" w:cs="Times New Roman"/>
              </w:rPr>
            </w:pPr>
            <w:r>
              <w:rPr>
                <w:rFonts w:hint="default" w:ascii="Times New Roman" w:hAnsi="Times New Roman" w:cs="Times New Roman"/>
              </w:rPr>
              <w:t>Ⅳ级</w:t>
            </w:r>
          </w:p>
        </w:tc>
        <w:tc>
          <w:tcPr>
            <w:tcW w:w="1236" w:type="dxa"/>
            <w:vAlign w:val="center"/>
          </w:tcPr>
          <w:p w14:paraId="5C91EA0E">
            <w:pPr>
              <w:adjustRightInd w:val="0"/>
              <w:snapToGrid w:val="0"/>
              <w:jc w:val="center"/>
              <w:rPr>
                <w:rFonts w:hint="default" w:ascii="Times New Roman" w:hAnsi="Times New Roman" w:cs="Times New Roman"/>
              </w:rPr>
            </w:pPr>
            <w:r>
              <w:rPr>
                <w:rFonts w:hint="default" w:ascii="Times New Roman" w:hAnsi="Times New Roman" w:cs="Times New Roman"/>
              </w:rPr>
              <w:t>破坏性的</w:t>
            </w:r>
          </w:p>
        </w:tc>
        <w:tc>
          <w:tcPr>
            <w:tcW w:w="5853" w:type="dxa"/>
            <w:vAlign w:val="center"/>
          </w:tcPr>
          <w:p w14:paraId="25C28E52">
            <w:pPr>
              <w:adjustRightInd w:val="0"/>
              <w:snapToGrid w:val="0"/>
              <w:jc w:val="center"/>
              <w:rPr>
                <w:rFonts w:hint="default" w:ascii="Times New Roman" w:hAnsi="Times New Roman" w:cs="Times New Roman"/>
              </w:rPr>
            </w:pPr>
            <w:r>
              <w:rPr>
                <w:rFonts w:hint="default" w:ascii="Times New Roman" w:hAnsi="Times New Roman" w:cs="Times New Roman"/>
              </w:rPr>
              <w:t>会造成破坏性事故，必须立即排除，并进行重点防范</w:t>
            </w:r>
          </w:p>
        </w:tc>
      </w:tr>
    </w:tbl>
    <w:p w14:paraId="471A698A">
      <w:pPr>
        <w:keepNext w:val="0"/>
        <w:keepLines w:val="0"/>
        <w:pageBreakBefore w:val="0"/>
        <w:widowControl w:val="0"/>
        <w:kinsoku/>
        <w:wordWrap/>
        <w:overflowPunct/>
        <w:topLinePunct w:val="0"/>
        <w:autoSpaceDE/>
        <w:autoSpaceDN/>
        <w:bidi w:val="0"/>
        <w:adjustRightInd w:val="0"/>
        <w:snapToGrid w:val="0"/>
        <w:spacing w:before="164" w:beforeLines="50"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rPr>
        <w:t>PHA是一种应用范围较广的定性评价方法，常常由具有丰富知识和经验的工程技术人员、管理人员、操作者经过分析、讨论而实施。</w:t>
      </w:r>
    </w:p>
    <w:p w14:paraId="141D867F">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25" w:name="_Toc11820"/>
      <w:bookmarkStart w:id="426" w:name="_Toc29148"/>
      <w:r>
        <w:rPr>
          <w:rFonts w:hint="default" w:ascii="Times New Roman" w:hAnsi="Times New Roman" w:eastAsia="楷体" w:cs="Times New Roman"/>
          <w:b/>
          <w:bCs/>
          <w:sz w:val="32"/>
          <w:szCs w:val="32"/>
          <w:lang w:val="en-US" w:eastAsia="zh-CN"/>
        </w:rPr>
        <w:t>F2.3蒸汽云爆炸灾害模型</w:t>
      </w:r>
      <w:bookmarkEnd w:id="425"/>
      <w:bookmarkEnd w:id="426"/>
    </w:p>
    <w:p w14:paraId="0A81B5BE">
      <w:pPr>
        <w:keepNext w:val="0"/>
        <w:keepLines w:val="0"/>
        <w:pageBreakBefore w:val="0"/>
        <w:widowControl w:val="0"/>
        <w:kinsoku/>
        <w:wordWrap/>
        <w:overflowPunct/>
        <w:topLinePunct w:val="0"/>
        <w:autoSpaceDE/>
        <w:autoSpaceDN/>
        <w:bidi w:val="0"/>
        <w:adjustRightInd w:val="0"/>
        <w:snapToGrid w:val="0"/>
        <w:spacing w:line="360" w:lineRule="auto"/>
        <w:ind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当大量可燃气体泄漏到敞开空间后，如果没有立即点火，而是在空中扩散，与空气形成爆炸性混合物，然后发生延迟点火，就会发生蒸气云爆炸。</w:t>
      </w:r>
    </w:p>
    <w:p w14:paraId="3240F583">
      <w:pPr>
        <w:keepNext w:val="0"/>
        <w:keepLines w:val="0"/>
        <w:pageBreakBefore w:val="0"/>
        <w:widowControl w:val="0"/>
        <w:kinsoku/>
        <w:wordWrap/>
        <w:overflowPunct/>
        <w:topLinePunct w:val="0"/>
        <w:autoSpaceDE/>
        <w:autoSpaceDN/>
        <w:bidi w:val="0"/>
        <w:adjustRightInd w:val="0"/>
        <w:snapToGrid w:val="0"/>
        <w:spacing w:line="360" w:lineRule="auto"/>
        <w:ind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蒸气云爆炸的能量常用TNT当量描述，即将参与爆炸的可燃气体释放的能量折合为能释放相同能量的TNT炸药的量，这样，就可以利用有关TNT爆炸效应的实验数据预测蒸气云爆炸效应。</w:t>
      </w:r>
    </w:p>
    <w:p w14:paraId="5DA346B5">
      <w:pPr>
        <w:keepNext w:val="0"/>
        <w:keepLines w:val="0"/>
        <w:pageBreakBefore w:val="0"/>
        <w:widowControl w:val="0"/>
        <w:kinsoku/>
        <w:wordWrap/>
        <w:overflowPunct/>
        <w:topLinePunct w:val="0"/>
        <w:autoSpaceDE/>
        <w:autoSpaceDN/>
        <w:bidi w:val="0"/>
        <w:adjustRightInd w:val="0"/>
        <w:snapToGrid w:val="0"/>
        <w:spacing w:line="360" w:lineRule="auto"/>
        <w:ind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TNT当量计算：</w:t>
      </w:r>
    </w:p>
    <w:p w14:paraId="67BE24CE">
      <w:pPr>
        <w:keepNext w:val="0"/>
        <w:keepLines w:val="0"/>
        <w:pageBreakBefore w:val="0"/>
        <w:widowControl w:val="0"/>
        <w:kinsoku/>
        <w:wordWrap/>
        <w:overflowPunct/>
        <w:topLinePunct w:val="0"/>
        <w:autoSpaceDE/>
        <w:autoSpaceDN/>
        <w:bidi w:val="0"/>
        <w:adjustRightInd w:val="0"/>
        <w:snapToGrid w:val="0"/>
        <w:spacing w:line="360" w:lineRule="auto"/>
        <w:ind w:firstLine="561"/>
        <w:textAlignment w:val="auto"/>
        <w:rPr>
          <w:rFonts w:hint="default" w:ascii="Times New Roman" w:hAnsi="Times New Roman" w:cs="Times New Roman"/>
          <w:sz w:val="28"/>
          <w:szCs w:val="28"/>
        </w:rPr>
      </w:pPr>
      <w:r>
        <w:rPr>
          <w:rFonts w:hint="default" w:ascii="Times New Roman" w:hAnsi="Times New Roman" w:cs="Times New Roman"/>
          <w:sz w:val="28"/>
          <w:szCs w:val="28"/>
        </w:rPr>
        <w:t>本项目</w:t>
      </w:r>
      <w:r>
        <w:rPr>
          <w:rFonts w:hint="eastAsia" w:cs="Times New Roman"/>
          <w:sz w:val="28"/>
          <w:szCs w:val="28"/>
          <w:lang w:eastAsia="zh-CN"/>
        </w:rPr>
        <w:t>乙醇汽油</w:t>
      </w:r>
      <w:r>
        <w:rPr>
          <w:rFonts w:hint="default" w:ascii="Times New Roman" w:hAnsi="Times New Roman" w:cs="Times New Roman"/>
          <w:sz w:val="28"/>
          <w:szCs w:val="28"/>
        </w:rPr>
        <w:t>储罐物质泄漏后形成蒸汽云，蒸汽云爆炸的能量常用TNT当量描述，即将参与爆炸的可燃气体释放的能量折合为能释放相同能量的TNT炸药的量。</w:t>
      </w:r>
    </w:p>
    <w:p w14:paraId="4D37914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TNT当量计算公式如下：</w:t>
      </w:r>
    </w:p>
    <w:p w14:paraId="3EC7F0D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W</w:t>
      </w:r>
      <w:r>
        <w:rPr>
          <w:rFonts w:hint="default" w:ascii="Times New Roman" w:hAnsi="Times New Roman" w:cs="Times New Roman"/>
          <w:sz w:val="28"/>
          <w:szCs w:val="28"/>
          <w:vertAlign w:val="subscript"/>
        </w:rPr>
        <w:t>TNT</w:t>
      </w:r>
      <w:r>
        <w:rPr>
          <w:rFonts w:hint="default" w:ascii="Times New Roman" w:hAnsi="Times New Roman" w:cs="Times New Roman"/>
          <w:sz w:val="28"/>
          <w:szCs w:val="28"/>
        </w:rPr>
        <w:t>=βAW</w:t>
      </w:r>
      <w:r>
        <w:rPr>
          <w:rFonts w:hint="default" w:ascii="Times New Roman" w:hAnsi="Times New Roman" w:cs="Times New Roman"/>
          <w:sz w:val="28"/>
          <w:szCs w:val="28"/>
          <w:vertAlign w:val="subscript"/>
        </w:rPr>
        <w:t>f</w:t>
      </w:r>
      <w:r>
        <w:rPr>
          <w:rFonts w:hint="default" w:ascii="Times New Roman" w:hAnsi="Times New Roman" w:cs="Times New Roman"/>
          <w:sz w:val="28"/>
          <w:szCs w:val="28"/>
        </w:rPr>
        <w:t>Q</w:t>
      </w:r>
      <w:r>
        <w:rPr>
          <w:rFonts w:hint="default" w:ascii="Times New Roman" w:hAnsi="Times New Roman" w:cs="Times New Roman"/>
          <w:sz w:val="28"/>
          <w:szCs w:val="28"/>
          <w:vertAlign w:val="subscript"/>
        </w:rPr>
        <w:t>f </w:t>
      </w:r>
      <w:r>
        <w:rPr>
          <w:rFonts w:hint="default" w:ascii="Times New Roman" w:hAnsi="Times New Roman" w:cs="Times New Roman"/>
          <w:sz w:val="28"/>
          <w:szCs w:val="28"/>
        </w:rPr>
        <w:t xml:space="preserve"> / Q</w:t>
      </w:r>
      <w:r>
        <w:rPr>
          <w:rFonts w:hint="default" w:ascii="Times New Roman" w:hAnsi="Times New Roman" w:cs="Times New Roman"/>
          <w:sz w:val="28"/>
          <w:szCs w:val="28"/>
          <w:vertAlign w:val="subscript"/>
        </w:rPr>
        <w:t>TNT</w:t>
      </w:r>
    </w:p>
    <w:p w14:paraId="39D19DE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式中W</w:t>
      </w:r>
      <w:r>
        <w:rPr>
          <w:rFonts w:hint="default" w:ascii="Times New Roman" w:hAnsi="Times New Roman" w:cs="Times New Roman"/>
          <w:sz w:val="28"/>
          <w:szCs w:val="28"/>
          <w:vertAlign w:val="subscript"/>
        </w:rPr>
        <w:t>TNT</w:t>
      </w:r>
      <w:r>
        <w:rPr>
          <w:rFonts w:hint="default" w:ascii="Times New Roman" w:hAnsi="Times New Roman" w:cs="Times New Roman"/>
          <w:sz w:val="28"/>
          <w:szCs w:val="28"/>
        </w:rPr>
        <w:t>——蒸气云的TNT当量，kg；</w:t>
      </w:r>
    </w:p>
    <w:p w14:paraId="7BC20EA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    β——地面爆炸系数，取β=1.8； </w:t>
      </w:r>
    </w:p>
    <w:p w14:paraId="1AD1B6A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 xml:space="preserve">    A——蒸气云的TNT当量系数，A取0.3%或0.4%； </w:t>
      </w:r>
    </w:p>
    <w:p w14:paraId="3739935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    W</w:t>
      </w:r>
      <w:r>
        <w:rPr>
          <w:rFonts w:hint="default" w:ascii="Times New Roman" w:hAnsi="Times New Roman" w:cs="Times New Roman"/>
          <w:sz w:val="28"/>
          <w:szCs w:val="28"/>
          <w:vertAlign w:val="subscript"/>
        </w:rPr>
        <w:t>f</w:t>
      </w:r>
      <w:r>
        <w:rPr>
          <w:rFonts w:hint="default" w:ascii="Times New Roman" w:hAnsi="Times New Roman" w:cs="Times New Roman"/>
          <w:sz w:val="28"/>
          <w:szCs w:val="28"/>
        </w:rPr>
        <w:t xml:space="preserve">——蒸气云中燃料的总质量：kg； </w:t>
      </w:r>
    </w:p>
    <w:p w14:paraId="76E6404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    Q</w:t>
      </w:r>
      <w:r>
        <w:rPr>
          <w:rFonts w:hint="default" w:ascii="Times New Roman" w:hAnsi="Times New Roman" w:cs="Times New Roman"/>
          <w:sz w:val="28"/>
          <w:szCs w:val="28"/>
          <w:vertAlign w:val="subscript"/>
        </w:rPr>
        <w:t>f</w:t>
      </w:r>
      <w:r>
        <w:rPr>
          <w:rFonts w:hint="default" w:ascii="Times New Roman" w:hAnsi="Times New Roman" w:cs="Times New Roman"/>
          <w:sz w:val="28"/>
          <w:szCs w:val="28"/>
        </w:rPr>
        <w:t xml:space="preserve">——燃料的燃烧热，kJ/kg； </w:t>
      </w:r>
    </w:p>
    <w:p w14:paraId="7CEC3EC4">
      <w:pPr>
        <w:keepNext w:val="0"/>
        <w:keepLines w:val="0"/>
        <w:pageBreakBefore w:val="0"/>
        <w:widowControl w:val="0"/>
        <w:kinsoku/>
        <w:wordWrap/>
        <w:overflowPunct/>
        <w:topLinePunct w:val="0"/>
        <w:autoSpaceDE/>
        <w:autoSpaceDN/>
        <w:bidi w:val="0"/>
        <w:adjustRightInd w:val="0"/>
        <w:snapToGrid w:val="0"/>
        <w:spacing w:line="360" w:lineRule="auto"/>
        <w:ind w:firstLine="840" w:firstLineChars="300"/>
        <w:textAlignment w:val="auto"/>
        <w:rPr>
          <w:rFonts w:hint="default" w:ascii="Times New Roman" w:hAnsi="Times New Roman" w:cs="Times New Roman"/>
          <w:sz w:val="28"/>
          <w:szCs w:val="28"/>
        </w:rPr>
      </w:pPr>
      <w:r>
        <w:rPr>
          <w:rFonts w:hint="default" w:ascii="Times New Roman" w:hAnsi="Times New Roman" w:cs="Times New Roman"/>
          <w:sz w:val="28"/>
          <w:szCs w:val="28"/>
        </w:rPr>
        <w:t>Q</w:t>
      </w:r>
      <w:r>
        <w:rPr>
          <w:rFonts w:hint="default" w:ascii="Times New Roman" w:hAnsi="Times New Roman" w:cs="Times New Roman"/>
          <w:sz w:val="28"/>
          <w:szCs w:val="28"/>
          <w:vertAlign w:val="subscript"/>
        </w:rPr>
        <w:t>TNT</w:t>
      </w:r>
      <w:r>
        <w:rPr>
          <w:rFonts w:hint="default" w:ascii="Times New Roman" w:hAnsi="Times New Roman" w:cs="Times New Roman"/>
          <w:sz w:val="28"/>
          <w:szCs w:val="28"/>
        </w:rPr>
        <w:t>——TNT的爆炸热，Q</w:t>
      </w:r>
      <w:r>
        <w:rPr>
          <w:rFonts w:hint="default" w:ascii="Times New Roman" w:hAnsi="Times New Roman" w:cs="Times New Roman"/>
          <w:sz w:val="28"/>
          <w:szCs w:val="28"/>
          <w:vertAlign w:val="subscript"/>
        </w:rPr>
        <w:t>TNT=</w:t>
      </w:r>
      <w:r>
        <w:rPr>
          <w:rFonts w:hint="default" w:ascii="Times New Roman" w:hAnsi="Times New Roman" w:cs="Times New Roman"/>
          <w:sz w:val="28"/>
          <w:szCs w:val="28"/>
        </w:rPr>
        <w:t>4520kJ/kg。</w:t>
      </w:r>
    </w:p>
    <w:p w14:paraId="203CE15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rPr>
      </w:pPr>
    </w:p>
    <w:p w14:paraId="71D39E9E">
      <w:pPr>
        <w:pStyle w:val="5"/>
        <w:rPr>
          <w:rFonts w:hint="default" w:ascii="Times New Roman" w:hAnsi="Times New Roman" w:cs="Times New Roman"/>
        </w:rPr>
      </w:pPr>
    </w:p>
    <w:p w14:paraId="25B17F0B">
      <w:pPr>
        <w:rPr>
          <w:rFonts w:hint="default" w:ascii="Times New Roman" w:hAnsi="Times New Roman" w:cs="Times New Roman"/>
        </w:rPr>
      </w:pPr>
    </w:p>
    <w:p w14:paraId="798819BD">
      <w:pPr>
        <w:pStyle w:val="5"/>
        <w:rPr>
          <w:rFonts w:hint="default" w:ascii="Times New Roman" w:hAnsi="Times New Roman" w:cs="Times New Roman"/>
        </w:rPr>
      </w:pPr>
    </w:p>
    <w:p w14:paraId="52EA801A">
      <w:pPr>
        <w:rPr>
          <w:rFonts w:hint="default" w:ascii="Times New Roman" w:hAnsi="Times New Roman" w:cs="Times New Roman"/>
        </w:rPr>
      </w:pPr>
    </w:p>
    <w:p w14:paraId="7AE55A96">
      <w:pPr>
        <w:pStyle w:val="5"/>
        <w:rPr>
          <w:rFonts w:hint="default" w:ascii="Times New Roman" w:hAnsi="Times New Roman" w:cs="Times New Roman"/>
        </w:rPr>
      </w:pPr>
    </w:p>
    <w:p w14:paraId="05E86429">
      <w:pPr>
        <w:rPr>
          <w:rFonts w:hint="default" w:ascii="Times New Roman" w:hAnsi="Times New Roman" w:cs="Times New Roman"/>
        </w:rPr>
      </w:pPr>
    </w:p>
    <w:p w14:paraId="22C67D34">
      <w:pPr>
        <w:pStyle w:val="5"/>
        <w:rPr>
          <w:rFonts w:hint="default" w:ascii="Times New Roman" w:hAnsi="Times New Roman" w:cs="Times New Roman"/>
        </w:rPr>
      </w:pPr>
    </w:p>
    <w:p w14:paraId="23537502">
      <w:pPr>
        <w:rPr>
          <w:rFonts w:hint="default" w:ascii="Times New Roman" w:hAnsi="Times New Roman" w:cs="Times New Roman"/>
        </w:rPr>
      </w:pPr>
    </w:p>
    <w:p w14:paraId="7DA6A9B0">
      <w:pPr>
        <w:ind w:firstLine="320"/>
        <w:rPr>
          <w:rFonts w:hint="default" w:ascii="Times New Roman" w:hAnsi="Times New Roman" w:eastAsia="黑体" w:cs="Times New Roman"/>
          <w:sz w:val="32"/>
          <w:szCs w:val="32"/>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bookmarkStart w:id="427" w:name="_Toc410311927"/>
      <w:bookmarkStart w:id="428" w:name="_Toc410312004"/>
      <w:bookmarkStart w:id="429" w:name="_Toc41246750"/>
    </w:p>
    <w:p w14:paraId="14F7B783">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430" w:name="_Toc6852"/>
      <w:bookmarkStart w:id="431" w:name="_Toc17097"/>
      <w:r>
        <w:rPr>
          <w:rFonts w:hint="default" w:ascii="Times New Roman" w:hAnsi="Times New Roman" w:eastAsia="黑体" w:cs="Times New Roman"/>
          <w:b/>
          <w:bCs w:val="0"/>
          <w:kern w:val="32"/>
          <w:sz w:val="32"/>
          <w:szCs w:val="32"/>
          <w:lang w:val="en-US" w:eastAsia="zh-CN"/>
        </w:rPr>
        <w:t>附录F3</w:t>
      </w:r>
      <w:bookmarkEnd w:id="427"/>
      <w:bookmarkEnd w:id="428"/>
      <w:r>
        <w:rPr>
          <w:rFonts w:hint="default" w:ascii="Times New Roman" w:hAnsi="Times New Roman" w:eastAsia="黑体" w:cs="Times New Roman"/>
          <w:b/>
          <w:bCs w:val="0"/>
          <w:kern w:val="32"/>
          <w:sz w:val="32"/>
          <w:szCs w:val="32"/>
          <w:lang w:val="en-US" w:eastAsia="zh-CN"/>
        </w:rPr>
        <w:t>危险、有害</w:t>
      </w:r>
      <w:bookmarkEnd w:id="429"/>
      <w:r>
        <w:rPr>
          <w:rFonts w:hint="default" w:ascii="Times New Roman" w:hAnsi="Times New Roman" w:eastAsia="黑体" w:cs="Times New Roman"/>
          <w:b/>
          <w:bCs w:val="0"/>
          <w:kern w:val="32"/>
          <w:sz w:val="32"/>
          <w:szCs w:val="32"/>
          <w:lang w:val="en-US" w:eastAsia="zh-CN"/>
        </w:rPr>
        <w:t>因素分析</w:t>
      </w:r>
      <w:bookmarkEnd w:id="430"/>
      <w:bookmarkEnd w:id="431"/>
    </w:p>
    <w:p w14:paraId="595328AF">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32" w:name="_Toc410311929"/>
      <w:bookmarkStart w:id="433" w:name="_Toc278879242"/>
      <w:bookmarkStart w:id="434" w:name="_Toc374955639"/>
      <w:bookmarkStart w:id="435" w:name="_Toc410312006"/>
      <w:bookmarkStart w:id="436" w:name="_Toc274467308"/>
      <w:bookmarkStart w:id="437" w:name="_Toc25396"/>
      <w:bookmarkStart w:id="438" w:name="_Toc31070"/>
      <w:bookmarkStart w:id="439" w:name="_Toc41246751"/>
      <w:r>
        <w:rPr>
          <w:rFonts w:hint="default" w:ascii="Times New Roman" w:hAnsi="Times New Roman" w:eastAsia="楷体" w:cs="Times New Roman"/>
          <w:b/>
          <w:bCs/>
          <w:sz w:val="32"/>
          <w:szCs w:val="32"/>
          <w:lang w:val="en-US" w:eastAsia="zh-CN"/>
        </w:rPr>
        <w:t>F3.1</w:t>
      </w:r>
      <w:bookmarkEnd w:id="432"/>
      <w:bookmarkEnd w:id="433"/>
      <w:bookmarkEnd w:id="434"/>
      <w:bookmarkEnd w:id="435"/>
      <w:bookmarkEnd w:id="436"/>
      <w:r>
        <w:rPr>
          <w:rFonts w:hint="default" w:ascii="Times New Roman" w:hAnsi="Times New Roman" w:eastAsia="楷体" w:cs="Times New Roman"/>
          <w:b/>
          <w:bCs/>
          <w:sz w:val="32"/>
          <w:szCs w:val="32"/>
          <w:lang w:val="en-US" w:eastAsia="zh-CN"/>
        </w:rPr>
        <w:t>主要物料危险、有害因素</w:t>
      </w:r>
      <w:bookmarkEnd w:id="437"/>
      <w:bookmarkEnd w:id="438"/>
      <w:bookmarkEnd w:id="439"/>
    </w:p>
    <w:p w14:paraId="24B5DC42">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440" w:name="_Toc23568"/>
      <w:bookmarkStart w:id="441" w:name="_Toc146488922"/>
      <w:r>
        <w:rPr>
          <w:rFonts w:hint="default" w:ascii="Times New Roman" w:hAnsi="Times New Roman" w:eastAsia="黑体" w:cs="Times New Roman"/>
          <w:b/>
          <w:bCs/>
          <w:color w:val="auto"/>
          <w:sz w:val="28"/>
          <w:szCs w:val="32"/>
          <w:lang w:val="en-US" w:eastAsia="zh-CN"/>
        </w:rPr>
        <w:t>F3.1.1</w:t>
      </w:r>
      <w:bookmarkEnd w:id="440"/>
      <w:bookmarkEnd w:id="441"/>
      <w:r>
        <w:rPr>
          <w:rFonts w:hint="eastAsia" w:eastAsia="黑体" w:cs="Times New Roman"/>
          <w:b/>
          <w:bCs/>
          <w:color w:val="auto"/>
          <w:sz w:val="28"/>
          <w:szCs w:val="32"/>
          <w:lang w:val="en-US" w:eastAsia="zh-CN"/>
        </w:rPr>
        <w:t>乙醇汽油</w:t>
      </w:r>
    </w:p>
    <w:p w14:paraId="1D27008C">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F表3</w:t>
      </w:r>
      <w:r>
        <w:rPr>
          <w:rFonts w:hint="default" w:ascii="Times New Roman" w:hAnsi="Times New Roman" w:eastAsia="黑体" w:cs="Times New Roman"/>
          <w:b w:val="0"/>
          <w:bCs w:val="0"/>
          <w:sz w:val="24"/>
          <w:lang w:val="en-US" w:eastAsia="zh-CN"/>
        </w:rPr>
        <w:t>.1</w:t>
      </w:r>
      <w:r>
        <w:rPr>
          <w:rFonts w:hint="default" w:ascii="Times New Roman" w:hAnsi="Times New Roman" w:eastAsia="黑体" w:cs="Times New Roman"/>
          <w:b w:val="0"/>
          <w:bCs w:val="0"/>
          <w:sz w:val="24"/>
        </w:rPr>
        <w:t xml:space="preserve">-1 </w:t>
      </w:r>
      <w:r>
        <w:rPr>
          <w:rFonts w:hint="eastAsia" w:eastAsia="黑体" w:cs="Times New Roman"/>
          <w:b w:val="0"/>
          <w:bCs w:val="0"/>
          <w:sz w:val="24"/>
          <w:lang w:eastAsia="zh-CN"/>
        </w:rPr>
        <w:t>乙醇汽油</w:t>
      </w:r>
      <w:r>
        <w:rPr>
          <w:rFonts w:hint="default" w:ascii="Times New Roman" w:hAnsi="Times New Roman" w:eastAsia="黑体" w:cs="Times New Roman"/>
          <w:b w:val="0"/>
          <w:bCs w:val="0"/>
          <w:sz w:val="24"/>
        </w:rPr>
        <w:t>的危险、有害识别表</w:t>
      </w:r>
    </w:p>
    <w:tbl>
      <w:tblPr>
        <w:tblStyle w:val="13"/>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8625"/>
      </w:tblGrid>
      <w:tr w14:paraId="1B68E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1" w:type="pct"/>
            <w:vAlign w:val="center"/>
          </w:tcPr>
          <w:p w14:paraId="57D285BA">
            <w:pPr>
              <w:adjustRightInd w:val="0"/>
              <w:snapToGrid w:val="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特别</w:t>
            </w:r>
          </w:p>
          <w:p w14:paraId="0AC3AF12">
            <w:pPr>
              <w:adjustRightInd w:val="0"/>
              <w:snapToGrid w:val="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警示</w:t>
            </w:r>
          </w:p>
        </w:tc>
        <w:tc>
          <w:tcPr>
            <w:tcW w:w="4588" w:type="pct"/>
            <w:vAlign w:val="center"/>
          </w:tcPr>
          <w:p w14:paraId="4370A84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高度易燃液体；不得使用直流水扑救（用水灭火无效）。</w:t>
            </w:r>
          </w:p>
        </w:tc>
      </w:tr>
      <w:tr w14:paraId="7C546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1" w:type="pct"/>
            <w:vAlign w:val="center"/>
          </w:tcPr>
          <w:p w14:paraId="4E9FD6A1">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理</w:t>
            </w:r>
          </w:p>
          <w:p w14:paraId="2216E3FC">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化</w:t>
            </w:r>
          </w:p>
          <w:p w14:paraId="316D08FE">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特</w:t>
            </w:r>
          </w:p>
          <w:p w14:paraId="6BA86635">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性</w:t>
            </w:r>
          </w:p>
        </w:tc>
        <w:tc>
          <w:tcPr>
            <w:tcW w:w="4588" w:type="pct"/>
            <w:vAlign w:val="center"/>
          </w:tcPr>
          <w:p w14:paraId="211DADCE">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无色到浅黄色的透明液体。</w:t>
            </w:r>
          </w:p>
          <w:p w14:paraId="061ABC95">
            <w:pPr>
              <w:widowControl/>
              <w:adjustRightInd w:val="0"/>
              <w:snapToGrid w:val="0"/>
              <w:ind w:firstLine="220"/>
              <w:jc w:val="both"/>
              <w:rPr>
                <w:rFonts w:hint="default" w:ascii="Times New Roman" w:hAnsi="Times New Roman" w:cs="Times New Roman"/>
                <w:b w:val="0"/>
                <w:bCs/>
                <w:kern w:val="0"/>
                <w:sz w:val="21"/>
                <w:szCs w:val="21"/>
              </w:rPr>
            </w:pPr>
            <w:r>
              <w:rPr>
                <w:rFonts w:hint="eastAsia" w:cs="Times New Roman"/>
                <w:b w:val="0"/>
                <w:bCs/>
                <w:kern w:val="0"/>
                <w:sz w:val="21"/>
                <w:szCs w:val="21"/>
                <w:lang w:eastAsia="zh-CN"/>
              </w:rPr>
              <w:t>乙醇汽油</w:t>
            </w:r>
            <w:r>
              <w:rPr>
                <w:rFonts w:hint="default" w:ascii="Times New Roman" w:hAnsi="Times New Roman" w:cs="Times New Roman"/>
                <w:b w:val="0"/>
                <w:bCs/>
                <w:kern w:val="0"/>
                <w:sz w:val="21"/>
                <w:szCs w:val="21"/>
              </w:rPr>
              <w:t>理化性质：按研究法辛烷值(RON)分为92号、95号和98号三个牌号，相对密度（水=1）0.70～0.80，相对蒸气密度（空气=1）3～4，闪点-46℃，爆炸极限1.4～7.6%（体积比），自燃温度415～530℃，最大爆炸压力0.813MPa。</w:t>
            </w:r>
          </w:p>
          <w:p w14:paraId="55EA29F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主要用途：汽油主要用作汽油机的燃料，可用于橡胶、制鞋、印刷、制革、颜料等行业,也可用作机械零件的去污剂。</w:t>
            </w:r>
          </w:p>
        </w:tc>
      </w:tr>
      <w:tr w14:paraId="75886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1" w:type="pct"/>
            <w:vAlign w:val="center"/>
          </w:tcPr>
          <w:p w14:paraId="0606D56E">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危</w:t>
            </w:r>
          </w:p>
          <w:p w14:paraId="0CD83B58">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害</w:t>
            </w:r>
          </w:p>
          <w:p w14:paraId="112CB807">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信</w:t>
            </w:r>
          </w:p>
          <w:p w14:paraId="4942DAD6">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息</w:t>
            </w:r>
          </w:p>
        </w:tc>
        <w:tc>
          <w:tcPr>
            <w:tcW w:w="4588" w:type="pct"/>
            <w:vAlign w:val="center"/>
          </w:tcPr>
          <w:p w14:paraId="2371F0F8">
            <w:pPr>
              <w:widowControl/>
              <w:adjustRightInd w:val="0"/>
              <w:snapToGrid w:val="0"/>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【燃烧和爆炸危险性】</w:t>
            </w:r>
          </w:p>
          <w:p w14:paraId="044CE54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009CF729">
            <w:pPr>
              <w:widowControl/>
              <w:adjustRightInd w:val="0"/>
              <w:snapToGrid w:val="0"/>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【健康危害】</w:t>
            </w:r>
          </w:p>
          <w:p w14:paraId="1208D355">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汽油为麻醉性毒物，高浓度吸入出现中毒性脑病，极高浓度吸入引起意识突然丧失、反射性呼吸停止。误将汽油吸入呼吸道可引起吸入性肺炎。</w:t>
            </w:r>
          </w:p>
          <w:p w14:paraId="26677348">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职业接触限值：PC-TWA(时间加权平均容许浓度)(mg/m</w:t>
            </w:r>
            <w:r>
              <w:rPr>
                <w:rFonts w:hint="default" w:ascii="Times New Roman" w:hAnsi="Times New Roman" w:cs="Times New Roman"/>
                <w:b w:val="0"/>
                <w:bCs/>
                <w:kern w:val="0"/>
                <w:sz w:val="21"/>
                <w:szCs w:val="21"/>
                <w:vertAlign w:val="superscript"/>
              </w:rPr>
              <w:t>3</w:t>
            </w:r>
            <w:r>
              <w:rPr>
                <w:rFonts w:hint="default" w:ascii="Times New Roman" w:hAnsi="Times New Roman" w:cs="Times New Roman"/>
                <w:b w:val="0"/>
                <w:bCs/>
                <w:kern w:val="0"/>
                <w:sz w:val="21"/>
                <w:szCs w:val="21"/>
              </w:rPr>
              <w:t>):300（汽油）。</w:t>
            </w:r>
          </w:p>
        </w:tc>
      </w:tr>
      <w:tr w14:paraId="674F3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1" w:type="pct"/>
            <w:vAlign w:val="center"/>
          </w:tcPr>
          <w:p w14:paraId="6DF2CE3A">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安</w:t>
            </w:r>
          </w:p>
          <w:p w14:paraId="446C3985">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全</w:t>
            </w:r>
          </w:p>
          <w:p w14:paraId="09226DB6">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措</w:t>
            </w:r>
          </w:p>
          <w:p w14:paraId="56711E2D">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施</w:t>
            </w:r>
          </w:p>
        </w:tc>
        <w:tc>
          <w:tcPr>
            <w:tcW w:w="4588" w:type="pct"/>
            <w:vAlign w:val="center"/>
          </w:tcPr>
          <w:p w14:paraId="236A626A">
            <w:pPr>
              <w:widowControl/>
              <w:adjustRightInd w:val="0"/>
              <w:snapToGrid w:val="0"/>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【一般要求】</w:t>
            </w:r>
          </w:p>
          <w:p w14:paraId="4A009B91">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操作人员必须经过专门培训，严格遵守操作规程，熟练掌握操作技能，具备应急处置知识。</w:t>
            </w:r>
          </w:p>
          <w:p w14:paraId="1D7231C5">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5D924788">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储罐等容器和设备应设置液位计、温度计，并应装有带液位、温度远传记录和报警功能的安全装置。</w:t>
            </w:r>
          </w:p>
          <w:p w14:paraId="36E16C10">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避免与氧化剂接触。</w:t>
            </w:r>
          </w:p>
          <w:p w14:paraId="5E6F79FE">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生产、储存区域应设置安全警示标志。灌装时应控制流速，且有接地装置，防止静电积聚。搬运时要轻装轻卸，防止包装及容器损坏。配备相应品种和数量的消防器材及泄漏应急处理设备。</w:t>
            </w:r>
          </w:p>
          <w:p w14:paraId="5F9B69D1">
            <w:pPr>
              <w:widowControl/>
              <w:adjustRightInd w:val="0"/>
              <w:snapToGrid w:val="0"/>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【特殊要求】</w:t>
            </w:r>
          </w:p>
          <w:p w14:paraId="6C912CF6">
            <w:pPr>
              <w:widowControl/>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【操作安全】</w:t>
            </w:r>
          </w:p>
          <w:p w14:paraId="43250EB4">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（1）油罐及贮存桶装汽油附近要严禁烟火。禁止将汽油与其他易燃物放在一起。</w:t>
            </w:r>
          </w:p>
          <w:p w14:paraId="567211EA">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2）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72DA6138">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（3）当进行灌装汽油时，邻近的汽车、拖拉机的排气管要戴上防火帽后才能发动，存汽油地点附近严禁检修车辆。</w:t>
            </w:r>
          </w:p>
          <w:p w14:paraId="3F0C359D">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（4）汽油油罐和贮存汽油区的上空，不应有电线通过。油罐、库房与电线的距离要为电杆长度的1.5倍以上。</w:t>
            </w:r>
          </w:p>
          <w:p w14:paraId="069D922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（5）注意仓库及操作场所的通风，使油蒸气容易逸散。</w:t>
            </w:r>
          </w:p>
          <w:p w14:paraId="3E6BBC01">
            <w:pPr>
              <w:adjustRightInd w:val="0"/>
              <w:snapToGrid w:val="0"/>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【储存安全】</w:t>
            </w:r>
          </w:p>
          <w:p w14:paraId="26D95FB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（1）储存于阴凉、通风的库房。远离火种、热源。库房温度不宜超过30℃。炎热季节应采取喷淋、通风等降温措施。</w:t>
            </w:r>
          </w:p>
          <w:p w14:paraId="5FEFE7D0">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（2）应与氧化剂分开存放，切忌混储。用储罐、铁桶等容器盛装，不要用塑料桶来存放汽油。盛装时，切不可充满，要留出必要的安全空间。</w:t>
            </w:r>
          </w:p>
          <w:p w14:paraId="0819988B">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（3）采用防爆型照明、通风设施。禁止使用易产生火花的机械设备和工具。储存区应备有泄漏应急处理设备和合适的收容材料。罐储时要有防火防爆技术措施。对于1000m</w:t>
            </w:r>
            <w:r>
              <w:rPr>
                <w:rFonts w:hint="default" w:ascii="Times New Roman" w:hAnsi="Times New Roman" w:cs="Times New Roman"/>
                <w:b w:val="0"/>
                <w:bCs/>
                <w:kern w:val="0"/>
                <w:sz w:val="21"/>
                <w:szCs w:val="21"/>
                <w:vertAlign w:val="superscript"/>
              </w:rPr>
              <w:t>3</w:t>
            </w:r>
            <w:r>
              <w:rPr>
                <w:rFonts w:hint="default" w:ascii="Times New Roman" w:hAnsi="Times New Roman" w:cs="Times New Roman"/>
                <w:b w:val="0"/>
                <w:bCs/>
                <w:kern w:val="0"/>
                <w:sz w:val="21"/>
                <w:szCs w:val="21"/>
              </w:rPr>
              <w:t>及以上的储罐顶部应有泡沫灭火设施等。</w:t>
            </w:r>
          </w:p>
        </w:tc>
      </w:tr>
      <w:tr w14:paraId="67B1E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1" w:type="pct"/>
            <w:vAlign w:val="center"/>
          </w:tcPr>
          <w:p w14:paraId="47653788">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应</w:t>
            </w:r>
          </w:p>
          <w:p w14:paraId="5D476215">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急</w:t>
            </w:r>
          </w:p>
          <w:p w14:paraId="43150A0A">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处</w:t>
            </w:r>
          </w:p>
          <w:p w14:paraId="79C30CE5">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置</w:t>
            </w:r>
          </w:p>
          <w:p w14:paraId="32869A02">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原</w:t>
            </w:r>
          </w:p>
          <w:p w14:paraId="02398ECF">
            <w:pPr>
              <w:adjustRightInd w:val="0"/>
              <w:snapToGrid w:val="0"/>
              <w:ind w:firstLine="241"/>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则</w:t>
            </w:r>
          </w:p>
        </w:tc>
        <w:tc>
          <w:tcPr>
            <w:tcW w:w="4588" w:type="pct"/>
            <w:vAlign w:val="center"/>
          </w:tcPr>
          <w:p w14:paraId="365D9F5D">
            <w:pPr>
              <w:spacing w:line="360" w:lineRule="auto"/>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【急救措施】</w:t>
            </w:r>
          </w:p>
          <w:p w14:paraId="3F1C07DF">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吸入：迅速脱离现场至空气新鲜处。保持呼吸道通畅。如呼吸困难，给氧。如呼吸停止，立即进行人工呼吸。就医。</w:t>
            </w:r>
          </w:p>
          <w:p w14:paraId="553B1889">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食入：给饮牛奶或用植物油洗胃和灌肠。就医。</w:t>
            </w:r>
          </w:p>
          <w:p w14:paraId="66C4846D">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皮肤接触：立即脱去污染的衣着，用肥皂水和清水彻底冲洗皮肤。就医。</w:t>
            </w:r>
          </w:p>
          <w:p w14:paraId="5592DE87">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眼睛接触：立即提起眼睑，用大量流动清水或生理盐水彻底冲洗至少15分钟。就医。</w:t>
            </w:r>
          </w:p>
          <w:p w14:paraId="40BDE94C">
            <w:pPr>
              <w:spacing w:line="360" w:lineRule="auto"/>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【灭火方法】</w:t>
            </w:r>
          </w:p>
          <w:p w14:paraId="7F8F82AE">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喷水冷却容器，尽可能将容器从火场移至空旷处。</w:t>
            </w:r>
          </w:p>
          <w:p w14:paraId="0B8FD0BE">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灭火剂：泡沫、干粉、二氧化碳。用水灭火无效。</w:t>
            </w:r>
          </w:p>
          <w:p w14:paraId="37CB53DC">
            <w:pPr>
              <w:spacing w:line="360" w:lineRule="auto"/>
              <w:ind w:firstLine="24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【泄漏应急处置】</w:t>
            </w:r>
          </w:p>
          <w:p w14:paraId="4F336D59">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3FA0752">
            <w:pPr>
              <w:widowControl/>
              <w:adjustRightInd w:val="0"/>
              <w:snapToGrid w:val="0"/>
              <w:ind w:firstLine="220"/>
              <w:jc w:val="both"/>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作为一项紧急预防措施，泄漏隔离距离至少为50m。如果为大量泄漏，下风向的初始疏散距离应至少为300m。</w:t>
            </w:r>
          </w:p>
        </w:tc>
      </w:tr>
    </w:tbl>
    <w:p w14:paraId="3DE19A22">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442" w:name="_Toc146488923"/>
      <w:bookmarkStart w:id="443" w:name="_Toc26644"/>
      <w:r>
        <w:rPr>
          <w:rFonts w:hint="default" w:ascii="Times New Roman" w:hAnsi="Times New Roman" w:eastAsia="黑体" w:cs="Times New Roman"/>
          <w:b/>
          <w:bCs/>
          <w:color w:val="auto"/>
          <w:sz w:val="28"/>
          <w:szCs w:val="32"/>
          <w:lang w:val="en-US" w:eastAsia="zh-CN"/>
        </w:rPr>
        <w:t>F3.1.2柴油</w:t>
      </w:r>
      <w:bookmarkEnd w:id="442"/>
      <w:bookmarkEnd w:id="443"/>
    </w:p>
    <w:p w14:paraId="679F9CA4">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F表3</w:t>
      </w:r>
      <w:r>
        <w:rPr>
          <w:rFonts w:hint="eastAsia" w:ascii="Times New Roman" w:hAnsi="Times New Roman" w:eastAsia="黑体" w:cs="Times New Roman"/>
          <w:b w:val="0"/>
          <w:bCs w:val="0"/>
          <w:sz w:val="24"/>
          <w:lang w:val="en-US" w:eastAsia="zh-CN"/>
        </w:rPr>
        <w:t>.1</w:t>
      </w:r>
      <w:r>
        <w:rPr>
          <w:rFonts w:hint="default" w:ascii="Times New Roman" w:hAnsi="Times New Roman" w:eastAsia="黑体" w:cs="Times New Roman"/>
          <w:b w:val="0"/>
          <w:bCs w:val="0"/>
          <w:sz w:val="24"/>
        </w:rPr>
        <w:t>-2柴油的危险、有害识别表</w:t>
      </w:r>
    </w:p>
    <w:tbl>
      <w:tblPr>
        <w:tblStyle w:val="13"/>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6"/>
        <w:gridCol w:w="8622"/>
      </w:tblGrid>
      <w:tr w14:paraId="0A2A3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3" w:type="pct"/>
            <w:vAlign w:val="center"/>
          </w:tcPr>
          <w:p w14:paraId="080C8435">
            <w:pPr>
              <w:adjustRightInd w:val="0"/>
              <w:snapToGrid w:val="0"/>
              <w:jc w:val="center"/>
              <w:rPr>
                <w:rFonts w:hint="default" w:ascii="Times New Roman" w:hAnsi="Times New Roman" w:cs="Times New Roman"/>
                <w:b w:val="0"/>
                <w:bCs/>
                <w:kern w:val="0"/>
                <w:sz w:val="21"/>
                <w:szCs w:val="21"/>
              </w:rPr>
            </w:pPr>
            <w:bookmarkStart w:id="444" w:name="_Toc410312007"/>
            <w:bookmarkStart w:id="445" w:name="_Toc41246752"/>
            <w:bookmarkStart w:id="446" w:name="_Toc410311930"/>
            <w:r>
              <w:rPr>
                <w:rFonts w:hint="default" w:ascii="Times New Roman" w:hAnsi="Times New Roman" w:cs="Times New Roman"/>
                <w:b w:val="0"/>
                <w:bCs/>
                <w:kern w:val="0"/>
                <w:sz w:val="21"/>
                <w:szCs w:val="21"/>
              </w:rPr>
              <w:t>特别警示</w:t>
            </w:r>
          </w:p>
        </w:tc>
        <w:tc>
          <w:tcPr>
            <w:tcW w:w="4586" w:type="pct"/>
          </w:tcPr>
          <w:p w14:paraId="155422FD">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该物质对环境有危害，建议不要让其进入环境。对水体和大气可造成污染，破坏水生生物呼吸系统。对海藻应给予特别注意。</w:t>
            </w:r>
          </w:p>
        </w:tc>
      </w:tr>
      <w:tr w14:paraId="043C2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3" w:type="pct"/>
            <w:vAlign w:val="center"/>
          </w:tcPr>
          <w:p w14:paraId="54748D80">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理</w:t>
            </w:r>
          </w:p>
          <w:p w14:paraId="6DCB3E32">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化</w:t>
            </w:r>
          </w:p>
          <w:p w14:paraId="6E2E0802">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特</w:t>
            </w:r>
          </w:p>
          <w:p w14:paraId="781351C0">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性</w:t>
            </w:r>
          </w:p>
        </w:tc>
        <w:tc>
          <w:tcPr>
            <w:tcW w:w="4586" w:type="pct"/>
          </w:tcPr>
          <w:p w14:paraId="4A0B5F5A">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稍有粘性的棕色液体。</w:t>
            </w:r>
          </w:p>
          <w:p w14:paraId="4311F3D0">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相对密度（水=1）0.79～0.85，闪点（闭口）（℃）：其中5号、0号、-10号柴油的闪点不低于60℃；-20号柴油闪点不低于50℃；-35号、-50号柴油的闪点不低于45℃，沸点282-338℃，引燃温度257℃。</w:t>
            </w:r>
          </w:p>
          <w:p w14:paraId="5879F9A7">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主要用途：柴油主要用作柴油机的燃料。</w:t>
            </w:r>
          </w:p>
        </w:tc>
      </w:tr>
      <w:tr w14:paraId="61D49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3" w:type="pct"/>
            <w:vAlign w:val="center"/>
          </w:tcPr>
          <w:p w14:paraId="77828018">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危</w:t>
            </w:r>
          </w:p>
          <w:p w14:paraId="68152B00">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害</w:t>
            </w:r>
          </w:p>
          <w:p w14:paraId="2799CCD4">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信</w:t>
            </w:r>
          </w:p>
          <w:p w14:paraId="42302495">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息</w:t>
            </w:r>
          </w:p>
        </w:tc>
        <w:tc>
          <w:tcPr>
            <w:tcW w:w="4586" w:type="pct"/>
          </w:tcPr>
          <w:p w14:paraId="0529F9D0">
            <w:pPr>
              <w:widowControl/>
              <w:adjustRightInd w:val="0"/>
              <w:snapToGrid w:val="0"/>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【燃烧和爆炸危险性】</w:t>
            </w:r>
          </w:p>
          <w:p w14:paraId="0AA7399C">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本品易燃，具刺激性。遇明火、高热或与氧化剂接触，有引起燃烧爆炸的危险。若遇高热，容器内压增大，有开裂和爆炸的危险。</w:t>
            </w:r>
          </w:p>
          <w:p w14:paraId="0B4D0ED4">
            <w:pPr>
              <w:widowControl/>
              <w:adjustRightInd w:val="0"/>
              <w:snapToGrid w:val="0"/>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【健康危害】</w:t>
            </w:r>
          </w:p>
          <w:p w14:paraId="60438EF9">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14:paraId="3C34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3" w:type="pct"/>
            <w:vAlign w:val="center"/>
          </w:tcPr>
          <w:p w14:paraId="2C42D1F6">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安</w:t>
            </w:r>
          </w:p>
          <w:p w14:paraId="0558440A">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全</w:t>
            </w:r>
          </w:p>
          <w:p w14:paraId="56266326">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措</w:t>
            </w:r>
          </w:p>
          <w:p w14:paraId="4BBCD180">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施</w:t>
            </w:r>
          </w:p>
        </w:tc>
        <w:tc>
          <w:tcPr>
            <w:tcW w:w="4586" w:type="pct"/>
          </w:tcPr>
          <w:p w14:paraId="7AA50D2F">
            <w:pPr>
              <w:widowControl/>
              <w:adjustRightInd w:val="0"/>
              <w:snapToGrid w:val="0"/>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【一般要求】</w:t>
            </w:r>
          </w:p>
          <w:p w14:paraId="53F6ADAB">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69D4B3C1">
            <w:pPr>
              <w:adjustRightInd w:val="0"/>
              <w:snapToGrid w:val="0"/>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【储存安全】</w:t>
            </w:r>
          </w:p>
          <w:p w14:paraId="3BDCA4FE">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14:paraId="6C9CB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3" w:type="pct"/>
            <w:vAlign w:val="center"/>
          </w:tcPr>
          <w:p w14:paraId="0A0656EE">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应</w:t>
            </w:r>
          </w:p>
          <w:p w14:paraId="6D665C90">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急</w:t>
            </w:r>
          </w:p>
          <w:p w14:paraId="7DBA6B76">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处</w:t>
            </w:r>
          </w:p>
          <w:p w14:paraId="6E160E7D">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置</w:t>
            </w:r>
          </w:p>
          <w:p w14:paraId="04733099">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原</w:t>
            </w:r>
          </w:p>
          <w:p w14:paraId="3B49ACF7">
            <w:pPr>
              <w:adjustRightInd w:val="0"/>
              <w:snapToGrid w:val="0"/>
              <w:jc w:val="center"/>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则</w:t>
            </w:r>
          </w:p>
        </w:tc>
        <w:tc>
          <w:tcPr>
            <w:tcW w:w="4586" w:type="pct"/>
          </w:tcPr>
          <w:p w14:paraId="394952F9">
            <w:pPr>
              <w:spacing w:line="360" w:lineRule="auto"/>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【急救措施】</w:t>
            </w:r>
          </w:p>
          <w:p w14:paraId="5496745A">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吸入：迅速脱离现场至空气新鲜处。保持呼吸道通畅。如呼吸困难，给输氧。如呼吸停止，立即进行人工呼吸。就医。</w:t>
            </w:r>
          </w:p>
          <w:p w14:paraId="59D1D31D">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食入：尽快彻底洗胃。就医。</w:t>
            </w:r>
          </w:p>
          <w:p w14:paraId="7FAA0A3C">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皮肤接触：立即脱去污染的衣着，用肥皂水和清水彻底冲洗皮肤。就医。</w:t>
            </w:r>
          </w:p>
          <w:p w14:paraId="1F389912">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眼睛接触：提起眼睑，用流动清水或生理盐水冲洗。就医。</w:t>
            </w:r>
          </w:p>
          <w:p w14:paraId="0D0F4D97">
            <w:pPr>
              <w:spacing w:line="360" w:lineRule="auto"/>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【灭火方法】</w:t>
            </w:r>
          </w:p>
          <w:p w14:paraId="3E7742CB">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7B3179D2">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灭火剂：雾状水、泡沫、干粉、二氧化碳、砂土。</w:t>
            </w:r>
          </w:p>
          <w:p w14:paraId="4B19C4F8">
            <w:pPr>
              <w:spacing w:line="360" w:lineRule="auto"/>
              <w:ind w:firstLine="24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【泄漏应急处置】</w:t>
            </w:r>
          </w:p>
          <w:p w14:paraId="79AD148A">
            <w:pPr>
              <w:widowControl/>
              <w:adjustRightInd w:val="0"/>
              <w:snapToGrid w:val="0"/>
              <w:ind w:firstLine="220"/>
              <w:rPr>
                <w:rFonts w:hint="default" w:ascii="Times New Roman" w:hAnsi="Times New Roman" w:cs="Times New Roman"/>
                <w:b w:val="0"/>
                <w:bCs/>
                <w:kern w:val="0"/>
                <w:sz w:val="21"/>
                <w:szCs w:val="21"/>
              </w:rPr>
            </w:pPr>
            <w:r>
              <w:rPr>
                <w:rFonts w:hint="default" w:ascii="Times New Roman" w:hAnsi="Times New Roman" w:cs="Times New Roman"/>
                <w:b w:val="0"/>
                <w:bCs/>
                <w:kern w:val="0"/>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46E3E740">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47" w:name="_Toc4457"/>
      <w:bookmarkStart w:id="448" w:name="_Toc28826"/>
      <w:r>
        <w:rPr>
          <w:rFonts w:hint="default" w:ascii="Times New Roman" w:hAnsi="Times New Roman" w:eastAsia="楷体" w:cs="Times New Roman"/>
          <w:b/>
          <w:bCs/>
          <w:sz w:val="32"/>
          <w:szCs w:val="32"/>
          <w:lang w:val="en-US" w:eastAsia="zh-CN"/>
        </w:rPr>
        <w:t>F3.2</w:t>
      </w:r>
      <w:bookmarkEnd w:id="444"/>
      <w:bookmarkEnd w:id="445"/>
      <w:bookmarkEnd w:id="446"/>
      <w:r>
        <w:rPr>
          <w:rFonts w:hint="default" w:ascii="Times New Roman" w:hAnsi="Times New Roman" w:eastAsia="楷体" w:cs="Times New Roman"/>
          <w:b/>
          <w:bCs/>
          <w:sz w:val="32"/>
          <w:szCs w:val="32"/>
          <w:lang w:val="en-US" w:eastAsia="zh-CN"/>
        </w:rPr>
        <w:t>经营、储存的危险、有害因素分析</w:t>
      </w:r>
      <w:bookmarkEnd w:id="447"/>
      <w:bookmarkEnd w:id="448"/>
    </w:p>
    <w:p w14:paraId="5F611DBB">
      <w:pPr>
        <w:adjustRightInd w:val="0"/>
        <w:snapToGrid w:val="0"/>
        <w:spacing w:line="360" w:lineRule="auto"/>
        <w:ind w:firstLine="560" w:firstLineChars="200"/>
        <w:rPr>
          <w:rFonts w:hint="default" w:ascii="Times New Roman" w:hAnsi="Times New Roman" w:eastAsia="宋体" w:cs="Times New Roman"/>
          <w:sz w:val="28"/>
          <w:szCs w:val="28"/>
        </w:rPr>
      </w:pPr>
      <w:bookmarkStart w:id="449" w:name="_Toc41246753"/>
      <w:bookmarkStart w:id="450" w:name="_Toc11407"/>
      <w:r>
        <w:rPr>
          <w:rFonts w:hint="default" w:ascii="Times New Roman" w:hAnsi="Times New Roman" w:eastAsia="宋体" w:cs="Times New Roman"/>
          <w:sz w:val="28"/>
          <w:szCs w:val="28"/>
        </w:rPr>
        <w:t>根据《生产过程危险和有害因素分类与代码》和《生产安全事故分类与编码》等的有关规定，本项目危险、有害因素分为：火灾、管道爆炸、可燃液体蒸气爆炸、中毒、窒息、厂（场）内车辆致害、触电、机械致害、高处坠落、泄漏、物体打击、坍塌、其他（噪声）。</w:t>
      </w:r>
    </w:p>
    <w:p w14:paraId="2EE0D864">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F3.2.1火灾</w:t>
      </w:r>
    </w:p>
    <w:p w14:paraId="4533B1B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（1）油品装卸过程</w:t>
      </w:r>
    </w:p>
    <w:p w14:paraId="5EFC07D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加油站是为机动车充装车用乙醇汽油、柴油的专门场所。如果装卸油品过程中因设备泄漏跑油、灌装过满冒油或卸油时逸散油气，遇明火、机械火星、静电火花、雷电、烟囱飞火等点火源，有导致火灾、爆炸的危险。</w:t>
      </w:r>
    </w:p>
    <w:p w14:paraId="1F6DFB3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在接卸油品或加油的作业中，汽车油罐车不熄火、静电接地不良、卸油时连通软管静电传导性能差；雷雨天往油罐卸油或往汽车油箱加油速度过快；加油操作失误；密闭卸油接口处漏油；对明火源管理不严等，都会导致火灾、爆炸、设备损坏或人身伤亡事故。</w:t>
      </w:r>
    </w:p>
    <w:p w14:paraId="4A56971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（2）埋地储罐</w:t>
      </w:r>
    </w:p>
    <w:p w14:paraId="37ED250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加油站的卧式油罐埋地设置是比较安全的。从国内外的有关调查资料统计来看，油罐埋地设置，火灾发生概率较低，即使油罐发生着火，也容易扑救。</w:t>
      </w:r>
    </w:p>
    <w:p w14:paraId="62AFFDB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0835EB0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（3）加油场地</w:t>
      </w:r>
    </w:p>
    <w:p w14:paraId="00E2F7E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w:t>
      </w:r>
    </w:p>
    <w:p w14:paraId="083E7DA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（4）站房</w:t>
      </w:r>
    </w:p>
    <w:p w14:paraId="070B379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486D7F8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w:t>
      </w:r>
      <w:r>
        <w:rPr>
          <w:rFonts w:hint="eastAsia" w:cs="Times New Roman"/>
          <w:sz w:val="28"/>
          <w:szCs w:val="28"/>
          <w:lang w:val="en-US" w:eastAsia="zh-CN"/>
        </w:rPr>
        <w:t>5</w:t>
      </w:r>
      <w:r>
        <w:rPr>
          <w:rFonts w:hint="eastAsia" w:ascii="Times New Roman" w:hAnsi="Times New Roman" w:eastAsia="宋体" w:cs="Times New Roman"/>
          <w:sz w:val="28"/>
          <w:szCs w:val="28"/>
          <w:lang w:eastAsia="zh-CN"/>
        </w:rPr>
        <w:t>）其他</w:t>
      </w:r>
    </w:p>
    <w:p w14:paraId="5693604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eastAsia" w:ascii="Times New Roman" w:hAnsi="Times New Roman" w:eastAsia="宋体" w:cs="Times New Roman"/>
          <w:sz w:val="28"/>
          <w:szCs w:val="28"/>
          <w:lang w:eastAsia="zh-CN"/>
        </w:rPr>
        <w:t>在进行量油作业过程中，可能会有油气外逸至作业附近，可能会由于作业人员未穿戴防静电服装、使用铁制工具等因素，导致发生火灾、爆炸事故。</w:t>
      </w:r>
    </w:p>
    <w:p w14:paraId="4D52462A">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F3.2.2泄漏</w:t>
      </w:r>
    </w:p>
    <w:p w14:paraId="75F0FE0C">
      <w:pPr>
        <w:adjustRightInd w:val="0"/>
        <w:snapToGrid w:val="0"/>
        <w:spacing w:line="360" w:lineRule="auto"/>
        <w:ind w:firstLine="560" w:firstLineChars="200"/>
        <w:rPr>
          <w:rFonts w:ascii="Times New Roman" w:hAnsi="Times New Roman" w:eastAsia="宋体" w:cs="Times New Roman"/>
          <w:color w:val="auto"/>
          <w:kern w:val="28"/>
          <w:sz w:val="28"/>
          <w:szCs w:val="28"/>
        </w:rPr>
      </w:pPr>
      <w:r>
        <w:rPr>
          <w:rFonts w:ascii="Times New Roman" w:hAnsi="Times New Roman" w:eastAsia="宋体" w:cs="Times New Roman"/>
          <w:color w:val="auto"/>
          <w:kern w:val="28"/>
          <w:sz w:val="28"/>
          <w:szCs w:val="28"/>
        </w:rPr>
        <w:t>加油站在油品装卸作业全过程中，引发油品泄漏的原因主要集中在设备、操作、管理及外部环境等方面。</w:t>
      </w:r>
    </w:p>
    <w:p w14:paraId="2F3FE54C">
      <w:pPr>
        <w:adjustRightInd w:val="0"/>
        <w:snapToGrid w:val="0"/>
        <w:spacing w:line="360" w:lineRule="auto"/>
        <w:ind w:firstLine="560" w:firstLineChars="200"/>
        <w:rPr>
          <w:rFonts w:hint="eastAsia" w:ascii="Times New Roman" w:hAnsi="Times New Roman" w:eastAsia="宋体" w:cs="Times New Roman"/>
          <w:color w:val="auto"/>
          <w:kern w:val="28"/>
          <w:sz w:val="28"/>
          <w:szCs w:val="28"/>
          <w:lang w:eastAsia="zh-CN"/>
        </w:rPr>
      </w:pPr>
      <w:r>
        <w:rPr>
          <w:rFonts w:hint="eastAsia" w:ascii="Times New Roman" w:hAnsi="Times New Roman" w:eastAsia="宋体" w:cs="Times New Roman"/>
          <w:color w:val="auto"/>
          <w:kern w:val="28"/>
          <w:sz w:val="28"/>
          <w:szCs w:val="28"/>
          <w:lang w:val="en-US" w:eastAsia="zh-CN"/>
        </w:rPr>
        <w:t>在</w:t>
      </w:r>
      <w:r>
        <w:rPr>
          <w:rFonts w:ascii="Times New Roman" w:hAnsi="Times New Roman" w:eastAsia="宋体" w:cs="Times New Roman"/>
          <w:color w:val="auto"/>
          <w:kern w:val="28"/>
          <w:sz w:val="28"/>
          <w:szCs w:val="28"/>
        </w:rPr>
        <w:t>装卸</w:t>
      </w:r>
      <w:r>
        <w:rPr>
          <w:rFonts w:hint="eastAsia" w:ascii="Times New Roman" w:hAnsi="Times New Roman" w:eastAsia="宋体" w:cs="Times New Roman"/>
          <w:color w:val="auto"/>
          <w:kern w:val="28"/>
          <w:sz w:val="28"/>
          <w:szCs w:val="28"/>
          <w:lang w:val="en-US" w:eastAsia="zh-CN"/>
        </w:rPr>
        <w:t>作业</w:t>
      </w:r>
      <w:r>
        <w:rPr>
          <w:rFonts w:ascii="Times New Roman" w:hAnsi="Times New Roman" w:eastAsia="宋体" w:cs="Times New Roman"/>
          <w:color w:val="auto"/>
          <w:kern w:val="28"/>
          <w:sz w:val="28"/>
          <w:szCs w:val="28"/>
        </w:rPr>
        <w:t>前，卸油接口、阀门密封件老化缺失、油罐液位核查不准、油气回收装置密封不良等，</w:t>
      </w:r>
      <w:r>
        <w:rPr>
          <w:rFonts w:hint="eastAsia" w:ascii="Times New Roman" w:hAnsi="Times New Roman" w:eastAsia="宋体" w:cs="Times New Roman"/>
          <w:color w:val="auto"/>
          <w:kern w:val="28"/>
          <w:sz w:val="28"/>
          <w:szCs w:val="28"/>
          <w:lang w:val="en-US" w:eastAsia="zh-CN"/>
        </w:rPr>
        <w:t>均</w:t>
      </w:r>
      <w:r>
        <w:rPr>
          <w:rFonts w:ascii="Times New Roman" w:hAnsi="Times New Roman" w:eastAsia="宋体" w:cs="Times New Roman"/>
          <w:color w:val="auto"/>
          <w:kern w:val="28"/>
          <w:sz w:val="28"/>
          <w:szCs w:val="28"/>
        </w:rPr>
        <w:t>易存在渗漏和冒罐隐患；连接软管时，若接口对接不到位、软管破损开裂</w:t>
      </w:r>
      <w:r>
        <w:rPr>
          <w:rFonts w:hint="eastAsia" w:ascii="Times New Roman" w:hAnsi="Times New Roman" w:eastAsia="宋体" w:cs="Times New Roman"/>
          <w:color w:val="auto"/>
          <w:kern w:val="28"/>
          <w:sz w:val="28"/>
          <w:szCs w:val="28"/>
          <w:lang w:val="en-US" w:eastAsia="zh-CN"/>
        </w:rPr>
        <w:t>或</w:t>
      </w:r>
      <w:r>
        <w:rPr>
          <w:rFonts w:ascii="Times New Roman" w:hAnsi="Times New Roman" w:eastAsia="宋体" w:cs="Times New Roman"/>
          <w:color w:val="auto"/>
          <w:kern w:val="28"/>
          <w:sz w:val="28"/>
          <w:szCs w:val="28"/>
        </w:rPr>
        <w:t>阀门阀芯损坏，</w:t>
      </w:r>
      <w:r>
        <w:rPr>
          <w:rFonts w:hint="eastAsia" w:ascii="Times New Roman" w:hAnsi="Times New Roman" w:eastAsia="宋体" w:cs="Times New Roman"/>
          <w:color w:val="auto"/>
          <w:kern w:val="28"/>
          <w:sz w:val="28"/>
          <w:szCs w:val="28"/>
          <w:lang w:val="en-US" w:eastAsia="zh-CN"/>
        </w:rPr>
        <w:t>易造成油品</w:t>
      </w:r>
      <w:r>
        <w:rPr>
          <w:rFonts w:ascii="Times New Roman" w:hAnsi="Times New Roman" w:eastAsia="宋体" w:cs="Times New Roman"/>
          <w:color w:val="auto"/>
          <w:kern w:val="28"/>
          <w:sz w:val="28"/>
          <w:szCs w:val="28"/>
        </w:rPr>
        <w:t>滴漏</w:t>
      </w:r>
      <w:r>
        <w:rPr>
          <w:rFonts w:hint="eastAsia" w:ascii="Times New Roman" w:hAnsi="Times New Roman" w:eastAsia="宋体" w:cs="Times New Roman"/>
          <w:color w:val="auto"/>
          <w:kern w:val="28"/>
          <w:sz w:val="28"/>
          <w:szCs w:val="28"/>
          <w:lang w:eastAsia="zh-CN"/>
        </w:rPr>
        <w:t>、</w:t>
      </w:r>
      <w:r>
        <w:rPr>
          <w:rFonts w:ascii="Times New Roman" w:hAnsi="Times New Roman" w:eastAsia="宋体" w:cs="Times New Roman"/>
          <w:color w:val="auto"/>
          <w:kern w:val="28"/>
          <w:sz w:val="28"/>
          <w:szCs w:val="28"/>
        </w:rPr>
        <w:t>喷溅</w:t>
      </w:r>
      <w:r>
        <w:rPr>
          <w:rFonts w:hint="eastAsia" w:ascii="Times New Roman" w:hAnsi="Times New Roman" w:eastAsia="宋体" w:cs="Times New Roman"/>
          <w:color w:val="auto"/>
          <w:kern w:val="28"/>
          <w:sz w:val="28"/>
          <w:szCs w:val="28"/>
          <w:lang w:eastAsia="zh-CN"/>
        </w:rPr>
        <w:t>。</w:t>
      </w:r>
    </w:p>
    <w:p w14:paraId="52C5BA18">
      <w:pPr>
        <w:adjustRightInd w:val="0"/>
        <w:snapToGrid w:val="0"/>
        <w:spacing w:line="360" w:lineRule="auto"/>
        <w:ind w:firstLine="560" w:firstLineChars="200"/>
        <w:rPr>
          <w:rFonts w:ascii="Times New Roman" w:hAnsi="Times New Roman" w:eastAsia="宋体" w:cs="Times New Roman"/>
          <w:color w:val="auto"/>
          <w:kern w:val="28"/>
          <w:sz w:val="28"/>
          <w:szCs w:val="28"/>
        </w:rPr>
      </w:pPr>
      <w:r>
        <w:rPr>
          <w:rFonts w:ascii="Times New Roman" w:hAnsi="Times New Roman" w:eastAsia="宋体" w:cs="Times New Roman"/>
          <w:color w:val="auto"/>
          <w:kern w:val="28"/>
          <w:sz w:val="28"/>
          <w:szCs w:val="28"/>
        </w:rPr>
        <w:t>作业</w:t>
      </w:r>
      <w:r>
        <w:rPr>
          <w:rFonts w:hint="eastAsia" w:ascii="Times New Roman" w:hAnsi="Times New Roman" w:eastAsia="宋体" w:cs="Times New Roman"/>
          <w:color w:val="auto"/>
          <w:kern w:val="28"/>
          <w:sz w:val="28"/>
          <w:szCs w:val="28"/>
          <w:lang w:val="en-US" w:eastAsia="zh-CN"/>
        </w:rPr>
        <w:t>过程</w:t>
      </w:r>
      <w:r>
        <w:rPr>
          <w:rFonts w:ascii="Times New Roman" w:hAnsi="Times New Roman" w:eastAsia="宋体" w:cs="Times New Roman"/>
          <w:color w:val="auto"/>
          <w:kern w:val="28"/>
          <w:sz w:val="28"/>
          <w:szCs w:val="28"/>
        </w:rPr>
        <w:t>中，</w:t>
      </w:r>
      <w:r>
        <w:rPr>
          <w:rFonts w:hint="eastAsia" w:ascii="Times New Roman" w:hAnsi="Times New Roman" w:eastAsia="宋体" w:cs="Times New Roman"/>
          <w:color w:val="auto"/>
          <w:kern w:val="28"/>
          <w:sz w:val="28"/>
          <w:szCs w:val="28"/>
          <w:lang w:val="en-US" w:eastAsia="zh-CN"/>
        </w:rPr>
        <w:t>现场</w:t>
      </w:r>
      <w:r>
        <w:rPr>
          <w:rFonts w:ascii="Times New Roman" w:hAnsi="Times New Roman" w:eastAsia="宋体" w:cs="Times New Roman"/>
          <w:color w:val="auto"/>
          <w:kern w:val="28"/>
          <w:sz w:val="28"/>
          <w:szCs w:val="28"/>
        </w:rPr>
        <w:t>无人监护、液位报警失效、开阀过快引发水击、罐车切断阀内漏等</w:t>
      </w:r>
      <w:r>
        <w:rPr>
          <w:rFonts w:hint="eastAsia" w:ascii="Times New Roman" w:hAnsi="Times New Roman" w:eastAsia="宋体" w:cs="Times New Roman"/>
          <w:color w:val="auto"/>
          <w:kern w:val="28"/>
          <w:sz w:val="28"/>
          <w:szCs w:val="28"/>
          <w:lang w:val="en-US" w:eastAsia="zh-CN"/>
        </w:rPr>
        <w:t>情况</w:t>
      </w:r>
      <w:r>
        <w:rPr>
          <w:rFonts w:ascii="Times New Roman" w:hAnsi="Times New Roman" w:eastAsia="宋体" w:cs="Times New Roman"/>
          <w:color w:val="auto"/>
          <w:kern w:val="28"/>
          <w:sz w:val="28"/>
          <w:szCs w:val="28"/>
        </w:rPr>
        <w:t>，</w:t>
      </w:r>
      <w:r>
        <w:rPr>
          <w:rFonts w:hint="eastAsia" w:ascii="Times New Roman" w:hAnsi="Times New Roman" w:eastAsia="宋体" w:cs="Times New Roman"/>
          <w:color w:val="auto"/>
          <w:kern w:val="28"/>
          <w:sz w:val="28"/>
          <w:szCs w:val="28"/>
          <w:lang w:val="en-US" w:eastAsia="zh-CN"/>
        </w:rPr>
        <w:t>可能</w:t>
      </w:r>
      <w:r>
        <w:rPr>
          <w:rFonts w:ascii="Times New Roman" w:hAnsi="Times New Roman" w:eastAsia="宋体" w:cs="Times New Roman"/>
          <w:color w:val="auto"/>
          <w:kern w:val="28"/>
          <w:sz w:val="28"/>
          <w:szCs w:val="28"/>
        </w:rPr>
        <w:t>导致冒罐溢流和管线崩裂泄漏；卸油结束后，未按顺序关阀拆管、软管残油未妥善回收，也会造成洒漏。</w:t>
      </w:r>
    </w:p>
    <w:p w14:paraId="6BD9FD01">
      <w:pPr>
        <w:adjustRightInd w:val="0"/>
        <w:snapToGrid w:val="0"/>
        <w:spacing w:line="360" w:lineRule="auto"/>
        <w:ind w:firstLine="560" w:firstLineChars="200"/>
        <w:rPr>
          <w:rFonts w:hint="default" w:ascii="Times New Roman" w:hAnsi="Times New Roman" w:eastAsia="黑体" w:cs="Times New Roman"/>
          <w:b/>
          <w:bCs/>
          <w:color w:val="auto"/>
          <w:kern w:val="2"/>
          <w:sz w:val="28"/>
          <w:szCs w:val="32"/>
          <w:lang w:val="en-US" w:eastAsia="zh-CN" w:bidi="ar-SA"/>
        </w:rPr>
      </w:pPr>
      <w:r>
        <w:rPr>
          <w:rFonts w:hint="eastAsia" w:ascii="Times New Roman" w:hAnsi="Times New Roman" w:eastAsia="宋体" w:cs="Times New Roman"/>
          <w:color w:val="auto"/>
          <w:kern w:val="28"/>
          <w:sz w:val="28"/>
          <w:szCs w:val="28"/>
          <w:lang w:val="en-US" w:eastAsia="zh-CN"/>
        </w:rPr>
        <w:t>除此之外</w:t>
      </w:r>
      <w:r>
        <w:rPr>
          <w:rFonts w:ascii="Times New Roman" w:hAnsi="Times New Roman" w:eastAsia="宋体" w:cs="Times New Roman"/>
          <w:color w:val="auto"/>
          <w:kern w:val="28"/>
          <w:sz w:val="28"/>
          <w:szCs w:val="28"/>
        </w:rPr>
        <w:t>，油罐及埋地管线腐蚀穿孔、地基沉降拉裂管路、车辆碰撞碾压、员工违规操作离岗，以及设备维保不到位、安全管理制度不落实等</w:t>
      </w:r>
      <w:r>
        <w:rPr>
          <w:rFonts w:hint="eastAsia" w:ascii="Times New Roman" w:hAnsi="Times New Roman" w:eastAsia="宋体" w:cs="Times New Roman"/>
          <w:color w:val="auto"/>
          <w:kern w:val="28"/>
          <w:sz w:val="28"/>
          <w:szCs w:val="28"/>
          <w:lang w:val="en-US" w:eastAsia="zh-CN"/>
        </w:rPr>
        <w:t>问题</w:t>
      </w:r>
      <w:r>
        <w:rPr>
          <w:rFonts w:ascii="Times New Roman" w:hAnsi="Times New Roman" w:eastAsia="宋体" w:cs="Times New Roman"/>
          <w:color w:val="auto"/>
          <w:kern w:val="28"/>
          <w:sz w:val="28"/>
          <w:szCs w:val="28"/>
        </w:rPr>
        <w:t>，均会直接或间接引发油品泄漏</w:t>
      </w:r>
      <w:r>
        <w:rPr>
          <w:rFonts w:hint="eastAsia" w:ascii="Times New Roman" w:hAnsi="Times New Roman" w:eastAsia="宋体" w:cs="Times New Roman"/>
          <w:color w:val="auto"/>
          <w:kern w:val="28"/>
          <w:sz w:val="28"/>
          <w:szCs w:val="28"/>
          <w:lang w:eastAsia="zh-CN"/>
        </w:rPr>
        <w:t>。</w:t>
      </w:r>
    </w:p>
    <w:p w14:paraId="640B3A73">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ascii="Times New Roman" w:hAnsi="Times New Roman" w:eastAsia="黑体" w:cs="Times New Roman"/>
          <w:b/>
          <w:bCs/>
          <w:color w:val="auto"/>
          <w:kern w:val="2"/>
          <w:sz w:val="28"/>
          <w:szCs w:val="32"/>
          <w:lang w:val="en-US" w:eastAsia="zh-CN" w:bidi="ar-SA"/>
        </w:rPr>
        <w:t>3</w:t>
      </w:r>
      <w:r>
        <w:rPr>
          <w:rFonts w:hint="default" w:ascii="Times New Roman" w:hAnsi="Times New Roman" w:eastAsia="黑体" w:cs="Times New Roman"/>
          <w:b/>
          <w:bCs/>
          <w:color w:val="auto"/>
          <w:kern w:val="2"/>
          <w:sz w:val="28"/>
          <w:szCs w:val="32"/>
          <w:lang w:val="en-US" w:eastAsia="zh-CN" w:bidi="ar-SA"/>
        </w:rPr>
        <w:t>可燃液体蒸汽爆炸</w:t>
      </w:r>
    </w:p>
    <w:p w14:paraId="6223CCA9">
      <w:pPr>
        <w:adjustRightInd w:val="0"/>
        <w:snapToGrid w:val="0"/>
        <w:spacing w:line="360" w:lineRule="auto"/>
        <w:ind w:firstLine="560" w:firstLineChars="200"/>
        <w:rPr>
          <w:rFonts w:hint="default" w:ascii="Times New Roman" w:hAnsi="Times New Roman" w:eastAsia="宋体" w:cs="Times New Roman"/>
          <w:color w:val="auto"/>
          <w:kern w:val="28"/>
          <w:sz w:val="28"/>
          <w:szCs w:val="28"/>
          <w:lang w:val="en-US" w:eastAsia="zh-CN"/>
        </w:rPr>
      </w:pPr>
      <w:r>
        <w:rPr>
          <w:rFonts w:hint="default" w:ascii="Times New Roman" w:hAnsi="Times New Roman" w:eastAsia="宋体" w:cs="Times New Roman"/>
          <w:color w:val="auto"/>
          <w:kern w:val="28"/>
          <w:sz w:val="28"/>
          <w:szCs w:val="28"/>
          <w:lang w:val="en-US" w:eastAsia="zh-CN"/>
        </w:rPr>
        <w:t>可燃液体蒸汽爆炸是可燃液体蒸气与空气(氧气或其他氧化性气体)形成爆炸性混合物,遇点火源发生爆炸造成的事故。</w:t>
      </w:r>
    </w:p>
    <w:p w14:paraId="740944A5">
      <w:pPr>
        <w:adjustRightInd w:val="0"/>
        <w:snapToGrid w:val="0"/>
        <w:spacing w:line="360" w:lineRule="auto"/>
        <w:ind w:firstLine="560" w:firstLineChars="200"/>
        <w:rPr>
          <w:rFonts w:hint="default" w:ascii="Times New Roman" w:hAnsi="Times New Roman" w:eastAsia="宋体" w:cs="Times New Roman"/>
          <w:color w:val="auto"/>
          <w:kern w:val="28"/>
          <w:sz w:val="28"/>
          <w:szCs w:val="28"/>
          <w:lang w:val="en-US" w:eastAsia="zh-CN"/>
        </w:rPr>
      </w:pPr>
      <w:r>
        <w:rPr>
          <w:rFonts w:hint="default" w:ascii="Times New Roman" w:hAnsi="Times New Roman" w:eastAsia="宋体" w:cs="Times New Roman"/>
          <w:color w:val="auto"/>
          <w:kern w:val="28"/>
          <w:sz w:val="28"/>
          <w:szCs w:val="28"/>
          <w:lang w:val="en-US" w:eastAsia="zh-CN"/>
        </w:rPr>
        <w:t>油品发生泄漏、跑油、逸散油气，其蒸汽会与空气充分形成爆炸性混合气体，一旦遇到明火、机械火星、静电火花、雷电、烟囱飞火等点火源，极易引发火灾、爆炸的危险。</w:t>
      </w:r>
    </w:p>
    <w:p w14:paraId="5B2A9A39">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ascii="Times New Roman" w:hAnsi="Times New Roman" w:eastAsia="黑体" w:cs="Times New Roman"/>
          <w:b/>
          <w:bCs/>
          <w:color w:val="auto"/>
          <w:kern w:val="2"/>
          <w:sz w:val="28"/>
          <w:szCs w:val="32"/>
          <w:lang w:val="en-US" w:eastAsia="zh-CN" w:bidi="ar-SA"/>
        </w:rPr>
        <w:t>4</w:t>
      </w:r>
      <w:r>
        <w:rPr>
          <w:rFonts w:hint="default" w:ascii="Times New Roman" w:hAnsi="Times New Roman" w:eastAsia="黑体" w:cs="Times New Roman"/>
          <w:b/>
          <w:bCs/>
          <w:color w:val="auto"/>
          <w:kern w:val="2"/>
          <w:sz w:val="28"/>
          <w:szCs w:val="32"/>
          <w:lang w:val="en-US" w:eastAsia="zh-CN" w:bidi="ar-SA"/>
        </w:rPr>
        <w:t>管道爆炸</w:t>
      </w:r>
    </w:p>
    <w:p w14:paraId="2DDCF828">
      <w:pPr>
        <w:adjustRightInd w:val="0"/>
        <w:snapToGrid w:val="0"/>
        <w:spacing w:line="360" w:lineRule="auto"/>
        <w:ind w:firstLine="560" w:firstLineChars="200"/>
        <w:rPr>
          <w:rFonts w:hint="eastAsia" w:ascii="Times New Roman" w:hAnsi="Times New Roman" w:eastAsia="宋体" w:cs="Times New Roman"/>
          <w:bCs/>
          <w:color w:val="auto"/>
          <w:kern w:val="28"/>
          <w:sz w:val="28"/>
          <w:szCs w:val="28"/>
          <w:lang w:val="en-US" w:eastAsia="zh-CN"/>
        </w:rPr>
      </w:pPr>
      <w:r>
        <w:rPr>
          <w:rFonts w:hint="eastAsia" w:ascii="Times New Roman" w:hAnsi="Times New Roman" w:eastAsia="宋体" w:cs="Times New Roman"/>
          <w:bCs/>
          <w:color w:val="auto"/>
          <w:kern w:val="28"/>
          <w:sz w:val="28"/>
          <w:szCs w:val="28"/>
          <w:lang w:val="en-US" w:eastAsia="zh-CN"/>
        </w:rPr>
        <w:t>管道爆炸是各类管道由于质量缺陷、使用不当或维护不当等原因发生爆炸造成的事故。</w:t>
      </w:r>
    </w:p>
    <w:p w14:paraId="7C4A6B3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color w:val="auto"/>
          <w:kern w:val="28"/>
          <w:sz w:val="28"/>
          <w:szCs w:val="28"/>
          <w:lang w:val="en-US" w:eastAsia="zh-CN"/>
        </w:rPr>
      </w:pPr>
      <w:r>
        <w:rPr>
          <w:rFonts w:hint="eastAsia" w:ascii="Times New Roman" w:hAnsi="Times New Roman" w:eastAsia="宋体" w:cs="Times New Roman"/>
          <w:bCs/>
          <w:color w:val="auto"/>
          <w:kern w:val="28"/>
          <w:sz w:val="28"/>
          <w:szCs w:val="28"/>
          <w:lang w:val="en-US" w:eastAsia="zh-CN"/>
        </w:rPr>
        <w:t>加油站内若管道质量存在缺陷，或部分老旧管道长期使用未及时更换，易出现腐蚀、老化、壁厚减薄等问题，油品在输送过程中极易从缺陷部位发生漏油、跑油，与空气混合形成爆炸性混合气体，遇到火源即可引发火灾</w:t>
      </w:r>
      <w:r>
        <w:rPr>
          <w:rFonts w:hint="eastAsia" w:ascii="Times New Roman" w:hAnsi="Times New Roman" w:eastAsia="宋体" w:cs="Times New Roman"/>
          <w:bCs/>
          <w:color w:val="auto"/>
          <w:kern w:val="28"/>
          <w:sz w:val="28"/>
          <w:szCs w:val="28"/>
          <w:lang w:eastAsia="zh-CN"/>
        </w:rPr>
        <w:t>、</w:t>
      </w:r>
      <w:r>
        <w:rPr>
          <w:rFonts w:hint="eastAsia" w:ascii="Times New Roman" w:hAnsi="Times New Roman" w:eastAsia="宋体" w:cs="Times New Roman"/>
          <w:bCs/>
          <w:color w:val="auto"/>
          <w:kern w:val="28"/>
          <w:sz w:val="28"/>
          <w:szCs w:val="28"/>
          <w:lang w:val="en-US" w:eastAsia="zh-CN"/>
        </w:rPr>
        <w:t>爆炸、造成管道及设备损坏，甚至导致人员伤亡。</w:t>
      </w:r>
    </w:p>
    <w:p w14:paraId="5998B481">
      <w:pPr>
        <w:adjustRightInd w:val="0"/>
        <w:snapToGrid w:val="0"/>
        <w:spacing w:line="360" w:lineRule="auto"/>
        <w:ind w:firstLine="560" w:firstLineChars="200"/>
        <w:rPr>
          <w:rFonts w:hint="eastAsia" w:ascii="Times New Roman" w:hAnsi="Times New Roman" w:eastAsia="宋体" w:cs="Times New Roman"/>
          <w:bCs/>
          <w:color w:val="auto"/>
          <w:kern w:val="28"/>
          <w:sz w:val="28"/>
          <w:szCs w:val="28"/>
          <w:lang w:val="en-US" w:eastAsia="zh-CN"/>
        </w:rPr>
      </w:pPr>
      <w:r>
        <w:rPr>
          <w:rFonts w:hint="eastAsia" w:ascii="Times New Roman" w:hAnsi="Times New Roman" w:eastAsia="宋体" w:cs="Times New Roman"/>
          <w:bCs/>
          <w:color w:val="auto"/>
          <w:kern w:val="28"/>
          <w:sz w:val="28"/>
          <w:szCs w:val="28"/>
          <w:lang w:val="en-US" w:eastAsia="zh-CN"/>
        </w:rPr>
        <w:t>使用操作不当是引发管道爆炸的直接诱因，加油站运营过程中，若操作人员未严格执行安全操作规程，极易诱发各类安全风险。</w:t>
      </w:r>
    </w:p>
    <w:p w14:paraId="7291626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color w:val="auto"/>
          <w:kern w:val="28"/>
          <w:sz w:val="28"/>
          <w:szCs w:val="28"/>
          <w:lang w:val="en-US" w:eastAsia="zh-CN"/>
        </w:rPr>
      </w:pPr>
      <w:r>
        <w:rPr>
          <w:rFonts w:hint="eastAsia" w:ascii="Times New Roman" w:hAnsi="Times New Roman" w:eastAsia="宋体" w:cs="Times New Roman"/>
          <w:bCs/>
          <w:color w:val="auto"/>
          <w:kern w:val="28"/>
          <w:sz w:val="28"/>
          <w:szCs w:val="28"/>
          <w:highlight w:val="none"/>
          <w:lang w:val="en-US" w:eastAsia="zh-CN"/>
        </w:rPr>
        <w:t>日常维护保养不当则是造成管道爆炸隐患长期积累的关键因素，管道长期使用过程中会受到土壤腐蚀、大气及输送介质等多重腐蚀，若未定期开展腐蚀检测、修补防腐层，会加剧管道腐蚀，导致壁厚持续减弱，最终引发破损泄漏；同时，对于管道接口、阀门、法兰等易泄漏部位，若未定期检查密封性能、及时更换老化密封件，也会造成密封失效，油品渗漏，渗漏的易燃液体蒸汽与空气混合形成爆炸性混合气体，遇到明火、静电火花、机械火星等点火源，极易引发火灾、爆炸事故。</w:t>
      </w:r>
    </w:p>
    <w:p w14:paraId="194EA5A2">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lang w:val="en-US" w:eastAsia="zh-CN"/>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5</w:t>
      </w:r>
      <w:r>
        <w:rPr>
          <w:rFonts w:hint="default" w:ascii="Times New Roman" w:hAnsi="Times New Roman" w:eastAsia="黑体" w:cs="Times New Roman"/>
          <w:b/>
          <w:bCs/>
          <w:color w:val="auto"/>
          <w:kern w:val="2"/>
          <w:sz w:val="28"/>
          <w:szCs w:val="32"/>
          <w:lang w:val="en-US" w:eastAsia="zh-CN" w:bidi="ar-SA"/>
        </w:rPr>
        <w:t>中毒</w:t>
      </w:r>
    </w:p>
    <w:p w14:paraId="6DB44A9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中毒是人体经消化系统、呼吸系统摄入或皮肤接触有毒物质造成的急性中毒事故。</w:t>
      </w:r>
    </w:p>
    <w:p w14:paraId="75CF008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61FE170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在量油作业过程中，可能会发生油气外逸，若长时间聚集导致浓度过高，作业人员不小心吸入可能会发生中毒。</w:t>
      </w:r>
    </w:p>
    <w:p w14:paraId="3EF5E71B">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6窒息</w:t>
      </w:r>
    </w:p>
    <w:p w14:paraId="74B0A25C">
      <w:pPr>
        <w:adjustRightInd w:val="0"/>
        <w:snapToGrid w:val="0"/>
        <w:spacing w:line="360" w:lineRule="auto"/>
        <w:ind w:firstLine="560" w:firstLineChars="200"/>
        <w:rPr>
          <w:rFonts w:hint="default" w:eastAsia="宋体"/>
          <w:color w:val="auto"/>
          <w:kern w:val="28"/>
          <w:sz w:val="28"/>
          <w:szCs w:val="28"/>
          <w:lang w:val="en-US" w:eastAsia="zh-CN"/>
        </w:rPr>
      </w:pPr>
      <w:r>
        <w:rPr>
          <w:rFonts w:hint="eastAsia" w:eastAsia="宋体"/>
          <w:color w:val="auto"/>
          <w:kern w:val="28"/>
          <w:sz w:val="28"/>
          <w:szCs w:val="28"/>
          <w:lang w:val="en-US" w:eastAsia="zh-CN"/>
        </w:rPr>
        <w:t>窒息是由于环境缺氧或机械性窒息造成的事故。</w:t>
      </w:r>
    </w:p>
    <w:p w14:paraId="097A2692">
      <w:pPr>
        <w:adjustRightInd w:val="0"/>
        <w:snapToGrid w:val="0"/>
        <w:spacing w:line="360" w:lineRule="auto"/>
        <w:ind w:firstLine="560" w:firstLineChars="200"/>
        <w:rPr>
          <w:rFonts w:eastAsia="宋体"/>
          <w:color w:val="auto"/>
          <w:kern w:val="28"/>
          <w:sz w:val="28"/>
          <w:szCs w:val="28"/>
        </w:rPr>
      </w:pPr>
      <w:r>
        <w:rPr>
          <w:rFonts w:eastAsia="宋体"/>
          <w:color w:val="auto"/>
          <w:kern w:val="28"/>
          <w:sz w:val="28"/>
          <w:szCs w:val="28"/>
        </w:rPr>
        <w:t>在检维修、清罐作业过程中，采用氮气吹扫或工作人员在受限空间内进行操作，如违规操作或个体防护不当均有可能造成人员窒息。</w:t>
      </w:r>
    </w:p>
    <w:p w14:paraId="6082A20B">
      <w:pPr>
        <w:adjustRightInd w:val="0"/>
        <w:snapToGrid w:val="0"/>
        <w:spacing w:line="360" w:lineRule="auto"/>
        <w:ind w:firstLine="560" w:firstLineChars="200"/>
        <w:rPr>
          <w:rFonts w:eastAsia="宋体"/>
          <w:color w:val="auto"/>
          <w:kern w:val="28"/>
          <w:sz w:val="28"/>
          <w:szCs w:val="28"/>
        </w:rPr>
      </w:pPr>
      <w:r>
        <w:rPr>
          <w:rFonts w:eastAsia="宋体"/>
          <w:color w:val="auto"/>
          <w:kern w:val="28"/>
          <w:sz w:val="28"/>
          <w:szCs w:val="28"/>
        </w:rPr>
        <w:t>2006年7月海城市某加油站雇佣盘锦市某工程队清罐，一人下罐后无作业声音，另一监护人下去抢救人也没有上来。加油站老板见事情不好，拨打电话119，请消防队员佩戴压缩空气呼吸器将2人救出，经抢救无效死亡。</w:t>
      </w:r>
    </w:p>
    <w:p w14:paraId="77E79BA5">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7</w:t>
      </w:r>
      <w:r>
        <w:rPr>
          <w:rFonts w:hint="default" w:ascii="Times New Roman" w:hAnsi="Times New Roman" w:eastAsia="黑体" w:cs="Times New Roman"/>
          <w:b/>
          <w:bCs/>
          <w:color w:val="auto"/>
          <w:kern w:val="2"/>
          <w:sz w:val="28"/>
          <w:szCs w:val="32"/>
          <w:lang w:val="en-US" w:eastAsia="zh-CN" w:bidi="ar-SA"/>
        </w:rPr>
        <w:t>厂（场）内车辆致害</w:t>
      </w:r>
    </w:p>
    <w:p w14:paraId="0DA21D1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厂（场）内车辆致害是指车辆在生产经营单位内部或生产作业场所内进行生产经营活动过程中由于碰撞、刮擦、碾压、挤压、翻车、脱轨等造成的事故。如果车速过快，车辆技术状况不好，如：制动失灵、转向失灵、灯光音响信号损坏失灵，或安全标志不全、道路设计不合理、转弯处没有反光镜等，均容易导致车辆致害，造成人员伤亡或财产损失。</w:t>
      </w:r>
    </w:p>
    <w:p w14:paraId="38A3504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当汽车进站加油时，罩棚及罩棚柱、加油机和作业人员可能受到车辆的碰撞，造成财产损失和人员伤害。</w:t>
      </w:r>
    </w:p>
    <w:p w14:paraId="288A7B2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另外，当汽车槽车入站卸油时，若操作不当或事先未进行车辆人员疏导，易造成人员、车辆致害。</w:t>
      </w:r>
    </w:p>
    <w:p w14:paraId="7B19C530">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8</w:t>
      </w:r>
      <w:r>
        <w:rPr>
          <w:rFonts w:hint="default" w:ascii="Times New Roman" w:hAnsi="Times New Roman" w:eastAsia="黑体" w:cs="Times New Roman"/>
          <w:b/>
          <w:bCs/>
          <w:color w:val="auto"/>
          <w:kern w:val="2"/>
          <w:sz w:val="28"/>
          <w:szCs w:val="32"/>
          <w:lang w:val="en-US" w:eastAsia="zh-CN" w:bidi="ar-SA"/>
        </w:rPr>
        <w:t>触电</w:t>
      </w:r>
    </w:p>
    <w:p w14:paraId="523CE1F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（1）触电伤害</w:t>
      </w:r>
    </w:p>
    <w:p w14:paraId="4516F3F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触电是由于电流通过人体或带电体与人体间发生放点造成的事故。以触电伤害最为常见。如果与加油设施配套的各类电气设施、电器开关、电缆敷设的接地或接零或屏护措施不完善、耐压强度低、耐腐蚀性差，都会造成漏电，导致触电伤人事故。</w:t>
      </w:r>
    </w:p>
    <w:p w14:paraId="350B851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（2）静电危害</w:t>
      </w:r>
    </w:p>
    <w:p w14:paraId="1B5FFD5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引爆（燃）源，或因其不能迅速泄放，其静电火花将导致火灾、爆炸。另外，静电也能给人以电击，造成操作人员紧张，妨碍操作，引发二次伤害事故。</w:t>
      </w:r>
    </w:p>
    <w:p w14:paraId="7AAA5A1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（3）雷电危害</w:t>
      </w:r>
    </w:p>
    <w:p w14:paraId="6D5B504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78F18973">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9</w:t>
      </w:r>
      <w:r>
        <w:rPr>
          <w:rFonts w:hint="default" w:ascii="Times New Roman" w:hAnsi="Times New Roman" w:eastAsia="黑体" w:cs="Times New Roman"/>
          <w:b/>
          <w:bCs/>
          <w:color w:val="auto"/>
          <w:kern w:val="2"/>
          <w:sz w:val="28"/>
          <w:szCs w:val="32"/>
          <w:lang w:val="en-US" w:eastAsia="zh-CN" w:bidi="ar-SA"/>
        </w:rPr>
        <w:t>高处坠落</w:t>
      </w:r>
    </w:p>
    <w:p w14:paraId="354EFCD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高处坠落是指高处作业时，因未防护、防护不好或作业不当而发生坠落造成的事故。</w:t>
      </w:r>
    </w:p>
    <w:p w14:paraId="2EC1945E">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10</w:t>
      </w:r>
      <w:r>
        <w:rPr>
          <w:rFonts w:hint="default" w:ascii="Times New Roman" w:hAnsi="Times New Roman" w:eastAsia="黑体" w:cs="Times New Roman"/>
          <w:b/>
          <w:bCs/>
          <w:color w:val="auto"/>
          <w:kern w:val="2"/>
          <w:sz w:val="28"/>
          <w:szCs w:val="32"/>
          <w:lang w:val="en-US" w:eastAsia="zh-CN" w:bidi="ar-SA"/>
        </w:rPr>
        <w:t>物体打击</w:t>
      </w:r>
    </w:p>
    <w:p w14:paraId="33C714B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3BFAE775">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11</w:t>
      </w:r>
      <w:r>
        <w:rPr>
          <w:rFonts w:hint="default" w:ascii="Times New Roman" w:hAnsi="Times New Roman" w:eastAsia="黑体" w:cs="Times New Roman"/>
          <w:b/>
          <w:bCs/>
          <w:color w:val="auto"/>
          <w:kern w:val="2"/>
          <w:sz w:val="28"/>
          <w:szCs w:val="32"/>
          <w:lang w:val="en-US" w:eastAsia="zh-CN" w:bidi="ar-SA"/>
        </w:rPr>
        <w:t>坍塌</w:t>
      </w:r>
    </w:p>
    <w:p w14:paraId="44251B1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坍塌是建筑物、构筑物或堆置物等在外力、重力或环境作用下超过自身的强度极限或因结构稳定性破坏发生坍塌、倾倒造成的事故。大风尤以春季多发、暴雪和外腐蚀等原因，容易造成站内罩棚、站房等建（构）筑物坍塌，对作业人员、加油机及车辆造成伤害。</w:t>
      </w:r>
    </w:p>
    <w:p w14:paraId="6B63A58C">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12</w:t>
      </w:r>
      <w:r>
        <w:rPr>
          <w:rFonts w:hint="default" w:ascii="Times New Roman" w:hAnsi="Times New Roman" w:eastAsia="黑体" w:cs="Times New Roman"/>
          <w:b/>
          <w:bCs/>
          <w:color w:val="auto"/>
          <w:kern w:val="2"/>
          <w:sz w:val="28"/>
          <w:szCs w:val="32"/>
          <w:lang w:val="en-US" w:eastAsia="zh-CN" w:bidi="ar-SA"/>
        </w:rPr>
        <w:t>机械</w:t>
      </w:r>
      <w:r>
        <w:rPr>
          <w:rFonts w:hint="eastAsia" w:eastAsia="黑体" w:cs="Times New Roman"/>
          <w:b/>
          <w:bCs/>
          <w:color w:val="auto"/>
          <w:kern w:val="2"/>
          <w:sz w:val="28"/>
          <w:szCs w:val="32"/>
          <w:lang w:val="en-US" w:eastAsia="zh-CN" w:bidi="ar-SA"/>
        </w:rPr>
        <w:t>致</w:t>
      </w:r>
      <w:r>
        <w:rPr>
          <w:rFonts w:hint="default" w:ascii="Times New Roman" w:hAnsi="Times New Roman" w:eastAsia="黑体" w:cs="Times New Roman"/>
          <w:b/>
          <w:bCs/>
          <w:color w:val="auto"/>
          <w:kern w:val="2"/>
          <w:sz w:val="28"/>
          <w:szCs w:val="32"/>
          <w:lang w:val="en-US" w:eastAsia="zh-CN" w:bidi="ar-SA"/>
        </w:rPr>
        <w:t>害</w:t>
      </w:r>
    </w:p>
    <w:p w14:paraId="207D2FE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机械</w:t>
      </w:r>
      <w:r>
        <w:rPr>
          <w:rFonts w:hint="eastAsia" w:cs="Times New Roman"/>
          <w:sz w:val="28"/>
          <w:szCs w:val="28"/>
          <w:lang w:val="en-US" w:eastAsia="zh-CN"/>
        </w:rPr>
        <w:t>致</w:t>
      </w:r>
      <w:r>
        <w:rPr>
          <w:rFonts w:hint="default" w:ascii="Times New Roman" w:hAnsi="Times New Roman" w:eastAsia="宋体" w:cs="Times New Roman"/>
          <w:sz w:val="28"/>
          <w:szCs w:val="28"/>
        </w:rPr>
        <w:t>害是指机械设备运动（静止）部件、工具、加工件直接与人体接触引起的夹击、碰撞、剪切、卷入、绞、碾、割、刺等伤害，不包括车辆、起重机械引起的机械伤害。如果出现设备故障、防护设施存在缺陷、违规操作；或在事故检修等特殊情况下都有可能出现机械伤害。</w:t>
      </w:r>
    </w:p>
    <w:p w14:paraId="6BC1C4E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rPr>
        <w:t>在</w:t>
      </w:r>
      <w:r>
        <w:rPr>
          <w:rFonts w:hint="default" w:ascii="Times New Roman" w:hAnsi="Times New Roman" w:eastAsia="宋体" w:cs="Times New Roman"/>
          <w:sz w:val="28"/>
          <w:szCs w:val="28"/>
          <w:lang w:val="en-US" w:eastAsia="zh-CN"/>
        </w:rPr>
        <w:t>清罐</w:t>
      </w:r>
      <w:r>
        <w:rPr>
          <w:rFonts w:hint="default" w:ascii="Times New Roman" w:hAnsi="Times New Roman" w:eastAsia="宋体" w:cs="Times New Roman"/>
          <w:sz w:val="28"/>
          <w:szCs w:val="28"/>
        </w:rPr>
        <w:t>作业和设备检修过程中</w:t>
      </w:r>
      <w:r>
        <w:rPr>
          <w:rFonts w:hint="default" w:ascii="Times New Roman" w:hAnsi="Times New Roman" w:eastAsia="宋体" w:cs="Times New Roman"/>
          <w:sz w:val="28"/>
          <w:szCs w:val="28"/>
          <w:lang w:val="en-US" w:eastAsia="zh-CN"/>
        </w:rPr>
        <w:t>可能会</w:t>
      </w:r>
      <w:r>
        <w:rPr>
          <w:rFonts w:hint="default" w:ascii="Times New Roman" w:hAnsi="Times New Roman" w:eastAsia="宋体" w:cs="Times New Roman"/>
          <w:sz w:val="28"/>
          <w:szCs w:val="28"/>
        </w:rPr>
        <w:t>受到机械设备的传动部件</w:t>
      </w:r>
      <w:r>
        <w:rPr>
          <w:rFonts w:hint="default" w:ascii="Times New Roman" w:hAnsi="Times New Roman" w:eastAsia="宋体" w:cs="Times New Roman"/>
          <w:sz w:val="28"/>
          <w:szCs w:val="28"/>
          <w:lang w:eastAsia="zh-CN"/>
        </w:rPr>
        <w:t>、</w:t>
      </w:r>
      <w:r>
        <w:rPr>
          <w:rFonts w:hint="default" w:ascii="Times New Roman" w:hAnsi="Times New Roman" w:eastAsia="宋体" w:cs="Times New Roman"/>
          <w:sz w:val="28"/>
          <w:szCs w:val="28"/>
        </w:rPr>
        <w:t>挤压部件以及外露突出部件或所使用工具的</w:t>
      </w:r>
      <w:r>
        <w:rPr>
          <w:rFonts w:hint="default" w:ascii="Times New Roman" w:hAnsi="Times New Roman" w:eastAsia="宋体" w:cs="Times New Roman"/>
          <w:sz w:val="28"/>
          <w:szCs w:val="28"/>
          <w:lang w:val="en-US" w:eastAsia="zh-CN"/>
        </w:rPr>
        <w:t>伤害</w:t>
      </w:r>
      <w:r>
        <w:rPr>
          <w:rFonts w:hint="default" w:ascii="Times New Roman" w:hAnsi="Times New Roman" w:eastAsia="宋体" w:cs="Times New Roman"/>
          <w:sz w:val="28"/>
          <w:szCs w:val="28"/>
        </w:rPr>
        <w:t>。</w:t>
      </w:r>
    </w:p>
    <w:p w14:paraId="46E0C829">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lang w:val="en-US" w:eastAsia="zh-CN" w:bidi="ar-SA"/>
        </w:rPr>
      </w:pPr>
      <w:r>
        <w:rPr>
          <w:rFonts w:hint="default" w:ascii="Times New Roman" w:hAnsi="Times New Roman" w:eastAsia="黑体" w:cs="Times New Roman"/>
          <w:b/>
          <w:bCs/>
          <w:color w:val="auto"/>
          <w:kern w:val="2"/>
          <w:sz w:val="28"/>
          <w:szCs w:val="32"/>
          <w:lang w:val="en-US" w:eastAsia="zh-CN" w:bidi="ar-SA"/>
        </w:rPr>
        <w:t>F3.2.</w:t>
      </w:r>
      <w:r>
        <w:rPr>
          <w:rFonts w:hint="eastAsia" w:eastAsia="黑体" w:cs="Times New Roman"/>
          <w:b/>
          <w:bCs/>
          <w:color w:val="auto"/>
          <w:kern w:val="2"/>
          <w:sz w:val="28"/>
          <w:szCs w:val="32"/>
          <w:lang w:val="en-US" w:eastAsia="zh-CN" w:bidi="ar-SA"/>
        </w:rPr>
        <w:t>13其他（</w:t>
      </w:r>
      <w:r>
        <w:rPr>
          <w:rFonts w:hint="default" w:ascii="Times New Roman" w:hAnsi="Times New Roman" w:eastAsia="黑体" w:cs="Times New Roman"/>
          <w:b/>
          <w:bCs/>
          <w:color w:val="auto"/>
          <w:kern w:val="2"/>
          <w:sz w:val="28"/>
          <w:szCs w:val="32"/>
          <w:lang w:val="en-US" w:eastAsia="zh-CN" w:bidi="ar-SA"/>
        </w:rPr>
        <w:t>噪声</w:t>
      </w:r>
      <w:r>
        <w:rPr>
          <w:rFonts w:hint="eastAsia" w:eastAsia="黑体" w:cs="Times New Roman"/>
          <w:b/>
          <w:bCs/>
          <w:color w:val="auto"/>
          <w:kern w:val="2"/>
          <w:sz w:val="28"/>
          <w:szCs w:val="32"/>
          <w:lang w:val="en-US" w:eastAsia="zh-CN" w:bidi="ar-SA"/>
        </w:rPr>
        <w:t>）</w:t>
      </w:r>
    </w:p>
    <w:p w14:paraId="2CBE6C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噪声主要来自于加油机和加油车辆。噪声作用于人体会产生各方面影响及危害，长期接触高强度噪声会使听力下降，甚至耳聋，噪声作用于人体的神经系统，从而诱发许多疾病，如头晕、失眠多梦、消化不良及高血压，降低脑力工作效率，使人体疲劳，降低劳动生产率。另外噪声干扰报警信号，引发事故，影响安全生产。高强度的噪声还能造成建筑物结构的破坏。</w:t>
      </w:r>
    </w:p>
    <w:bookmarkEnd w:id="449"/>
    <w:bookmarkEnd w:id="450"/>
    <w:p w14:paraId="76AB97E8">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51" w:name="_Toc24492"/>
      <w:bookmarkStart w:id="452" w:name="_Toc4410"/>
      <w:bookmarkStart w:id="453" w:name="_Toc41246759"/>
      <w:bookmarkStart w:id="454" w:name="_Toc4003"/>
      <w:r>
        <w:rPr>
          <w:rFonts w:hint="default" w:ascii="Times New Roman" w:hAnsi="Times New Roman" w:eastAsia="楷体" w:cs="Times New Roman"/>
          <w:b/>
          <w:bCs/>
          <w:sz w:val="32"/>
          <w:szCs w:val="32"/>
          <w:lang w:val="en-US" w:eastAsia="zh-CN"/>
        </w:rPr>
        <w:t>F3.3检维修过程的危险、有害因素分析</w:t>
      </w:r>
      <w:bookmarkEnd w:id="451"/>
      <w:bookmarkEnd w:id="452"/>
    </w:p>
    <w:p w14:paraId="4877E3C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设备检维修过程中经常发生的事故有火灾、可燃液体蒸汽爆炸</w:t>
      </w:r>
      <w:r>
        <w:rPr>
          <w:rFonts w:hint="eastAsia" w:cs="Times New Roman"/>
          <w:sz w:val="28"/>
          <w:szCs w:val="28"/>
          <w:lang w:eastAsia="zh-CN"/>
        </w:rPr>
        <w:t>、</w:t>
      </w:r>
      <w:r>
        <w:rPr>
          <w:rFonts w:hint="eastAsia" w:cs="Times New Roman"/>
          <w:sz w:val="28"/>
          <w:szCs w:val="28"/>
          <w:lang w:val="en-US" w:eastAsia="zh-CN"/>
        </w:rPr>
        <w:t>管道</w:t>
      </w:r>
      <w:r>
        <w:rPr>
          <w:rFonts w:hint="default" w:ascii="Times New Roman" w:hAnsi="Times New Roman" w:eastAsia="宋体" w:cs="Times New Roman"/>
          <w:sz w:val="28"/>
          <w:szCs w:val="28"/>
        </w:rPr>
        <w:t>爆炸、机械</w:t>
      </w:r>
      <w:r>
        <w:rPr>
          <w:rFonts w:hint="eastAsia" w:cs="Times New Roman"/>
          <w:sz w:val="28"/>
          <w:szCs w:val="28"/>
          <w:lang w:val="en-US" w:eastAsia="zh-CN"/>
        </w:rPr>
        <w:t>致</w:t>
      </w:r>
      <w:r>
        <w:rPr>
          <w:rFonts w:hint="default" w:ascii="Times New Roman" w:hAnsi="Times New Roman" w:eastAsia="宋体" w:cs="Times New Roman"/>
          <w:sz w:val="28"/>
          <w:szCs w:val="28"/>
        </w:rPr>
        <w:t>害、触电、中毒</w:t>
      </w:r>
      <w:r>
        <w:rPr>
          <w:rFonts w:hint="eastAsia" w:cs="Times New Roman"/>
          <w:sz w:val="28"/>
          <w:szCs w:val="28"/>
          <w:lang w:eastAsia="zh-CN"/>
        </w:rPr>
        <w:t>、</w:t>
      </w:r>
      <w:r>
        <w:rPr>
          <w:rFonts w:hint="default" w:ascii="Times New Roman" w:hAnsi="Times New Roman" w:eastAsia="宋体" w:cs="Times New Roman"/>
          <w:sz w:val="28"/>
          <w:szCs w:val="28"/>
        </w:rPr>
        <w:t>窒息等，事故类型较多，危害较大。而违章检维修、安全知识欠缺、安全意识淡薄是造成事故发生的重要原因之一。</w:t>
      </w:r>
    </w:p>
    <w:p w14:paraId="1178E77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（1）动火作业</w:t>
      </w:r>
    </w:p>
    <w:p w14:paraId="77DA151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在动火作业前，不严格按规定办理《动火安全作业证》；动火项目负责人不到现场检查动火安全措施和物资落实情况；焊接作业氧气瓶和乙炔瓶间距不够；动火监护人责任心不强，监护期间擅离职守；没按规定进行动火前的分析化验等都会埋下安全隐患，存在引发火灾事故的危险。</w:t>
      </w:r>
    </w:p>
    <w:p w14:paraId="027ADF1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安全措施不完善、作业方法不合理、选用工具不正确等现象都会引发火灾、爆炸事故。检修中违章使用易燃品、违章动火、不严格执行安全规程和检修规程，是导致火灾、爆炸事故发生的主要原因；在有可燃气体存在的作业场所，使用产生火花的机械工具是产生火灾、爆炸事故的重要原因。</w:t>
      </w:r>
    </w:p>
    <w:p w14:paraId="503A7FE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（2）进入有限空间作业</w:t>
      </w:r>
    </w:p>
    <w:p w14:paraId="3446DC5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埋地油罐属于受限空间，应按照受限空间进行管理，进入有限空间作业必须严格按规定办理《受限空间安全作业证》，项目负责人必须到现场落实安全措施情况，确认安全措施可靠并向作业负责人、作业执行人和作业监护人交代安全注意事项，作业人员必须在作业证上签字确认。停止作业60min后必须重新分析化验，作业时，作业现场应配置移动式气体检测报警仪，连续检测受限空间内可燃气体、有毒气体及氧气浓度，并2h记录1次；气体浓度超限报警时，应立即停止作业，撤离人员、对现场进行处理，重新检测合格后方可恢复作业。若不严格按照规定作业，存在发生火灾、爆炸或人员窒息的危险。</w:t>
      </w:r>
    </w:p>
    <w:p w14:paraId="058CC9B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（3）高处作业</w:t>
      </w:r>
    </w:p>
    <w:p w14:paraId="70D2186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在施工过程中难以避免发生高处作业，由于防护措施不到位或未按有关规定进行作业，存在施工人员发生高处坠落的危险性。</w:t>
      </w:r>
    </w:p>
    <w:p w14:paraId="52537E8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（4）临时用电</w:t>
      </w:r>
    </w:p>
    <w:p w14:paraId="5103820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在施工及检维修过程中临时用电，因设备绝缘不良、线路老化、短路、防护缺陷、接地不符合要求、未正确使用劳保用品、无证上岗、违章作业、雨天作业等都有可能引发触电或电气火灾事故。</w:t>
      </w:r>
    </w:p>
    <w:p w14:paraId="5E44887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（5）动土作业</w:t>
      </w:r>
    </w:p>
    <w:p w14:paraId="7742EE8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rPr>
      </w:pPr>
      <w:r>
        <w:rPr>
          <w:rFonts w:hint="default" w:ascii="Times New Roman" w:hAnsi="Times New Roman" w:eastAsia="宋体" w:cs="Times New Roman"/>
          <w:sz w:val="28"/>
          <w:szCs w:val="28"/>
        </w:rPr>
        <w:t>在动土作业前，如果对动土区域的地下设施未做详细了解，对埋在地下的光缆、管道等危险源辨识不到位，施工人员违章作业以及地块权属和施工项目归属不统一导致安全监管不利等原因，均易引发安全事故。</w:t>
      </w:r>
    </w:p>
    <w:p w14:paraId="165C47F6">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55" w:name="_Toc7693"/>
      <w:bookmarkStart w:id="456" w:name="_Toc27293"/>
      <w:r>
        <w:rPr>
          <w:rFonts w:hint="default" w:ascii="Times New Roman" w:hAnsi="Times New Roman" w:eastAsia="楷体" w:cs="Times New Roman"/>
          <w:b/>
          <w:bCs/>
          <w:sz w:val="32"/>
          <w:szCs w:val="32"/>
          <w:lang w:val="en-US" w:eastAsia="zh-CN"/>
        </w:rPr>
        <w:t>F3.4自然灾害</w:t>
      </w:r>
      <w:bookmarkEnd w:id="455"/>
      <w:bookmarkEnd w:id="456"/>
    </w:p>
    <w:p w14:paraId="6B45299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楷体" w:cs="Times New Roman"/>
          <w:b/>
        </w:rPr>
      </w:pPr>
      <w:r>
        <w:rPr>
          <w:rFonts w:hint="default" w:ascii="Times New Roman" w:hAnsi="Times New Roman" w:cs="Times New Roman"/>
          <w:bCs/>
          <w:sz w:val="28"/>
          <w:szCs w:val="28"/>
        </w:rPr>
        <w:t>从加油站自身特点和其经营的成品油所具有的危险特性，乃至事故危害及影响等因素综合考虑，必须对诸如汛期、雷雨天气和地震等自然灾害极有可能造成储油罐漂浮、移位，管线断裂，阀门损坏，油品外溢，接卸和出油作业过程中的金属放电引燃油蒸气、雷电等引起的火灾爆炸，以及加油站建（构）筑物的坍塌等问题应予以充分重视，如罩棚、站房雪载荷设计不够，大雪造成站房、罩棚的结构破坏，应采取切实有效的安全防范措施，将其危害和可能造成的损失降到最低程度。同时，在寒冷的冬季和炎热的夏季，对从事室外加油作业的人员，应做好防寒及防暑降温工作。</w:t>
      </w:r>
    </w:p>
    <w:bookmarkEnd w:id="453"/>
    <w:bookmarkEnd w:id="454"/>
    <w:p w14:paraId="76EC2A5A">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57" w:name="_Toc26222"/>
      <w:bookmarkStart w:id="458" w:name="_Toc41246764"/>
      <w:bookmarkStart w:id="459" w:name="_Toc9549"/>
      <w:r>
        <w:rPr>
          <w:rFonts w:hint="default" w:ascii="Times New Roman" w:hAnsi="Times New Roman" w:eastAsia="楷体" w:cs="Times New Roman"/>
          <w:b/>
          <w:bCs/>
          <w:sz w:val="32"/>
          <w:szCs w:val="32"/>
          <w:lang w:val="en-US" w:eastAsia="zh-CN"/>
        </w:rPr>
        <w:t>F3.5重大危险源辨识</w:t>
      </w:r>
      <w:bookmarkEnd w:id="457"/>
      <w:bookmarkEnd w:id="458"/>
      <w:bookmarkEnd w:id="459"/>
    </w:p>
    <w:p w14:paraId="1AEF5BAD">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460" w:name="_Toc41246765"/>
      <w:bookmarkStart w:id="461" w:name="_Toc21780"/>
      <w:bookmarkStart w:id="462" w:name="_Toc16615"/>
      <w:bookmarkStart w:id="463" w:name="_Toc146488936"/>
      <w:r>
        <w:rPr>
          <w:rFonts w:hint="default" w:ascii="Times New Roman" w:hAnsi="Times New Roman" w:eastAsia="黑体" w:cs="Times New Roman"/>
          <w:b/>
          <w:bCs/>
          <w:color w:val="auto"/>
          <w:sz w:val="28"/>
          <w:szCs w:val="32"/>
          <w:lang w:val="en-US" w:eastAsia="zh-CN"/>
        </w:rPr>
        <w:t>F3.5.1</w:t>
      </w:r>
      <w:bookmarkEnd w:id="460"/>
      <w:bookmarkEnd w:id="461"/>
      <w:r>
        <w:rPr>
          <w:rFonts w:hint="default" w:ascii="Times New Roman" w:hAnsi="Times New Roman" w:eastAsia="黑体" w:cs="Times New Roman"/>
          <w:b/>
          <w:bCs/>
          <w:color w:val="auto"/>
          <w:sz w:val="28"/>
          <w:szCs w:val="32"/>
          <w:lang w:val="en-US" w:eastAsia="zh-CN"/>
        </w:rPr>
        <w:t>重大危险源定义</w:t>
      </w:r>
      <w:bookmarkEnd w:id="462"/>
      <w:bookmarkEnd w:id="463"/>
    </w:p>
    <w:p w14:paraId="0CC6245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bookmarkStart w:id="464" w:name="_Hlk161602889"/>
      <w:bookmarkStart w:id="465" w:name="_Toc41246766"/>
      <w:bookmarkStart w:id="466" w:name="_Toc23182"/>
      <w:r>
        <w:rPr>
          <w:rFonts w:hint="default" w:ascii="Times New Roman" w:hAnsi="Times New Roman" w:cs="Times New Roman"/>
          <w:bCs/>
          <w:snapToGrid w:val="0"/>
          <w:kern w:val="0"/>
          <w:sz w:val="28"/>
          <w:szCs w:val="28"/>
          <w:lang w:bidi="ar"/>
        </w:rPr>
        <w:t>根据《危险化学品重大危险源辨识》(GBl8218-2018)，重大危险源的定义为：长期或临时</w:t>
      </w:r>
      <w:r>
        <w:rPr>
          <w:rFonts w:hint="eastAsia" w:cs="Times New Roman"/>
          <w:bCs/>
          <w:snapToGrid w:val="0"/>
          <w:kern w:val="0"/>
          <w:sz w:val="28"/>
          <w:szCs w:val="28"/>
          <w:lang w:val="en-US" w:eastAsia="zh-CN" w:bidi="ar"/>
        </w:rPr>
        <w:t>地</w:t>
      </w:r>
      <w:r>
        <w:rPr>
          <w:rFonts w:hint="default" w:ascii="Times New Roman" w:hAnsi="Times New Roman" w:cs="Times New Roman"/>
          <w:bCs/>
          <w:snapToGrid w:val="0"/>
          <w:kern w:val="0"/>
          <w:sz w:val="28"/>
          <w:szCs w:val="28"/>
          <w:lang w:bidi="ar"/>
        </w:rPr>
        <w:t>生产、</w:t>
      </w:r>
      <w:r>
        <w:rPr>
          <w:rFonts w:hint="eastAsia" w:cs="Times New Roman"/>
          <w:bCs/>
          <w:snapToGrid w:val="0"/>
          <w:kern w:val="0"/>
          <w:sz w:val="28"/>
          <w:szCs w:val="28"/>
          <w:lang w:val="en-US" w:eastAsia="zh-CN" w:bidi="ar"/>
        </w:rPr>
        <w:t>储存</w:t>
      </w:r>
      <w:r>
        <w:rPr>
          <w:rFonts w:hint="default" w:ascii="Times New Roman" w:hAnsi="Times New Roman" w:cs="Times New Roman"/>
          <w:bCs/>
          <w:snapToGrid w:val="0"/>
          <w:kern w:val="0"/>
          <w:sz w:val="28"/>
          <w:szCs w:val="28"/>
          <w:lang w:bidi="ar"/>
        </w:rPr>
        <w:t>、使用</w:t>
      </w:r>
      <w:r>
        <w:rPr>
          <w:rFonts w:hint="eastAsia" w:cs="Times New Roman"/>
          <w:bCs/>
          <w:snapToGrid w:val="0"/>
          <w:kern w:val="0"/>
          <w:sz w:val="28"/>
          <w:szCs w:val="28"/>
          <w:lang w:val="en-US" w:eastAsia="zh-CN" w:bidi="ar"/>
        </w:rPr>
        <w:t>和经营</w:t>
      </w:r>
      <w:r>
        <w:rPr>
          <w:rFonts w:hint="default" w:ascii="Times New Roman" w:hAnsi="Times New Roman" w:cs="Times New Roman"/>
          <w:bCs/>
          <w:snapToGrid w:val="0"/>
          <w:kern w:val="0"/>
          <w:sz w:val="28"/>
          <w:szCs w:val="28"/>
          <w:lang w:bidi="ar"/>
        </w:rPr>
        <w:t>危险</w:t>
      </w:r>
      <w:r>
        <w:rPr>
          <w:rFonts w:hint="eastAsia" w:cs="Times New Roman"/>
          <w:bCs/>
          <w:snapToGrid w:val="0"/>
          <w:kern w:val="0"/>
          <w:sz w:val="28"/>
          <w:szCs w:val="28"/>
          <w:lang w:val="en-US" w:eastAsia="zh-CN" w:bidi="ar"/>
        </w:rPr>
        <w:t>化学品</w:t>
      </w:r>
      <w:r>
        <w:rPr>
          <w:rFonts w:hint="default" w:ascii="Times New Roman" w:hAnsi="Times New Roman" w:cs="Times New Roman"/>
          <w:bCs/>
          <w:snapToGrid w:val="0"/>
          <w:kern w:val="0"/>
          <w:sz w:val="28"/>
          <w:szCs w:val="28"/>
          <w:lang w:bidi="ar"/>
        </w:rPr>
        <w:t>，且</w:t>
      </w:r>
      <w:r>
        <w:rPr>
          <w:rFonts w:hint="eastAsia" w:cs="Times New Roman"/>
          <w:bCs/>
          <w:snapToGrid w:val="0"/>
          <w:kern w:val="0"/>
          <w:sz w:val="28"/>
          <w:szCs w:val="28"/>
          <w:lang w:val="en-US" w:eastAsia="zh-CN" w:bidi="ar"/>
        </w:rPr>
        <w:t>危险化学品的</w:t>
      </w:r>
      <w:r>
        <w:rPr>
          <w:rFonts w:hint="default" w:ascii="Times New Roman" w:hAnsi="Times New Roman" w:cs="Times New Roman"/>
          <w:bCs/>
          <w:snapToGrid w:val="0"/>
          <w:kern w:val="0"/>
          <w:sz w:val="28"/>
          <w:szCs w:val="28"/>
          <w:lang w:bidi="ar"/>
        </w:rPr>
        <w:t>数量等于或超过临界量的单元。</w:t>
      </w:r>
    </w:p>
    <w:p w14:paraId="7C50ADD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bCs/>
          <w:snapToGrid w:val="0"/>
          <w:kern w:val="0"/>
          <w:sz w:val="28"/>
          <w:szCs w:val="28"/>
          <w:lang w:bidi="ar"/>
        </w:rPr>
      </w:pPr>
      <w:r>
        <w:rPr>
          <w:rFonts w:hint="default" w:ascii="Times New Roman" w:hAnsi="Times New Roman" w:eastAsia="宋体" w:cs="Times New Roman"/>
          <w:bCs/>
          <w:snapToGrid w:val="0"/>
          <w:kern w:val="0"/>
          <w:sz w:val="28"/>
          <w:szCs w:val="28"/>
          <w:lang w:bidi="ar"/>
        </w:rPr>
        <w:t>（1）重大危险源辨识指标</w:t>
      </w:r>
    </w:p>
    <w:p w14:paraId="4978F05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r>
        <w:rPr>
          <w:rFonts w:hint="default" w:ascii="Times New Roman" w:hAnsi="Times New Roman" w:cs="Times New Roman"/>
          <w:bCs/>
          <w:snapToGrid w:val="0"/>
          <w:kern w:val="0"/>
          <w:sz w:val="28"/>
          <w:szCs w:val="28"/>
          <w:lang w:bidi="ar"/>
        </w:rPr>
        <w:t>重大危险源的辨识指标为：单元内存在危险</w:t>
      </w:r>
      <w:r>
        <w:rPr>
          <w:rFonts w:hint="eastAsia" w:cs="Times New Roman"/>
          <w:bCs/>
          <w:snapToGrid w:val="0"/>
          <w:kern w:val="0"/>
          <w:sz w:val="28"/>
          <w:szCs w:val="28"/>
          <w:lang w:val="en-US" w:eastAsia="zh-CN" w:bidi="ar"/>
        </w:rPr>
        <w:t>化学品</w:t>
      </w:r>
      <w:r>
        <w:rPr>
          <w:rFonts w:hint="default" w:ascii="Times New Roman" w:hAnsi="Times New Roman" w:cs="Times New Roman"/>
          <w:bCs/>
          <w:snapToGrid w:val="0"/>
          <w:kern w:val="0"/>
          <w:sz w:val="28"/>
          <w:szCs w:val="28"/>
          <w:lang w:bidi="ar"/>
        </w:rPr>
        <w:t>的数量等于或超过规定的临界量，即被定为重大危险源。单元内存在危险</w:t>
      </w:r>
      <w:r>
        <w:rPr>
          <w:rFonts w:hint="eastAsia" w:cs="Times New Roman"/>
          <w:bCs/>
          <w:snapToGrid w:val="0"/>
          <w:kern w:val="0"/>
          <w:sz w:val="28"/>
          <w:szCs w:val="28"/>
          <w:lang w:val="en-US" w:eastAsia="zh-CN" w:bidi="ar"/>
        </w:rPr>
        <w:t>化学品</w:t>
      </w:r>
      <w:r>
        <w:rPr>
          <w:rFonts w:hint="default" w:ascii="Times New Roman" w:hAnsi="Times New Roman" w:cs="Times New Roman"/>
          <w:bCs/>
          <w:snapToGrid w:val="0"/>
          <w:kern w:val="0"/>
          <w:sz w:val="28"/>
          <w:szCs w:val="28"/>
          <w:lang w:bidi="ar"/>
        </w:rPr>
        <w:t>的数量根据处理物质种类的多少区分为以下两种情况：</w:t>
      </w:r>
    </w:p>
    <w:p w14:paraId="0CA6C36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r>
        <w:rPr>
          <w:rFonts w:hint="default" w:ascii="Times New Roman" w:hAnsi="Times New Roman" w:cs="Times New Roman"/>
          <w:bCs/>
          <w:snapToGrid w:val="0"/>
          <w:kern w:val="0"/>
          <w:sz w:val="28"/>
          <w:szCs w:val="28"/>
          <w:lang w:bidi="ar"/>
        </w:rPr>
        <w:t>单元内存在的危险物质为单一品种，该</w:t>
      </w:r>
      <w:r>
        <w:rPr>
          <w:rFonts w:hint="eastAsia" w:cs="Times New Roman"/>
          <w:bCs/>
          <w:snapToGrid w:val="0"/>
          <w:kern w:val="0"/>
          <w:sz w:val="28"/>
          <w:szCs w:val="28"/>
          <w:lang w:val="en-US" w:eastAsia="zh-CN" w:bidi="ar"/>
        </w:rPr>
        <w:t>危险化学品的数量</w:t>
      </w:r>
      <w:r>
        <w:rPr>
          <w:rFonts w:hint="default" w:ascii="Times New Roman" w:hAnsi="Times New Roman" w:cs="Times New Roman"/>
          <w:bCs/>
          <w:snapToGrid w:val="0"/>
          <w:kern w:val="0"/>
          <w:sz w:val="28"/>
          <w:szCs w:val="28"/>
          <w:lang w:bidi="ar"/>
        </w:rPr>
        <w:t>即为单元内危险</w:t>
      </w:r>
      <w:r>
        <w:rPr>
          <w:rFonts w:hint="eastAsia" w:cs="Times New Roman"/>
          <w:bCs/>
          <w:snapToGrid w:val="0"/>
          <w:kern w:val="0"/>
          <w:sz w:val="28"/>
          <w:szCs w:val="28"/>
          <w:lang w:val="en-US" w:eastAsia="zh-CN" w:bidi="ar"/>
        </w:rPr>
        <w:t>化学品</w:t>
      </w:r>
      <w:r>
        <w:rPr>
          <w:rFonts w:hint="default" w:ascii="Times New Roman" w:hAnsi="Times New Roman" w:cs="Times New Roman"/>
          <w:bCs/>
          <w:snapToGrid w:val="0"/>
          <w:kern w:val="0"/>
          <w:sz w:val="28"/>
          <w:szCs w:val="28"/>
          <w:lang w:bidi="ar"/>
        </w:rPr>
        <w:t>的总量，若等于或超过相应的临界量，则定为重大危险源。</w:t>
      </w:r>
    </w:p>
    <w:p w14:paraId="0048EFF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r>
        <w:rPr>
          <w:rFonts w:hint="default" w:ascii="Times New Roman" w:hAnsi="Times New Roman" w:cs="Times New Roman"/>
          <w:bCs/>
          <w:snapToGrid w:val="0"/>
          <w:kern w:val="0"/>
          <w:sz w:val="28"/>
          <w:szCs w:val="28"/>
          <w:lang w:bidi="ar"/>
        </w:rPr>
        <w:t>单元内存在的危险</w:t>
      </w:r>
      <w:r>
        <w:rPr>
          <w:rFonts w:hint="eastAsia" w:cs="Times New Roman"/>
          <w:bCs/>
          <w:snapToGrid w:val="0"/>
          <w:kern w:val="0"/>
          <w:sz w:val="28"/>
          <w:szCs w:val="28"/>
          <w:lang w:val="en-US" w:eastAsia="zh-CN" w:bidi="ar"/>
        </w:rPr>
        <w:t>化学品</w:t>
      </w:r>
      <w:r>
        <w:rPr>
          <w:rFonts w:hint="default" w:ascii="Times New Roman" w:hAnsi="Times New Roman" w:cs="Times New Roman"/>
          <w:bCs/>
          <w:snapToGrid w:val="0"/>
          <w:kern w:val="0"/>
          <w:sz w:val="28"/>
          <w:szCs w:val="28"/>
          <w:lang w:bidi="ar"/>
        </w:rPr>
        <w:t>为多品种时，则按下式计算，若满足下面公式，则定为重大危险源：</w:t>
      </w:r>
    </w:p>
    <w:p w14:paraId="5DC9AC8B">
      <w:pPr>
        <w:keepNext w:val="0"/>
        <w:keepLines w:val="0"/>
        <w:pageBreakBefore w:val="0"/>
        <w:widowControl w:val="0"/>
        <w:kinsoku/>
        <w:wordWrap/>
        <w:overflowPunct/>
        <w:topLinePunct w:val="0"/>
        <w:autoSpaceDE/>
        <w:autoSpaceDN/>
        <w:bidi w:val="0"/>
        <w:adjustRightInd w:val="0"/>
        <w:snapToGrid w:val="0"/>
        <w:spacing w:line="360" w:lineRule="auto"/>
        <w:ind w:firstLine="630" w:firstLineChars="300"/>
        <w:textAlignment w:val="auto"/>
        <w:rPr>
          <w:rFonts w:hint="default" w:ascii="Times New Roman" w:hAnsi="Times New Roman" w:cs="Times New Roman"/>
        </w:rPr>
      </w:pPr>
      <w:r>
        <w:rPr>
          <w:rFonts w:hint="default" w:ascii="Times New Roman" w:hAnsi="Times New Roman" w:cs="Times New Roman"/>
          <w:kern w:val="21"/>
          <w:szCs w:val="21"/>
        </w:rPr>
        <w:drawing>
          <wp:inline distT="0" distB="0" distL="114300" distR="114300">
            <wp:extent cx="3810000" cy="619125"/>
            <wp:effectExtent l="0" t="0" r="0" b="9525"/>
            <wp:docPr id="142" name="图片 22" descr="wp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22" descr="wps2"/>
                    <pic:cNvPicPr>
                      <a:picLocks noChangeAspect="1"/>
                    </pic:cNvPicPr>
                  </pic:nvPicPr>
                  <pic:blipFill>
                    <a:blip r:embed="rId12"/>
                    <a:stretch>
                      <a:fillRect/>
                    </a:stretch>
                  </pic:blipFill>
                  <pic:spPr>
                    <a:xfrm>
                      <a:off x="0" y="0"/>
                      <a:ext cx="3810000" cy="619125"/>
                    </a:xfrm>
                    <a:prstGeom prst="rect">
                      <a:avLst/>
                    </a:prstGeom>
                    <a:noFill/>
                    <a:ln>
                      <a:noFill/>
                    </a:ln>
                  </pic:spPr>
                </pic:pic>
              </a:graphicData>
            </a:graphic>
          </wp:inline>
        </w:drawing>
      </w:r>
      <w:r>
        <w:rPr>
          <w:rFonts w:hint="default" w:ascii="Times New Roman" w:hAnsi="Times New Roman" w:cs="Times New Roman"/>
          <w:kern w:val="21"/>
          <w:szCs w:val="21"/>
          <w:lang w:bidi="ar"/>
        </w:rPr>
        <w:t xml:space="preserve">   </w:t>
      </w:r>
    </w:p>
    <w:p w14:paraId="58EBFDB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r>
        <w:rPr>
          <w:rFonts w:hint="default" w:ascii="Times New Roman" w:hAnsi="Times New Roman" w:cs="Times New Roman"/>
          <w:bCs/>
          <w:snapToGrid w:val="0"/>
          <w:kern w:val="0"/>
          <w:sz w:val="28"/>
          <w:szCs w:val="28"/>
          <w:lang w:bidi="ar"/>
        </w:rPr>
        <w:t>式中：</w:t>
      </w:r>
      <w:r>
        <w:rPr>
          <w:rFonts w:hint="default" w:ascii="Times New Roman" w:hAnsi="Times New Roman" w:cs="Times New Roman"/>
          <w:bCs/>
          <w:kern w:val="0"/>
          <w:sz w:val="28"/>
          <w:szCs w:val="28"/>
          <w:lang w:bidi="ar"/>
        </w:rPr>
        <w:t xml:space="preserve">  </w:t>
      </w:r>
      <w:r>
        <w:rPr>
          <w:rFonts w:hint="default" w:ascii="Times New Roman" w:hAnsi="Times New Roman" w:cs="Times New Roman"/>
          <w:bCs/>
          <w:snapToGrid w:val="0"/>
          <w:kern w:val="0"/>
          <w:sz w:val="28"/>
          <w:szCs w:val="28"/>
          <w:lang w:bidi="ar"/>
        </w:rPr>
        <w:t>q1,q2,…,qn　 ——每种</w:t>
      </w:r>
      <w:r>
        <w:rPr>
          <w:rFonts w:hint="eastAsia" w:cs="Times New Roman"/>
          <w:bCs/>
          <w:snapToGrid w:val="0"/>
          <w:kern w:val="0"/>
          <w:sz w:val="28"/>
          <w:szCs w:val="28"/>
          <w:lang w:val="en-US" w:eastAsia="zh-CN" w:bidi="ar"/>
        </w:rPr>
        <w:t>危险化学品的</w:t>
      </w:r>
      <w:r>
        <w:rPr>
          <w:rFonts w:hint="default" w:ascii="Times New Roman" w:hAnsi="Times New Roman" w:cs="Times New Roman"/>
          <w:bCs/>
          <w:snapToGrid w:val="0"/>
          <w:kern w:val="0"/>
          <w:sz w:val="28"/>
          <w:szCs w:val="28"/>
          <w:lang w:bidi="ar"/>
        </w:rPr>
        <w:t>实际存在量，t。</w:t>
      </w:r>
    </w:p>
    <w:p w14:paraId="282E676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rPr>
      </w:pPr>
      <w:r>
        <w:rPr>
          <w:rFonts w:hint="default" w:ascii="Times New Roman" w:hAnsi="Times New Roman" w:cs="Times New Roman"/>
          <w:bCs/>
          <w:kern w:val="0"/>
          <w:sz w:val="28"/>
          <w:szCs w:val="28"/>
          <w:lang w:bidi="ar"/>
        </w:rPr>
        <w:t xml:space="preserve">        </w:t>
      </w:r>
      <w:r>
        <w:rPr>
          <w:rFonts w:hint="default" w:ascii="Times New Roman" w:hAnsi="Times New Roman" w:cs="Times New Roman"/>
          <w:bCs/>
          <w:snapToGrid w:val="0"/>
          <w:kern w:val="0"/>
          <w:sz w:val="28"/>
          <w:szCs w:val="28"/>
          <w:lang w:bidi="ar"/>
        </w:rPr>
        <w:t>Q1,Q2,…,Qn　——与</w:t>
      </w:r>
      <w:r>
        <w:rPr>
          <w:rFonts w:hint="eastAsia" w:cs="Times New Roman"/>
          <w:bCs/>
          <w:snapToGrid w:val="0"/>
          <w:kern w:val="0"/>
          <w:sz w:val="28"/>
          <w:szCs w:val="28"/>
          <w:lang w:val="en-US" w:eastAsia="zh-CN" w:bidi="ar"/>
        </w:rPr>
        <w:t>每种危险化学品</w:t>
      </w:r>
      <w:r>
        <w:rPr>
          <w:rFonts w:hint="default" w:ascii="Times New Roman" w:hAnsi="Times New Roman" w:cs="Times New Roman"/>
          <w:bCs/>
          <w:snapToGrid w:val="0"/>
          <w:kern w:val="0"/>
          <w:sz w:val="28"/>
          <w:szCs w:val="28"/>
          <w:lang w:bidi="ar"/>
        </w:rPr>
        <w:t>相对应的临界量，t。</w:t>
      </w:r>
    </w:p>
    <w:bookmarkEnd w:id="464"/>
    <w:p w14:paraId="5186B09D">
      <w:pPr>
        <w:pStyle w:val="4"/>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textAlignment w:val="auto"/>
        <w:rPr>
          <w:rFonts w:hint="default" w:ascii="Times New Roman" w:hAnsi="Times New Roman" w:eastAsia="黑体" w:cs="Times New Roman"/>
          <w:b/>
          <w:bCs/>
          <w:color w:val="auto"/>
          <w:sz w:val="28"/>
          <w:szCs w:val="32"/>
          <w:lang w:val="en-US" w:eastAsia="zh-CN"/>
        </w:rPr>
      </w:pPr>
      <w:bookmarkStart w:id="467" w:name="_Toc12426"/>
      <w:bookmarkStart w:id="468" w:name="_Toc146488937"/>
      <w:r>
        <w:rPr>
          <w:rFonts w:hint="default" w:ascii="Times New Roman" w:hAnsi="Times New Roman" w:eastAsia="黑体" w:cs="Times New Roman"/>
          <w:b/>
          <w:bCs/>
          <w:color w:val="auto"/>
          <w:sz w:val="28"/>
          <w:szCs w:val="32"/>
          <w:lang w:val="en-US" w:eastAsia="zh-CN"/>
        </w:rPr>
        <w:t>F3.5.2</w:t>
      </w:r>
      <w:bookmarkEnd w:id="465"/>
      <w:bookmarkEnd w:id="466"/>
      <w:r>
        <w:rPr>
          <w:rFonts w:hint="default" w:ascii="Times New Roman" w:hAnsi="Times New Roman" w:eastAsia="黑体" w:cs="Times New Roman"/>
          <w:b/>
          <w:bCs/>
          <w:color w:val="auto"/>
          <w:sz w:val="28"/>
          <w:szCs w:val="32"/>
          <w:lang w:val="en-US" w:eastAsia="zh-CN"/>
        </w:rPr>
        <w:t>重大危险源辨识</w:t>
      </w:r>
      <w:bookmarkEnd w:id="467"/>
      <w:bookmarkEnd w:id="468"/>
    </w:p>
    <w:p w14:paraId="05919FA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bookmarkStart w:id="469" w:name="_Hlk161602953"/>
      <w:r>
        <w:rPr>
          <w:rFonts w:hint="default" w:ascii="Times New Roman" w:hAnsi="Times New Roman" w:cs="Times New Roman"/>
          <w:bCs/>
          <w:snapToGrid w:val="0"/>
          <w:kern w:val="0"/>
          <w:sz w:val="28"/>
          <w:szCs w:val="28"/>
          <w:lang w:bidi="ar"/>
        </w:rPr>
        <w:t>根据《危险化学品重大危险源辨识》（GB 18218-2018）的相关规定，危险化学品储罐以及其他容器、设备或仓储区的危险化学品的实际存在量按设计最大量确定。</w:t>
      </w:r>
    </w:p>
    <w:p w14:paraId="3F3542B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default" w:ascii="Times New Roman" w:hAnsi="Times New Roman" w:cs="Times New Roman"/>
          <w:bCs/>
          <w:snapToGrid w:val="0"/>
          <w:kern w:val="0"/>
          <w:sz w:val="28"/>
          <w:szCs w:val="28"/>
          <w:lang w:bidi="ar"/>
        </w:rPr>
        <w:t>对于危险化学品混合物，如果混合物与其纯物质属于相同危险类别，则视混合物为纯物质，按混合物整体进行计算。如果混合物遇其纯物质不属于相同危险类别，则应按新危险类别考虑其临界量。</w:t>
      </w:r>
    </w:p>
    <w:p w14:paraId="1F337CE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default" w:ascii="Times New Roman" w:hAnsi="Times New Roman" w:cs="Times New Roman"/>
          <w:bCs/>
          <w:snapToGrid w:val="0"/>
          <w:kern w:val="0"/>
          <w:sz w:val="28"/>
          <w:szCs w:val="28"/>
          <w:lang w:bidi="ar"/>
        </w:rPr>
        <w:t>该站在经营、储存过程中，涉及构成危险化学品重大危险源的物质为</w:t>
      </w:r>
      <w:r>
        <w:rPr>
          <w:rFonts w:hint="eastAsia" w:cs="Times New Roman"/>
          <w:bCs/>
          <w:snapToGrid w:val="0"/>
          <w:kern w:val="0"/>
          <w:sz w:val="28"/>
          <w:szCs w:val="28"/>
          <w:lang w:eastAsia="zh-CN" w:bidi="ar"/>
        </w:rPr>
        <w:t>乙醇汽油</w:t>
      </w:r>
      <w:r>
        <w:rPr>
          <w:rFonts w:hint="default" w:ascii="Times New Roman" w:hAnsi="Times New Roman" w:cs="Times New Roman"/>
          <w:bCs/>
          <w:snapToGrid w:val="0"/>
          <w:kern w:val="0"/>
          <w:sz w:val="28"/>
          <w:szCs w:val="28"/>
          <w:lang w:bidi="ar"/>
        </w:rPr>
        <w:t>、柴油，其临界量分别为200t、5000t。</w:t>
      </w:r>
    </w:p>
    <w:p w14:paraId="105A7E2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default" w:ascii="Times New Roman" w:hAnsi="Times New Roman" w:cs="Times New Roman"/>
          <w:bCs/>
          <w:snapToGrid w:val="0"/>
          <w:kern w:val="0"/>
          <w:sz w:val="28"/>
          <w:szCs w:val="28"/>
          <w:lang w:bidi="ar"/>
        </w:rPr>
        <w:t>根据本项目实际情况划分为2个单元，即将加油机内的乙醇汽油或柴油划分为生产单元、将储罐区储存的乙醇汽油或柴油划分为储存单元。</w:t>
      </w:r>
    </w:p>
    <w:bookmarkEnd w:id="469"/>
    <w:p w14:paraId="373BA3F0">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firstLine="560" w:firstLineChars="200"/>
        <w:textAlignment w:val="auto"/>
        <w:rPr>
          <w:rFonts w:hint="eastAsia" w:cs="Times New Roman"/>
          <w:bCs/>
          <w:snapToGrid w:val="0"/>
          <w:kern w:val="0"/>
          <w:sz w:val="28"/>
          <w:szCs w:val="28"/>
          <w:lang w:val="en-US" w:eastAsia="zh-CN" w:bidi="ar"/>
        </w:rPr>
      </w:pPr>
      <w:r>
        <w:rPr>
          <w:rFonts w:hint="eastAsia" w:cs="Times New Roman"/>
          <w:bCs/>
          <w:snapToGrid w:val="0"/>
          <w:kern w:val="0"/>
          <w:sz w:val="28"/>
          <w:szCs w:val="28"/>
          <w:lang w:val="en-US" w:eastAsia="zh-CN" w:bidi="ar"/>
        </w:rPr>
        <w:t>生产单元</w:t>
      </w:r>
    </w:p>
    <w:p w14:paraId="25EF9DE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default" w:cs="Times New Roman"/>
          <w:bCs/>
          <w:snapToGrid w:val="0"/>
          <w:kern w:val="0"/>
          <w:sz w:val="28"/>
          <w:szCs w:val="28"/>
          <w:lang w:val="en-US" w:eastAsia="zh-CN" w:bidi="ar"/>
        </w:rPr>
      </w:pPr>
      <w:r>
        <w:rPr>
          <w:rFonts w:hint="default" w:cs="Times New Roman"/>
          <w:bCs/>
          <w:snapToGrid w:val="0"/>
          <w:kern w:val="0"/>
          <w:sz w:val="28"/>
          <w:szCs w:val="28"/>
          <w:lang w:val="en-US" w:eastAsia="zh-CN" w:bidi="ar"/>
        </w:rPr>
        <w:t>由于加油过程中加油机内的乙醇汽油或柴油均来自油罐，加油机内危险化学品的储量远远小于其危险化学品重大危险源的临界量，故生产单元未构成危险化学品重大危险源。</w:t>
      </w:r>
    </w:p>
    <w:p w14:paraId="26981994">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eastAsia" w:cs="Times New Roman"/>
          <w:bCs/>
          <w:snapToGrid w:val="0"/>
          <w:kern w:val="0"/>
          <w:sz w:val="28"/>
          <w:szCs w:val="28"/>
          <w:lang w:val="en-US" w:eastAsia="zh-CN" w:bidi="ar"/>
        </w:rPr>
        <w:t>（2）储存</w:t>
      </w:r>
      <w:r>
        <w:rPr>
          <w:rFonts w:hint="default" w:ascii="Times New Roman" w:hAnsi="Times New Roman" w:cs="Times New Roman"/>
          <w:bCs/>
          <w:snapToGrid w:val="0"/>
          <w:kern w:val="0"/>
          <w:sz w:val="28"/>
          <w:szCs w:val="28"/>
          <w:lang w:bidi="ar"/>
        </w:rPr>
        <w:t>单元：</w:t>
      </w:r>
    </w:p>
    <w:p w14:paraId="24B373C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default" w:ascii="Times New Roman" w:hAnsi="Times New Roman" w:cs="Times New Roman"/>
          <w:bCs/>
          <w:snapToGrid w:val="0"/>
          <w:kern w:val="0"/>
          <w:sz w:val="28"/>
          <w:szCs w:val="28"/>
          <w:lang w:bidi="ar"/>
        </w:rPr>
        <w:t>加油站储罐区单元有</w:t>
      </w:r>
      <w:r>
        <w:rPr>
          <w:rFonts w:hint="eastAsia" w:cs="Times New Roman"/>
          <w:bCs/>
          <w:snapToGrid w:val="0"/>
          <w:kern w:val="0"/>
          <w:sz w:val="28"/>
          <w:szCs w:val="28"/>
          <w:lang w:val="en-US" w:eastAsia="zh-CN" w:bidi="ar"/>
        </w:rPr>
        <w:t>3</w:t>
      </w:r>
      <w:r>
        <w:rPr>
          <w:rFonts w:hint="default" w:ascii="Times New Roman" w:hAnsi="Times New Roman" w:cs="Times New Roman"/>
          <w:bCs/>
          <w:snapToGrid w:val="0"/>
          <w:kern w:val="0"/>
          <w:sz w:val="28"/>
          <w:szCs w:val="28"/>
          <w:lang w:bidi="ar"/>
        </w:rPr>
        <w:t>座</w:t>
      </w:r>
      <w:r>
        <w:rPr>
          <w:rFonts w:hint="eastAsia" w:cs="Times New Roman"/>
          <w:bCs/>
          <w:snapToGrid w:val="0"/>
          <w:kern w:val="0"/>
          <w:sz w:val="28"/>
          <w:szCs w:val="28"/>
          <w:lang w:eastAsia="zh-CN" w:bidi="ar"/>
        </w:rPr>
        <w:t>乙醇汽油</w:t>
      </w:r>
      <w:r>
        <w:rPr>
          <w:rFonts w:hint="default" w:ascii="Times New Roman" w:hAnsi="Times New Roman" w:cs="Times New Roman"/>
          <w:bCs/>
          <w:snapToGrid w:val="0"/>
          <w:kern w:val="0"/>
          <w:sz w:val="28"/>
          <w:szCs w:val="28"/>
          <w:lang w:bidi="ar"/>
        </w:rPr>
        <w:t>储罐，总容积为</w:t>
      </w:r>
      <w:r>
        <w:rPr>
          <w:rFonts w:hint="eastAsia" w:cs="Times New Roman"/>
          <w:bCs/>
          <w:snapToGrid w:val="0"/>
          <w:kern w:val="0"/>
          <w:sz w:val="28"/>
          <w:szCs w:val="28"/>
          <w:lang w:val="en-US" w:eastAsia="zh-CN" w:bidi="ar"/>
        </w:rPr>
        <w:t>90</w:t>
      </w:r>
      <w:r>
        <w:rPr>
          <w:rFonts w:hint="default" w:ascii="Times New Roman" w:hAnsi="Times New Roman" w:cs="Times New Roman"/>
          <w:bCs/>
          <w:snapToGrid w:val="0"/>
          <w:kern w:val="0"/>
          <w:sz w:val="28"/>
          <w:szCs w:val="28"/>
          <w:lang w:bidi="ar"/>
        </w:rPr>
        <w:t>m³，</w:t>
      </w:r>
      <w:r>
        <w:rPr>
          <w:rFonts w:hint="eastAsia" w:cs="Times New Roman"/>
          <w:bCs/>
          <w:snapToGrid w:val="0"/>
          <w:kern w:val="0"/>
          <w:sz w:val="28"/>
          <w:szCs w:val="28"/>
          <w:lang w:eastAsia="zh-CN" w:bidi="ar"/>
        </w:rPr>
        <w:t>乙醇汽油</w:t>
      </w:r>
      <w:r>
        <w:rPr>
          <w:rFonts w:hint="default" w:ascii="Times New Roman" w:hAnsi="Times New Roman" w:cs="Times New Roman"/>
          <w:bCs/>
          <w:snapToGrid w:val="0"/>
          <w:kern w:val="0"/>
          <w:sz w:val="28"/>
          <w:szCs w:val="28"/>
          <w:lang w:bidi="ar"/>
        </w:rPr>
        <w:t>的密度为0.8t/m³；</w:t>
      </w:r>
      <w:r>
        <w:rPr>
          <w:rFonts w:hint="eastAsia" w:cs="Times New Roman"/>
          <w:bCs/>
          <w:snapToGrid w:val="0"/>
          <w:kern w:val="0"/>
          <w:sz w:val="28"/>
          <w:szCs w:val="28"/>
          <w:lang w:val="en-US" w:eastAsia="zh-CN" w:bidi="ar"/>
        </w:rPr>
        <w:t>1</w:t>
      </w:r>
      <w:r>
        <w:rPr>
          <w:rFonts w:hint="default" w:ascii="Times New Roman" w:hAnsi="Times New Roman" w:cs="Times New Roman"/>
          <w:bCs/>
          <w:snapToGrid w:val="0"/>
          <w:kern w:val="0"/>
          <w:sz w:val="28"/>
          <w:szCs w:val="28"/>
          <w:lang w:bidi="ar"/>
        </w:rPr>
        <w:t>座柴油储罐，总容积为</w:t>
      </w:r>
      <w:r>
        <w:rPr>
          <w:rFonts w:hint="eastAsia" w:cs="Times New Roman"/>
          <w:bCs/>
          <w:snapToGrid w:val="0"/>
          <w:kern w:val="0"/>
          <w:sz w:val="28"/>
          <w:szCs w:val="28"/>
          <w:lang w:val="en-US" w:eastAsia="zh-CN" w:bidi="ar"/>
        </w:rPr>
        <w:t>30</w:t>
      </w:r>
      <w:r>
        <w:rPr>
          <w:rFonts w:hint="default" w:ascii="Times New Roman" w:hAnsi="Times New Roman" w:cs="Times New Roman"/>
          <w:bCs/>
          <w:snapToGrid w:val="0"/>
          <w:kern w:val="0"/>
          <w:sz w:val="28"/>
          <w:szCs w:val="28"/>
          <w:lang w:bidi="ar"/>
        </w:rPr>
        <w:t>m³，柴油的密度为0.85t/m³。储罐区单元危险化学品的临界量与最大储存量对照见下表。</w:t>
      </w:r>
    </w:p>
    <w:p w14:paraId="55FFD660">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F表3</w:t>
      </w:r>
      <w:r>
        <w:rPr>
          <w:rFonts w:hint="eastAsia" w:ascii="Times New Roman" w:hAnsi="Times New Roman" w:eastAsia="黑体" w:cs="Times New Roman"/>
          <w:b w:val="0"/>
          <w:bCs w:val="0"/>
          <w:sz w:val="24"/>
          <w:lang w:val="en-US" w:eastAsia="zh-CN"/>
        </w:rPr>
        <w:t xml:space="preserve">.5-1 </w:t>
      </w:r>
      <w:r>
        <w:rPr>
          <w:rFonts w:hint="default" w:ascii="Times New Roman" w:hAnsi="Times New Roman" w:eastAsia="黑体" w:cs="Times New Roman"/>
          <w:b w:val="0"/>
          <w:bCs w:val="0"/>
          <w:sz w:val="24"/>
        </w:rPr>
        <w:t xml:space="preserve"> 储罐区单元危险化学品的临界量与最大储存量对照表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087"/>
        <w:gridCol w:w="2043"/>
        <w:gridCol w:w="2041"/>
        <w:gridCol w:w="2041"/>
      </w:tblGrid>
      <w:tr w14:paraId="227B4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7" w:hRule="atLeast"/>
          <w:tblHeader/>
          <w:jc w:val="center"/>
        </w:trPr>
        <w:tc>
          <w:tcPr>
            <w:tcW w:w="632" w:type="pct"/>
            <w:vAlign w:val="center"/>
          </w:tcPr>
          <w:p w14:paraId="0CAB3E95">
            <w:pPr>
              <w:adjustRightInd w:val="0"/>
              <w:snapToGrid w:val="0"/>
              <w:jc w:val="center"/>
              <w:rPr>
                <w:rFonts w:hint="default" w:ascii="Times New Roman" w:hAnsi="Times New Roman" w:cs="Times New Roman"/>
                <w:szCs w:val="21"/>
              </w:rPr>
            </w:pPr>
            <w:bookmarkStart w:id="470" w:name="_Hlk161603343"/>
            <w:r>
              <w:rPr>
                <w:rFonts w:hint="default" w:ascii="Times New Roman" w:hAnsi="Times New Roman" w:cs="Times New Roman"/>
                <w:szCs w:val="21"/>
              </w:rPr>
              <w:t>序号</w:t>
            </w:r>
          </w:p>
        </w:tc>
        <w:tc>
          <w:tcPr>
            <w:tcW w:w="1110" w:type="pct"/>
            <w:vAlign w:val="center"/>
          </w:tcPr>
          <w:p w14:paraId="7B74861A">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物质名称</w:t>
            </w:r>
          </w:p>
        </w:tc>
        <w:tc>
          <w:tcPr>
            <w:tcW w:w="1086" w:type="pct"/>
            <w:vAlign w:val="center"/>
          </w:tcPr>
          <w:p w14:paraId="26851D0B">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危险性类别</w:t>
            </w:r>
          </w:p>
        </w:tc>
        <w:tc>
          <w:tcPr>
            <w:tcW w:w="1085" w:type="pct"/>
            <w:vAlign w:val="center"/>
          </w:tcPr>
          <w:p w14:paraId="7C313721">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最大储存量（t）</w:t>
            </w:r>
          </w:p>
        </w:tc>
        <w:tc>
          <w:tcPr>
            <w:tcW w:w="1085" w:type="pct"/>
            <w:vAlign w:val="center"/>
          </w:tcPr>
          <w:p w14:paraId="0E3B8647">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临界量（t）</w:t>
            </w:r>
          </w:p>
        </w:tc>
      </w:tr>
      <w:tr w14:paraId="15C2D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2" w:type="pct"/>
            <w:vAlign w:val="center"/>
          </w:tcPr>
          <w:p w14:paraId="7452EB19">
            <w:pPr>
              <w:pStyle w:val="21"/>
              <w:numPr>
                <w:ilvl w:val="0"/>
                <w:numId w:val="31"/>
              </w:numPr>
              <w:jc w:val="center"/>
              <w:rPr>
                <w:rFonts w:hint="default" w:ascii="Times New Roman" w:hAnsi="Times New Roman" w:cs="Times New Roman"/>
              </w:rPr>
            </w:pPr>
          </w:p>
        </w:tc>
        <w:tc>
          <w:tcPr>
            <w:tcW w:w="1110" w:type="pct"/>
            <w:vAlign w:val="center"/>
          </w:tcPr>
          <w:p w14:paraId="28281D4E">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柴油</w:t>
            </w:r>
          </w:p>
        </w:tc>
        <w:tc>
          <w:tcPr>
            <w:tcW w:w="1086" w:type="pct"/>
            <w:vAlign w:val="center"/>
          </w:tcPr>
          <w:p w14:paraId="33D3D800">
            <w:pPr>
              <w:adjustRightInd w:val="0"/>
              <w:snapToGrid w:val="0"/>
              <w:jc w:val="center"/>
              <w:rPr>
                <w:rFonts w:hint="default" w:ascii="Times New Roman" w:hAnsi="Times New Roman" w:cs="Times New Roman"/>
                <w:szCs w:val="21"/>
              </w:rPr>
            </w:pPr>
            <w:r>
              <w:rPr>
                <w:rFonts w:hint="default" w:ascii="Times New Roman" w:hAnsi="Times New Roman" w:cs="Times New Roman"/>
              </w:rPr>
              <w:t>易燃液体，类别3</w:t>
            </w:r>
          </w:p>
        </w:tc>
        <w:tc>
          <w:tcPr>
            <w:tcW w:w="1085" w:type="pct"/>
            <w:vAlign w:val="center"/>
          </w:tcPr>
          <w:p w14:paraId="3DA34E35">
            <w:pPr>
              <w:adjustRightInd w:val="0"/>
              <w:snapToGrid w:val="0"/>
              <w:jc w:val="center"/>
              <w:rPr>
                <w:rFonts w:hint="default" w:ascii="Times New Roman" w:hAnsi="Times New Roman" w:eastAsia="宋体" w:cs="Times New Roman"/>
                <w:szCs w:val="21"/>
                <w:lang w:val="en-US" w:eastAsia="zh-CN"/>
              </w:rPr>
            </w:pPr>
            <w:r>
              <w:rPr>
                <w:rFonts w:hint="eastAsia" w:cs="Times New Roman"/>
                <w:szCs w:val="21"/>
                <w:lang w:val="en-US" w:eastAsia="zh-CN"/>
              </w:rPr>
              <w:t>25.5</w:t>
            </w:r>
          </w:p>
        </w:tc>
        <w:tc>
          <w:tcPr>
            <w:tcW w:w="1085" w:type="pct"/>
            <w:vAlign w:val="center"/>
          </w:tcPr>
          <w:p w14:paraId="38AE36C0">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5000</w:t>
            </w:r>
          </w:p>
        </w:tc>
      </w:tr>
      <w:tr w14:paraId="4629F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2" w:type="pct"/>
            <w:vAlign w:val="center"/>
          </w:tcPr>
          <w:p w14:paraId="1C664A95">
            <w:pPr>
              <w:pStyle w:val="21"/>
              <w:numPr>
                <w:ilvl w:val="0"/>
                <w:numId w:val="31"/>
              </w:numPr>
              <w:jc w:val="center"/>
              <w:rPr>
                <w:rFonts w:hint="default" w:ascii="Times New Roman" w:hAnsi="Times New Roman" w:cs="Times New Roman"/>
              </w:rPr>
            </w:pPr>
          </w:p>
        </w:tc>
        <w:tc>
          <w:tcPr>
            <w:tcW w:w="1110" w:type="pct"/>
            <w:vAlign w:val="center"/>
          </w:tcPr>
          <w:p w14:paraId="1C75270B">
            <w:pPr>
              <w:adjustRightInd w:val="0"/>
              <w:snapToGrid w:val="0"/>
              <w:jc w:val="center"/>
              <w:rPr>
                <w:rFonts w:hint="eastAsia" w:ascii="Times New Roman" w:hAnsi="Times New Roman" w:eastAsia="宋体" w:cs="Times New Roman"/>
                <w:szCs w:val="21"/>
                <w:lang w:eastAsia="zh-CN"/>
              </w:rPr>
            </w:pPr>
            <w:r>
              <w:rPr>
                <w:rFonts w:hint="eastAsia" w:cs="Times New Roman"/>
                <w:szCs w:val="21"/>
                <w:lang w:eastAsia="zh-CN"/>
              </w:rPr>
              <w:t>乙醇汽油</w:t>
            </w:r>
          </w:p>
        </w:tc>
        <w:tc>
          <w:tcPr>
            <w:tcW w:w="1086" w:type="pct"/>
            <w:vAlign w:val="center"/>
          </w:tcPr>
          <w:p w14:paraId="2D4CA859">
            <w:pPr>
              <w:widowControl/>
              <w:jc w:val="center"/>
              <w:rPr>
                <w:rFonts w:hint="default" w:ascii="Times New Roman" w:hAnsi="Times New Roman" w:cs="Times New Roman"/>
                <w:kern w:val="0"/>
                <w:sz w:val="20"/>
              </w:rPr>
            </w:pPr>
            <w:r>
              <w:rPr>
                <w:rFonts w:hint="default" w:ascii="Times New Roman" w:hAnsi="Times New Roman" w:cs="Times New Roman"/>
              </w:rPr>
              <w:t>易燃液体，类别2</w:t>
            </w:r>
            <w:r>
              <w:rPr>
                <w:rFonts w:hint="default" w:ascii="Times New Roman" w:hAnsi="Times New Roman" w:cs="Times New Roman"/>
                <w:kern w:val="0"/>
                <w:sz w:val="20"/>
              </w:rPr>
              <w:t>*</w:t>
            </w:r>
          </w:p>
        </w:tc>
        <w:tc>
          <w:tcPr>
            <w:tcW w:w="1085" w:type="pct"/>
            <w:vAlign w:val="center"/>
          </w:tcPr>
          <w:p w14:paraId="0DACE19B">
            <w:pPr>
              <w:adjustRightInd w:val="0"/>
              <w:snapToGrid w:val="0"/>
              <w:jc w:val="center"/>
              <w:rPr>
                <w:rFonts w:hint="default" w:ascii="Times New Roman" w:hAnsi="Times New Roman" w:eastAsia="宋体" w:cs="Times New Roman"/>
                <w:szCs w:val="21"/>
                <w:lang w:val="en-US" w:eastAsia="zh-CN"/>
              </w:rPr>
            </w:pPr>
            <w:r>
              <w:rPr>
                <w:rFonts w:hint="eastAsia" w:cs="Times New Roman"/>
                <w:szCs w:val="21"/>
                <w:lang w:val="en-US" w:eastAsia="zh-CN"/>
              </w:rPr>
              <w:t>72</w:t>
            </w:r>
          </w:p>
        </w:tc>
        <w:tc>
          <w:tcPr>
            <w:tcW w:w="1085" w:type="pct"/>
            <w:vAlign w:val="center"/>
          </w:tcPr>
          <w:p w14:paraId="665DA08B">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200</w:t>
            </w:r>
          </w:p>
        </w:tc>
      </w:tr>
      <w:bookmarkEnd w:id="470"/>
    </w:tbl>
    <w:p w14:paraId="2F07D68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bCs/>
          <w:snapToGrid w:val="0"/>
          <w:kern w:val="0"/>
          <w:sz w:val="28"/>
          <w:szCs w:val="28"/>
          <w:lang w:bidi="ar"/>
        </w:rPr>
      </w:pPr>
      <w:r>
        <w:rPr>
          <w:rFonts w:hint="default" w:ascii="Times New Roman" w:hAnsi="Times New Roman" w:cs="Times New Roman"/>
          <w:bCs/>
          <w:snapToGrid w:val="0"/>
          <w:kern w:val="0"/>
          <w:sz w:val="28"/>
          <w:szCs w:val="28"/>
          <w:lang w:bidi="ar"/>
        </w:rPr>
        <w:t>S=q1/Q1+q2/Q2=</w:t>
      </w:r>
      <w:r>
        <w:rPr>
          <w:rFonts w:hint="eastAsia" w:cs="Times New Roman"/>
          <w:bCs/>
          <w:snapToGrid w:val="0"/>
          <w:kern w:val="0"/>
          <w:sz w:val="28"/>
          <w:szCs w:val="28"/>
          <w:lang w:val="en-US" w:eastAsia="zh-CN" w:bidi="ar"/>
        </w:rPr>
        <w:t>72</w:t>
      </w:r>
      <w:r>
        <w:rPr>
          <w:rFonts w:hint="default" w:ascii="Times New Roman" w:hAnsi="Times New Roman" w:cs="Times New Roman"/>
          <w:bCs/>
          <w:snapToGrid w:val="0"/>
          <w:kern w:val="0"/>
          <w:sz w:val="28"/>
          <w:szCs w:val="28"/>
          <w:lang w:bidi="ar"/>
        </w:rPr>
        <w:t>/200+</w:t>
      </w:r>
      <w:r>
        <w:rPr>
          <w:rFonts w:hint="eastAsia" w:cs="Times New Roman"/>
          <w:bCs/>
          <w:snapToGrid w:val="0"/>
          <w:kern w:val="0"/>
          <w:sz w:val="28"/>
          <w:szCs w:val="28"/>
          <w:lang w:val="en-US" w:eastAsia="zh-CN" w:bidi="ar"/>
        </w:rPr>
        <w:t>25.5</w:t>
      </w:r>
      <w:r>
        <w:rPr>
          <w:rFonts w:hint="default" w:ascii="Times New Roman" w:hAnsi="Times New Roman" w:cs="Times New Roman"/>
          <w:bCs/>
          <w:snapToGrid w:val="0"/>
          <w:kern w:val="0"/>
          <w:sz w:val="28"/>
          <w:szCs w:val="28"/>
          <w:lang w:bidi="ar"/>
        </w:rPr>
        <w:t>/5000=</w:t>
      </w:r>
      <w:r>
        <w:rPr>
          <w:rFonts w:hint="eastAsia" w:cs="Times New Roman"/>
          <w:bCs/>
          <w:snapToGrid w:val="0"/>
          <w:kern w:val="0"/>
          <w:sz w:val="28"/>
          <w:szCs w:val="28"/>
          <w:lang w:val="en-US" w:eastAsia="zh-CN" w:bidi="ar"/>
        </w:rPr>
        <w:t>0.3651</w:t>
      </w:r>
      <w:r>
        <w:rPr>
          <w:rFonts w:hint="default" w:ascii="Times New Roman" w:hAnsi="Times New Roman" w:cs="Times New Roman"/>
          <w:bCs/>
          <w:snapToGrid w:val="0"/>
          <w:kern w:val="0"/>
          <w:sz w:val="28"/>
          <w:szCs w:val="28"/>
          <w:lang w:bidi="ar"/>
        </w:rPr>
        <w:t>＜1。</w:t>
      </w:r>
    </w:p>
    <w:p w14:paraId="34B513F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rPr>
      </w:pPr>
      <w:bookmarkStart w:id="471" w:name="_Toc298746137"/>
      <w:bookmarkStart w:id="472" w:name="_Toc350497212"/>
      <w:bookmarkStart w:id="473" w:name="_Toc296338624"/>
      <w:bookmarkStart w:id="474" w:name="_Toc297104036"/>
      <w:bookmarkStart w:id="475" w:name="_Toc274467310"/>
      <w:r>
        <w:rPr>
          <w:rFonts w:hint="default" w:ascii="Times New Roman" w:hAnsi="Times New Roman" w:cs="Times New Roman"/>
          <w:bCs/>
          <w:snapToGrid w:val="0"/>
          <w:color w:val="000000" w:themeColor="text1"/>
          <w:kern w:val="0"/>
          <w:sz w:val="28"/>
          <w:szCs w:val="28"/>
          <w:highlight w:val="none"/>
          <w:lang w:bidi="ar"/>
          <w14:textFill>
            <w14:solidFill>
              <w14:schemeClr w14:val="tx1"/>
            </w14:solidFill>
          </w14:textFill>
        </w:rPr>
        <w:t>综上，</w:t>
      </w:r>
      <w:r>
        <w:rPr>
          <w:rFonts w:hint="default" w:ascii="Times New Roman" w:hAnsi="Times New Roman" w:cs="Times New Roman"/>
          <w:bCs/>
          <w:snapToGrid w:val="0"/>
          <w:kern w:val="0"/>
          <w:sz w:val="28"/>
          <w:szCs w:val="28"/>
          <w:lang w:bidi="ar"/>
        </w:rPr>
        <w:t>储罐区</w:t>
      </w:r>
      <w:r>
        <w:rPr>
          <w:rFonts w:hint="default" w:ascii="Times New Roman" w:hAnsi="Times New Roman" w:cs="Times New Roman"/>
          <w:bCs/>
          <w:snapToGrid w:val="0"/>
          <w:color w:val="000000" w:themeColor="text1"/>
          <w:kern w:val="0"/>
          <w:sz w:val="28"/>
          <w:szCs w:val="28"/>
          <w:highlight w:val="none"/>
          <w:lang w:bidi="ar"/>
          <w14:textFill>
            <w14:solidFill>
              <w14:schemeClr w14:val="tx1"/>
            </w14:solidFill>
          </w14:textFill>
        </w:rPr>
        <w:t>未构成危险化学品重大危险源。</w:t>
      </w:r>
    </w:p>
    <w:p w14:paraId="7B36C92F">
      <w:pPr>
        <w:rPr>
          <w:rFonts w:hint="default" w:ascii="Times New Roman" w:hAnsi="Times New Roman" w:cs="Times New Roman"/>
        </w:rPr>
      </w:pPr>
    </w:p>
    <w:p w14:paraId="07E418D0">
      <w:pPr>
        <w:pStyle w:val="2"/>
        <w:keepNext w:val="0"/>
        <w:keepLines w:val="0"/>
        <w:pageBreakBefore/>
        <w:widowControl w:val="0"/>
        <w:numPr>
          <w:ilvl w:val="0"/>
          <w:numId w:val="0"/>
        </w:numPr>
        <w:kinsoku/>
        <w:wordWrap/>
        <w:overflowPunct/>
        <w:topLinePunct w:val="0"/>
        <w:autoSpaceDE/>
        <w:autoSpaceDN/>
        <w:bidi w:val="0"/>
        <w:adjustRightInd/>
        <w:snapToGrid/>
        <w:spacing w:before="469" w:beforeLines="150" w:after="469" w:afterLines="150" w:line="360" w:lineRule="auto"/>
        <w:ind w:leftChars="0"/>
        <w:jc w:val="center"/>
        <w:textAlignment w:val="auto"/>
        <w:rPr>
          <w:rFonts w:hint="default" w:ascii="Times New Roman" w:hAnsi="Times New Roman" w:eastAsia="黑体" w:cs="Times New Roman"/>
          <w:b/>
          <w:bCs w:val="0"/>
          <w:kern w:val="32"/>
          <w:sz w:val="32"/>
          <w:szCs w:val="32"/>
          <w:lang w:val="en-US" w:eastAsia="zh-CN"/>
        </w:rPr>
      </w:pPr>
      <w:bookmarkStart w:id="476" w:name="_Toc27136"/>
      <w:bookmarkStart w:id="477" w:name="_Toc20461"/>
      <w:bookmarkStart w:id="478" w:name="_Toc41246767"/>
      <w:r>
        <w:rPr>
          <w:rFonts w:hint="default" w:ascii="Times New Roman" w:hAnsi="Times New Roman" w:eastAsia="黑体" w:cs="Times New Roman"/>
          <w:b/>
          <w:bCs w:val="0"/>
          <w:kern w:val="32"/>
          <w:sz w:val="32"/>
          <w:szCs w:val="32"/>
          <w:lang w:val="en-US" w:eastAsia="zh-CN"/>
        </w:rPr>
        <w:t>附录F4定性、定量分析危险、有害程度的过程</w:t>
      </w:r>
      <w:bookmarkEnd w:id="476"/>
      <w:bookmarkEnd w:id="477"/>
    </w:p>
    <w:p w14:paraId="00F1E180">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79" w:name="_Toc24060"/>
      <w:bookmarkStart w:id="480" w:name="_Toc30064"/>
      <w:r>
        <w:rPr>
          <w:rFonts w:hint="default" w:ascii="Times New Roman" w:hAnsi="Times New Roman" w:eastAsia="楷体" w:cs="Times New Roman"/>
          <w:b/>
          <w:bCs/>
          <w:sz w:val="32"/>
          <w:szCs w:val="32"/>
          <w:lang w:val="en-US" w:eastAsia="zh-CN"/>
        </w:rPr>
        <w:t>F4.</w:t>
      </w:r>
      <w:bookmarkEnd w:id="471"/>
      <w:bookmarkEnd w:id="472"/>
      <w:bookmarkEnd w:id="473"/>
      <w:bookmarkEnd w:id="474"/>
      <w:bookmarkEnd w:id="475"/>
      <w:bookmarkEnd w:id="478"/>
      <w:r>
        <w:rPr>
          <w:rFonts w:hint="default" w:ascii="Times New Roman" w:hAnsi="Times New Roman" w:eastAsia="楷体" w:cs="Times New Roman"/>
          <w:b/>
          <w:bCs/>
          <w:sz w:val="32"/>
          <w:szCs w:val="32"/>
          <w:lang w:val="en-US" w:eastAsia="zh-CN"/>
        </w:rPr>
        <w:t>1安全检查表法</w:t>
      </w:r>
      <w:bookmarkEnd w:id="479"/>
      <w:bookmarkEnd w:id="480"/>
      <w:r>
        <w:rPr>
          <w:rFonts w:hint="default" w:ascii="Times New Roman" w:hAnsi="Times New Roman" w:eastAsia="楷体" w:cs="Times New Roman"/>
          <w:b/>
          <w:bCs/>
          <w:sz w:val="32"/>
          <w:szCs w:val="32"/>
          <w:lang w:val="en-US" w:eastAsia="zh-CN"/>
        </w:rPr>
        <w:t xml:space="preserve"> </w:t>
      </w:r>
    </w:p>
    <w:p w14:paraId="3D2BF3E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根据《汽车加油加气加氢站技术标准》（GB 50156-2021）的有关要求采用安全检查表法对本项目的选址与总平面布置单元进行评价。检查结果见 F表4</w:t>
      </w:r>
      <w:r>
        <w:rPr>
          <w:rFonts w:hint="eastAsia" w:cs="Times New Roman"/>
          <w:sz w:val="28"/>
          <w:szCs w:val="28"/>
          <w:lang w:val="en-US" w:eastAsia="zh-CN"/>
        </w:rPr>
        <w:t>.1</w:t>
      </w:r>
      <w:r>
        <w:rPr>
          <w:rFonts w:hint="default" w:ascii="Times New Roman" w:hAnsi="Times New Roman" w:cs="Times New Roman"/>
          <w:sz w:val="28"/>
          <w:szCs w:val="28"/>
        </w:rPr>
        <w:t>-1。</w:t>
      </w:r>
    </w:p>
    <w:p w14:paraId="479643C8">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F表4</w:t>
      </w:r>
      <w:r>
        <w:rPr>
          <w:rFonts w:hint="eastAsia" w:ascii="Times New Roman" w:hAnsi="Times New Roman" w:eastAsia="黑体" w:cs="Times New Roman"/>
          <w:b w:val="0"/>
          <w:bCs w:val="0"/>
          <w:sz w:val="24"/>
          <w:lang w:val="en-US" w:eastAsia="zh-CN"/>
        </w:rPr>
        <w:t>.1</w:t>
      </w:r>
      <w:r>
        <w:rPr>
          <w:rFonts w:hint="default" w:ascii="Times New Roman" w:hAnsi="Times New Roman" w:eastAsia="黑体" w:cs="Times New Roman"/>
          <w:b w:val="0"/>
          <w:bCs w:val="0"/>
          <w:sz w:val="24"/>
        </w:rPr>
        <w:t>-1 选址与总平面布置单元安全检查表</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3002"/>
        <w:gridCol w:w="2250"/>
        <w:gridCol w:w="2485"/>
        <w:gridCol w:w="909"/>
      </w:tblGrid>
      <w:tr w14:paraId="40606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10EA9ABB">
            <w:pPr>
              <w:jc w:val="center"/>
              <w:rPr>
                <w:rFonts w:hint="default" w:ascii="Times New Roman" w:hAnsi="Times New Roman" w:cs="Times New Roman"/>
                <w:b w:val="0"/>
                <w:bCs/>
                <w:szCs w:val="21"/>
              </w:rPr>
            </w:pPr>
            <w:r>
              <w:rPr>
                <w:rFonts w:hint="default" w:ascii="Times New Roman" w:hAnsi="Times New Roman" w:cs="Times New Roman"/>
                <w:b w:val="0"/>
                <w:bCs/>
                <w:szCs w:val="21"/>
              </w:rPr>
              <w:t>序号</w:t>
            </w:r>
          </w:p>
        </w:tc>
        <w:tc>
          <w:tcPr>
            <w:tcW w:w="2875" w:type="dxa"/>
            <w:vAlign w:val="center"/>
          </w:tcPr>
          <w:p w14:paraId="0981AE69">
            <w:pPr>
              <w:ind w:firstLine="211"/>
              <w:jc w:val="center"/>
              <w:rPr>
                <w:rFonts w:hint="default" w:ascii="Times New Roman" w:hAnsi="Times New Roman" w:cs="Times New Roman"/>
                <w:b w:val="0"/>
                <w:bCs/>
                <w:szCs w:val="21"/>
              </w:rPr>
            </w:pPr>
            <w:r>
              <w:rPr>
                <w:rFonts w:hint="default" w:ascii="Times New Roman" w:hAnsi="Times New Roman" w:cs="Times New Roman"/>
                <w:b w:val="0"/>
                <w:bCs/>
                <w:szCs w:val="21"/>
              </w:rPr>
              <w:t>检查内容</w:t>
            </w:r>
          </w:p>
        </w:tc>
        <w:tc>
          <w:tcPr>
            <w:tcW w:w="2155" w:type="dxa"/>
            <w:vAlign w:val="center"/>
          </w:tcPr>
          <w:p w14:paraId="52B50862">
            <w:pPr>
              <w:ind w:firstLine="211"/>
              <w:jc w:val="center"/>
              <w:rPr>
                <w:rFonts w:hint="default" w:ascii="Times New Roman" w:hAnsi="Times New Roman" w:cs="Times New Roman"/>
                <w:b w:val="0"/>
                <w:bCs/>
                <w:szCs w:val="21"/>
              </w:rPr>
            </w:pPr>
            <w:r>
              <w:rPr>
                <w:rFonts w:hint="default" w:ascii="Times New Roman" w:hAnsi="Times New Roman" w:cs="Times New Roman"/>
                <w:b w:val="0"/>
                <w:bCs/>
                <w:szCs w:val="21"/>
              </w:rPr>
              <w:t>检查依据</w:t>
            </w:r>
          </w:p>
        </w:tc>
        <w:tc>
          <w:tcPr>
            <w:tcW w:w="2380" w:type="dxa"/>
            <w:vAlign w:val="center"/>
          </w:tcPr>
          <w:p w14:paraId="08951772">
            <w:pPr>
              <w:ind w:firstLine="211"/>
              <w:jc w:val="center"/>
              <w:rPr>
                <w:rFonts w:hint="default" w:ascii="Times New Roman" w:hAnsi="Times New Roman" w:cs="Times New Roman"/>
                <w:b w:val="0"/>
                <w:bCs/>
                <w:szCs w:val="21"/>
              </w:rPr>
            </w:pPr>
            <w:r>
              <w:rPr>
                <w:rFonts w:hint="default" w:ascii="Times New Roman" w:hAnsi="Times New Roman" w:cs="Times New Roman"/>
                <w:b w:val="0"/>
                <w:bCs/>
                <w:szCs w:val="21"/>
              </w:rPr>
              <w:t>检查记录</w:t>
            </w:r>
          </w:p>
        </w:tc>
        <w:tc>
          <w:tcPr>
            <w:tcW w:w="871" w:type="dxa"/>
            <w:vAlign w:val="center"/>
          </w:tcPr>
          <w:p w14:paraId="4EFDCCD7">
            <w:pPr>
              <w:ind w:firstLine="211"/>
              <w:jc w:val="center"/>
              <w:rPr>
                <w:rFonts w:hint="default" w:ascii="Times New Roman" w:hAnsi="Times New Roman" w:cs="Times New Roman"/>
                <w:b w:val="0"/>
                <w:bCs/>
                <w:szCs w:val="21"/>
              </w:rPr>
            </w:pPr>
            <w:r>
              <w:rPr>
                <w:rFonts w:hint="default" w:ascii="Times New Roman" w:hAnsi="Times New Roman" w:cs="Times New Roman"/>
                <w:b w:val="0"/>
                <w:bCs/>
                <w:szCs w:val="21"/>
              </w:rPr>
              <w:t>结果</w:t>
            </w:r>
          </w:p>
        </w:tc>
      </w:tr>
      <w:tr w14:paraId="069AC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29899440">
            <w:pPr>
              <w:pStyle w:val="21"/>
              <w:numPr>
                <w:ilvl w:val="0"/>
                <w:numId w:val="32"/>
              </w:numPr>
              <w:jc w:val="center"/>
              <w:rPr>
                <w:rFonts w:hint="default" w:ascii="Times New Roman" w:hAnsi="Times New Roman" w:cs="Times New Roman"/>
                <w:b w:val="0"/>
                <w:bCs/>
              </w:rPr>
            </w:pPr>
          </w:p>
        </w:tc>
        <w:tc>
          <w:tcPr>
            <w:tcW w:w="2875" w:type="dxa"/>
            <w:vAlign w:val="center"/>
          </w:tcPr>
          <w:p w14:paraId="3E918EED">
            <w:pPr>
              <w:rPr>
                <w:rFonts w:hint="default" w:ascii="Times New Roman" w:hAnsi="Times New Roman" w:cs="Times New Roman"/>
                <w:b w:val="0"/>
                <w:bCs/>
                <w:szCs w:val="21"/>
              </w:rPr>
            </w:pPr>
            <w:r>
              <w:rPr>
                <w:rFonts w:hint="default" w:ascii="Times New Roman" w:hAnsi="Times New Roman" w:cs="Times New Roman"/>
                <w:b w:val="0"/>
                <w:bCs/>
                <w:kern w:val="28"/>
                <w:szCs w:val="21"/>
              </w:rPr>
              <w:t>汽车加油站的站址选择应符合有关规划、环境保护和防火安全的要求，并应选在交通便利、用户使用方便的地点</w:t>
            </w:r>
          </w:p>
        </w:tc>
        <w:tc>
          <w:tcPr>
            <w:tcW w:w="2155" w:type="dxa"/>
            <w:vAlign w:val="center"/>
          </w:tcPr>
          <w:p w14:paraId="269CFFC5">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1AA5E1A1">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第4.0.1条</w:t>
            </w:r>
          </w:p>
        </w:tc>
        <w:tc>
          <w:tcPr>
            <w:tcW w:w="2380" w:type="dxa"/>
            <w:vAlign w:val="center"/>
          </w:tcPr>
          <w:p w14:paraId="159560A1">
            <w:pPr>
              <w:rPr>
                <w:rFonts w:hint="default" w:ascii="Times New Roman" w:hAnsi="Times New Roman" w:cs="Times New Roman"/>
                <w:b w:val="0"/>
                <w:bCs/>
                <w:szCs w:val="21"/>
              </w:rPr>
            </w:pPr>
            <w:r>
              <w:rPr>
                <w:rFonts w:hint="default" w:ascii="Times New Roman" w:hAnsi="Times New Roman" w:cs="Times New Roman"/>
                <w:b w:val="0"/>
                <w:bCs/>
                <w:kern w:val="28"/>
                <w:szCs w:val="21"/>
              </w:rPr>
              <w:t>站址选择符合城乡规划、环境保护和防火安全的要求，交通便利</w:t>
            </w:r>
          </w:p>
        </w:tc>
        <w:tc>
          <w:tcPr>
            <w:tcW w:w="871" w:type="dxa"/>
            <w:vAlign w:val="center"/>
          </w:tcPr>
          <w:p w14:paraId="1934C9BA">
            <w:pPr>
              <w:jc w:val="center"/>
              <w:rPr>
                <w:rFonts w:hint="default" w:ascii="Times New Roman" w:hAnsi="Times New Roman" w:cs="Times New Roman"/>
                <w:b w:val="0"/>
                <w:bCs/>
                <w:szCs w:val="21"/>
              </w:rPr>
            </w:pPr>
            <w:r>
              <w:rPr>
                <w:rFonts w:hint="default" w:ascii="Times New Roman" w:hAnsi="Times New Roman" w:cs="Times New Roman"/>
                <w:b w:val="0"/>
                <w:bCs/>
                <w:szCs w:val="21"/>
              </w:rPr>
              <w:t>符合</w:t>
            </w:r>
          </w:p>
        </w:tc>
      </w:tr>
      <w:tr w14:paraId="14DD4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768A8E2B">
            <w:pPr>
              <w:pStyle w:val="21"/>
              <w:numPr>
                <w:ilvl w:val="0"/>
                <w:numId w:val="32"/>
              </w:numPr>
              <w:jc w:val="center"/>
              <w:rPr>
                <w:rFonts w:hint="default" w:ascii="Times New Roman" w:hAnsi="Times New Roman" w:cs="Times New Roman"/>
                <w:b w:val="0"/>
                <w:bCs/>
              </w:rPr>
            </w:pPr>
          </w:p>
        </w:tc>
        <w:tc>
          <w:tcPr>
            <w:tcW w:w="2875" w:type="dxa"/>
            <w:vAlign w:val="center"/>
          </w:tcPr>
          <w:p w14:paraId="6DA3F3C5">
            <w:pPr>
              <w:rPr>
                <w:rFonts w:hint="default" w:ascii="Times New Roman" w:hAnsi="Times New Roman" w:cs="Times New Roman"/>
                <w:b w:val="0"/>
                <w:bCs/>
                <w:kern w:val="28"/>
                <w:szCs w:val="21"/>
              </w:rPr>
            </w:pPr>
            <w:r>
              <w:rPr>
                <w:rFonts w:hint="default" w:ascii="Times New Roman" w:hAnsi="Times New Roman" w:cs="Times New Roman"/>
                <w:b w:val="0"/>
                <w:bCs/>
              </w:rPr>
              <w:t>在城市中心区不应建一级加油站</w:t>
            </w:r>
          </w:p>
        </w:tc>
        <w:tc>
          <w:tcPr>
            <w:tcW w:w="2155" w:type="dxa"/>
            <w:vAlign w:val="center"/>
          </w:tcPr>
          <w:p w14:paraId="5B27BF1A">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7A42AA84">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第4.0.2条</w:t>
            </w:r>
          </w:p>
        </w:tc>
        <w:tc>
          <w:tcPr>
            <w:tcW w:w="2380" w:type="dxa"/>
            <w:vAlign w:val="center"/>
          </w:tcPr>
          <w:p w14:paraId="239A0723">
            <w:pPr>
              <w:jc w:val="left"/>
              <w:rPr>
                <w:rFonts w:hint="default" w:ascii="Times New Roman" w:hAnsi="Times New Roman" w:eastAsia="宋体" w:cs="Times New Roman"/>
                <w:b w:val="0"/>
                <w:bCs/>
                <w:kern w:val="28"/>
                <w:szCs w:val="21"/>
                <w:lang w:val="en-US" w:eastAsia="zh-CN"/>
              </w:rPr>
            </w:pPr>
            <w:r>
              <w:rPr>
                <w:rFonts w:hint="default" w:ascii="Times New Roman" w:hAnsi="Times New Roman" w:cs="Times New Roman"/>
                <w:b w:val="0"/>
                <w:bCs/>
              </w:rPr>
              <w:t>该站属于</w:t>
            </w:r>
            <w:r>
              <w:rPr>
                <w:rFonts w:hint="default" w:ascii="Times New Roman" w:hAnsi="Times New Roman" w:cs="Times New Roman"/>
                <w:b w:val="0"/>
                <w:bCs/>
                <w:lang w:val="en-US" w:eastAsia="zh-CN"/>
              </w:rPr>
              <w:t>二</w:t>
            </w:r>
            <w:r>
              <w:rPr>
                <w:rFonts w:hint="default" w:ascii="Times New Roman" w:hAnsi="Times New Roman" w:cs="Times New Roman"/>
                <w:b w:val="0"/>
                <w:bCs/>
              </w:rPr>
              <w:t>级</w:t>
            </w:r>
            <w:r>
              <w:rPr>
                <w:rFonts w:hint="eastAsia" w:cs="Times New Roman"/>
                <w:b w:val="0"/>
                <w:bCs/>
                <w:lang w:val="en-US" w:eastAsia="zh-CN"/>
              </w:rPr>
              <w:t>加油</w:t>
            </w:r>
            <w:r>
              <w:rPr>
                <w:rFonts w:hint="eastAsia" w:ascii="Times New Roman" w:hAnsi="Times New Roman" w:cs="Times New Roman"/>
                <w:b w:val="0"/>
                <w:bCs/>
                <w:lang w:eastAsia="zh-CN"/>
              </w:rPr>
              <w:t>，</w:t>
            </w:r>
            <w:r>
              <w:rPr>
                <w:rFonts w:hint="eastAsia" w:ascii="Times New Roman" w:hAnsi="Times New Roman" w:cs="Times New Roman"/>
                <w:b w:val="0"/>
                <w:bCs/>
                <w:lang w:val="en-US" w:eastAsia="zh-CN"/>
              </w:rPr>
              <w:t>且不建设在城市中心</w:t>
            </w:r>
          </w:p>
        </w:tc>
        <w:tc>
          <w:tcPr>
            <w:tcW w:w="871" w:type="dxa"/>
            <w:vAlign w:val="center"/>
          </w:tcPr>
          <w:p w14:paraId="2E9E7225">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符合</w:t>
            </w:r>
          </w:p>
        </w:tc>
      </w:tr>
      <w:tr w14:paraId="0BB62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58C77075">
            <w:pPr>
              <w:pStyle w:val="21"/>
              <w:numPr>
                <w:ilvl w:val="0"/>
                <w:numId w:val="32"/>
              </w:numPr>
              <w:jc w:val="center"/>
              <w:rPr>
                <w:rFonts w:hint="default" w:ascii="Times New Roman" w:hAnsi="Times New Roman" w:cs="Times New Roman"/>
                <w:b w:val="0"/>
                <w:bCs/>
              </w:rPr>
            </w:pPr>
          </w:p>
        </w:tc>
        <w:tc>
          <w:tcPr>
            <w:tcW w:w="2875" w:type="dxa"/>
            <w:vAlign w:val="center"/>
          </w:tcPr>
          <w:p w14:paraId="7F3D9B73">
            <w:pPr>
              <w:rPr>
                <w:rFonts w:hint="default" w:ascii="Times New Roman" w:hAnsi="Times New Roman" w:cs="Times New Roman"/>
                <w:b w:val="0"/>
                <w:bCs/>
              </w:rPr>
            </w:pPr>
            <w:r>
              <w:rPr>
                <w:rFonts w:hint="default" w:ascii="Times New Roman" w:hAnsi="Times New Roman" w:cs="Times New Roman"/>
                <w:b w:val="0"/>
                <w:bCs/>
                <w:kern w:val="28"/>
                <w:szCs w:val="21"/>
              </w:rPr>
              <w:t>架空电力线路不应跨越汽车加油站的作业区</w:t>
            </w:r>
          </w:p>
        </w:tc>
        <w:tc>
          <w:tcPr>
            <w:tcW w:w="2155" w:type="dxa"/>
            <w:vAlign w:val="center"/>
          </w:tcPr>
          <w:p w14:paraId="7C072043">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70FFF992">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第4.0.12条</w:t>
            </w:r>
          </w:p>
        </w:tc>
        <w:tc>
          <w:tcPr>
            <w:tcW w:w="2380" w:type="dxa"/>
            <w:vAlign w:val="center"/>
          </w:tcPr>
          <w:p w14:paraId="0CE93F35">
            <w:pPr>
              <w:rPr>
                <w:rFonts w:hint="default" w:ascii="Times New Roman" w:hAnsi="Times New Roman" w:cs="Times New Roman"/>
                <w:b w:val="0"/>
                <w:bCs/>
                <w:szCs w:val="20"/>
              </w:rPr>
            </w:pPr>
            <w:r>
              <w:rPr>
                <w:rFonts w:hint="default" w:ascii="Times New Roman" w:hAnsi="Times New Roman" w:cs="Times New Roman"/>
                <w:b w:val="0"/>
                <w:bCs/>
                <w:kern w:val="28"/>
                <w:szCs w:val="21"/>
              </w:rPr>
              <w:t>架空电力线路未跨越加油站的作业区</w:t>
            </w:r>
          </w:p>
        </w:tc>
        <w:tc>
          <w:tcPr>
            <w:tcW w:w="871" w:type="dxa"/>
            <w:vAlign w:val="center"/>
          </w:tcPr>
          <w:p w14:paraId="6706A0B4">
            <w:pPr>
              <w:jc w:val="center"/>
              <w:rPr>
                <w:rFonts w:hint="default" w:ascii="Times New Roman" w:hAnsi="Times New Roman" w:cs="Times New Roman"/>
                <w:b w:val="0"/>
                <w:bCs/>
                <w:szCs w:val="21"/>
              </w:rPr>
            </w:pPr>
            <w:r>
              <w:rPr>
                <w:rFonts w:hint="default" w:ascii="Times New Roman" w:hAnsi="Times New Roman" w:cs="Times New Roman"/>
                <w:b w:val="0"/>
                <w:bCs/>
                <w:szCs w:val="21"/>
              </w:rPr>
              <w:t>符合</w:t>
            </w:r>
          </w:p>
        </w:tc>
      </w:tr>
      <w:tr w14:paraId="4D776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5EB82F50">
            <w:pPr>
              <w:pStyle w:val="21"/>
              <w:numPr>
                <w:ilvl w:val="0"/>
                <w:numId w:val="32"/>
              </w:numPr>
              <w:jc w:val="center"/>
              <w:rPr>
                <w:rFonts w:hint="default" w:ascii="Times New Roman" w:hAnsi="Times New Roman" w:cs="Times New Roman"/>
                <w:b w:val="0"/>
                <w:bCs/>
              </w:rPr>
            </w:pPr>
          </w:p>
        </w:tc>
        <w:tc>
          <w:tcPr>
            <w:tcW w:w="2875" w:type="dxa"/>
            <w:vAlign w:val="center"/>
          </w:tcPr>
          <w:p w14:paraId="5B95C831">
            <w:pP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与汽车加油加气站无关的可燃介质管道不应穿越汽车加油加气站用地范围</w:t>
            </w:r>
          </w:p>
        </w:tc>
        <w:tc>
          <w:tcPr>
            <w:tcW w:w="2155" w:type="dxa"/>
            <w:vAlign w:val="center"/>
          </w:tcPr>
          <w:p w14:paraId="6B492C79">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730588A6">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第4.0.13条</w:t>
            </w:r>
          </w:p>
        </w:tc>
        <w:tc>
          <w:tcPr>
            <w:tcW w:w="2380" w:type="dxa"/>
            <w:vAlign w:val="center"/>
          </w:tcPr>
          <w:p w14:paraId="189177C6">
            <w:pP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无上述情况</w:t>
            </w:r>
          </w:p>
        </w:tc>
        <w:tc>
          <w:tcPr>
            <w:tcW w:w="871" w:type="dxa"/>
            <w:vAlign w:val="center"/>
          </w:tcPr>
          <w:p w14:paraId="42C4F3D9">
            <w:pPr>
              <w:jc w:val="center"/>
              <w:rPr>
                <w:rFonts w:hint="default" w:ascii="Times New Roman" w:hAnsi="Times New Roman" w:cs="Times New Roman"/>
                <w:b w:val="0"/>
                <w:bCs/>
                <w:szCs w:val="21"/>
              </w:rPr>
            </w:pPr>
            <w:r>
              <w:rPr>
                <w:rFonts w:hint="default" w:ascii="Times New Roman" w:hAnsi="Times New Roman" w:cs="Times New Roman"/>
                <w:b w:val="0"/>
                <w:bCs/>
                <w:szCs w:val="21"/>
              </w:rPr>
              <w:t>符合</w:t>
            </w:r>
          </w:p>
        </w:tc>
      </w:tr>
      <w:tr w14:paraId="2CBE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74940305">
            <w:pPr>
              <w:pStyle w:val="21"/>
              <w:numPr>
                <w:ilvl w:val="0"/>
                <w:numId w:val="32"/>
              </w:numPr>
              <w:jc w:val="center"/>
              <w:rPr>
                <w:rFonts w:hint="default" w:ascii="Times New Roman" w:hAnsi="Times New Roman" w:cs="Times New Roman"/>
                <w:b w:val="0"/>
                <w:bCs/>
              </w:rPr>
            </w:pPr>
          </w:p>
        </w:tc>
        <w:tc>
          <w:tcPr>
            <w:tcW w:w="2875" w:type="dxa"/>
            <w:vAlign w:val="center"/>
          </w:tcPr>
          <w:p w14:paraId="33BB68B9">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车辆入口和出口分开设置</w:t>
            </w:r>
          </w:p>
        </w:tc>
        <w:tc>
          <w:tcPr>
            <w:tcW w:w="2155" w:type="dxa"/>
            <w:vAlign w:val="center"/>
          </w:tcPr>
          <w:p w14:paraId="35E4A463">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6E06E13D">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第5.0.1条</w:t>
            </w:r>
          </w:p>
        </w:tc>
        <w:tc>
          <w:tcPr>
            <w:tcW w:w="2380" w:type="dxa"/>
            <w:vAlign w:val="center"/>
          </w:tcPr>
          <w:p w14:paraId="205DBB65">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加油站进出口分开设置</w:t>
            </w:r>
          </w:p>
        </w:tc>
        <w:tc>
          <w:tcPr>
            <w:tcW w:w="871" w:type="dxa"/>
            <w:vAlign w:val="center"/>
          </w:tcPr>
          <w:p w14:paraId="55E1E644">
            <w:pPr>
              <w:jc w:val="center"/>
              <w:rPr>
                <w:rFonts w:hint="default" w:ascii="Times New Roman" w:hAnsi="Times New Roman" w:cs="Times New Roman"/>
                <w:b w:val="0"/>
                <w:bCs/>
                <w:szCs w:val="21"/>
              </w:rPr>
            </w:pPr>
            <w:r>
              <w:rPr>
                <w:rFonts w:hint="default" w:ascii="Times New Roman" w:hAnsi="Times New Roman" w:cs="Times New Roman"/>
                <w:b w:val="0"/>
                <w:bCs/>
                <w:szCs w:val="21"/>
              </w:rPr>
              <w:t>符合</w:t>
            </w:r>
          </w:p>
        </w:tc>
      </w:tr>
      <w:tr w14:paraId="27033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28F08E5E">
            <w:pPr>
              <w:pStyle w:val="21"/>
              <w:numPr>
                <w:ilvl w:val="0"/>
                <w:numId w:val="32"/>
              </w:numPr>
              <w:jc w:val="center"/>
              <w:rPr>
                <w:rFonts w:hint="default" w:ascii="Times New Roman" w:hAnsi="Times New Roman" w:cs="Times New Roman"/>
                <w:b w:val="0"/>
                <w:bCs/>
              </w:rPr>
            </w:pPr>
          </w:p>
        </w:tc>
        <w:tc>
          <w:tcPr>
            <w:tcW w:w="2875" w:type="dxa"/>
            <w:vAlign w:val="center"/>
          </w:tcPr>
          <w:p w14:paraId="2FC6A19E">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站区内停车位和道路应符合下列规定：</w:t>
            </w:r>
          </w:p>
          <w:p w14:paraId="553DF262">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（1）站内车道或停车位宽度应按车辆类型确定。其他类型汽车加油加气站的车道或停车位，单车道或单车停车位宽度不应小于4m，双车道或双车停车位宽度不应小于6m</w:t>
            </w:r>
          </w:p>
          <w:p w14:paraId="75394E42">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（2）站内的道路转弯半径应按行驶车型确定，且不宜小于9m</w:t>
            </w:r>
          </w:p>
          <w:p w14:paraId="1041389E">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（3）站内停车位应为平坡，道路坡度不应大于8%，且宜坡向站外</w:t>
            </w:r>
          </w:p>
          <w:p w14:paraId="55B75317">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（4）作业区内的停车场和道路路面不应采用沥青路面</w:t>
            </w:r>
          </w:p>
        </w:tc>
        <w:tc>
          <w:tcPr>
            <w:tcW w:w="2155" w:type="dxa"/>
            <w:vAlign w:val="center"/>
          </w:tcPr>
          <w:p w14:paraId="7C5C2BBB">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6E1B9BFA">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第5.0.2条</w:t>
            </w:r>
          </w:p>
        </w:tc>
        <w:tc>
          <w:tcPr>
            <w:tcW w:w="2380" w:type="dxa"/>
            <w:vAlign w:val="center"/>
          </w:tcPr>
          <w:p w14:paraId="0867D695">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站内停车位和道路符合要求</w:t>
            </w:r>
          </w:p>
        </w:tc>
        <w:tc>
          <w:tcPr>
            <w:tcW w:w="871" w:type="dxa"/>
            <w:vAlign w:val="center"/>
          </w:tcPr>
          <w:p w14:paraId="31F0CC90">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符合</w:t>
            </w:r>
          </w:p>
        </w:tc>
      </w:tr>
      <w:tr w14:paraId="7D514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022D7B20">
            <w:pPr>
              <w:pStyle w:val="21"/>
              <w:numPr>
                <w:ilvl w:val="0"/>
                <w:numId w:val="32"/>
              </w:numPr>
              <w:jc w:val="center"/>
              <w:rPr>
                <w:rFonts w:hint="default" w:ascii="Times New Roman" w:hAnsi="Times New Roman" w:cs="Times New Roman"/>
                <w:b w:val="0"/>
                <w:bCs/>
              </w:rPr>
            </w:pPr>
          </w:p>
        </w:tc>
        <w:tc>
          <w:tcPr>
            <w:tcW w:w="2875" w:type="dxa"/>
            <w:vAlign w:val="center"/>
          </w:tcPr>
          <w:p w14:paraId="3C54B4FA">
            <w:pPr>
              <w:adjustRightInd w:val="0"/>
              <w:snapToGrid w:val="0"/>
              <w:jc w:val="left"/>
              <w:rPr>
                <w:rFonts w:hint="default" w:ascii="Times New Roman" w:hAnsi="Times New Roman" w:cs="Times New Roman"/>
                <w:b w:val="0"/>
                <w:bCs/>
                <w:kern w:val="28"/>
                <w:szCs w:val="21"/>
              </w:rPr>
            </w:pPr>
            <w:r>
              <w:rPr>
                <w:rFonts w:hint="default" w:ascii="Times New Roman" w:hAnsi="Times New Roman" w:cs="Times New Roman"/>
                <w:b w:val="0"/>
                <w:bCs/>
                <w:kern w:val="28"/>
                <w:szCs w:val="21"/>
              </w:rPr>
              <w:t>加油站的变配电间或室外变压器应布置在作业区之外</w:t>
            </w:r>
          </w:p>
        </w:tc>
        <w:tc>
          <w:tcPr>
            <w:tcW w:w="2155" w:type="dxa"/>
            <w:vAlign w:val="center"/>
          </w:tcPr>
          <w:p w14:paraId="7ADA03E3">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1AA7FA45">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第5.0.8条</w:t>
            </w:r>
          </w:p>
        </w:tc>
        <w:tc>
          <w:tcPr>
            <w:tcW w:w="2380" w:type="dxa"/>
            <w:vAlign w:val="center"/>
          </w:tcPr>
          <w:p w14:paraId="3D823B66">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配电</w:t>
            </w:r>
            <w:r>
              <w:rPr>
                <w:rFonts w:hint="default" w:ascii="Times New Roman" w:hAnsi="Times New Roman" w:cs="Times New Roman"/>
                <w:b w:val="0"/>
                <w:bCs/>
                <w:kern w:val="28"/>
                <w:szCs w:val="21"/>
                <w:lang w:val="en-US" w:eastAsia="zh-CN"/>
              </w:rPr>
              <w:t>室</w:t>
            </w:r>
            <w:r>
              <w:rPr>
                <w:rFonts w:hint="default" w:ascii="Times New Roman" w:hAnsi="Times New Roman" w:cs="Times New Roman"/>
                <w:b w:val="0"/>
                <w:bCs/>
                <w:kern w:val="28"/>
                <w:szCs w:val="21"/>
              </w:rPr>
              <w:t>布置在站房内，作业区外</w:t>
            </w:r>
          </w:p>
        </w:tc>
        <w:tc>
          <w:tcPr>
            <w:tcW w:w="871" w:type="dxa"/>
            <w:vAlign w:val="center"/>
          </w:tcPr>
          <w:p w14:paraId="28DC0ADD">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符合</w:t>
            </w:r>
          </w:p>
        </w:tc>
      </w:tr>
      <w:tr w14:paraId="2F87E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18B3A312">
            <w:pPr>
              <w:pStyle w:val="21"/>
              <w:numPr>
                <w:ilvl w:val="0"/>
                <w:numId w:val="32"/>
              </w:numPr>
              <w:jc w:val="center"/>
              <w:rPr>
                <w:rFonts w:hint="default" w:ascii="Times New Roman" w:hAnsi="Times New Roman" w:cs="Times New Roman"/>
                <w:b w:val="0"/>
                <w:bCs/>
              </w:rPr>
            </w:pPr>
          </w:p>
        </w:tc>
        <w:tc>
          <w:tcPr>
            <w:tcW w:w="2875" w:type="dxa"/>
            <w:vAlign w:val="center"/>
          </w:tcPr>
          <w:p w14:paraId="3D2D64F4">
            <w:pPr>
              <w:adjustRightInd w:val="0"/>
              <w:snapToGrid w:val="0"/>
              <w:jc w:val="left"/>
              <w:rPr>
                <w:rFonts w:hint="default" w:ascii="Times New Roman" w:hAnsi="Times New Roman" w:cs="Times New Roman"/>
                <w:b w:val="0"/>
                <w:bCs/>
                <w:kern w:val="28"/>
                <w:szCs w:val="21"/>
              </w:rPr>
            </w:pPr>
            <w:r>
              <w:rPr>
                <w:rFonts w:hint="default" w:ascii="Times New Roman" w:hAnsi="Times New Roman" w:cs="Times New Roman"/>
                <w:b w:val="0"/>
                <w:bCs/>
              </w:rPr>
              <w:t>加油站的</w:t>
            </w:r>
            <w:r>
              <w:rPr>
                <w:rFonts w:hint="eastAsia" w:cs="Times New Roman"/>
                <w:b w:val="0"/>
                <w:bCs/>
                <w:lang w:eastAsia="zh-CN"/>
              </w:rPr>
              <w:t>乙醇汽油</w:t>
            </w:r>
            <w:r>
              <w:rPr>
                <w:rFonts w:hint="default" w:ascii="Times New Roman" w:hAnsi="Times New Roman" w:cs="Times New Roman"/>
                <w:b w:val="0"/>
                <w:bCs/>
              </w:rPr>
              <w:t>、柴油工艺设备与站外建（构）筑物的安全间距不应小于表4.0.4的规定</w:t>
            </w:r>
          </w:p>
        </w:tc>
        <w:tc>
          <w:tcPr>
            <w:tcW w:w="2155" w:type="dxa"/>
            <w:vAlign w:val="center"/>
          </w:tcPr>
          <w:p w14:paraId="15B7973F">
            <w:pPr>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70A07815">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第4.0.4条</w:t>
            </w:r>
          </w:p>
        </w:tc>
        <w:tc>
          <w:tcPr>
            <w:tcW w:w="2380" w:type="dxa"/>
            <w:vAlign w:val="center"/>
          </w:tcPr>
          <w:p w14:paraId="23A12A4A">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szCs w:val="20"/>
              </w:rPr>
              <w:t>加油站的工艺设施与站外建、构筑物的安全距离符合规范要求，详见F表4-2</w:t>
            </w:r>
          </w:p>
        </w:tc>
        <w:tc>
          <w:tcPr>
            <w:tcW w:w="871" w:type="dxa"/>
            <w:vAlign w:val="center"/>
          </w:tcPr>
          <w:p w14:paraId="536251E2">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szCs w:val="21"/>
              </w:rPr>
              <w:t>符合</w:t>
            </w:r>
          </w:p>
        </w:tc>
      </w:tr>
      <w:tr w14:paraId="24AF4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22" w:type="dxa"/>
            <w:vAlign w:val="center"/>
          </w:tcPr>
          <w:p w14:paraId="6EFA8942">
            <w:pPr>
              <w:pStyle w:val="21"/>
              <w:numPr>
                <w:ilvl w:val="0"/>
                <w:numId w:val="32"/>
              </w:numPr>
              <w:jc w:val="center"/>
              <w:rPr>
                <w:rFonts w:hint="default" w:ascii="Times New Roman" w:hAnsi="Times New Roman" w:cs="Times New Roman"/>
                <w:b w:val="0"/>
                <w:bCs/>
              </w:rPr>
            </w:pPr>
          </w:p>
        </w:tc>
        <w:tc>
          <w:tcPr>
            <w:tcW w:w="2875" w:type="dxa"/>
            <w:vAlign w:val="center"/>
          </w:tcPr>
          <w:p w14:paraId="30AA5123">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加油站内设施之间的防火距离，符合GB50156表5.0.13规定</w:t>
            </w:r>
          </w:p>
        </w:tc>
        <w:tc>
          <w:tcPr>
            <w:tcW w:w="2155" w:type="dxa"/>
            <w:vAlign w:val="center"/>
          </w:tcPr>
          <w:p w14:paraId="46EAEB2A">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GB50156-2021</w:t>
            </w:r>
          </w:p>
          <w:p w14:paraId="375EBD94">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第5.0.13条</w:t>
            </w:r>
          </w:p>
        </w:tc>
        <w:tc>
          <w:tcPr>
            <w:tcW w:w="2380" w:type="dxa"/>
            <w:vAlign w:val="center"/>
          </w:tcPr>
          <w:p w14:paraId="480852DC">
            <w:pPr>
              <w:adjustRightInd w:val="0"/>
              <w:snapToGrid w:val="0"/>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站内设施之间的防火间距符合规范要求，</w:t>
            </w:r>
            <w:r>
              <w:rPr>
                <w:rFonts w:hint="default" w:ascii="Times New Roman" w:hAnsi="Times New Roman" w:cs="Times New Roman"/>
                <w:b w:val="0"/>
                <w:bCs/>
                <w:szCs w:val="20"/>
              </w:rPr>
              <w:t>详见F表4-3</w:t>
            </w:r>
          </w:p>
        </w:tc>
        <w:tc>
          <w:tcPr>
            <w:tcW w:w="871" w:type="dxa"/>
            <w:vAlign w:val="center"/>
          </w:tcPr>
          <w:p w14:paraId="6431AF9F">
            <w:pPr>
              <w:adjustRightInd w:val="0"/>
              <w:snapToGrid w:val="0"/>
              <w:jc w:val="center"/>
              <w:rPr>
                <w:rFonts w:hint="default" w:ascii="Times New Roman" w:hAnsi="Times New Roman" w:cs="Times New Roman"/>
                <w:b w:val="0"/>
                <w:bCs/>
                <w:kern w:val="28"/>
                <w:szCs w:val="21"/>
              </w:rPr>
            </w:pPr>
            <w:r>
              <w:rPr>
                <w:rFonts w:hint="default" w:ascii="Times New Roman" w:hAnsi="Times New Roman" w:cs="Times New Roman"/>
                <w:b w:val="0"/>
                <w:bCs/>
                <w:kern w:val="28"/>
                <w:szCs w:val="21"/>
              </w:rPr>
              <w:t>符合</w:t>
            </w:r>
          </w:p>
        </w:tc>
      </w:tr>
    </w:tbl>
    <w:p w14:paraId="07E0EC97">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lang w:val="zh-CN"/>
        </w:rPr>
      </w:pPr>
      <w:bookmarkStart w:id="481" w:name="_Toc26421"/>
      <w:r>
        <w:rPr>
          <w:rFonts w:hint="default" w:ascii="Times New Roman" w:hAnsi="Times New Roman" w:eastAsia="黑体" w:cs="Times New Roman"/>
          <w:b w:val="0"/>
          <w:bCs w:val="0"/>
          <w:sz w:val="24"/>
        </w:rPr>
        <w:t>F表4</w:t>
      </w:r>
      <w:r>
        <w:rPr>
          <w:rFonts w:hint="eastAsia" w:ascii="Times New Roman" w:hAnsi="Times New Roman" w:eastAsia="黑体" w:cs="Times New Roman"/>
          <w:b w:val="0"/>
          <w:bCs w:val="0"/>
          <w:sz w:val="24"/>
          <w:lang w:val="en-US" w:eastAsia="zh-CN"/>
        </w:rPr>
        <w:t>.1</w:t>
      </w:r>
      <w:r>
        <w:rPr>
          <w:rFonts w:hint="default" w:ascii="Times New Roman" w:hAnsi="Times New Roman" w:eastAsia="黑体" w:cs="Times New Roman"/>
          <w:b w:val="0"/>
          <w:bCs w:val="0"/>
          <w:sz w:val="24"/>
        </w:rPr>
        <w:t>-2</w:t>
      </w:r>
      <w:r>
        <w:rPr>
          <w:rFonts w:hint="eastAsia" w:eastAsia="黑体" w:cs="Times New Roman"/>
          <w:b w:val="0"/>
          <w:bCs w:val="0"/>
          <w:sz w:val="24"/>
          <w:lang w:val="zh-CN"/>
        </w:rPr>
        <w:t>乙醇汽油</w:t>
      </w:r>
      <w:r>
        <w:rPr>
          <w:rFonts w:hint="default" w:ascii="Times New Roman" w:hAnsi="Times New Roman" w:eastAsia="黑体" w:cs="Times New Roman"/>
          <w:b w:val="0"/>
          <w:bCs w:val="0"/>
          <w:sz w:val="24"/>
        </w:rPr>
        <w:t>工艺设备</w:t>
      </w:r>
      <w:r>
        <w:rPr>
          <w:rFonts w:hint="default" w:ascii="Times New Roman" w:hAnsi="Times New Roman" w:eastAsia="黑体" w:cs="Times New Roman"/>
          <w:b w:val="0"/>
          <w:bCs w:val="0"/>
          <w:sz w:val="24"/>
          <w:lang w:val="zh-CN"/>
        </w:rPr>
        <w:t>和柴油工艺</w:t>
      </w:r>
      <w:r>
        <w:rPr>
          <w:rFonts w:hint="default" w:ascii="Times New Roman" w:hAnsi="Times New Roman" w:eastAsia="黑体" w:cs="Times New Roman"/>
          <w:b w:val="0"/>
          <w:bCs w:val="0"/>
          <w:sz w:val="24"/>
        </w:rPr>
        <w:t>设备</w:t>
      </w:r>
      <w:r>
        <w:rPr>
          <w:rFonts w:hint="default" w:ascii="Times New Roman" w:hAnsi="Times New Roman" w:eastAsia="黑体" w:cs="Times New Roman"/>
          <w:b w:val="0"/>
          <w:bCs w:val="0"/>
          <w:sz w:val="24"/>
          <w:lang w:val="zh-CN"/>
        </w:rPr>
        <w:t>与站外建（构）筑物安全间距表</w:t>
      </w:r>
    </w:p>
    <w:p w14:paraId="574F869D">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lang w:val="zh-CN"/>
        </w:rPr>
      </w:pPr>
      <w:r>
        <w:rPr>
          <w:rFonts w:hint="eastAsia" w:eastAsia="黑体" w:cs="Times New Roman"/>
          <w:b w:val="0"/>
          <w:bCs w:val="0"/>
          <w:sz w:val="24"/>
          <w:lang w:val="zh-CN"/>
        </w:rPr>
        <w:t>（</w:t>
      </w:r>
      <w:r>
        <w:rPr>
          <w:rFonts w:hint="eastAsia" w:eastAsia="黑体" w:cs="Times New Roman"/>
          <w:b w:val="0"/>
          <w:bCs w:val="0"/>
          <w:sz w:val="24"/>
          <w:lang w:val="en-US" w:eastAsia="zh-CN"/>
        </w:rPr>
        <w:t>二级加油站</w:t>
      </w:r>
      <w:r>
        <w:rPr>
          <w:rFonts w:hint="eastAsia" w:eastAsia="黑体" w:cs="Times New Roman"/>
          <w:b w:val="0"/>
          <w:bCs w:val="0"/>
          <w:sz w:val="24"/>
          <w:lang w:val="zh-CN"/>
        </w:rPr>
        <w:t>）</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6"/>
        <w:gridCol w:w="1080"/>
        <w:gridCol w:w="1080"/>
        <w:gridCol w:w="2010"/>
        <w:gridCol w:w="795"/>
        <w:gridCol w:w="1125"/>
        <w:gridCol w:w="705"/>
        <w:gridCol w:w="749"/>
      </w:tblGrid>
      <w:tr w14:paraId="73BE4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4BBE5448">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设施</w:t>
            </w:r>
          </w:p>
          <w:p w14:paraId="4B24DDFC">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名称</w:t>
            </w:r>
          </w:p>
        </w:tc>
        <w:tc>
          <w:tcPr>
            <w:tcW w:w="4170" w:type="dxa"/>
            <w:gridSpan w:val="3"/>
            <w:vAlign w:val="center"/>
          </w:tcPr>
          <w:p w14:paraId="38805019">
            <w:pPr>
              <w:adjustRightInd w:val="0"/>
              <w:snapToGrid w:val="0"/>
              <w:ind w:firstLine="211"/>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站外建（构）筑物</w:t>
            </w:r>
          </w:p>
        </w:tc>
        <w:tc>
          <w:tcPr>
            <w:tcW w:w="1920" w:type="dxa"/>
            <w:gridSpan w:val="2"/>
            <w:vAlign w:val="center"/>
          </w:tcPr>
          <w:p w14:paraId="45D38D15">
            <w:pPr>
              <w:adjustRightInd w:val="0"/>
              <w:snapToGrid w:val="0"/>
              <w:ind w:firstLine="211"/>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安全间距（m）</w:t>
            </w:r>
          </w:p>
        </w:tc>
        <w:tc>
          <w:tcPr>
            <w:tcW w:w="705" w:type="dxa"/>
            <w:vMerge w:val="restart"/>
            <w:vAlign w:val="center"/>
          </w:tcPr>
          <w:p w14:paraId="593C29EA">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依据</w:t>
            </w:r>
          </w:p>
        </w:tc>
        <w:tc>
          <w:tcPr>
            <w:tcW w:w="749" w:type="dxa"/>
            <w:vMerge w:val="restart"/>
            <w:vAlign w:val="center"/>
          </w:tcPr>
          <w:p w14:paraId="3AB33444">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结论</w:t>
            </w:r>
          </w:p>
        </w:tc>
      </w:tr>
      <w:tr w14:paraId="48C70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0C059CB0">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0625FFAE">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名称</w:t>
            </w:r>
          </w:p>
        </w:tc>
        <w:tc>
          <w:tcPr>
            <w:tcW w:w="1080" w:type="dxa"/>
            <w:vAlign w:val="center"/>
          </w:tcPr>
          <w:p w14:paraId="37725927">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方位</w:t>
            </w:r>
          </w:p>
        </w:tc>
        <w:tc>
          <w:tcPr>
            <w:tcW w:w="2010" w:type="dxa"/>
            <w:vAlign w:val="center"/>
          </w:tcPr>
          <w:p w14:paraId="51863B38">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类别</w:t>
            </w:r>
          </w:p>
        </w:tc>
        <w:tc>
          <w:tcPr>
            <w:tcW w:w="795" w:type="dxa"/>
            <w:vAlign w:val="center"/>
          </w:tcPr>
          <w:p w14:paraId="21284A5E">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规范</w:t>
            </w:r>
          </w:p>
          <w:p w14:paraId="431A8C90">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要求</w:t>
            </w:r>
          </w:p>
        </w:tc>
        <w:tc>
          <w:tcPr>
            <w:tcW w:w="1125" w:type="dxa"/>
            <w:vAlign w:val="center"/>
          </w:tcPr>
          <w:p w14:paraId="1814F13A">
            <w:pPr>
              <w:adjustRightInd w:val="0"/>
              <w:snapToGrid w:val="0"/>
              <w:jc w:val="center"/>
              <w:rPr>
                <w:rFonts w:hint="default" w:ascii="Times New Roman" w:hAnsi="Times New Roman" w:cs="Times New Roman"/>
                <w:b w:val="0"/>
                <w:bCs/>
                <w:color w:val="auto"/>
                <w:szCs w:val="21"/>
                <w:highlight w:val="none"/>
                <w:lang w:val="en-US" w:eastAsia="zh-CN"/>
              </w:rPr>
            </w:pPr>
            <w:r>
              <w:rPr>
                <w:rFonts w:hint="default" w:ascii="Times New Roman" w:hAnsi="Times New Roman" w:cs="Times New Roman"/>
                <w:b w:val="0"/>
                <w:bCs/>
                <w:color w:val="auto"/>
                <w:szCs w:val="21"/>
                <w:highlight w:val="none"/>
                <w:lang w:val="en-US" w:eastAsia="zh-CN"/>
              </w:rPr>
              <w:t>设计</w:t>
            </w:r>
          </w:p>
          <w:p w14:paraId="37B2B2C3">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距离</w:t>
            </w:r>
          </w:p>
        </w:tc>
        <w:tc>
          <w:tcPr>
            <w:tcW w:w="705" w:type="dxa"/>
            <w:vMerge w:val="continue"/>
            <w:vAlign w:val="center"/>
          </w:tcPr>
          <w:p w14:paraId="2911ED53">
            <w:pPr>
              <w:adjustRightInd w:val="0"/>
              <w:snapToGrid w:val="0"/>
              <w:ind w:firstLine="211"/>
              <w:jc w:val="center"/>
              <w:rPr>
                <w:rFonts w:hint="default" w:ascii="Times New Roman" w:hAnsi="Times New Roman" w:cs="Times New Roman"/>
                <w:b w:val="0"/>
                <w:bCs/>
                <w:color w:val="auto"/>
                <w:szCs w:val="21"/>
                <w:highlight w:val="none"/>
              </w:rPr>
            </w:pPr>
          </w:p>
        </w:tc>
        <w:tc>
          <w:tcPr>
            <w:tcW w:w="749" w:type="dxa"/>
            <w:vMerge w:val="continue"/>
            <w:vAlign w:val="center"/>
          </w:tcPr>
          <w:p w14:paraId="29592B57">
            <w:pPr>
              <w:adjustRightInd w:val="0"/>
              <w:snapToGrid w:val="0"/>
              <w:ind w:firstLine="211"/>
              <w:jc w:val="center"/>
              <w:rPr>
                <w:rFonts w:hint="default" w:ascii="Times New Roman" w:hAnsi="Times New Roman" w:cs="Times New Roman"/>
                <w:b w:val="0"/>
                <w:bCs/>
                <w:color w:val="auto"/>
                <w:szCs w:val="21"/>
                <w:highlight w:val="none"/>
              </w:rPr>
            </w:pPr>
          </w:p>
        </w:tc>
      </w:tr>
      <w:tr w14:paraId="35CC7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9400" w:type="dxa"/>
            <w:gridSpan w:val="8"/>
            <w:vAlign w:val="center"/>
          </w:tcPr>
          <w:p w14:paraId="5E89BAAF">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站内</w:t>
            </w:r>
            <w:r>
              <w:rPr>
                <w:rFonts w:hint="eastAsia" w:cs="Times New Roman"/>
                <w:b w:val="0"/>
                <w:bCs/>
                <w:color w:val="auto"/>
                <w:szCs w:val="21"/>
                <w:highlight w:val="none"/>
                <w:lang w:val="zh-CN"/>
              </w:rPr>
              <w:t>乙醇汽油</w:t>
            </w:r>
            <w:r>
              <w:rPr>
                <w:rFonts w:hint="default" w:ascii="Times New Roman" w:hAnsi="Times New Roman" w:cs="Times New Roman"/>
                <w:b w:val="0"/>
                <w:bCs/>
                <w:color w:val="auto"/>
                <w:szCs w:val="21"/>
                <w:highlight w:val="none"/>
                <w:lang w:val="zh-CN"/>
              </w:rPr>
              <w:t>工艺设备</w:t>
            </w:r>
          </w:p>
        </w:tc>
      </w:tr>
      <w:tr w14:paraId="1ECC5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22B8E9B5">
            <w:pPr>
              <w:adjustRightInd w:val="0"/>
              <w:snapToGrid w:val="0"/>
              <w:jc w:val="center"/>
              <w:rPr>
                <w:rFonts w:hint="eastAsia" w:ascii="Times New Roman" w:hAnsi="Times New Roman" w:eastAsia="宋体" w:cs="Times New Roman"/>
                <w:b w:val="0"/>
                <w:bCs/>
                <w:color w:val="auto"/>
                <w:szCs w:val="21"/>
                <w:highlight w:val="none"/>
                <w:lang w:eastAsia="zh-CN"/>
              </w:rPr>
            </w:pPr>
            <w:r>
              <w:rPr>
                <w:rFonts w:hint="eastAsia" w:cs="Times New Roman"/>
                <w:b w:val="0"/>
                <w:bCs/>
                <w:color w:val="auto"/>
                <w:szCs w:val="21"/>
                <w:highlight w:val="none"/>
                <w:lang w:eastAsia="zh-CN"/>
              </w:rPr>
              <w:t>乙醇汽油</w:t>
            </w:r>
          </w:p>
          <w:p w14:paraId="25A7DC3A">
            <w:pPr>
              <w:adjustRightInd w:val="0"/>
              <w:snapToGrid w:val="0"/>
              <w:jc w:val="center"/>
              <w:rPr>
                <w:rFonts w:hint="default" w:ascii="Times New Roman" w:hAnsi="Times New Roman" w:cs="Times New Roman"/>
                <w:b w:val="0"/>
                <w:bCs/>
                <w:color w:val="auto"/>
                <w:highlight w:val="none"/>
              </w:rPr>
            </w:pPr>
            <w:r>
              <w:rPr>
                <w:rFonts w:hint="default" w:ascii="Times New Roman" w:hAnsi="Times New Roman" w:cs="Times New Roman"/>
                <w:b w:val="0"/>
                <w:bCs/>
                <w:color w:val="auto"/>
                <w:szCs w:val="21"/>
                <w:highlight w:val="none"/>
              </w:rPr>
              <w:t>埋地储罐</w:t>
            </w:r>
          </w:p>
        </w:tc>
        <w:tc>
          <w:tcPr>
            <w:tcW w:w="1080" w:type="dxa"/>
            <w:vAlign w:val="center"/>
          </w:tcPr>
          <w:p w14:paraId="389C638D">
            <w:pPr>
              <w:adjustRightInd w:val="0"/>
              <w:snapToGrid w:val="0"/>
              <w:jc w:val="center"/>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空地</w:t>
            </w:r>
          </w:p>
        </w:tc>
        <w:tc>
          <w:tcPr>
            <w:tcW w:w="1080" w:type="dxa"/>
            <w:vAlign w:val="center"/>
          </w:tcPr>
          <w:p w14:paraId="2D689FF9">
            <w:pPr>
              <w:adjustRightInd w:val="0"/>
              <w:snapToGrid w:val="0"/>
              <w:jc w:val="center"/>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南</w:t>
            </w:r>
          </w:p>
        </w:tc>
        <w:tc>
          <w:tcPr>
            <w:tcW w:w="2010" w:type="dxa"/>
            <w:vAlign w:val="center"/>
          </w:tcPr>
          <w:p w14:paraId="25E0A53D">
            <w:pPr>
              <w:adjustRightInd w:val="0"/>
              <w:snapToGrid w:val="0"/>
              <w:jc w:val="center"/>
              <w:rPr>
                <w:rFonts w:hint="default"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w:t>
            </w:r>
          </w:p>
        </w:tc>
        <w:tc>
          <w:tcPr>
            <w:tcW w:w="795" w:type="dxa"/>
            <w:vAlign w:val="center"/>
          </w:tcPr>
          <w:p w14:paraId="0328F0A1">
            <w:pPr>
              <w:adjustRightInd w:val="0"/>
              <w:snapToGrid w:val="0"/>
              <w:jc w:val="center"/>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w:t>
            </w:r>
          </w:p>
        </w:tc>
        <w:tc>
          <w:tcPr>
            <w:tcW w:w="1125" w:type="dxa"/>
            <w:vAlign w:val="center"/>
          </w:tcPr>
          <w:p w14:paraId="71567ED9">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2C486BEF">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49" w:type="dxa"/>
            <w:vAlign w:val="center"/>
          </w:tcPr>
          <w:p w14:paraId="25FC93C2">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r>
      <w:tr w14:paraId="44340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3E0FE406">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34B37944">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商业路</w:t>
            </w:r>
          </w:p>
        </w:tc>
        <w:tc>
          <w:tcPr>
            <w:tcW w:w="1080" w:type="dxa"/>
            <w:vAlign w:val="center"/>
          </w:tcPr>
          <w:p w14:paraId="725D8F23">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4BC992C8">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07D69B6F">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szCs w:val="21"/>
                <w:highlight w:val="none"/>
                <w:lang w:val="en-US" w:eastAsia="zh-CN"/>
              </w:rPr>
              <w:t>5.5</w:t>
            </w:r>
          </w:p>
        </w:tc>
        <w:tc>
          <w:tcPr>
            <w:tcW w:w="1125" w:type="dxa"/>
            <w:vAlign w:val="center"/>
          </w:tcPr>
          <w:p w14:paraId="505E8A32">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8.5</w:t>
            </w:r>
          </w:p>
        </w:tc>
        <w:tc>
          <w:tcPr>
            <w:tcW w:w="705" w:type="dxa"/>
            <w:vAlign w:val="center"/>
          </w:tcPr>
          <w:p w14:paraId="40BBA18D">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①</w:t>
            </w:r>
          </w:p>
        </w:tc>
        <w:tc>
          <w:tcPr>
            <w:tcW w:w="749" w:type="dxa"/>
            <w:vAlign w:val="center"/>
          </w:tcPr>
          <w:p w14:paraId="77FA4C16">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符合</w:t>
            </w:r>
          </w:p>
        </w:tc>
      </w:tr>
      <w:tr w14:paraId="42773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284BDD4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32B480CA">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13EB893B">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4C777B78">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1FD67F99">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11</w:t>
            </w:r>
          </w:p>
        </w:tc>
        <w:tc>
          <w:tcPr>
            <w:tcW w:w="1125" w:type="dxa"/>
            <w:vAlign w:val="center"/>
          </w:tcPr>
          <w:p w14:paraId="1B9ECA3F">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44.3</w:t>
            </w:r>
          </w:p>
        </w:tc>
        <w:tc>
          <w:tcPr>
            <w:tcW w:w="705" w:type="dxa"/>
            <w:vAlign w:val="center"/>
          </w:tcPr>
          <w:p w14:paraId="76E6C3AD">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①</w:t>
            </w:r>
          </w:p>
        </w:tc>
        <w:tc>
          <w:tcPr>
            <w:tcW w:w="749" w:type="dxa"/>
            <w:vAlign w:val="center"/>
          </w:tcPr>
          <w:p w14:paraId="032AAB65">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符合</w:t>
            </w:r>
          </w:p>
        </w:tc>
      </w:tr>
      <w:tr w14:paraId="6C913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70B8EA56">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10105C4A">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65492CC9">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248D26DC">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6624BB93">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14</w:t>
            </w:r>
          </w:p>
        </w:tc>
        <w:tc>
          <w:tcPr>
            <w:tcW w:w="1125" w:type="dxa"/>
            <w:vAlign w:val="center"/>
          </w:tcPr>
          <w:p w14:paraId="2528FC10">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14.1</w:t>
            </w:r>
          </w:p>
        </w:tc>
        <w:tc>
          <w:tcPr>
            <w:tcW w:w="705" w:type="dxa"/>
            <w:vAlign w:val="center"/>
          </w:tcPr>
          <w:p w14:paraId="5E76F09E">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①</w:t>
            </w:r>
          </w:p>
        </w:tc>
        <w:tc>
          <w:tcPr>
            <w:tcW w:w="749" w:type="dxa"/>
            <w:vAlign w:val="center"/>
          </w:tcPr>
          <w:p w14:paraId="0D1F1A95">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default" w:ascii="Times New Roman" w:hAnsi="Times New Roman" w:cs="Times New Roman"/>
                <w:b w:val="0"/>
                <w:bCs/>
                <w:color w:val="auto"/>
                <w:szCs w:val="21"/>
                <w:highlight w:val="none"/>
              </w:rPr>
              <w:t>符合</w:t>
            </w:r>
          </w:p>
        </w:tc>
      </w:tr>
      <w:tr w14:paraId="3D9A3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03FD9C0B">
            <w:pPr>
              <w:adjustRightInd w:val="0"/>
              <w:snapToGrid w:val="0"/>
              <w:jc w:val="center"/>
              <w:rPr>
                <w:rFonts w:hint="eastAsia" w:ascii="Times New Roman" w:hAnsi="Times New Roman" w:eastAsia="宋体" w:cs="Times New Roman"/>
                <w:b w:val="0"/>
                <w:bCs/>
                <w:color w:val="auto"/>
                <w:szCs w:val="21"/>
                <w:highlight w:val="none"/>
                <w:lang w:eastAsia="zh-CN"/>
              </w:rPr>
            </w:pPr>
            <w:r>
              <w:rPr>
                <w:rFonts w:hint="eastAsia" w:cs="Times New Roman"/>
                <w:b w:val="0"/>
                <w:bCs/>
                <w:color w:val="auto"/>
                <w:szCs w:val="21"/>
                <w:highlight w:val="none"/>
                <w:lang w:eastAsia="zh-CN"/>
              </w:rPr>
              <w:t>乙醇汽油</w:t>
            </w:r>
          </w:p>
          <w:p w14:paraId="3A09201D">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加油机</w:t>
            </w:r>
          </w:p>
        </w:tc>
        <w:tc>
          <w:tcPr>
            <w:tcW w:w="1080" w:type="dxa"/>
            <w:vAlign w:val="center"/>
          </w:tcPr>
          <w:p w14:paraId="3F78891C">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空地</w:t>
            </w:r>
          </w:p>
        </w:tc>
        <w:tc>
          <w:tcPr>
            <w:tcW w:w="1080" w:type="dxa"/>
            <w:vAlign w:val="center"/>
          </w:tcPr>
          <w:p w14:paraId="7610F86B">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南</w:t>
            </w:r>
          </w:p>
        </w:tc>
        <w:tc>
          <w:tcPr>
            <w:tcW w:w="2010" w:type="dxa"/>
            <w:vAlign w:val="center"/>
          </w:tcPr>
          <w:p w14:paraId="0BEC4076">
            <w:pPr>
              <w:adjustRightInd w:val="0"/>
              <w:snapToGrid w:val="0"/>
              <w:jc w:val="center"/>
              <w:rPr>
                <w:rFonts w:hint="eastAsia"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w:t>
            </w:r>
          </w:p>
        </w:tc>
        <w:tc>
          <w:tcPr>
            <w:tcW w:w="795" w:type="dxa"/>
            <w:vAlign w:val="center"/>
          </w:tcPr>
          <w:p w14:paraId="6BADF6F6">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1125" w:type="dxa"/>
            <w:vAlign w:val="center"/>
          </w:tcPr>
          <w:p w14:paraId="7EE9968A">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2BE7C66A">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c>
          <w:tcPr>
            <w:tcW w:w="749" w:type="dxa"/>
            <w:vAlign w:val="center"/>
          </w:tcPr>
          <w:p w14:paraId="27FF01EB">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r>
      <w:tr w14:paraId="28EAE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0514B1C1">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163E5268">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szCs w:val="21"/>
                <w:highlight w:val="none"/>
                <w:lang w:val="en-US" w:eastAsia="zh-CN"/>
              </w:rPr>
              <w:t>商业路</w:t>
            </w:r>
          </w:p>
        </w:tc>
        <w:tc>
          <w:tcPr>
            <w:tcW w:w="1080" w:type="dxa"/>
            <w:vAlign w:val="center"/>
          </w:tcPr>
          <w:p w14:paraId="15102DDA">
            <w:pPr>
              <w:adjustRightInd w:val="0"/>
              <w:snapToGrid w:val="0"/>
              <w:jc w:val="center"/>
              <w:rPr>
                <w:rFonts w:hint="default" w:ascii="Times New Roman" w:hAnsi="Times New Roman"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70E2C141">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7F3C7629">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5</w:t>
            </w:r>
          </w:p>
        </w:tc>
        <w:tc>
          <w:tcPr>
            <w:tcW w:w="1125" w:type="dxa"/>
            <w:vAlign w:val="center"/>
          </w:tcPr>
          <w:p w14:paraId="48E7D379">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7.6</w:t>
            </w:r>
          </w:p>
        </w:tc>
        <w:tc>
          <w:tcPr>
            <w:tcW w:w="705" w:type="dxa"/>
            <w:vAlign w:val="center"/>
          </w:tcPr>
          <w:p w14:paraId="09452721">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66892305">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4F838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2630CC49">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02327FC9">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0A2C85FB">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7AAE2502">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762F608A">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8.5</w:t>
            </w:r>
          </w:p>
        </w:tc>
        <w:tc>
          <w:tcPr>
            <w:tcW w:w="1125" w:type="dxa"/>
            <w:vAlign w:val="center"/>
          </w:tcPr>
          <w:p w14:paraId="072F4C57">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44.0</w:t>
            </w:r>
          </w:p>
        </w:tc>
        <w:tc>
          <w:tcPr>
            <w:tcW w:w="705" w:type="dxa"/>
            <w:vAlign w:val="center"/>
          </w:tcPr>
          <w:p w14:paraId="761D5C36">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45A78F38">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2F7CF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300D401E">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6C2C7600">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584E0CD7">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3D3F745A">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3254C361">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11</w:t>
            </w:r>
          </w:p>
        </w:tc>
        <w:tc>
          <w:tcPr>
            <w:tcW w:w="1125" w:type="dxa"/>
            <w:vAlign w:val="center"/>
          </w:tcPr>
          <w:p w14:paraId="30354A9B">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18.6</w:t>
            </w:r>
          </w:p>
        </w:tc>
        <w:tc>
          <w:tcPr>
            <w:tcW w:w="705" w:type="dxa"/>
            <w:vAlign w:val="center"/>
          </w:tcPr>
          <w:p w14:paraId="1A55F2DB">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E92B087">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6DB94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198D998F">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eastAsia="zh-CN"/>
              </w:rPr>
              <w:t>乙醇汽油</w:t>
            </w:r>
            <w:r>
              <w:rPr>
                <w:rFonts w:hint="eastAsia" w:ascii="Times New Roman" w:hAnsi="Times New Roman" w:cs="Times New Roman"/>
                <w:b w:val="0"/>
                <w:bCs/>
                <w:color w:val="auto"/>
                <w:szCs w:val="21"/>
                <w:highlight w:val="none"/>
                <w:lang w:val="en-US" w:eastAsia="zh-CN"/>
              </w:rPr>
              <w:t>通气管管口</w:t>
            </w:r>
          </w:p>
        </w:tc>
        <w:tc>
          <w:tcPr>
            <w:tcW w:w="1080" w:type="dxa"/>
            <w:vAlign w:val="center"/>
          </w:tcPr>
          <w:p w14:paraId="7E62CA41">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空地</w:t>
            </w:r>
          </w:p>
        </w:tc>
        <w:tc>
          <w:tcPr>
            <w:tcW w:w="1080" w:type="dxa"/>
            <w:vAlign w:val="center"/>
          </w:tcPr>
          <w:p w14:paraId="69FB0F4A">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南</w:t>
            </w:r>
          </w:p>
        </w:tc>
        <w:tc>
          <w:tcPr>
            <w:tcW w:w="2010" w:type="dxa"/>
            <w:vAlign w:val="center"/>
          </w:tcPr>
          <w:p w14:paraId="04BFCAAF">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795" w:type="dxa"/>
            <w:vAlign w:val="center"/>
          </w:tcPr>
          <w:p w14:paraId="610EBB74">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1125" w:type="dxa"/>
            <w:vAlign w:val="center"/>
          </w:tcPr>
          <w:p w14:paraId="4F5A61D5">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305E99EB">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c>
          <w:tcPr>
            <w:tcW w:w="749" w:type="dxa"/>
            <w:vAlign w:val="center"/>
          </w:tcPr>
          <w:p w14:paraId="580B4F50">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r>
      <w:tr w14:paraId="2261C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156B429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17397FE3">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商业路</w:t>
            </w:r>
          </w:p>
        </w:tc>
        <w:tc>
          <w:tcPr>
            <w:tcW w:w="1080" w:type="dxa"/>
            <w:vAlign w:val="center"/>
          </w:tcPr>
          <w:p w14:paraId="25F7CC89">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5E8F47A1">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7ED3A1BF">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5</w:t>
            </w:r>
          </w:p>
        </w:tc>
        <w:tc>
          <w:tcPr>
            <w:tcW w:w="1125" w:type="dxa"/>
            <w:vAlign w:val="center"/>
          </w:tcPr>
          <w:p w14:paraId="1DDFFD2C">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15.9</w:t>
            </w:r>
          </w:p>
        </w:tc>
        <w:tc>
          <w:tcPr>
            <w:tcW w:w="705" w:type="dxa"/>
            <w:vAlign w:val="center"/>
          </w:tcPr>
          <w:p w14:paraId="2F4770BC">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580E023">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12F9B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72077070">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4C2F78F5">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7F574CEC">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241FBB78">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09868B88">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8.5</w:t>
            </w:r>
          </w:p>
        </w:tc>
        <w:tc>
          <w:tcPr>
            <w:tcW w:w="1125" w:type="dxa"/>
            <w:vAlign w:val="center"/>
          </w:tcPr>
          <w:p w14:paraId="162F692D">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45.4</w:t>
            </w:r>
          </w:p>
        </w:tc>
        <w:tc>
          <w:tcPr>
            <w:tcW w:w="705" w:type="dxa"/>
            <w:vAlign w:val="center"/>
          </w:tcPr>
          <w:p w14:paraId="04CF8967">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A400667">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44675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36D87E4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22BA79CD">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300B5157">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6BD922DA">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3ABA7586">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11</w:t>
            </w:r>
          </w:p>
        </w:tc>
        <w:tc>
          <w:tcPr>
            <w:tcW w:w="1125" w:type="dxa"/>
            <w:vAlign w:val="center"/>
          </w:tcPr>
          <w:p w14:paraId="6CF45D22">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26.2</w:t>
            </w:r>
          </w:p>
        </w:tc>
        <w:tc>
          <w:tcPr>
            <w:tcW w:w="705" w:type="dxa"/>
            <w:vAlign w:val="center"/>
          </w:tcPr>
          <w:p w14:paraId="2B332AF2">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5F36B337">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153CA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9400" w:type="dxa"/>
            <w:gridSpan w:val="8"/>
            <w:vAlign w:val="center"/>
          </w:tcPr>
          <w:p w14:paraId="432733F3">
            <w:pPr>
              <w:adjustRightInd w:val="0"/>
              <w:snapToGrid w:val="0"/>
              <w:ind w:firstLine="211"/>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lang w:val="zh-CN"/>
              </w:rPr>
              <w:t>站内柴油工艺设备</w:t>
            </w:r>
          </w:p>
        </w:tc>
      </w:tr>
      <w:tr w14:paraId="1FAC6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73F25D76">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柴油</w:t>
            </w:r>
          </w:p>
          <w:p w14:paraId="4633A47D">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埋地储罐</w:t>
            </w:r>
          </w:p>
        </w:tc>
        <w:tc>
          <w:tcPr>
            <w:tcW w:w="1080" w:type="dxa"/>
            <w:vAlign w:val="center"/>
          </w:tcPr>
          <w:p w14:paraId="07A221CD">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kern w:val="2"/>
                <w:sz w:val="21"/>
                <w:szCs w:val="21"/>
                <w:highlight w:val="none"/>
                <w:lang w:val="en-US" w:eastAsia="zh-CN" w:bidi="ar-SA"/>
              </w:rPr>
              <w:t>空地</w:t>
            </w:r>
          </w:p>
        </w:tc>
        <w:tc>
          <w:tcPr>
            <w:tcW w:w="1080" w:type="dxa"/>
            <w:vAlign w:val="center"/>
          </w:tcPr>
          <w:p w14:paraId="473EF46F">
            <w:pPr>
              <w:adjustRightInd w:val="0"/>
              <w:snapToGrid w:val="0"/>
              <w:jc w:val="center"/>
              <w:rPr>
                <w:rFonts w:hint="eastAsia" w:ascii="Times New Roman" w:hAnsi="Times New Roman" w:eastAsia="宋体" w:cs="Times New Roman"/>
                <w:b w:val="0"/>
                <w:bCs/>
                <w:color w:val="auto"/>
                <w:szCs w:val="21"/>
                <w:highlight w:val="none"/>
                <w:lang w:eastAsia="zh-CN"/>
              </w:rPr>
            </w:pPr>
            <w:r>
              <w:rPr>
                <w:rFonts w:hint="eastAsia" w:cs="Times New Roman"/>
                <w:b w:val="0"/>
                <w:bCs/>
                <w:color w:val="auto"/>
                <w:kern w:val="2"/>
                <w:sz w:val="21"/>
                <w:szCs w:val="21"/>
                <w:highlight w:val="none"/>
                <w:lang w:val="en-US" w:eastAsia="zh-CN" w:bidi="ar-SA"/>
              </w:rPr>
              <w:t>南</w:t>
            </w:r>
          </w:p>
        </w:tc>
        <w:tc>
          <w:tcPr>
            <w:tcW w:w="2010" w:type="dxa"/>
            <w:vAlign w:val="center"/>
          </w:tcPr>
          <w:p w14:paraId="63B6E572">
            <w:pPr>
              <w:adjustRightInd w:val="0"/>
              <w:snapToGrid w:val="0"/>
              <w:jc w:val="center"/>
              <w:rPr>
                <w:rFonts w:hint="eastAsia"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w:t>
            </w:r>
          </w:p>
        </w:tc>
        <w:tc>
          <w:tcPr>
            <w:tcW w:w="795" w:type="dxa"/>
            <w:vAlign w:val="center"/>
          </w:tcPr>
          <w:p w14:paraId="364B8570">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1125" w:type="dxa"/>
            <w:vAlign w:val="center"/>
          </w:tcPr>
          <w:p w14:paraId="112E834C">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2CFA24F7">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c>
          <w:tcPr>
            <w:tcW w:w="749" w:type="dxa"/>
            <w:vAlign w:val="center"/>
          </w:tcPr>
          <w:p w14:paraId="11F0A9B0">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r>
      <w:tr w14:paraId="5C2F1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44F56FC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171DD860">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商业路</w:t>
            </w:r>
          </w:p>
        </w:tc>
        <w:tc>
          <w:tcPr>
            <w:tcW w:w="1080" w:type="dxa"/>
            <w:vAlign w:val="center"/>
          </w:tcPr>
          <w:p w14:paraId="417B632A">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743997AE">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126DAA1E">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5.5</w:t>
            </w:r>
          </w:p>
        </w:tc>
        <w:tc>
          <w:tcPr>
            <w:tcW w:w="1125" w:type="dxa"/>
            <w:vAlign w:val="center"/>
          </w:tcPr>
          <w:p w14:paraId="69361B2F">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8.5</w:t>
            </w:r>
          </w:p>
        </w:tc>
        <w:tc>
          <w:tcPr>
            <w:tcW w:w="705" w:type="dxa"/>
            <w:vAlign w:val="center"/>
          </w:tcPr>
          <w:p w14:paraId="2728FCEC">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33A57AA6">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1FF8A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7E12DD62">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46A44AD6">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7F27BAE5">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57DB370E">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357A92DD">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7F71A8DE">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46.2</w:t>
            </w:r>
          </w:p>
        </w:tc>
        <w:tc>
          <w:tcPr>
            <w:tcW w:w="705" w:type="dxa"/>
            <w:vAlign w:val="center"/>
          </w:tcPr>
          <w:p w14:paraId="6F1EA01D">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89927F0">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5FBBC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16F2C920">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0A00A282">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0C850992">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4446328E">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02525138">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439E029C">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23.5</w:t>
            </w:r>
          </w:p>
        </w:tc>
        <w:tc>
          <w:tcPr>
            <w:tcW w:w="705" w:type="dxa"/>
            <w:vAlign w:val="center"/>
          </w:tcPr>
          <w:p w14:paraId="3F85B782">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F93F4CF">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2EA32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blHeader/>
          <w:jc w:val="center"/>
        </w:trPr>
        <w:tc>
          <w:tcPr>
            <w:tcW w:w="1856" w:type="dxa"/>
            <w:vMerge w:val="restart"/>
            <w:vAlign w:val="center"/>
          </w:tcPr>
          <w:p w14:paraId="750666B0">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柴油</w:t>
            </w:r>
          </w:p>
          <w:p w14:paraId="0551D78C">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加油机</w:t>
            </w:r>
          </w:p>
        </w:tc>
        <w:tc>
          <w:tcPr>
            <w:tcW w:w="1080" w:type="dxa"/>
            <w:vAlign w:val="center"/>
          </w:tcPr>
          <w:p w14:paraId="0ADC1906">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kern w:val="2"/>
                <w:sz w:val="21"/>
                <w:szCs w:val="21"/>
                <w:highlight w:val="none"/>
                <w:lang w:val="en-US" w:eastAsia="zh-CN" w:bidi="ar-SA"/>
              </w:rPr>
              <w:t>空地</w:t>
            </w:r>
          </w:p>
        </w:tc>
        <w:tc>
          <w:tcPr>
            <w:tcW w:w="1080" w:type="dxa"/>
            <w:vAlign w:val="center"/>
          </w:tcPr>
          <w:p w14:paraId="28FE5ECE">
            <w:pPr>
              <w:adjustRightInd w:val="0"/>
              <w:snapToGrid w:val="0"/>
              <w:jc w:val="center"/>
              <w:rPr>
                <w:rFonts w:hint="eastAsia" w:ascii="Times New Roman" w:hAnsi="Times New Roman" w:eastAsia="宋体"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南</w:t>
            </w:r>
          </w:p>
        </w:tc>
        <w:tc>
          <w:tcPr>
            <w:tcW w:w="2010" w:type="dxa"/>
            <w:vAlign w:val="center"/>
          </w:tcPr>
          <w:p w14:paraId="01D0113F">
            <w:pPr>
              <w:adjustRightInd w:val="0"/>
              <w:snapToGrid w:val="0"/>
              <w:jc w:val="center"/>
              <w:rPr>
                <w:rFonts w:hint="eastAsia" w:cs="Times New Roman"/>
                <w:b w:val="0"/>
                <w:bCs/>
                <w:color w:val="auto"/>
                <w:kern w:val="2"/>
                <w:sz w:val="21"/>
                <w:szCs w:val="21"/>
                <w:highlight w:val="none"/>
                <w:lang w:val="en-US" w:eastAsia="zh-CN" w:bidi="ar-SA"/>
              </w:rPr>
            </w:pPr>
            <w:r>
              <w:rPr>
                <w:rFonts w:hint="eastAsia" w:cs="Times New Roman"/>
                <w:b w:val="0"/>
                <w:bCs/>
                <w:color w:val="auto"/>
                <w:kern w:val="2"/>
                <w:sz w:val="21"/>
                <w:szCs w:val="21"/>
                <w:highlight w:val="none"/>
                <w:lang w:val="en-US" w:eastAsia="zh-CN" w:bidi="ar-SA"/>
              </w:rPr>
              <w:t>-</w:t>
            </w:r>
          </w:p>
        </w:tc>
        <w:tc>
          <w:tcPr>
            <w:tcW w:w="795" w:type="dxa"/>
            <w:vAlign w:val="center"/>
          </w:tcPr>
          <w:p w14:paraId="6687061F">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1125" w:type="dxa"/>
            <w:vAlign w:val="center"/>
          </w:tcPr>
          <w:p w14:paraId="146DF386">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502A74A8">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c>
          <w:tcPr>
            <w:tcW w:w="749" w:type="dxa"/>
            <w:vAlign w:val="center"/>
          </w:tcPr>
          <w:p w14:paraId="559A6DA4">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r>
      <w:tr w14:paraId="673C7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51C9584C">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7A05F300">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商业路</w:t>
            </w:r>
          </w:p>
        </w:tc>
        <w:tc>
          <w:tcPr>
            <w:tcW w:w="1080" w:type="dxa"/>
            <w:vAlign w:val="center"/>
          </w:tcPr>
          <w:p w14:paraId="7BB5A5A1">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420792E7">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6EE8D9BB">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5</w:t>
            </w:r>
          </w:p>
        </w:tc>
        <w:tc>
          <w:tcPr>
            <w:tcW w:w="1125" w:type="dxa"/>
            <w:vAlign w:val="center"/>
          </w:tcPr>
          <w:p w14:paraId="4AEB3125">
            <w:pPr>
              <w:adjustRightInd w:val="0"/>
              <w:snapToGrid w:val="0"/>
              <w:jc w:val="center"/>
              <w:rPr>
                <w:rFonts w:hint="default" w:ascii="Times New Roman" w:hAnsi="Times New Roman" w:eastAsia="宋体" w:cs="Times New Roman"/>
                <w:b w:val="0"/>
                <w:bCs/>
                <w:color w:val="auto"/>
                <w:szCs w:val="21"/>
                <w:highlight w:val="none"/>
                <w:lang w:val="en-US" w:eastAsia="zh-CN"/>
              </w:rPr>
            </w:pPr>
            <w:r>
              <w:rPr>
                <w:rFonts w:hint="eastAsia" w:cs="Times New Roman"/>
                <w:b w:val="0"/>
                <w:bCs/>
                <w:color w:val="auto"/>
                <w:szCs w:val="21"/>
                <w:highlight w:val="none"/>
                <w:lang w:val="en-US" w:eastAsia="zh-CN"/>
              </w:rPr>
              <w:t>7.6</w:t>
            </w:r>
          </w:p>
        </w:tc>
        <w:tc>
          <w:tcPr>
            <w:tcW w:w="705" w:type="dxa"/>
            <w:vAlign w:val="center"/>
          </w:tcPr>
          <w:p w14:paraId="492150BE">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13DAA560">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3CDB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26534D1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7A08F715">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3F5B9684">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1CECED80">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7B55D3BE">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336B10C3">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52.4</w:t>
            </w:r>
          </w:p>
        </w:tc>
        <w:tc>
          <w:tcPr>
            <w:tcW w:w="705" w:type="dxa"/>
            <w:vAlign w:val="center"/>
          </w:tcPr>
          <w:p w14:paraId="49EBB7D6">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0555FA4A">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2251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710CED56">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2CE3FED5">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1C9803A8">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342FC2A2">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0D0AD98A">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2B67E5EA">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18.8</w:t>
            </w:r>
          </w:p>
        </w:tc>
        <w:tc>
          <w:tcPr>
            <w:tcW w:w="705" w:type="dxa"/>
            <w:vAlign w:val="center"/>
          </w:tcPr>
          <w:p w14:paraId="25F45F38">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753AEF49">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35616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restart"/>
            <w:vAlign w:val="center"/>
          </w:tcPr>
          <w:p w14:paraId="27E4D921">
            <w:pPr>
              <w:adjustRightInd w:val="0"/>
              <w:snapToGrid w:val="0"/>
              <w:jc w:val="center"/>
              <w:rPr>
                <w:rFonts w:hint="default" w:ascii="Times New Roman" w:hAnsi="Times New Roman" w:cs="Times New Roman"/>
                <w:b w:val="0"/>
                <w:bCs/>
                <w:color w:val="auto"/>
                <w:szCs w:val="21"/>
                <w:highlight w:val="none"/>
              </w:rPr>
            </w:pPr>
            <w:r>
              <w:rPr>
                <w:rFonts w:hint="eastAsia" w:ascii="Times New Roman" w:hAnsi="Times New Roman" w:cs="Times New Roman"/>
                <w:b w:val="0"/>
                <w:bCs/>
                <w:color w:val="auto"/>
                <w:szCs w:val="21"/>
                <w:highlight w:val="none"/>
                <w:lang w:val="en-US" w:eastAsia="zh-CN"/>
              </w:rPr>
              <w:t>柴油通气管管口</w:t>
            </w:r>
          </w:p>
        </w:tc>
        <w:tc>
          <w:tcPr>
            <w:tcW w:w="1080" w:type="dxa"/>
            <w:vAlign w:val="center"/>
          </w:tcPr>
          <w:p w14:paraId="114E8DB0">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空地</w:t>
            </w:r>
          </w:p>
        </w:tc>
        <w:tc>
          <w:tcPr>
            <w:tcW w:w="1080" w:type="dxa"/>
            <w:vAlign w:val="center"/>
          </w:tcPr>
          <w:p w14:paraId="417DE24C">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南</w:t>
            </w:r>
          </w:p>
        </w:tc>
        <w:tc>
          <w:tcPr>
            <w:tcW w:w="2010" w:type="dxa"/>
            <w:vAlign w:val="center"/>
          </w:tcPr>
          <w:p w14:paraId="7FC5B795">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795" w:type="dxa"/>
            <w:vAlign w:val="center"/>
          </w:tcPr>
          <w:p w14:paraId="1FFDBD70">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kern w:val="2"/>
                <w:sz w:val="21"/>
                <w:szCs w:val="21"/>
                <w:highlight w:val="none"/>
                <w:lang w:val="en-US" w:eastAsia="zh-CN" w:bidi="ar-SA"/>
              </w:rPr>
              <w:t>-</w:t>
            </w:r>
          </w:p>
        </w:tc>
        <w:tc>
          <w:tcPr>
            <w:tcW w:w="1125" w:type="dxa"/>
            <w:vAlign w:val="center"/>
          </w:tcPr>
          <w:p w14:paraId="58FAB1A7">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w:t>
            </w:r>
          </w:p>
        </w:tc>
        <w:tc>
          <w:tcPr>
            <w:tcW w:w="705" w:type="dxa"/>
            <w:vAlign w:val="center"/>
          </w:tcPr>
          <w:p w14:paraId="525C0035">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c>
          <w:tcPr>
            <w:tcW w:w="749" w:type="dxa"/>
            <w:vAlign w:val="center"/>
          </w:tcPr>
          <w:p w14:paraId="23C5D512">
            <w:pPr>
              <w:adjustRightInd w:val="0"/>
              <w:snapToGrid w:val="0"/>
              <w:jc w:val="center"/>
              <w:rPr>
                <w:rFonts w:hint="default" w:ascii="Times New Roman" w:hAnsi="Times New Roman" w:cs="Times New Roman"/>
                <w:b w:val="0"/>
                <w:bCs/>
                <w:color w:val="auto"/>
                <w:szCs w:val="21"/>
                <w:highlight w:val="none"/>
              </w:rPr>
            </w:pPr>
            <w:r>
              <w:rPr>
                <w:rFonts w:hint="eastAsia" w:cs="Times New Roman"/>
                <w:b w:val="0"/>
                <w:bCs/>
                <w:color w:val="auto"/>
                <w:szCs w:val="21"/>
                <w:highlight w:val="none"/>
                <w:lang w:val="en-US" w:eastAsia="zh-CN"/>
              </w:rPr>
              <w:t>-</w:t>
            </w:r>
          </w:p>
        </w:tc>
      </w:tr>
      <w:tr w14:paraId="397C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241C0839">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0B65CCFF">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商业路</w:t>
            </w:r>
          </w:p>
        </w:tc>
        <w:tc>
          <w:tcPr>
            <w:tcW w:w="1080" w:type="dxa"/>
            <w:vAlign w:val="center"/>
          </w:tcPr>
          <w:p w14:paraId="189FBDB4">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西</w:t>
            </w:r>
          </w:p>
        </w:tc>
        <w:tc>
          <w:tcPr>
            <w:tcW w:w="2010" w:type="dxa"/>
            <w:vAlign w:val="center"/>
          </w:tcPr>
          <w:p w14:paraId="1359BFF8">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主干路</w:t>
            </w:r>
          </w:p>
        </w:tc>
        <w:tc>
          <w:tcPr>
            <w:tcW w:w="795" w:type="dxa"/>
            <w:vAlign w:val="center"/>
          </w:tcPr>
          <w:p w14:paraId="752BA3CD">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5</w:t>
            </w:r>
          </w:p>
        </w:tc>
        <w:tc>
          <w:tcPr>
            <w:tcW w:w="1125" w:type="dxa"/>
            <w:vAlign w:val="center"/>
          </w:tcPr>
          <w:p w14:paraId="61230232">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16.3</w:t>
            </w:r>
          </w:p>
        </w:tc>
        <w:tc>
          <w:tcPr>
            <w:tcW w:w="705" w:type="dxa"/>
            <w:vAlign w:val="center"/>
          </w:tcPr>
          <w:p w14:paraId="4D9C42E0">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7E9822AA">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28634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4AAA2CF4">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1AD9FC47">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居民楼</w:t>
            </w:r>
          </w:p>
        </w:tc>
        <w:tc>
          <w:tcPr>
            <w:tcW w:w="1080" w:type="dxa"/>
            <w:vAlign w:val="center"/>
          </w:tcPr>
          <w:p w14:paraId="7D4102D3">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东</w:t>
            </w:r>
          </w:p>
        </w:tc>
        <w:tc>
          <w:tcPr>
            <w:tcW w:w="2010" w:type="dxa"/>
            <w:vAlign w:val="center"/>
          </w:tcPr>
          <w:p w14:paraId="231DCFE3">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二类保护物</w:t>
            </w:r>
          </w:p>
        </w:tc>
        <w:tc>
          <w:tcPr>
            <w:tcW w:w="795" w:type="dxa"/>
            <w:vAlign w:val="center"/>
          </w:tcPr>
          <w:p w14:paraId="495A1864">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3D6BD589">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45.4</w:t>
            </w:r>
          </w:p>
        </w:tc>
        <w:tc>
          <w:tcPr>
            <w:tcW w:w="705" w:type="dxa"/>
            <w:vAlign w:val="center"/>
          </w:tcPr>
          <w:p w14:paraId="461B2923">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419786C7">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6049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856" w:type="dxa"/>
            <w:vMerge w:val="continue"/>
            <w:vAlign w:val="center"/>
          </w:tcPr>
          <w:p w14:paraId="150525BC">
            <w:pPr>
              <w:adjustRightInd w:val="0"/>
              <w:snapToGrid w:val="0"/>
              <w:jc w:val="center"/>
              <w:rPr>
                <w:rFonts w:hint="default" w:ascii="Times New Roman" w:hAnsi="Times New Roman" w:cs="Times New Roman"/>
                <w:b w:val="0"/>
                <w:bCs/>
                <w:color w:val="auto"/>
                <w:szCs w:val="21"/>
                <w:highlight w:val="none"/>
              </w:rPr>
            </w:pPr>
          </w:p>
        </w:tc>
        <w:tc>
          <w:tcPr>
            <w:tcW w:w="1080" w:type="dxa"/>
            <w:vAlign w:val="center"/>
          </w:tcPr>
          <w:p w14:paraId="28B6B1A8">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医院门诊楼</w:t>
            </w:r>
          </w:p>
        </w:tc>
        <w:tc>
          <w:tcPr>
            <w:tcW w:w="1080" w:type="dxa"/>
            <w:vAlign w:val="center"/>
          </w:tcPr>
          <w:p w14:paraId="1EE2BAF6">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北</w:t>
            </w:r>
          </w:p>
        </w:tc>
        <w:tc>
          <w:tcPr>
            <w:tcW w:w="2010" w:type="dxa"/>
            <w:vAlign w:val="center"/>
          </w:tcPr>
          <w:p w14:paraId="6D639554">
            <w:pPr>
              <w:adjustRightInd w:val="0"/>
              <w:snapToGrid w:val="0"/>
              <w:jc w:val="center"/>
              <w:rPr>
                <w:rFonts w:hint="eastAsia" w:cs="Times New Roman"/>
                <w:b w:val="0"/>
                <w:bCs/>
                <w:color w:val="auto"/>
                <w:szCs w:val="21"/>
                <w:highlight w:val="none"/>
                <w:lang w:val="en-US" w:eastAsia="zh-CN"/>
              </w:rPr>
            </w:pPr>
            <w:r>
              <w:rPr>
                <w:rFonts w:hint="eastAsia" w:cs="Times New Roman"/>
                <w:b w:val="0"/>
                <w:bCs/>
                <w:color w:val="auto"/>
                <w:szCs w:val="21"/>
                <w:highlight w:val="none"/>
                <w:lang w:val="en-US" w:eastAsia="zh-CN"/>
              </w:rPr>
              <w:t>一类保护物</w:t>
            </w:r>
          </w:p>
        </w:tc>
        <w:tc>
          <w:tcPr>
            <w:tcW w:w="795" w:type="dxa"/>
            <w:vAlign w:val="center"/>
          </w:tcPr>
          <w:p w14:paraId="5B19DC36">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6</w:t>
            </w:r>
          </w:p>
        </w:tc>
        <w:tc>
          <w:tcPr>
            <w:tcW w:w="1125" w:type="dxa"/>
            <w:vAlign w:val="center"/>
          </w:tcPr>
          <w:p w14:paraId="31C25B43">
            <w:pPr>
              <w:adjustRightInd w:val="0"/>
              <w:snapToGrid w:val="0"/>
              <w:jc w:val="center"/>
              <w:rPr>
                <w:rFonts w:hint="default" w:cs="Times New Roman"/>
                <w:b w:val="0"/>
                <w:bCs/>
                <w:color w:val="auto"/>
                <w:szCs w:val="21"/>
                <w:highlight w:val="none"/>
                <w:lang w:val="en-US" w:eastAsia="zh-CN"/>
              </w:rPr>
            </w:pPr>
            <w:r>
              <w:rPr>
                <w:rFonts w:hint="eastAsia" w:cs="Times New Roman"/>
                <w:b w:val="0"/>
                <w:bCs/>
                <w:color w:val="auto"/>
                <w:szCs w:val="21"/>
                <w:highlight w:val="none"/>
                <w:lang w:val="en-US" w:eastAsia="zh-CN"/>
              </w:rPr>
              <w:t>26.6</w:t>
            </w:r>
          </w:p>
        </w:tc>
        <w:tc>
          <w:tcPr>
            <w:tcW w:w="705" w:type="dxa"/>
            <w:vAlign w:val="center"/>
          </w:tcPr>
          <w:p w14:paraId="23172AB9">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①</w:t>
            </w:r>
          </w:p>
        </w:tc>
        <w:tc>
          <w:tcPr>
            <w:tcW w:w="749" w:type="dxa"/>
            <w:vAlign w:val="center"/>
          </w:tcPr>
          <w:p w14:paraId="28940351">
            <w:pPr>
              <w:adjustRightInd w:val="0"/>
              <w:snapToGrid w:val="0"/>
              <w:jc w:val="center"/>
              <w:rPr>
                <w:rFonts w:hint="default" w:ascii="Times New Roman" w:hAnsi="Times New Roman" w:cs="Times New Roman"/>
                <w:b w:val="0"/>
                <w:bCs/>
                <w:color w:val="auto"/>
                <w:szCs w:val="21"/>
                <w:highlight w:val="none"/>
              </w:rPr>
            </w:pPr>
            <w:r>
              <w:rPr>
                <w:rFonts w:hint="default" w:ascii="Times New Roman" w:hAnsi="Times New Roman" w:cs="Times New Roman"/>
                <w:b w:val="0"/>
                <w:bCs/>
                <w:color w:val="auto"/>
                <w:szCs w:val="21"/>
                <w:highlight w:val="none"/>
              </w:rPr>
              <w:t>符合</w:t>
            </w:r>
          </w:p>
        </w:tc>
      </w:tr>
      <w:tr w14:paraId="31DEA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9400" w:type="dxa"/>
            <w:gridSpan w:val="8"/>
            <w:vAlign w:val="center"/>
          </w:tcPr>
          <w:p w14:paraId="632FFA31">
            <w:pPr>
              <w:adjustRightInd w:val="0"/>
              <w:snapToGrid w:val="0"/>
              <w:jc w:val="both"/>
              <w:rPr>
                <w:rFonts w:hint="default" w:ascii="Times New Roman" w:hAnsi="Times New Roman" w:cs="Times New Roman"/>
                <w:b w:val="0"/>
                <w:bCs/>
                <w:color w:val="auto"/>
                <w:highlight w:val="none"/>
              </w:rPr>
            </w:pPr>
            <w:r>
              <w:rPr>
                <w:rFonts w:hint="default" w:ascii="Times New Roman" w:hAnsi="Times New Roman" w:cs="Times New Roman"/>
                <w:b w:val="0"/>
                <w:bCs/>
                <w:color w:val="auto"/>
                <w:szCs w:val="21"/>
                <w:highlight w:val="none"/>
              </w:rPr>
              <w:t>注：①根据《汽车加油加气加氢站技术标准》（GB 50156-2021）表4.0.4</w:t>
            </w:r>
          </w:p>
        </w:tc>
      </w:tr>
    </w:tbl>
    <w:p w14:paraId="724754F9">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F表4</w:t>
      </w:r>
      <w:r>
        <w:rPr>
          <w:rFonts w:hint="eastAsia" w:ascii="Times New Roman" w:hAnsi="Times New Roman" w:eastAsia="黑体" w:cs="Times New Roman"/>
          <w:b w:val="0"/>
          <w:bCs w:val="0"/>
          <w:sz w:val="24"/>
          <w:lang w:val="en-US" w:eastAsia="zh-CN"/>
        </w:rPr>
        <w:t>.1-</w:t>
      </w:r>
      <w:r>
        <w:rPr>
          <w:rFonts w:hint="default" w:ascii="Times New Roman" w:hAnsi="Times New Roman" w:eastAsia="黑体" w:cs="Times New Roman"/>
          <w:b w:val="0"/>
          <w:bCs w:val="0"/>
          <w:sz w:val="24"/>
        </w:rPr>
        <w:t>3本项目站内设施防火间距表（m）</w:t>
      </w:r>
    </w:p>
    <w:p w14:paraId="4FB94D68">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eastAsia" w:eastAsia="黑体" w:cs="Times New Roman"/>
          <w:b w:val="0"/>
          <w:bCs w:val="0"/>
          <w:sz w:val="24"/>
          <w:lang w:val="zh-CN"/>
        </w:rPr>
      </w:pPr>
      <w:r>
        <w:rPr>
          <w:rFonts w:hint="eastAsia" w:eastAsia="黑体" w:cs="Times New Roman"/>
          <w:b w:val="0"/>
          <w:bCs w:val="0"/>
          <w:sz w:val="24"/>
          <w:lang w:val="zh-CN"/>
        </w:rPr>
        <w:t>（</w:t>
      </w:r>
      <w:r>
        <w:rPr>
          <w:rFonts w:hint="eastAsia" w:eastAsia="黑体" w:cs="Times New Roman"/>
          <w:b w:val="0"/>
          <w:bCs w:val="0"/>
          <w:sz w:val="24"/>
          <w:lang w:val="en-US" w:eastAsia="zh-CN"/>
        </w:rPr>
        <w:t>二级加油站</w:t>
      </w:r>
      <w:r>
        <w:rPr>
          <w:rFonts w:hint="eastAsia" w:eastAsia="黑体" w:cs="Times New Roman"/>
          <w:b w:val="0"/>
          <w:bCs w:val="0"/>
          <w:sz w:val="24"/>
          <w:lang w:val="zh-CN"/>
        </w:rPr>
        <w:t>）</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0"/>
        <w:gridCol w:w="1250"/>
        <w:gridCol w:w="1016"/>
        <w:gridCol w:w="2205"/>
        <w:gridCol w:w="945"/>
        <w:gridCol w:w="1335"/>
        <w:gridCol w:w="1005"/>
        <w:gridCol w:w="1154"/>
      </w:tblGrid>
      <w:tr w14:paraId="6895B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490" w:type="dxa"/>
            <w:vAlign w:val="center"/>
          </w:tcPr>
          <w:p w14:paraId="4737D400">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序号</w:t>
            </w:r>
          </w:p>
        </w:tc>
        <w:tc>
          <w:tcPr>
            <w:tcW w:w="1250" w:type="dxa"/>
            <w:vAlign w:val="center"/>
          </w:tcPr>
          <w:p w14:paraId="3D163721">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工艺设施名称</w:t>
            </w:r>
          </w:p>
        </w:tc>
        <w:tc>
          <w:tcPr>
            <w:tcW w:w="1016" w:type="dxa"/>
            <w:vAlign w:val="center"/>
          </w:tcPr>
          <w:p w14:paraId="7A57483E">
            <w:pPr>
              <w:pStyle w:val="6"/>
              <w:adjustRightInd w:val="0"/>
              <w:snapToGrid w:val="0"/>
              <w:spacing w:after="0"/>
              <w:jc w:val="center"/>
              <w:rPr>
                <w:rFonts w:hint="eastAsia" w:ascii="Times New Roman" w:hAnsi="Times New Roman" w:eastAsia="宋体" w:cs="Times New Roman"/>
                <w:b w:val="0"/>
                <w:bCs w:val="0"/>
                <w:szCs w:val="21"/>
                <w:lang w:val="en-US" w:eastAsia="zh-CN"/>
              </w:rPr>
            </w:pPr>
            <w:r>
              <w:rPr>
                <w:rFonts w:hint="eastAsia" w:cs="Times New Roman"/>
                <w:b w:val="0"/>
                <w:bCs w:val="0"/>
                <w:szCs w:val="21"/>
                <w:lang w:val="en-US" w:eastAsia="zh-CN"/>
              </w:rPr>
              <w:t>方位</w:t>
            </w:r>
          </w:p>
        </w:tc>
        <w:tc>
          <w:tcPr>
            <w:tcW w:w="2205" w:type="dxa"/>
            <w:vAlign w:val="center"/>
          </w:tcPr>
          <w:p w14:paraId="3676F24F">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站内设施</w:t>
            </w:r>
          </w:p>
        </w:tc>
        <w:tc>
          <w:tcPr>
            <w:tcW w:w="945" w:type="dxa"/>
            <w:vAlign w:val="center"/>
          </w:tcPr>
          <w:p w14:paraId="4B2C3B9B">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规范</w:t>
            </w:r>
          </w:p>
          <w:p w14:paraId="12EF41CF">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要求</w:t>
            </w:r>
          </w:p>
        </w:tc>
        <w:tc>
          <w:tcPr>
            <w:tcW w:w="1335" w:type="dxa"/>
            <w:vAlign w:val="center"/>
          </w:tcPr>
          <w:p w14:paraId="1956405A">
            <w:pPr>
              <w:pStyle w:val="6"/>
              <w:adjustRightInd w:val="0"/>
              <w:snapToGrid w:val="0"/>
              <w:spacing w:after="0"/>
              <w:jc w:val="center"/>
              <w:rPr>
                <w:rFonts w:hint="default" w:ascii="Times New Roman" w:hAnsi="Times New Roman" w:cs="Times New Roman"/>
                <w:b w:val="0"/>
                <w:bCs w:val="0"/>
                <w:szCs w:val="21"/>
              </w:rPr>
            </w:pPr>
            <w:r>
              <w:rPr>
                <w:rFonts w:hint="eastAsia" w:cs="Times New Roman"/>
                <w:b w:val="0"/>
                <w:bCs w:val="0"/>
                <w:szCs w:val="21"/>
                <w:lang w:val="en-US" w:eastAsia="zh-CN"/>
              </w:rPr>
              <w:t>设计</w:t>
            </w:r>
            <w:r>
              <w:rPr>
                <w:rFonts w:hint="default" w:ascii="Times New Roman" w:hAnsi="Times New Roman" w:cs="Times New Roman"/>
                <w:b w:val="0"/>
                <w:bCs w:val="0"/>
                <w:szCs w:val="21"/>
              </w:rPr>
              <w:t>距离</w:t>
            </w:r>
          </w:p>
        </w:tc>
        <w:tc>
          <w:tcPr>
            <w:tcW w:w="1005" w:type="dxa"/>
            <w:vAlign w:val="center"/>
          </w:tcPr>
          <w:p w14:paraId="0B09B97E">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依据</w:t>
            </w:r>
          </w:p>
        </w:tc>
        <w:tc>
          <w:tcPr>
            <w:tcW w:w="1154" w:type="dxa"/>
            <w:vAlign w:val="center"/>
          </w:tcPr>
          <w:p w14:paraId="015855F4">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结论</w:t>
            </w:r>
          </w:p>
        </w:tc>
      </w:tr>
      <w:tr w14:paraId="52C25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3FC3D949">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restart"/>
            <w:vAlign w:val="center"/>
          </w:tcPr>
          <w:p w14:paraId="20A196D5">
            <w:pPr>
              <w:pStyle w:val="6"/>
              <w:adjustRightInd w:val="0"/>
              <w:snapToGrid w:val="0"/>
              <w:jc w:val="center"/>
              <w:rPr>
                <w:rFonts w:hint="default" w:ascii="Times New Roman" w:hAnsi="Times New Roman" w:cs="Times New Roman"/>
                <w:b w:val="0"/>
                <w:bCs w:val="0"/>
                <w:szCs w:val="21"/>
              </w:rPr>
            </w:pPr>
            <w:r>
              <w:rPr>
                <w:rFonts w:hint="eastAsia" w:cs="Times New Roman"/>
                <w:b w:val="0"/>
                <w:bCs w:val="0"/>
                <w:szCs w:val="21"/>
                <w:lang w:eastAsia="zh-CN"/>
              </w:rPr>
              <w:t>乙醇汽油</w:t>
            </w:r>
            <w:r>
              <w:rPr>
                <w:rFonts w:hint="default" w:ascii="Times New Roman" w:hAnsi="Times New Roman" w:cs="Times New Roman"/>
                <w:b w:val="0"/>
                <w:bCs w:val="0"/>
                <w:szCs w:val="21"/>
              </w:rPr>
              <w:t>罐</w:t>
            </w:r>
          </w:p>
        </w:tc>
        <w:tc>
          <w:tcPr>
            <w:tcW w:w="1016" w:type="dxa"/>
            <w:vAlign w:val="center"/>
          </w:tcPr>
          <w:p w14:paraId="43CA0A22">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南</w:t>
            </w:r>
          </w:p>
        </w:tc>
        <w:tc>
          <w:tcPr>
            <w:tcW w:w="2205" w:type="dxa"/>
            <w:vAlign w:val="center"/>
          </w:tcPr>
          <w:p w14:paraId="32DC3E06">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柴油罐</w:t>
            </w:r>
          </w:p>
        </w:tc>
        <w:tc>
          <w:tcPr>
            <w:tcW w:w="945" w:type="dxa"/>
            <w:vAlign w:val="center"/>
          </w:tcPr>
          <w:p w14:paraId="2D22DC1F">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0.5</w:t>
            </w:r>
          </w:p>
        </w:tc>
        <w:tc>
          <w:tcPr>
            <w:tcW w:w="1335" w:type="dxa"/>
            <w:vAlign w:val="center"/>
          </w:tcPr>
          <w:p w14:paraId="7F94DFEA">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0.</w:t>
            </w:r>
            <w:r>
              <w:rPr>
                <w:rFonts w:hint="eastAsia" w:cs="Times New Roman"/>
                <w:b w:val="0"/>
                <w:bCs w:val="0"/>
                <w:szCs w:val="21"/>
                <w:lang w:val="en-US" w:eastAsia="zh-CN"/>
              </w:rPr>
              <w:t>5</w:t>
            </w:r>
          </w:p>
        </w:tc>
        <w:tc>
          <w:tcPr>
            <w:tcW w:w="1005" w:type="dxa"/>
            <w:vAlign w:val="center"/>
          </w:tcPr>
          <w:p w14:paraId="1008CD85">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76CB40A8">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3D0A3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490" w:type="dxa"/>
            <w:vAlign w:val="center"/>
          </w:tcPr>
          <w:p w14:paraId="6E98CA72">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386013A2">
            <w:pPr>
              <w:pStyle w:val="6"/>
              <w:adjustRightInd w:val="0"/>
              <w:snapToGrid w:val="0"/>
              <w:jc w:val="center"/>
              <w:rPr>
                <w:rFonts w:hint="default" w:ascii="Times New Roman" w:hAnsi="Times New Roman" w:cs="Times New Roman"/>
                <w:b w:val="0"/>
                <w:bCs w:val="0"/>
                <w:szCs w:val="21"/>
              </w:rPr>
            </w:pPr>
          </w:p>
        </w:tc>
        <w:tc>
          <w:tcPr>
            <w:tcW w:w="1016" w:type="dxa"/>
            <w:vMerge w:val="restart"/>
            <w:vAlign w:val="center"/>
          </w:tcPr>
          <w:p w14:paraId="7847AE0C">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北</w:t>
            </w:r>
          </w:p>
        </w:tc>
        <w:tc>
          <w:tcPr>
            <w:tcW w:w="2205" w:type="dxa"/>
            <w:vAlign w:val="center"/>
          </w:tcPr>
          <w:p w14:paraId="574C783F">
            <w:pPr>
              <w:pStyle w:val="6"/>
              <w:adjustRightInd w:val="0"/>
              <w:snapToGrid w:val="0"/>
              <w:spacing w:after="0"/>
              <w:jc w:val="center"/>
              <w:rPr>
                <w:rFonts w:hint="default" w:ascii="Times New Roman" w:hAnsi="Times New Roman" w:cs="Times New Roman"/>
                <w:b w:val="0"/>
                <w:bCs w:val="0"/>
                <w:szCs w:val="21"/>
              </w:rPr>
            </w:pPr>
            <w:r>
              <w:rPr>
                <w:rFonts w:hint="eastAsia" w:cs="Times New Roman"/>
                <w:b w:val="0"/>
                <w:bCs w:val="0"/>
                <w:szCs w:val="21"/>
                <w:lang w:eastAsia="zh-CN"/>
              </w:rPr>
              <w:t>乙醇汽油</w:t>
            </w:r>
            <w:r>
              <w:rPr>
                <w:rFonts w:hint="default" w:ascii="Times New Roman" w:hAnsi="Times New Roman" w:cs="Times New Roman"/>
                <w:b w:val="0"/>
                <w:bCs w:val="0"/>
                <w:szCs w:val="21"/>
              </w:rPr>
              <w:t>罐</w:t>
            </w:r>
          </w:p>
        </w:tc>
        <w:tc>
          <w:tcPr>
            <w:tcW w:w="945" w:type="dxa"/>
            <w:vAlign w:val="center"/>
          </w:tcPr>
          <w:p w14:paraId="43B89499">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0.5</w:t>
            </w:r>
          </w:p>
        </w:tc>
        <w:tc>
          <w:tcPr>
            <w:tcW w:w="1335" w:type="dxa"/>
            <w:vAlign w:val="center"/>
          </w:tcPr>
          <w:p w14:paraId="611F9AA5">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0.5</w:t>
            </w:r>
          </w:p>
        </w:tc>
        <w:tc>
          <w:tcPr>
            <w:tcW w:w="1005" w:type="dxa"/>
            <w:vAlign w:val="center"/>
          </w:tcPr>
          <w:p w14:paraId="0D5355F5">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7869AE6B">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2CF5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559D648F">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74C98D30">
            <w:pPr>
              <w:pStyle w:val="6"/>
              <w:adjustRightInd w:val="0"/>
              <w:snapToGrid w:val="0"/>
              <w:jc w:val="center"/>
              <w:rPr>
                <w:rFonts w:hint="default" w:ascii="Times New Roman" w:hAnsi="Times New Roman" w:cs="Times New Roman"/>
                <w:b w:val="0"/>
                <w:bCs w:val="0"/>
                <w:szCs w:val="21"/>
              </w:rPr>
            </w:pPr>
          </w:p>
        </w:tc>
        <w:tc>
          <w:tcPr>
            <w:tcW w:w="1016" w:type="dxa"/>
            <w:vMerge w:val="continue"/>
            <w:vAlign w:val="center"/>
          </w:tcPr>
          <w:p w14:paraId="018CEF1E">
            <w:pPr>
              <w:pStyle w:val="6"/>
              <w:adjustRightInd w:val="0"/>
              <w:snapToGrid w:val="0"/>
              <w:spacing w:after="0"/>
              <w:jc w:val="center"/>
              <w:rPr>
                <w:rFonts w:hint="eastAsia" w:cs="Times New Roman"/>
                <w:b w:val="0"/>
                <w:bCs w:val="0"/>
                <w:szCs w:val="21"/>
                <w:lang w:val="en-US" w:eastAsia="zh-CN"/>
              </w:rPr>
            </w:pPr>
          </w:p>
        </w:tc>
        <w:tc>
          <w:tcPr>
            <w:tcW w:w="2205" w:type="dxa"/>
            <w:vAlign w:val="center"/>
          </w:tcPr>
          <w:p w14:paraId="4DF2C17E">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围墙</w:t>
            </w:r>
          </w:p>
        </w:tc>
        <w:tc>
          <w:tcPr>
            <w:tcW w:w="945" w:type="dxa"/>
            <w:vAlign w:val="center"/>
          </w:tcPr>
          <w:p w14:paraId="04D0C0EE">
            <w:pPr>
              <w:pStyle w:val="6"/>
              <w:adjustRightInd w:val="0"/>
              <w:snapToGrid w:val="0"/>
              <w:spacing w:after="0"/>
              <w:jc w:val="center"/>
              <w:rPr>
                <w:rFonts w:hint="eastAsia" w:cs="Times New Roman"/>
                <w:b w:val="0"/>
                <w:bCs w:val="0"/>
                <w:szCs w:val="21"/>
                <w:lang w:val="en-US" w:eastAsia="zh-CN"/>
              </w:rPr>
            </w:pPr>
            <w:r>
              <w:rPr>
                <w:rFonts w:hint="default" w:ascii="Times New Roman" w:hAnsi="Times New Roman" w:cs="Times New Roman"/>
                <w:b w:val="0"/>
                <w:bCs w:val="0"/>
                <w:szCs w:val="21"/>
              </w:rPr>
              <w:t>2</w:t>
            </w:r>
          </w:p>
        </w:tc>
        <w:tc>
          <w:tcPr>
            <w:tcW w:w="1335" w:type="dxa"/>
            <w:vAlign w:val="center"/>
          </w:tcPr>
          <w:p w14:paraId="1100D366">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7.3</w:t>
            </w:r>
          </w:p>
        </w:tc>
        <w:tc>
          <w:tcPr>
            <w:tcW w:w="1005" w:type="dxa"/>
            <w:vAlign w:val="center"/>
          </w:tcPr>
          <w:p w14:paraId="381C5767">
            <w:pPr>
              <w:jc w:val="center"/>
              <w:rPr>
                <w:rFonts w:hint="default" w:ascii="Times New Roman" w:hAnsi="Times New Roman" w:cs="Times New Roman"/>
                <w:b w:val="0"/>
                <w:bCs w:val="0"/>
              </w:rPr>
            </w:pPr>
            <w:r>
              <w:rPr>
                <w:rFonts w:hint="default" w:ascii="Times New Roman" w:hAnsi="Times New Roman" w:cs="Times New Roman"/>
                <w:b w:val="0"/>
                <w:bCs w:val="0"/>
                <w:color w:val="000000" w:themeColor="text1"/>
                <w14:textFill>
                  <w14:solidFill>
                    <w14:schemeClr w14:val="tx1"/>
                  </w14:solidFill>
                </w14:textFill>
              </w:rPr>
              <w:t>①</w:t>
            </w:r>
          </w:p>
        </w:tc>
        <w:tc>
          <w:tcPr>
            <w:tcW w:w="1154" w:type="dxa"/>
            <w:vAlign w:val="center"/>
          </w:tcPr>
          <w:p w14:paraId="3E990D25">
            <w:pPr>
              <w:jc w:val="center"/>
              <w:rPr>
                <w:rFonts w:hint="default" w:ascii="Times New Roman" w:hAnsi="Times New Roman" w:cs="Times New Roman"/>
                <w:b w:val="0"/>
                <w:bCs w:val="0"/>
                <w:szCs w:val="21"/>
              </w:rPr>
            </w:pPr>
            <w:r>
              <w:rPr>
                <w:rFonts w:hint="default" w:ascii="Times New Roman" w:hAnsi="Times New Roman" w:cs="Times New Roman"/>
                <w:b w:val="0"/>
                <w:bCs w:val="0"/>
                <w:color w:val="000000" w:themeColor="text1"/>
                <w:szCs w:val="21"/>
                <w14:textFill>
                  <w14:solidFill>
                    <w14:schemeClr w14:val="tx1"/>
                  </w14:solidFill>
                </w14:textFill>
              </w:rPr>
              <w:t>符合</w:t>
            </w:r>
          </w:p>
        </w:tc>
      </w:tr>
      <w:tr w14:paraId="543AD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7F556C5C">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4762C6EF">
            <w:pPr>
              <w:pStyle w:val="6"/>
              <w:adjustRightInd w:val="0"/>
              <w:snapToGrid w:val="0"/>
              <w:jc w:val="center"/>
              <w:rPr>
                <w:rFonts w:hint="default" w:ascii="Times New Roman" w:hAnsi="Times New Roman" w:cs="Times New Roman"/>
                <w:b w:val="0"/>
                <w:bCs w:val="0"/>
                <w:szCs w:val="21"/>
              </w:rPr>
            </w:pPr>
          </w:p>
        </w:tc>
        <w:tc>
          <w:tcPr>
            <w:tcW w:w="1016" w:type="dxa"/>
            <w:vAlign w:val="center"/>
          </w:tcPr>
          <w:p w14:paraId="7C8246C7">
            <w:pPr>
              <w:pStyle w:val="6"/>
              <w:adjustRightInd w:val="0"/>
              <w:snapToGrid w:val="0"/>
              <w:spacing w:after="0"/>
              <w:jc w:val="center"/>
              <w:rPr>
                <w:rFonts w:hint="default"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东</w:t>
            </w:r>
          </w:p>
        </w:tc>
        <w:tc>
          <w:tcPr>
            <w:tcW w:w="2205" w:type="dxa"/>
            <w:vAlign w:val="center"/>
          </w:tcPr>
          <w:p w14:paraId="580D089E">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站房</w:t>
            </w:r>
          </w:p>
        </w:tc>
        <w:tc>
          <w:tcPr>
            <w:tcW w:w="945" w:type="dxa"/>
            <w:vAlign w:val="center"/>
          </w:tcPr>
          <w:p w14:paraId="1C837937">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4</w:t>
            </w:r>
          </w:p>
        </w:tc>
        <w:tc>
          <w:tcPr>
            <w:tcW w:w="1335" w:type="dxa"/>
            <w:vAlign w:val="center"/>
          </w:tcPr>
          <w:p w14:paraId="1BB5A37F">
            <w:pPr>
              <w:pStyle w:val="6"/>
              <w:adjustRightInd w:val="0"/>
              <w:snapToGrid w:val="0"/>
              <w:spacing w:after="0"/>
              <w:jc w:val="center"/>
              <w:rPr>
                <w:rFonts w:hint="default"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6.4</w:t>
            </w:r>
          </w:p>
        </w:tc>
        <w:tc>
          <w:tcPr>
            <w:tcW w:w="1005" w:type="dxa"/>
            <w:vAlign w:val="center"/>
          </w:tcPr>
          <w:p w14:paraId="4082AF15">
            <w:pPr>
              <w:jc w:val="center"/>
              <w:rPr>
                <w:rFonts w:hint="default" w:ascii="Times New Roman" w:hAnsi="Times New Roman" w:cs="Times New Roman"/>
                <w:b w:val="0"/>
                <w:bCs w:val="0"/>
                <w:color w:val="000000" w:themeColor="text1"/>
                <w14:textFill>
                  <w14:solidFill>
                    <w14:schemeClr w14:val="tx1"/>
                  </w14:solidFill>
                </w14:textFill>
              </w:rPr>
            </w:pPr>
            <w:r>
              <w:rPr>
                <w:rFonts w:hint="default" w:ascii="Times New Roman" w:hAnsi="Times New Roman" w:cs="Times New Roman"/>
                <w:b w:val="0"/>
                <w:bCs w:val="0"/>
                <w:color w:val="000000" w:themeColor="text1"/>
                <w14:textFill>
                  <w14:solidFill>
                    <w14:schemeClr w14:val="tx1"/>
                  </w14:solidFill>
                </w14:textFill>
              </w:rPr>
              <w:t>①</w:t>
            </w:r>
          </w:p>
        </w:tc>
        <w:tc>
          <w:tcPr>
            <w:tcW w:w="1154" w:type="dxa"/>
            <w:vAlign w:val="center"/>
          </w:tcPr>
          <w:p w14:paraId="791939E2">
            <w:pPr>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符合</w:t>
            </w:r>
          </w:p>
        </w:tc>
      </w:tr>
      <w:tr w14:paraId="40CCE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2807A825">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6413DF7E">
            <w:pPr>
              <w:pStyle w:val="6"/>
              <w:adjustRightInd w:val="0"/>
              <w:snapToGrid w:val="0"/>
              <w:jc w:val="center"/>
              <w:rPr>
                <w:rFonts w:hint="default" w:ascii="Times New Roman" w:hAnsi="Times New Roman" w:cs="Times New Roman"/>
                <w:b w:val="0"/>
                <w:bCs w:val="0"/>
                <w:szCs w:val="21"/>
              </w:rPr>
            </w:pPr>
          </w:p>
        </w:tc>
        <w:tc>
          <w:tcPr>
            <w:tcW w:w="1016" w:type="dxa"/>
            <w:vAlign w:val="center"/>
          </w:tcPr>
          <w:p w14:paraId="7CFF7F97">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南</w:t>
            </w:r>
          </w:p>
        </w:tc>
        <w:tc>
          <w:tcPr>
            <w:tcW w:w="2205" w:type="dxa"/>
            <w:vAlign w:val="center"/>
          </w:tcPr>
          <w:p w14:paraId="07630813">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围墙</w:t>
            </w:r>
          </w:p>
        </w:tc>
        <w:tc>
          <w:tcPr>
            <w:tcW w:w="945" w:type="dxa"/>
            <w:vAlign w:val="center"/>
          </w:tcPr>
          <w:p w14:paraId="425F31E9">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2</w:t>
            </w:r>
          </w:p>
        </w:tc>
        <w:tc>
          <w:tcPr>
            <w:tcW w:w="1335" w:type="dxa"/>
            <w:vAlign w:val="center"/>
          </w:tcPr>
          <w:p w14:paraId="12CA7849">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11.9</w:t>
            </w:r>
          </w:p>
        </w:tc>
        <w:tc>
          <w:tcPr>
            <w:tcW w:w="1005" w:type="dxa"/>
            <w:vAlign w:val="center"/>
          </w:tcPr>
          <w:p w14:paraId="7A827B5E">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3E2BBC5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3ED2F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4B2BD538">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restart"/>
            <w:vAlign w:val="center"/>
          </w:tcPr>
          <w:p w14:paraId="61D0FDBD">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柴油罐</w:t>
            </w:r>
          </w:p>
        </w:tc>
        <w:tc>
          <w:tcPr>
            <w:tcW w:w="1016" w:type="dxa"/>
            <w:vAlign w:val="center"/>
          </w:tcPr>
          <w:p w14:paraId="79749379">
            <w:pPr>
              <w:pStyle w:val="6"/>
              <w:adjustRightInd w:val="0"/>
              <w:snapToGrid w:val="0"/>
              <w:spacing w:after="0"/>
              <w:jc w:val="center"/>
              <w:rPr>
                <w:rFonts w:hint="eastAsia" w:ascii="Times New Roman" w:hAnsi="Times New Roman" w:eastAsia="宋体" w:cs="Times New Roman"/>
                <w:b w:val="0"/>
                <w:bCs w:val="0"/>
                <w:szCs w:val="21"/>
                <w:lang w:val="en-US" w:eastAsia="zh-CN"/>
              </w:rPr>
            </w:pPr>
            <w:r>
              <w:rPr>
                <w:rFonts w:hint="eastAsia" w:cs="Times New Roman"/>
                <w:b w:val="0"/>
                <w:bCs w:val="0"/>
                <w:color w:val="000000" w:themeColor="text1"/>
                <w:szCs w:val="21"/>
                <w:lang w:val="en-US" w:eastAsia="zh-CN"/>
                <w14:textFill>
                  <w14:solidFill>
                    <w14:schemeClr w14:val="tx1"/>
                  </w14:solidFill>
                </w14:textFill>
              </w:rPr>
              <w:t>东</w:t>
            </w:r>
          </w:p>
        </w:tc>
        <w:tc>
          <w:tcPr>
            <w:tcW w:w="2205" w:type="dxa"/>
            <w:vAlign w:val="center"/>
          </w:tcPr>
          <w:p w14:paraId="7202F6DB">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color w:val="000000" w:themeColor="text1"/>
                <w:szCs w:val="21"/>
                <w14:textFill>
                  <w14:solidFill>
                    <w14:schemeClr w14:val="tx1"/>
                  </w14:solidFill>
                </w14:textFill>
              </w:rPr>
              <w:t>站房</w:t>
            </w:r>
          </w:p>
        </w:tc>
        <w:tc>
          <w:tcPr>
            <w:tcW w:w="945" w:type="dxa"/>
            <w:vAlign w:val="center"/>
          </w:tcPr>
          <w:p w14:paraId="0274B132">
            <w:pPr>
              <w:pStyle w:val="6"/>
              <w:adjustRightInd w:val="0"/>
              <w:snapToGrid w:val="0"/>
              <w:spacing w:after="0"/>
              <w:jc w:val="center"/>
              <w:rPr>
                <w:rFonts w:hint="default" w:ascii="Times New Roman" w:hAnsi="Times New Roman" w:cs="Times New Roman"/>
                <w:b w:val="0"/>
                <w:bCs w:val="0"/>
                <w:szCs w:val="21"/>
              </w:rPr>
            </w:pPr>
            <w:r>
              <w:rPr>
                <w:rFonts w:hint="eastAsia" w:cs="Times New Roman"/>
                <w:b w:val="0"/>
                <w:bCs w:val="0"/>
                <w:szCs w:val="21"/>
                <w:lang w:val="en-US" w:eastAsia="zh-CN"/>
              </w:rPr>
              <w:t>3</w:t>
            </w:r>
          </w:p>
        </w:tc>
        <w:tc>
          <w:tcPr>
            <w:tcW w:w="1335" w:type="dxa"/>
            <w:vAlign w:val="center"/>
          </w:tcPr>
          <w:p w14:paraId="4B7BE3F8">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6.4</w:t>
            </w:r>
          </w:p>
        </w:tc>
        <w:tc>
          <w:tcPr>
            <w:tcW w:w="1005" w:type="dxa"/>
            <w:vAlign w:val="center"/>
          </w:tcPr>
          <w:p w14:paraId="32256779">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7085E0E3">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28661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3EE80FB6">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7C3B4129">
            <w:pPr>
              <w:pStyle w:val="6"/>
              <w:adjustRightInd w:val="0"/>
              <w:snapToGrid w:val="0"/>
              <w:jc w:val="center"/>
              <w:rPr>
                <w:rFonts w:hint="default" w:ascii="Times New Roman" w:hAnsi="Times New Roman" w:cs="Times New Roman"/>
                <w:b w:val="0"/>
                <w:bCs w:val="0"/>
                <w:szCs w:val="21"/>
              </w:rPr>
            </w:pPr>
          </w:p>
        </w:tc>
        <w:tc>
          <w:tcPr>
            <w:tcW w:w="1016" w:type="dxa"/>
            <w:vMerge w:val="restart"/>
            <w:vAlign w:val="center"/>
          </w:tcPr>
          <w:p w14:paraId="0BF4B2A4">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北</w:t>
            </w:r>
          </w:p>
        </w:tc>
        <w:tc>
          <w:tcPr>
            <w:tcW w:w="2205" w:type="dxa"/>
            <w:vAlign w:val="center"/>
          </w:tcPr>
          <w:p w14:paraId="26CC3218">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eastAsia="zh-CN"/>
              </w:rPr>
              <w:t>乙醇汽油</w:t>
            </w:r>
            <w:r>
              <w:rPr>
                <w:rFonts w:hint="default" w:ascii="Times New Roman" w:hAnsi="Times New Roman" w:cs="Times New Roman"/>
                <w:b w:val="0"/>
                <w:bCs w:val="0"/>
                <w:szCs w:val="21"/>
              </w:rPr>
              <w:t>罐</w:t>
            </w:r>
          </w:p>
        </w:tc>
        <w:tc>
          <w:tcPr>
            <w:tcW w:w="945" w:type="dxa"/>
            <w:vAlign w:val="center"/>
          </w:tcPr>
          <w:p w14:paraId="38B32490">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0.5</w:t>
            </w:r>
          </w:p>
        </w:tc>
        <w:tc>
          <w:tcPr>
            <w:tcW w:w="1335" w:type="dxa"/>
            <w:vAlign w:val="center"/>
          </w:tcPr>
          <w:p w14:paraId="72122429">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0.5</w:t>
            </w:r>
          </w:p>
        </w:tc>
        <w:tc>
          <w:tcPr>
            <w:tcW w:w="1005" w:type="dxa"/>
            <w:vAlign w:val="center"/>
          </w:tcPr>
          <w:p w14:paraId="7446CF79">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3C7D80A3">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05AE7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49AECFDC">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6BB18FEE">
            <w:pPr>
              <w:pStyle w:val="6"/>
              <w:adjustRightInd w:val="0"/>
              <w:snapToGrid w:val="0"/>
              <w:jc w:val="center"/>
              <w:rPr>
                <w:rFonts w:hint="default" w:ascii="Times New Roman" w:hAnsi="Times New Roman" w:cs="Times New Roman"/>
                <w:b w:val="0"/>
                <w:bCs w:val="0"/>
                <w:szCs w:val="21"/>
              </w:rPr>
            </w:pPr>
          </w:p>
        </w:tc>
        <w:tc>
          <w:tcPr>
            <w:tcW w:w="1016" w:type="dxa"/>
            <w:vMerge w:val="continue"/>
            <w:vAlign w:val="center"/>
          </w:tcPr>
          <w:p w14:paraId="741C1C53">
            <w:pPr>
              <w:pStyle w:val="6"/>
              <w:adjustRightInd w:val="0"/>
              <w:snapToGrid w:val="0"/>
              <w:spacing w:after="0"/>
              <w:jc w:val="center"/>
              <w:rPr>
                <w:rFonts w:hint="default" w:ascii="Times New Roman" w:hAnsi="Times New Roman" w:cs="Times New Roman"/>
                <w:b w:val="0"/>
                <w:bCs w:val="0"/>
                <w:szCs w:val="21"/>
                <w:lang w:val="en-US" w:eastAsia="zh-CN"/>
              </w:rPr>
            </w:pPr>
          </w:p>
        </w:tc>
        <w:tc>
          <w:tcPr>
            <w:tcW w:w="2205" w:type="dxa"/>
            <w:vAlign w:val="center"/>
          </w:tcPr>
          <w:p w14:paraId="38496A1A">
            <w:pPr>
              <w:pStyle w:val="6"/>
              <w:adjustRightInd w:val="0"/>
              <w:snapToGrid w:val="0"/>
              <w:spacing w:after="0"/>
              <w:jc w:val="center"/>
              <w:rPr>
                <w:rFonts w:hint="default" w:ascii="Times New Roman" w:hAnsi="Times New Roman" w:cs="Times New Roman"/>
                <w:b w:val="0"/>
                <w:bCs w:val="0"/>
                <w:szCs w:val="21"/>
                <w:lang w:val="en-US" w:eastAsia="zh-CN"/>
              </w:rPr>
            </w:pPr>
            <w:r>
              <w:rPr>
                <w:rFonts w:hint="default" w:ascii="Times New Roman" w:hAnsi="Times New Roman" w:cs="Times New Roman"/>
                <w:b w:val="0"/>
                <w:bCs w:val="0"/>
                <w:szCs w:val="21"/>
              </w:rPr>
              <w:t>围墙</w:t>
            </w:r>
          </w:p>
        </w:tc>
        <w:tc>
          <w:tcPr>
            <w:tcW w:w="945" w:type="dxa"/>
            <w:vAlign w:val="center"/>
          </w:tcPr>
          <w:p w14:paraId="7EED640D">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2</w:t>
            </w:r>
          </w:p>
        </w:tc>
        <w:tc>
          <w:tcPr>
            <w:tcW w:w="1335" w:type="dxa"/>
            <w:vAlign w:val="center"/>
          </w:tcPr>
          <w:p w14:paraId="6F783FFE">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16.5</w:t>
            </w:r>
          </w:p>
        </w:tc>
        <w:tc>
          <w:tcPr>
            <w:tcW w:w="1005" w:type="dxa"/>
            <w:vAlign w:val="center"/>
          </w:tcPr>
          <w:p w14:paraId="3E22660D">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76B39D71">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26B83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39A54313">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34231DF0">
            <w:pPr>
              <w:pStyle w:val="6"/>
              <w:adjustRightInd w:val="0"/>
              <w:snapToGrid w:val="0"/>
              <w:jc w:val="center"/>
              <w:rPr>
                <w:rFonts w:hint="default" w:ascii="Times New Roman" w:hAnsi="Times New Roman" w:cs="Times New Roman"/>
                <w:b w:val="0"/>
                <w:bCs w:val="0"/>
                <w:szCs w:val="21"/>
              </w:rPr>
            </w:pPr>
          </w:p>
        </w:tc>
        <w:tc>
          <w:tcPr>
            <w:tcW w:w="1016" w:type="dxa"/>
            <w:vAlign w:val="center"/>
          </w:tcPr>
          <w:p w14:paraId="33CB4D8B">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南</w:t>
            </w:r>
          </w:p>
        </w:tc>
        <w:tc>
          <w:tcPr>
            <w:tcW w:w="2205" w:type="dxa"/>
            <w:vAlign w:val="center"/>
          </w:tcPr>
          <w:p w14:paraId="0DFC12D3">
            <w:pPr>
              <w:pStyle w:val="6"/>
              <w:adjustRightInd w:val="0"/>
              <w:snapToGrid w:val="0"/>
              <w:spacing w:after="0"/>
              <w:jc w:val="center"/>
              <w:rPr>
                <w:rFonts w:hint="default" w:ascii="Times New Roman" w:hAnsi="Times New Roman" w:cs="Times New Roman"/>
                <w:b w:val="0"/>
                <w:bCs w:val="0"/>
                <w:szCs w:val="21"/>
                <w:lang w:val="en-US" w:eastAsia="zh-CN"/>
              </w:rPr>
            </w:pPr>
            <w:r>
              <w:rPr>
                <w:rFonts w:hint="default" w:ascii="Times New Roman" w:hAnsi="Times New Roman" w:cs="Times New Roman"/>
                <w:b w:val="0"/>
                <w:bCs w:val="0"/>
                <w:szCs w:val="21"/>
              </w:rPr>
              <w:t>围墙</w:t>
            </w:r>
          </w:p>
        </w:tc>
        <w:tc>
          <w:tcPr>
            <w:tcW w:w="945" w:type="dxa"/>
            <w:vAlign w:val="center"/>
          </w:tcPr>
          <w:p w14:paraId="4615E42A">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2</w:t>
            </w:r>
          </w:p>
        </w:tc>
        <w:tc>
          <w:tcPr>
            <w:tcW w:w="1335" w:type="dxa"/>
            <w:vAlign w:val="center"/>
          </w:tcPr>
          <w:p w14:paraId="4ECF5FD9">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8.5</w:t>
            </w:r>
          </w:p>
        </w:tc>
        <w:tc>
          <w:tcPr>
            <w:tcW w:w="1005" w:type="dxa"/>
            <w:vAlign w:val="center"/>
          </w:tcPr>
          <w:p w14:paraId="583B7500">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5A61EC11">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0F675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1A0A2393">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restart"/>
            <w:vAlign w:val="center"/>
          </w:tcPr>
          <w:p w14:paraId="6D0FD36C">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lang w:val="en-US" w:eastAsia="zh-CN"/>
              </w:rPr>
              <w:t>汽</w:t>
            </w:r>
            <w:r>
              <w:rPr>
                <w:rFonts w:hint="eastAsia" w:cs="Times New Roman"/>
                <w:b w:val="0"/>
                <w:bCs w:val="0"/>
                <w:szCs w:val="21"/>
                <w:lang w:val="en-US" w:eastAsia="zh-CN"/>
              </w:rPr>
              <w:t>（柴）油通气管管口</w:t>
            </w:r>
          </w:p>
        </w:tc>
        <w:tc>
          <w:tcPr>
            <w:tcW w:w="1016" w:type="dxa"/>
            <w:vAlign w:val="center"/>
          </w:tcPr>
          <w:p w14:paraId="58E1D97A">
            <w:pPr>
              <w:pStyle w:val="6"/>
              <w:adjustRightInd w:val="0"/>
              <w:snapToGrid w:val="0"/>
              <w:spacing w:after="0"/>
              <w:jc w:val="center"/>
              <w:rPr>
                <w:rFonts w:hint="eastAsia" w:ascii="Times New Roman" w:hAnsi="Times New Roman" w:eastAsia="宋体" w:cs="Times New Roman"/>
                <w:b w:val="0"/>
                <w:bCs w:val="0"/>
                <w:szCs w:val="21"/>
                <w:lang w:val="en-US" w:eastAsia="zh-CN"/>
              </w:rPr>
            </w:pPr>
            <w:r>
              <w:rPr>
                <w:rFonts w:hint="eastAsia" w:cs="Times New Roman"/>
                <w:b w:val="0"/>
                <w:bCs w:val="0"/>
                <w:szCs w:val="21"/>
                <w:lang w:val="en-US" w:eastAsia="zh-CN"/>
              </w:rPr>
              <w:t>西</w:t>
            </w:r>
          </w:p>
        </w:tc>
        <w:tc>
          <w:tcPr>
            <w:tcW w:w="2205" w:type="dxa"/>
            <w:vAlign w:val="center"/>
          </w:tcPr>
          <w:p w14:paraId="38FD750B">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default" w:ascii="Times New Roman" w:hAnsi="Times New Roman" w:cs="Times New Roman"/>
                <w:b w:val="0"/>
                <w:bCs w:val="0"/>
                <w:szCs w:val="21"/>
              </w:rPr>
              <w:t>卸油</w:t>
            </w:r>
            <w:r>
              <w:rPr>
                <w:rFonts w:hint="default" w:ascii="Times New Roman" w:hAnsi="Times New Roman" w:cs="Times New Roman"/>
                <w:b w:val="0"/>
                <w:bCs w:val="0"/>
                <w:szCs w:val="21"/>
                <w:lang w:val="en-US" w:eastAsia="zh-CN"/>
              </w:rPr>
              <w:t>口</w:t>
            </w:r>
          </w:p>
        </w:tc>
        <w:tc>
          <w:tcPr>
            <w:tcW w:w="945" w:type="dxa"/>
            <w:vAlign w:val="center"/>
          </w:tcPr>
          <w:p w14:paraId="143C97F9">
            <w:pPr>
              <w:pStyle w:val="6"/>
              <w:adjustRightInd w:val="0"/>
              <w:snapToGrid w:val="0"/>
              <w:spacing w:after="0"/>
              <w:jc w:val="center"/>
              <w:rPr>
                <w:rFonts w:hint="eastAsia" w:ascii="Times New Roman" w:hAnsi="Times New Roman" w:eastAsia="宋体" w:cs="Times New Roman"/>
                <w:b w:val="0"/>
                <w:bCs w:val="0"/>
                <w:szCs w:val="21"/>
                <w:lang w:eastAsia="zh-CN"/>
              </w:rPr>
            </w:pPr>
            <w:r>
              <w:rPr>
                <w:rFonts w:hint="default" w:ascii="Times New Roman" w:hAnsi="Times New Roman" w:cs="Times New Roman"/>
                <w:b w:val="0"/>
                <w:bCs w:val="0"/>
                <w:szCs w:val="21"/>
              </w:rPr>
              <w:t>3</w:t>
            </w:r>
            <w:r>
              <w:rPr>
                <w:rFonts w:hint="eastAsia" w:cs="Times New Roman"/>
                <w:b w:val="0"/>
                <w:bCs w:val="0"/>
                <w:szCs w:val="21"/>
                <w:lang w:eastAsia="zh-CN"/>
              </w:rPr>
              <w:t>（</w:t>
            </w:r>
            <w:r>
              <w:rPr>
                <w:rFonts w:hint="eastAsia" w:cs="Times New Roman"/>
                <w:b w:val="0"/>
                <w:bCs w:val="0"/>
                <w:szCs w:val="21"/>
                <w:lang w:val="en-US" w:eastAsia="zh-CN"/>
              </w:rPr>
              <w:t>2</w:t>
            </w:r>
            <w:r>
              <w:rPr>
                <w:rFonts w:hint="eastAsia" w:cs="Times New Roman"/>
                <w:b w:val="0"/>
                <w:bCs w:val="0"/>
                <w:szCs w:val="21"/>
                <w:lang w:eastAsia="zh-CN"/>
              </w:rPr>
              <w:t>）</w:t>
            </w:r>
          </w:p>
        </w:tc>
        <w:tc>
          <w:tcPr>
            <w:tcW w:w="1335" w:type="dxa"/>
            <w:vAlign w:val="center"/>
          </w:tcPr>
          <w:p w14:paraId="180DCE4A">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8.7（9.3）</w:t>
            </w:r>
          </w:p>
        </w:tc>
        <w:tc>
          <w:tcPr>
            <w:tcW w:w="1005" w:type="dxa"/>
            <w:vAlign w:val="center"/>
          </w:tcPr>
          <w:p w14:paraId="69C61F33">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6CA96446">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0C704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0DB6BCC1">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755AC4D6">
            <w:pPr>
              <w:pStyle w:val="6"/>
              <w:adjustRightInd w:val="0"/>
              <w:snapToGrid w:val="0"/>
              <w:spacing w:after="0"/>
              <w:jc w:val="center"/>
              <w:rPr>
                <w:rFonts w:hint="default" w:ascii="Times New Roman" w:hAnsi="Times New Roman" w:cs="Times New Roman"/>
                <w:b w:val="0"/>
                <w:bCs w:val="0"/>
                <w:szCs w:val="21"/>
              </w:rPr>
            </w:pPr>
          </w:p>
        </w:tc>
        <w:tc>
          <w:tcPr>
            <w:tcW w:w="1016" w:type="dxa"/>
            <w:vAlign w:val="center"/>
          </w:tcPr>
          <w:p w14:paraId="6D50D87F">
            <w:pPr>
              <w:pStyle w:val="6"/>
              <w:adjustRightInd w:val="0"/>
              <w:snapToGrid w:val="0"/>
              <w:spacing w:after="0"/>
              <w:jc w:val="center"/>
              <w:rPr>
                <w:rFonts w:hint="eastAsia" w:ascii="Times New Roman" w:hAnsi="Times New Roman" w:eastAsia="宋体" w:cs="Times New Roman"/>
                <w:b w:val="0"/>
                <w:bCs w:val="0"/>
                <w:szCs w:val="21"/>
                <w:lang w:val="en-US" w:eastAsia="zh-CN"/>
              </w:rPr>
            </w:pPr>
            <w:r>
              <w:rPr>
                <w:rFonts w:hint="eastAsia" w:cs="Times New Roman"/>
                <w:b w:val="0"/>
                <w:bCs w:val="0"/>
                <w:szCs w:val="21"/>
                <w:lang w:val="en-US" w:eastAsia="zh-CN"/>
              </w:rPr>
              <w:t>东</w:t>
            </w:r>
          </w:p>
        </w:tc>
        <w:tc>
          <w:tcPr>
            <w:tcW w:w="2205" w:type="dxa"/>
            <w:vAlign w:val="center"/>
          </w:tcPr>
          <w:p w14:paraId="48CF270A">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站房</w:t>
            </w:r>
          </w:p>
        </w:tc>
        <w:tc>
          <w:tcPr>
            <w:tcW w:w="945" w:type="dxa"/>
            <w:vAlign w:val="center"/>
          </w:tcPr>
          <w:p w14:paraId="7B4E53AC">
            <w:pPr>
              <w:pStyle w:val="6"/>
              <w:adjustRightInd w:val="0"/>
              <w:snapToGrid w:val="0"/>
              <w:spacing w:after="0"/>
              <w:jc w:val="center"/>
              <w:rPr>
                <w:rFonts w:hint="eastAsia" w:ascii="Times New Roman" w:hAnsi="Times New Roman" w:eastAsia="宋体" w:cs="Times New Roman"/>
                <w:b w:val="0"/>
                <w:bCs w:val="0"/>
                <w:szCs w:val="21"/>
                <w:lang w:eastAsia="zh-CN"/>
              </w:rPr>
            </w:pPr>
            <w:r>
              <w:rPr>
                <w:rFonts w:hint="default" w:ascii="Times New Roman" w:hAnsi="Times New Roman" w:cs="Times New Roman"/>
                <w:b w:val="0"/>
                <w:bCs w:val="0"/>
                <w:szCs w:val="21"/>
              </w:rPr>
              <w:t>4</w:t>
            </w:r>
            <w:r>
              <w:rPr>
                <w:rFonts w:hint="eastAsia" w:cs="Times New Roman"/>
                <w:b w:val="0"/>
                <w:bCs w:val="0"/>
                <w:szCs w:val="21"/>
                <w:lang w:eastAsia="zh-CN"/>
              </w:rPr>
              <w:t>（</w:t>
            </w:r>
            <w:r>
              <w:rPr>
                <w:rFonts w:hint="eastAsia" w:cs="Times New Roman"/>
                <w:b w:val="0"/>
                <w:bCs w:val="0"/>
                <w:szCs w:val="21"/>
                <w:lang w:val="en-US" w:eastAsia="zh-CN"/>
              </w:rPr>
              <w:t>3.5</w:t>
            </w:r>
            <w:r>
              <w:rPr>
                <w:rFonts w:hint="eastAsia" w:cs="Times New Roman"/>
                <w:b w:val="0"/>
                <w:bCs w:val="0"/>
                <w:szCs w:val="21"/>
                <w:lang w:eastAsia="zh-CN"/>
              </w:rPr>
              <w:t>）</w:t>
            </w:r>
          </w:p>
        </w:tc>
        <w:tc>
          <w:tcPr>
            <w:tcW w:w="1335" w:type="dxa"/>
            <w:vAlign w:val="center"/>
          </w:tcPr>
          <w:p w14:paraId="706B3F1C">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5.3（5.3）</w:t>
            </w:r>
          </w:p>
        </w:tc>
        <w:tc>
          <w:tcPr>
            <w:tcW w:w="1005" w:type="dxa"/>
            <w:vAlign w:val="center"/>
          </w:tcPr>
          <w:p w14:paraId="5103960C">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0F09EC0C">
            <w:pPr>
              <w:jc w:val="center"/>
              <w:rPr>
                <w:rFonts w:hint="default" w:ascii="Times New Roman" w:hAnsi="Times New Roman" w:cs="Times New Roman"/>
                <w:b w:val="0"/>
                <w:bCs w:val="0"/>
              </w:rPr>
            </w:pPr>
            <w:r>
              <w:rPr>
                <w:rFonts w:hint="default" w:ascii="Times New Roman" w:hAnsi="Times New Roman" w:cs="Times New Roman"/>
                <w:b w:val="0"/>
                <w:bCs w:val="0"/>
                <w:szCs w:val="21"/>
              </w:rPr>
              <w:t>符合</w:t>
            </w:r>
          </w:p>
        </w:tc>
      </w:tr>
      <w:tr w14:paraId="3071B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3267DA5D">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7FCC0976">
            <w:pPr>
              <w:pStyle w:val="6"/>
              <w:adjustRightInd w:val="0"/>
              <w:snapToGrid w:val="0"/>
              <w:spacing w:after="0" w:line="360" w:lineRule="auto"/>
              <w:jc w:val="center"/>
              <w:rPr>
                <w:rFonts w:hint="default" w:ascii="Times New Roman" w:hAnsi="Times New Roman" w:cs="Times New Roman"/>
                <w:b w:val="0"/>
                <w:bCs w:val="0"/>
                <w:szCs w:val="21"/>
              </w:rPr>
            </w:pPr>
          </w:p>
        </w:tc>
        <w:tc>
          <w:tcPr>
            <w:tcW w:w="1016" w:type="dxa"/>
            <w:vAlign w:val="center"/>
          </w:tcPr>
          <w:p w14:paraId="22A7EF58">
            <w:pPr>
              <w:pStyle w:val="6"/>
              <w:adjustRightInd w:val="0"/>
              <w:snapToGrid w:val="0"/>
              <w:spacing w:after="0"/>
              <w:jc w:val="center"/>
              <w:rPr>
                <w:rFonts w:hint="eastAsia" w:ascii="Times New Roman" w:hAnsi="Times New Roman" w:eastAsia="宋体" w:cs="Times New Roman"/>
                <w:b w:val="0"/>
                <w:bCs w:val="0"/>
                <w:szCs w:val="21"/>
                <w:lang w:val="en-US" w:eastAsia="zh-CN"/>
              </w:rPr>
            </w:pPr>
            <w:r>
              <w:rPr>
                <w:rFonts w:hint="eastAsia" w:cs="Times New Roman"/>
                <w:b w:val="0"/>
                <w:bCs w:val="0"/>
                <w:szCs w:val="21"/>
                <w:lang w:val="en-US" w:eastAsia="zh-CN"/>
              </w:rPr>
              <w:t>南</w:t>
            </w:r>
          </w:p>
        </w:tc>
        <w:tc>
          <w:tcPr>
            <w:tcW w:w="2205" w:type="dxa"/>
            <w:vAlign w:val="center"/>
          </w:tcPr>
          <w:p w14:paraId="4C67D05A">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围墙</w:t>
            </w:r>
          </w:p>
        </w:tc>
        <w:tc>
          <w:tcPr>
            <w:tcW w:w="945" w:type="dxa"/>
            <w:vAlign w:val="center"/>
          </w:tcPr>
          <w:p w14:paraId="7195C1AD">
            <w:pPr>
              <w:pStyle w:val="6"/>
              <w:adjustRightInd w:val="0"/>
              <w:snapToGrid w:val="0"/>
              <w:spacing w:after="0"/>
              <w:jc w:val="center"/>
              <w:rPr>
                <w:rFonts w:hint="eastAsia" w:ascii="Times New Roman" w:hAnsi="Times New Roman" w:eastAsia="宋体" w:cs="Times New Roman"/>
                <w:b w:val="0"/>
                <w:bCs w:val="0"/>
                <w:szCs w:val="21"/>
                <w:lang w:eastAsia="zh-CN"/>
              </w:rPr>
            </w:pPr>
            <w:r>
              <w:rPr>
                <w:rFonts w:hint="default" w:ascii="Times New Roman" w:hAnsi="Times New Roman" w:cs="Times New Roman"/>
                <w:b w:val="0"/>
                <w:bCs w:val="0"/>
                <w:szCs w:val="21"/>
              </w:rPr>
              <w:t>2</w:t>
            </w:r>
            <w:r>
              <w:rPr>
                <w:rFonts w:hint="eastAsia" w:cs="Times New Roman"/>
                <w:b w:val="0"/>
                <w:bCs w:val="0"/>
                <w:szCs w:val="21"/>
                <w:lang w:eastAsia="zh-CN"/>
              </w:rPr>
              <w:t>（</w:t>
            </w:r>
            <w:r>
              <w:rPr>
                <w:rFonts w:hint="eastAsia" w:cs="Times New Roman"/>
                <w:b w:val="0"/>
                <w:bCs w:val="0"/>
                <w:szCs w:val="21"/>
                <w:lang w:val="en-US" w:eastAsia="zh-CN"/>
              </w:rPr>
              <w:t>2</w:t>
            </w:r>
            <w:r>
              <w:rPr>
                <w:rFonts w:hint="eastAsia" w:cs="Times New Roman"/>
                <w:b w:val="0"/>
                <w:bCs w:val="0"/>
                <w:szCs w:val="21"/>
                <w:lang w:eastAsia="zh-CN"/>
              </w:rPr>
              <w:t>）</w:t>
            </w:r>
          </w:p>
        </w:tc>
        <w:tc>
          <w:tcPr>
            <w:tcW w:w="1335" w:type="dxa"/>
            <w:vAlign w:val="center"/>
          </w:tcPr>
          <w:p w14:paraId="0E9806B8">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8.2（7.8）</w:t>
            </w:r>
          </w:p>
        </w:tc>
        <w:tc>
          <w:tcPr>
            <w:tcW w:w="1005" w:type="dxa"/>
            <w:vAlign w:val="center"/>
          </w:tcPr>
          <w:p w14:paraId="235E91A0">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vAlign w:val="center"/>
          </w:tcPr>
          <w:p w14:paraId="4BCD1801">
            <w:pPr>
              <w:jc w:val="center"/>
              <w:rPr>
                <w:rFonts w:hint="default" w:ascii="Times New Roman" w:hAnsi="Times New Roman" w:cs="Times New Roman"/>
                <w:b w:val="0"/>
                <w:bCs w:val="0"/>
              </w:rPr>
            </w:pPr>
            <w:r>
              <w:rPr>
                <w:rFonts w:hint="default" w:ascii="Times New Roman" w:hAnsi="Times New Roman" w:cs="Times New Roman"/>
                <w:b w:val="0"/>
                <w:bCs w:val="0"/>
                <w:szCs w:val="21"/>
              </w:rPr>
              <w:t>符合</w:t>
            </w:r>
          </w:p>
        </w:tc>
      </w:tr>
      <w:tr w14:paraId="00E41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57F8C9D2">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5AC7925A">
            <w:pPr>
              <w:pStyle w:val="6"/>
              <w:adjustRightInd w:val="0"/>
              <w:snapToGrid w:val="0"/>
              <w:spacing w:after="0" w:line="360" w:lineRule="auto"/>
              <w:jc w:val="center"/>
              <w:rPr>
                <w:rFonts w:hint="default" w:ascii="Times New Roman" w:hAnsi="Times New Roman" w:cs="Times New Roman"/>
                <w:b w:val="0"/>
                <w:bCs w:val="0"/>
                <w:szCs w:val="21"/>
              </w:rPr>
            </w:pPr>
          </w:p>
        </w:tc>
        <w:tc>
          <w:tcPr>
            <w:tcW w:w="1016" w:type="dxa"/>
            <w:vAlign w:val="center"/>
          </w:tcPr>
          <w:p w14:paraId="2FE1713C">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东</w:t>
            </w:r>
          </w:p>
        </w:tc>
        <w:tc>
          <w:tcPr>
            <w:tcW w:w="2205" w:type="dxa"/>
            <w:vAlign w:val="center"/>
          </w:tcPr>
          <w:p w14:paraId="71213E1E">
            <w:pPr>
              <w:pStyle w:val="6"/>
              <w:adjustRightInd w:val="0"/>
              <w:snapToGrid w:val="0"/>
              <w:spacing w:after="0"/>
              <w:jc w:val="center"/>
              <w:rPr>
                <w:rFonts w:hint="default" w:ascii="Times New Roman" w:hAnsi="Times New Roman" w:cs="Times New Roman"/>
                <w:b w:val="0"/>
                <w:bCs w:val="0"/>
                <w:szCs w:val="21"/>
              </w:rPr>
            </w:pPr>
            <w:r>
              <w:rPr>
                <w:rFonts w:hint="eastAsia" w:cs="Times New Roman"/>
                <w:b w:val="0"/>
                <w:bCs w:val="0"/>
                <w:color w:val="000000" w:themeColor="text1"/>
                <w:szCs w:val="21"/>
                <w:lang w:val="en-US" w:eastAsia="zh-CN"/>
                <w14:textFill>
                  <w14:solidFill>
                    <w14:schemeClr w14:val="tx1"/>
                  </w14:solidFill>
                </w14:textFill>
              </w:rPr>
              <w:t>围墙</w:t>
            </w:r>
          </w:p>
        </w:tc>
        <w:tc>
          <w:tcPr>
            <w:tcW w:w="945" w:type="dxa"/>
            <w:vAlign w:val="center"/>
          </w:tcPr>
          <w:p w14:paraId="1D553A8F">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2（2）</w:t>
            </w:r>
          </w:p>
        </w:tc>
        <w:tc>
          <w:tcPr>
            <w:tcW w:w="1335" w:type="dxa"/>
            <w:vAlign w:val="center"/>
          </w:tcPr>
          <w:p w14:paraId="7F5826B1">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12.4（12.4）</w:t>
            </w:r>
          </w:p>
        </w:tc>
        <w:tc>
          <w:tcPr>
            <w:tcW w:w="1005" w:type="dxa"/>
            <w:vAlign w:val="center"/>
          </w:tcPr>
          <w:p w14:paraId="5BA3344F">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136622CF">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4DF3D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0C5E12E3">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Align w:val="center"/>
          </w:tcPr>
          <w:p w14:paraId="2E389509">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车用乙醇汽（柴）油</w:t>
            </w:r>
          </w:p>
          <w:p w14:paraId="0F641EFA">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加油机</w:t>
            </w:r>
          </w:p>
        </w:tc>
        <w:tc>
          <w:tcPr>
            <w:tcW w:w="1016" w:type="dxa"/>
            <w:vAlign w:val="center"/>
          </w:tcPr>
          <w:p w14:paraId="08045B9D">
            <w:pPr>
              <w:pStyle w:val="6"/>
              <w:adjustRightInd w:val="0"/>
              <w:snapToGrid w:val="0"/>
              <w:spacing w:after="0"/>
              <w:jc w:val="center"/>
              <w:rPr>
                <w:rFonts w:hint="eastAsia"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东</w:t>
            </w:r>
          </w:p>
        </w:tc>
        <w:tc>
          <w:tcPr>
            <w:tcW w:w="2205" w:type="dxa"/>
            <w:vAlign w:val="center"/>
          </w:tcPr>
          <w:p w14:paraId="7DC2FEF5">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站房</w:t>
            </w:r>
          </w:p>
        </w:tc>
        <w:tc>
          <w:tcPr>
            <w:tcW w:w="945" w:type="dxa"/>
            <w:vAlign w:val="center"/>
          </w:tcPr>
          <w:p w14:paraId="139ABBAE">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5（4）</w:t>
            </w:r>
          </w:p>
        </w:tc>
        <w:tc>
          <w:tcPr>
            <w:tcW w:w="1335" w:type="dxa"/>
            <w:vAlign w:val="center"/>
          </w:tcPr>
          <w:p w14:paraId="1E581640">
            <w:pPr>
              <w:pStyle w:val="6"/>
              <w:adjustRightInd w:val="0"/>
              <w:snapToGrid w:val="0"/>
              <w:spacing w:after="0"/>
              <w:jc w:val="center"/>
              <w:rPr>
                <w:rFonts w:hint="default" w:ascii="Times New Roman" w:hAnsi="Times New Roman" w:eastAsia="宋体" w:cs="Times New Roman"/>
                <w:b w:val="0"/>
                <w:bCs w:val="0"/>
                <w:color w:val="000000" w:themeColor="text1"/>
                <w:szCs w:val="21"/>
                <w:lang w:val="en-US" w:eastAsia="zh-CN"/>
                <w14:textFill>
                  <w14:solidFill>
                    <w14:schemeClr w14:val="tx1"/>
                  </w14:solidFill>
                </w14:textFill>
              </w:rPr>
            </w:pPr>
            <w:r>
              <w:rPr>
                <w:rFonts w:hint="eastAsia" w:cs="Times New Roman"/>
                <w:b w:val="0"/>
                <w:bCs w:val="0"/>
                <w:color w:val="000000" w:themeColor="text1"/>
                <w:szCs w:val="21"/>
                <w:lang w:val="en-US" w:eastAsia="zh-CN"/>
                <w14:textFill>
                  <w14:solidFill>
                    <w14:schemeClr w14:val="tx1"/>
                  </w14:solidFill>
                </w14:textFill>
              </w:rPr>
              <w:t>5.5（14.0）</w:t>
            </w:r>
          </w:p>
        </w:tc>
        <w:tc>
          <w:tcPr>
            <w:tcW w:w="1005" w:type="dxa"/>
            <w:vAlign w:val="center"/>
          </w:tcPr>
          <w:p w14:paraId="6B1A1C3E">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14:textFill>
                  <w14:solidFill>
                    <w14:schemeClr w14:val="tx1"/>
                  </w14:solidFill>
                </w14:textFill>
              </w:rPr>
              <w:t>①</w:t>
            </w:r>
          </w:p>
        </w:tc>
        <w:tc>
          <w:tcPr>
            <w:tcW w:w="1154" w:type="dxa"/>
            <w:vAlign w:val="center"/>
          </w:tcPr>
          <w:p w14:paraId="68F3E827">
            <w:pPr>
              <w:pStyle w:val="6"/>
              <w:adjustRightInd w:val="0"/>
              <w:snapToGrid w:val="0"/>
              <w:spacing w:after="0"/>
              <w:jc w:val="center"/>
              <w:rPr>
                <w:rFonts w:hint="default" w:ascii="Times New Roman" w:hAnsi="Times New Roman" w:cs="Times New Roman"/>
                <w:b w:val="0"/>
                <w:bCs w:val="0"/>
                <w:color w:val="000000" w:themeColor="text1"/>
                <w:szCs w:val="21"/>
                <w14:textFill>
                  <w14:solidFill>
                    <w14:schemeClr w14:val="tx1"/>
                  </w14:solidFill>
                </w14:textFill>
              </w:rPr>
            </w:pPr>
            <w:r>
              <w:rPr>
                <w:rFonts w:hint="default" w:ascii="Times New Roman" w:hAnsi="Times New Roman" w:cs="Times New Roman"/>
                <w:b w:val="0"/>
                <w:bCs w:val="0"/>
                <w:color w:val="000000" w:themeColor="text1"/>
                <w:szCs w:val="21"/>
                <w14:textFill>
                  <w14:solidFill>
                    <w14:schemeClr w14:val="tx1"/>
                  </w14:solidFill>
                </w14:textFill>
              </w:rPr>
              <w:t>符合</w:t>
            </w:r>
          </w:p>
        </w:tc>
      </w:tr>
      <w:tr w14:paraId="19944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tcBorders>
              <w:bottom w:val="single" w:color="auto" w:sz="4" w:space="0"/>
            </w:tcBorders>
            <w:vAlign w:val="center"/>
          </w:tcPr>
          <w:p w14:paraId="09AD5FB3">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restart"/>
            <w:vAlign w:val="center"/>
          </w:tcPr>
          <w:p w14:paraId="54BE1723">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油品卸车点</w:t>
            </w:r>
          </w:p>
        </w:tc>
        <w:tc>
          <w:tcPr>
            <w:tcW w:w="1016" w:type="dxa"/>
            <w:tcBorders>
              <w:bottom w:val="single" w:color="auto" w:sz="4" w:space="0"/>
            </w:tcBorders>
            <w:vAlign w:val="center"/>
          </w:tcPr>
          <w:p w14:paraId="11FB510F">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东</w:t>
            </w:r>
          </w:p>
        </w:tc>
        <w:tc>
          <w:tcPr>
            <w:tcW w:w="2205" w:type="dxa"/>
            <w:tcBorders>
              <w:bottom w:val="single" w:color="auto" w:sz="4" w:space="0"/>
            </w:tcBorders>
            <w:vAlign w:val="center"/>
          </w:tcPr>
          <w:p w14:paraId="2CF0A59C">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站房</w:t>
            </w:r>
          </w:p>
        </w:tc>
        <w:tc>
          <w:tcPr>
            <w:tcW w:w="945" w:type="dxa"/>
            <w:tcBorders>
              <w:bottom w:val="single" w:color="auto" w:sz="4" w:space="0"/>
            </w:tcBorders>
            <w:vAlign w:val="center"/>
          </w:tcPr>
          <w:p w14:paraId="1043CF89">
            <w:pPr>
              <w:pStyle w:val="6"/>
              <w:adjustRightInd w:val="0"/>
              <w:snapToGrid w:val="0"/>
              <w:spacing w:after="0"/>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5</w:t>
            </w:r>
          </w:p>
        </w:tc>
        <w:tc>
          <w:tcPr>
            <w:tcW w:w="1335" w:type="dxa"/>
            <w:tcBorders>
              <w:bottom w:val="single" w:color="auto" w:sz="4" w:space="0"/>
            </w:tcBorders>
            <w:vAlign w:val="center"/>
          </w:tcPr>
          <w:p w14:paraId="2C4C70E1">
            <w:pPr>
              <w:pStyle w:val="6"/>
              <w:adjustRightInd w:val="0"/>
              <w:snapToGrid w:val="0"/>
              <w:spacing w:after="0"/>
              <w:jc w:val="center"/>
              <w:rPr>
                <w:rFonts w:hint="default" w:ascii="Times New Roman" w:hAnsi="Times New Roman" w:eastAsia="宋体" w:cs="Times New Roman"/>
                <w:b w:val="0"/>
                <w:bCs w:val="0"/>
                <w:szCs w:val="21"/>
                <w:lang w:val="en-US" w:eastAsia="zh-CN"/>
              </w:rPr>
            </w:pPr>
            <w:r>
              <w:rPr>
                <w:rFonts w:hint="eastAsia" w:cs="Times New Roman"/>
                <w:b w:val="0"/>
                <w:bCs w:val="0"/>
                <w:szCs w:val="21"/>
                <w:lang w:val="en-US" w:eastAsia="zh-CN"/>
              </w:rPr>
              <w:t>14.1</w:t>
            </w:r>
          </w:p>
        </w:tc>
        <w:tc>
          <w:tcPr>
            <w:tcW w:w="1005" w:type="dxa"/>
            <w:tcBorders>
              <w:bottom w:val="single" w:color="auto" w:sz="4" w:space="0"/>
            </w:tcBorders>
            <w:vAlign w:val="center"/>
          </w:tcPr>
          <w:p w14:paraId="1E5B3A2C">
            <w:pPr>
              <w:jc w:val="center"/>
              <w:rPr>
                <w:rFonts w:hint="default" w:ascii="Times New Roman" w:hAnsi="Times New Roman" w:cs="Times New Roman"/>
                <w:b w:val="0"/>
                <w:bCs w:val="0"/>
                <w:szCs w:val="21"/>
              </w:rPr>
            </w:pPr>
            <w:r>
              <w:rPr>
                <w:rFonts w:hint="default" w:ascii="Times New Roman" w:hAnsi="Times New Roman" w:cs="Times New Roman"/>
                <w:b w:val="0"/>
                <w:bCs w:val="0"/>
              </w:rPr>
              <w:t>①</w:t>
            </w:r>
          </w:p>
        </w:tc>
        <w:tc>
          <w:tcPr>
            <w:tcW w:w="1154" w:type="dxa"/>
            <w:tcBorders>
              <w:bottom w:val="single" w:color="auto" w:sz="4" w:space="0"/>
            </w:tcBorders>
            <w:vAlign w:val="center"/>
          </w:tcPr>
          <w:p w14:paraId="17116144">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24097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495A7993">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bookmarkStart w:id="482" w:name="_Toc41246769"/>
            <w:bookmarkStart w:id="483" w:name="_Toc30939"/>
          </w:p>
        </w:tc>
        <w:tc>
          <w:tcPr>
            <w:tcW w:w="1250" w:type="dxa"/>
            <w:vMerge w:val="continue"/>
            <w:vAlign w:val="center"/>
          </w:tcPr>
          <w:p w14:paraId="4C982929">
            <w:pPr>
              <w:pStyle w:val="6"/>
              <w:adjustRightInd w:val="0"/>
              <w:snapToGrid w:val="0"/>
              <w:spacing w:after="0"/>
              <w:jc w:val="center"/>
              <w:rPr>
                <w:rFonts w:hint="default" w:ascii="Times New Roman" w:hAnsi="Times New Roman" w:cs="Times New Roman"/>
                <w:b w:val="0"/>
                <w:bCs w:val="0"/>
                <w:szCs w:val="21"/>
              </w:rPr>
            </w:pPr>
          </w:p>
        </w:tc>
        <w:tc>
          <w:tcPr>
            <w:tcW w:w="1016" w:type="dxa"/>
            <w:vAlign w:val="center"/>
          </w:tcPr>
          <w:p w14:paraId="0B9C2EFD">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北</w:t>
            </w:r>
          </w:p>
        </w:tc>
        <w:tc>
          <w:tcPr>
            <w:tcW w:w="2205" w:type="dxa"/>
            <w:vAlign w:val="center"/>
          </w:tcPr>
          <w:p w14:paraId="37FAB555">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围墙</w:t>
            </w:r>
          </w:p>
        </w:tc>
        <w:tc>
          <w:tcPr>
            <w:tcW w:w="945" w:type="dxa"/>
            <w:vAlign w:val="center"/>
          </w:tcPr>
          <w:p w14:paraId="11B0E2AD">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w:t>
            </w:r>
          </w:p>
        </w:tc>
        <w:tc>
          <w:tcPr>
            <w:tcW w:w="1335" w:type="dxa"/>
            <w:vAlign w:val="center"/>
          </w:tcPr>
          <w:p w14:paraId="403A46B9">
            <w:pPr>
              <w:pStyle w:val="6"/>
              <w:adjustRightInd w:val="0"/>
              <w:snapToGrid w:val="0"/>
              <w:spacing w:after="0"/>
              <w:jc w:val="center"/>
              <w:rPr>
                <w:rFonts w:hint="default" w:ascii="Times New Roman" w:hAnsi="Times New Roman" w:cs="Times New Roman"/>
                <w:b w:val="0"/>
                <w:bCs w:val="0"/>
                <w:szCs w:val="21"/>
                <w:lang w:val="en-US" w:eastAsia="zh-CN"/>
              </w:rPr>
            </w:pPr>
            <w:r>
              <w:rPr>
                <w:rFonts w:hint="eastAsia" w:cs="Times New Roman"/>
                <w:b w:val="0"/>
                <w:bCs w:val="0"/>
                <w:szCs w:val="21"/>
                <w:lang w:val="en-US" w:eastAsia="zh-CN"/>
              </w:rPr>
              <w:t>14.5</w:t>
            </w:r>
          </w:p>
        </w:tc>
        <w:tc>
          <w:tcPr>
            <w:tcW w:w="1005" w:type="dxa"/>
            <w:vAlign w:val="center"/>
          </w:tcPr>
          <w:p w14:paraId="5B88883C">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07F523E3">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152A0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0" w:type="dxa"/>
            <w:vAlign w:val="center"/>
          </w:tcPr>
          <w:p w14:paraId="6DA24191">
            <w:pPr>
              <w:pStyle w:val="6"/>
              <w:numPr>
                <w:ilvl w:val="0"/>
                <w:numId w:val="33"/>
              </w:numPr>
              <w:adjustRightInd w:val="0"/>
              <w:snapToGrid w:val="0"/>
              <w:spacing w:after="0" w:line="360" w:lineRule="auto"/>
              <w:ind w:left="0" w:firstLine="0"/>
              <w:jc w:val="center"/>
              <w:rPr>
                <w:rFonts w:hint="default" w:ascii="Times New Roman" w:hAnsi="Times New Roman" w:cs="Times New Roman"/>
                <w:b w:val="0"/>
                <w:bCs w:val="0"/>
                <w:szCs w:val="21"/>
              </w:rPr>
            </w:pPr>
          </w:p>
        </w:tc>
        <w:tc>
          <w:tcPr>
            <w:tcW w:w="1250" w:type="dxa"/>
            <w:vMerge w:val="continue"/>
            <w:vAlign w:val="center"/>
          </w:tcPr>
          <w:p w14:paraId="19A89B52">
            <w:pPr>
              <w:pStyle w:val="6"/>
              <w:adjustRightInd w:val="0"/>
              <w:snapToGrid w:val="0"/>
              <w:spacing w:after="0"/>
              <w:jc w:val="center"/>
              <w:rPr>
                <w:rFonts w:hint="default" w:ascii="Times New Roman" w:hAnsi="Times New Roman" w:cs="Times New Roman"/>
                <w:b w:val="0"/>
                <w:bCs w:val="0"/>
                <w:szCs w:val="21"/>
              </w:rPr>
            </w:pPr>
          </w:p>
        </w:tc>
        <w:tc>
          <w:tcPr>
            <w:tcW w:w="1016" w:type="dxa"/>
            <w:vAlign w:val="center"/>
          </w:tcPr>
          <w:p w14:paraId="681B8CD3">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南</w:t>
            </w:r>
          </w:p>
        </w:tc>
        <w:tc>
          <w:tcPr>
            <w:tcW w:w="2205" w:type="dxa"/>
            <w:vAlign w:val="center"/>
          </w:tcPr>
          <w:p w14:paraId="42EF79B4">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围墙</w:t>
            </w:r>
          </w:p>
        </w:tc>
        <w:tc>
          <w:tcPr>
            <w:tcW w:w="945" w:type="dxa"/>
            <w:vAlign w:val="center"/>
          </w:tcPr>
          <w:p w14:paraId="1F0FFA0E">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w:t>
            </w:r>
          </w:p>
        </w:tc>
        <w:tc>
          <w:tcPr>
            <w:tcW w:w="1335" w:type="dxa"/>
            <w:vAlign w:val="center"/>
          </w:tcPr>
          <w:p w14:paraId="1E33578C">
            <w:pPr>
              <w:pStyle w:val="6"/>
              <w:adjustRightInd w:val="0"/>
              <w:snapToGrid w:val="0"/>
              <w:spacing w:after="0"/>
              <w:jc w:val="center"/>
              <w:rPr>
                <w:rFonts w:hint="default" w:cs="Times New Roman"/>
                <w:b w:val="0"/>
                <w:bCs w:val="0"/>
                <w:szCs w:val="21"/>
                <w:lang w:val="en-US" w:eastAsia="zh-CN"/>
              </w:rPr>
            </w:pPr>
            <w:r>
              <w:rPr>
                <w:rFonts w:hint="eastAsia" w:cs="Times New Roman"/>
                <w:b w:val="0"/>
                <w:bCs w:val="0"/>
                <w:szCs w:val="21"/>
                <w:lang w:val="en-US" w:eastAsia="zh-CN"/>
              </w:rPr>
              <w:t>11.9</w:t>
            </w:r>
          </w:p>
        </w:tc>
        <w:tc>
          <w:tcPr>
            <w:tcW w:w="1005" w:type="dxa"/>
            <w:vAlign w:val="center"/>
          </w:tcPr>
          <w:p w14:paraId="04CC4AA5">
            <w:pPr>
              <w:jc w:val="center"/>
              <w:rPr>
                <w:rFonts w:hint="default" w:ascii="Times New Roman" w:hAnsi="Times New Roman" w:cs="Times New Roman"/>
                <w:b w:val="0"/>
                <w:bCs w:val="0"/>
              </w:rPr>
            </w:pPr>
            <w:r>
              <w:rPr>
                <w:rFonts w:hint="default" w:ascii="Times New Roman" w:hAnsi="Times New Roman" w:cs="Times New Roman"/>
                <w:b w:val="0"/>
                <w:bCs w:val="0"/>
              </w:rPr>
              <w:t>①</w:t>
            </w:r>
          </w:p>
        </w:tc>
        <w:tc>
          <w:tcPr>
            <w:tcW w:w="1154" w:type="dxa"/>
            <w:vAlign w:val="center"/>
          </w:tcPr>
          <w:p w14:paraId="41CA6A7F">
            <w:pPr>
              <w:jc w:val="center"/>
              <w:rPr>
                <w:rFonts w:hint="default" w:ascii="Times New Roman" w:hAnsi="Times New Roman" w:cs="Times New Roman"/>
                <w:b w:val="0"/>
                <w:bCs w:val="0"/>
                <w:szCs w:val="21"/>
              </w:rPr>
            </w:pPr>
            <w:r>
              <w:rPr>
                <w:rFonts w:hint="default" w:ascii="Times New Roman" w:hAnsi="Times New Roman" w:cs="Times New Roman"/>
                <w:b w:val="0"/>
                <w:bCs w:val="0"/>
                <w:szCs w:val="21"/>
              </w:rPr>
              <w:t>符合</w:t>
            </w:r>
          </w:p>
        </w:tc>
      </w:tr>
      <w:tr w14:paraId="1BB0B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00" w:type="dxa"/>
            <w:gridSpan w:val="8"/>
            <w:tcBorders>
              <w:bottom w:val="single" w:color="auto" w:sz="4" w:space="0"/>
            </w:tcBorders>
            <w:vAlign w:val="center"/>
          </w:tcPr>
          <w:p w14:paraId="16B6FBD1">
            <w:pPr>
              <w:jc w:val="both"/>
              <w:rPr>
                <w:rFonts w:hint="default" w:cs="Times New Roman"/>
                <w:b w:val="0"/>
                <w:bCs w:val="0"/>
                <w:color w:val="auto"/>
                <w:szCs w:val="21"/>
                <w:highlight w:val="none"/>
                <w:lang w:val="en-US" w:eastAsia="zh-CN"/>
              </w:rPr>
            </w:pPr>
            <w:r>
              <w:rPr>
                <w:rFonts w:hint="default" w:ascii="Times New Roman" w:hAnsi="Times New Roman" w:cs="Times New Roman"/>
                <w:b w:val="0"/>
                <w:bCs w:val="0"/>
                <w:color w:val="auto"/>
                <w:szCs w:val="21"/>
                <w:highlight w:val="none"/>
              </w:rPr>
              <w:t>注：①根据《汽车加油加气加氢站技术标准》（GB 50156-2021）表</w:t>
            </w:r>
            <w:r>
              <w:rPr>
                <w:rFonts w:hint="eastAsia" w:cs="Times New Roman"/>
                <w:b w:val="0"/>
                <w:bCs w:val="0"/>
                <w:color w:val="auto"/>
                <w:szCs w:val="21"/>
                <w:highlight w:val="none"/>
                <w:lang w:val="en-US" w:eastAsia="zh-CN"/>
              </w:rPr>
              <w:t>5.0.13-1。</w:t>
            </w:r>
          </w:p>
        </w:tc>
      </w:tr>
    </w:tbl>
    <w:p w14:paraId="575443EC">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84" w:name="_Toc23775"/>
      <w:r>
        <w:rPr>
          <w:rFonts w:hint="default" w:ascii="Times New Roman" w:hAnsi="Times New Roman" w:eastAsia="楷体" w:cs="Times New Roman"/>
          <w:b/>
          <w:bCs/>
          <w:sz w:val="32"/>
          <w:szCs w:val="32"/>
          <w:lang w:val="en-US" w:eastAsia="zh-CN"/>
        </w:rPr>
        <w:t>F4.2预先危险性分析</w:t>
      </w:r>
      <w:bookmarkEnd w:id="481"/>
      <w:bookmarkEnd w:id="482"/>
      <w:bookmarkEnd w:id="483"/>
      <w:bookmarkEnd w:id="484"/>
    </w:p>
    <w:p w14:paraId="24D418B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r>
        <w:rPr>
          <w:rFonts w:hint="default" w:ascii="Times New Roman" w:hAnsi="Times New Roman" w:cs="Times New Roman"/>
          <w:sz w:val="28"/>
          <w:szCs w:val="28"/>
        </w:rPr>
        <w:t>为衡量系统危险性的大小及对系统的破坏程度，将各类危险性划分为4个等级，见F表4</w:t>
      </w:r>
      <w:r>
        <w:rPr>
          <w:rFonts w:hint="eastAsia" w:ascii="Times New Roman" w:hAnsi="Times New Roman" w:cs="Times New Roman"/>
          <w:sz w:val="28"/>
          <w:szCs w:val="28"/>
          <w:lang w:val="en-US" w:eastAsia="zh-CN"/>
        </w:rPr>
        <w:t>.2</w:t>
      </w:r>
      <w:r>
        <w:rPr>
          <w:rFonts w:hint="default" w:ascii="Times New Roman" w:hAnsi="Times New Roman" w:cs="Times New Roman"/>
          <w:sz w:val="28"/>
          <w:szCs w:val="28"/>
        </w:rPr>
        <w:t>-</w:t>
      </w:r>
      <w:r>
        <w:rPr>
          <w:rFonts w:hint="eastAsia" w:ascii="Times New Roman" w:hAnsi="Times New Roman" w:cs="Times New Roman"/>
          <w:sz w:val="28"/>
          <w:szCs w:val="28"/>
          <w:lang w:val="en-US" w:eastAsia="zh-CN"/>
        </w:rPr>
        <w:t>1</w:t>
      </w:r>
      <w:r>
        <w:rPr>
          <w:rFonts w:hint="default" w:ascii="Times New Roman" w:hAnsi="Times New Roman" w:cs="Times New Roman"/>
          <w:sz w:val="28"/>
          <w:szCs w:val="28"/>
        </w:rPr>
        <w:t>；以下对本项目存在的主要危险因素进行分析，结果如F表4</w:t>
      </w:r>
      <w:r>
        <w:rPr>
          <w:rFonts w:hint="eastAsia" w:ascii="Times New Roman" w:hAnsi="Times New Roman" w:cs="Times New Roman"/>
          <w:sz w:val="28"/>
          <w:szCs w:val="28"/>
          <w:lang w:val="en-US" w:eastAsia="zh-CN"/>
        </w:rPr>
        <w:t>.2</w:t>
      </w:r>
      <w:r>
        <w:rPr>
          <w:rFonts w:hint="default" w:ascii="Times New Roman" w:hAnsi="Times New Roman" w:cs="Times New Roman"/>
          <w:sz w:val="28"/>
          <w:szCs w:val="28"/>
        </w:rPr>
        <w:t>-</w:t>
      </w:r>
      <w:r>
        <w:rPr>
          <w:rFonts w:hint="eastAsia" w:ascii="Times New Roman" w:hAnsi="Times New Roman" w:cs="Times New Roman"/>
          <w:sz w:val="28"/>
          <w:szCs w:val="28"/>
          <w:lang w:val="en-US" w:eastAsia="zh-CN"/>
        </w:rPr>
        <w:t>2</w:t>
      </w:r>
      <w:r>
        <w:rPr>
          <w:rFonts w:hint="default" w:ascii="Times New Roman" w:hAnsi="Times New Roman" w:cs="Times New Roman"/>
          <w:sz w:val="28"/>
          <w:szCs w:val="28"/>
        </w:rPr>
        <w:t>所示。</w:t>
      </w:r>
    </w:p>
    <w:p w14:paraId="51A68303">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w:t>
      </w:r>
      <w:r>
        <w:rPr>
          <w:rFonts w:hint="eastAsia" w:ascii="Times New Roman" w:hAnsi="Times New Roman" w:eastAsia="黑体" w:cs="Times New Roman"/>
          <w:b w:val="0"/>
          <w:bCs w:val="0"/>
          <w:sz w:val="24"/>
          <w:lang w:val="en-US" w:eastAsia="zh-CN"/>
        </w:rPr>
        <w:t xml:space="preserve">4.2-1  </w:t>
      </w:r>
      <w:r>
        <w:rPr>
          <w:rFonts w:hint="default" w:ascii="Times New Roman" w:hAnsi="Times New Roman" w:eastAsia="黑体" w:cs="Times New Roman"/>
          <w:b w:val="0"/>
          <w:bCs w:val="0"/>
          <w:sz w:val="24"/>
        </w:rPr>
        <w:t>预先危险性分析危险级别划分表</w:t>
      </w:r>
    </w:p>
    <w:tbl>
      <w:tblPr>
        <w:tblStyle w:val="13"/>
        <w:tblW w:w="96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2"/>
        <w:gridCol w:w="1985"/>
        <w:gridCol w:w="6553"/>
      </w:tblGrid>
      <w:tr w14:paraId="1F754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exact"/>
          <w:jc w:val="center"/>
        </w:trPr>
        <w:tc>
          <w:tcPr>
            <w:tcW w:w="1112" w:type="dxa"/>
            <w:vAlign w:val="center"/>
          </w:tcPr>
          <w:p w14:paraId="248AFD00">
            <w:pPr>
              <w:ind w:firstLine="211"/>
              <w:jc w:val="center"/>
              <w:rPr>
                <w:rFonts w:hint="default" w:ascii="Times New Roman" w:hAnsi="Times New Roman" w:cs="Times New Roman"/>
                <w:b w:val="0"/>
                <w:bCs/>
                <w:sz w:val="21"/>
                <w:szCs w:val="21"/>
              </w:rPr>
            </w:pPr>
            <w:r>
              <w:rPr>
                <w:rFonts w:hint="default" w:ascii="Times New Roman" w:hAnsi="Times New Roman" w:cs="Times New Roman"/>
                <w:b w:val="0"/>
                <w:bCs/>
                <w:sz w:val="21"/>
                <w:szCs w:val="21"/>
              </w:rPr>
              <w:t>级别</w:t>
            </w:r>
          </w:p>
        </w:tc>
        <w:tc>
          <w:tcPr>
            <w:tcW w:w="1985" w:type="dxa"/>
            <w:vAlign w:val="center"/>
          </w:tcPr>
          <w:p w14:paraId="652D23F3">
            <w:pPr>
              <w:ind w:firstLine="211"/>
              <w:jc w:val="center"/>
              <w:rPr>
                <w:rFonts w:hint="default" w:ascii="Times New Roman" w:hAnsi="Times New Roman" w:cs="Times New Roman"/>
                <w:b w:val="0"/>
                <w:bCs/>
                <w:sz w:val="21"/>
                <w:szCs w:val="21"/>
              </w:rPr>
            </w:pPr>
            <w:r>
              <w:rPr>
                <w:rFonts w:hint="default" w:ascii="Times New Roman" w:hAnsi="Times New Roman" w:cs="Times New Roman"/>
                <w:b w:val="0"/>
                <w:bCs/>
                <w:sz w:val="21"/>
                <w:szCs w:val="21"/>
              </w:rPr>
              <w:t>危险程度</w:t>
            </w:r>
          </w:p>
        </w:tc>
        <w:tc>
          <w:tcPr>
            <w:tcW w:w="6553" w:type="dxa"/>
            <w:vAlign w:val="center"/>
          </w:tcPr>
          <w:p w14:paraId="4BF7ACBB">
            <w:pPr>
              <w:ind w:firstLine="211"/>
              <w:jc w:val="center"/>
              <w:rPr>
                <w:rFonts w:hint="default" w:ascii="Times New Roman" w:hAnsi="Times New Roman" w:cs="Times New Roman"/>
                <w:b w:val="0"/>
                <w:bCs/>
                <w:sz w:val="21"/>
                <w:szCs w:val="21"/>
              </w:rPr>
            </w:pPr>
            <w:r>
              <w:rPr>
                <w:rFonts w:hint="default" w:ascii="Times New Roman" w:hAnsi="Times New Roman" w:cs="Times New Roman"/>
                <w:b w:val="0"/>
                <w:bCs/>
                <w:sz w:val="21"/>
                <w:szCs w:val="21"/>
              </w:rPr>
              <w:t>可能导致的后果</w:t>
            </w:r>
          </w:p>
        </w:tc>
      </w:tr>
      <w:tr w14:paraId="6C047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exact"/>
          <w:jc w:val="center"/>
        </w:trPr>
        <w:tc>
          <w:tcPr>
            <w:tcW w:w="1112" w:type="dxa"/>
            <w:vAlign w:val="center"/>
          </w:tcPr>
          <w:p w14:paraId="3E9EE7CF">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Ⅰ</w:t>
            </w:r>
          </w:p>
        </w:tc>
        <w:tc>
          <w:tcPr>
            <w:tcW w:w="1985" w:type="dxa"/>
            <w:vAlign w:val="center"/>
          </w:tcPr>
          <w:p w14:paraId="1AC6A666">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安全的</w:t>
            </w:r>
          </w:p>
        </w:tc>
        <w:tc>
          <w:tcPr>
            <w:tcW w:w="6553" w:type="dxa"/>
            <w:vAlign w:val="center"/>
          </w:tcPr>
          <w:p w14:paraId="4B51E29D">
            <w:pP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不会造成人员伤亡和系统损坏</w:t>
            </w:r>
          </w:p>
        </w:tc>
      </w:tr>
      <w:tr w14:paraId="14880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exact"/>
          <w:jc w:val="center"/>
        </w:trPr>
        <w:tc>
          <w:tcPr>
            <w:tcW w:w="1112" w:type="dxa"/>
            <w:vAlign w:val="center"/>
          </w:tcPr>
          <w:p w14:paraId="2CC7832C">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Ⅱ</w:t>
            </w:r>
          </w:p>
        </w:tc>
        <w:tc>
          <w:tcPr>
            <w:tcW w:w="1985" w:type="dxa"/>
            <w:vAlign w:val="center"/>
          </w:tcPr>
          <w:p w14:paraId="47CB2D21">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临界的</w:t>
            </w:r>
          </w:p>
        </w:tc>
        <w:tc>
          <w:tcPr>
            <w:tcW w:w="6553" w:type="dxa"/>
            <w:vAlign w:val="center"/>
          </w:tcPr>
          <w:p w14:paraId="611CB947">
            <w:pP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处于事故边缘，暂时不会造成人员伤亡、系统损坏或降低性能，但应予以排除或采取控制措施</w:t>
            </w:r>
          </w:p>
        </w:tc>
      </w:tr>
      <w:tr w14:paraId="2A133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exact"/>
          <w:jc w:val="center"/>
        </w:trPr>
        <w:tc>
          <w:tcPr>
            <w:tcW w:w="1112" w:type="dxa"/>
            <w:vAlign w:val="center"/>
          </w:tcPr>
          <w:p w14:paraId="2C202B19">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Ⅲ</w:t>
            </w:r>
          </w:p>
        </w:tc>
        <w:tc>
          <w:tcPr>
            <w:tcW w:w="1985" w:type="dxa"/>
            <w:vAlign w:val="center"/>
          </w:tcPr>
          <w:p w14:paraId="29D5F55F">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危险的</w:t>
            </w:r>
          </w:p>
        </w:tc>
        <w:tc>
          <w:tcPr>
            <w:tcW w:w="6553" w:type="dxa"/>
            <w:vAlign w:val="center"/>
          </w:tcPr>
          <w:p w14:paraId="50A2A26D">
            <w:pP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会造成人员伤亡和系统损坏，要立即采取防范对策措施</w:t>
            </w:r>
          </w:p>
        </w:tc>
      </w:tr>
      <w:tr w14:paraId="67009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exact"/>
          <w:jc w:val="center"/>
        </w:trPr>
        <w:tc>
          <w:tcPr>
            <w:tcW w:w="1112" w:type="dxa"/>
            <w:vAlign w:val="center"/>
          </w:tcPr>
          <w:p w14:paraId="7BD74DCB">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Ⅳ</w:t>
            </w:r>
          </w:p>
        </w:tc>
        <w:tc>
          <w:tcPr>
            <w:tcW w:w="1985" w:type="dxa"/>
            <w:vAlign w:val="center"/>
          </w:tcPr>
          <w:p w14:paraId="7A58C2D7">
            <w:pPr>
              <w:jc w:val="cente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灾难性的</w:t>
            </w:r>
          </w:p>
        </w:tc>
        <w:tc>
          <w:tcPr>
            <w:tcW w:w="6553" w:type="dxa"/>
            <w:vAlign w:val="center"/>
          </w:tcPr>
          <w:p w14:paraId="4208EF23">
            <w:pPr>
              <w:rPr>
                <w:rFonts w:hint="default" w:ascii="Times New Roman" w:hAnsi="Times New Roman" w:cs="Times New Roman"/>
                <w:b w:val="0"/>
                <w:bCs/>
                <w:snapToGrid w:val="0"/>
                <w:sz w:val="21"/>
                <w:szCs w:val="21"/>
              </w:rPr>
            </w:pPr>
            <w:r>
              <w:rPr>
                <w:rFonts w:hint="default" w:ascii="Times New Roman" w:hAnsi="Times New Roman" w:cs="Times New Roman"/>
                <w:b w:val="0"/>
                <w:bCs/>
                <w:snapToGrid w:val="0"/>
                <w:sz w:val="21"/>
                <w:szCs w:val="21"/>
              </w:rPr>
              <w:t>造成重大伤亡及系统严重破坏的灾难性事故，必须予以果断排除并进行重点防范</w:t>
            </w:r>
          </w:p>
        </w:tc>
      </w:tr>
    </w:tbl>
    <w:p w14:paraId="00471CF2">
      <w:pPr>
        <w:rPr>
          <w:rFonts w:hint="default" w:ascii="Times New Roman" w:hAnsi="Times New Roman" w:cs="Times New Roman"/>
        </w:rPr>
      </w:pPr>
    </w:p>
    <w:p w14:paraId="3ED7AD9E">
      <w:pPr>
        <w:ind w:firstLine="240"/>
        <w:jc w:val="center"/>
        <w:rPr>
          <w:rFonts w:hint="default" w:ascii="Times New Roman" w:hAnsi="Times New Roman" w:cs="Times New Roman"/>
          <w:sz w:val="24"/>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3F566DD5">
      <w:pPr>
        <w:keepNext w:val="0"/>
        <w:keepLines w:val="0"/>
        <w:pageBreakBefore w:val="0"/>
        <w:widowControl w:val="0"/>
        <w:kinsoku/>
        <w:wordWrap/>
        <w:overflowPunct/>
        <w:topLinePunct w:val="0"/>
        <w:autoSpaceDE/>
        <w:autoSpaceDN/>
        <w:bidi w:val="0"/>
        <w:adjustRightInd/>
        <w:snapToGrid/>
        <w:spacing w:before="164" w:beforeLines="50" w:after="164" w:afterLines="50"/>
        <w:ind w:firstLine="0"/>
        <w:jc w:val="center"/>
        <w:textAlignment w:val="auto"/>
        <w:rPr>
          <w:rFonts w:hint="default" w:ascii="Times New Roman" w:hAnsi="Times New Roman" w:eastAsia="黑体" w:cs="Times New Roman"/>
          <w:b w:val="0"/>
          <w:bCs w:val="0"/>
          <w:sz w:val="24"/>
        </w:rPr>
      </w:pPr>
      <w:r>
        <w:rPr>
          <w:rFonts w:hint="default" w:ascii="Times New Roman" w:hAnsi="Times New Roman" w:eastAsia="黑体" w:cs="Times New Roman"/>
          <w:b w:val="0"/>
          <w:bCs w:val="0"/>
          <w:sz w:val="24"/>
        </w:rPr>
        <w:t>F表4</w:t>
      </w:r>
      <w:r>
        <w:rPr>
          <w:rFonts w:hint="eastAsia" w:ascii="Times New Roman" w:hAnsi="Times New Roman" w:eastAsia="黑体" w:cs="Times New Roman"/>
          <w:b w:val="0"/>
          <w:bCs w:val="0"/>
          <w:sz w:val="24"/>
          <w:lang w:val="en-US" w:eastAsia="zh-CN"/>
        </w:rPr>
        <w:t xml:space="preserve">.2-2  </w:t>
      </w:r>
      <w:r>
        <w:rPr>
          <w:rFonts w:hint="default" w:ascii="Times New Roman" w:hAnsi="Times New Roman" w:eastAsia="黑体" w:cs="Times New Roman"/>
          <w:b w:val="0"/>
          <w:bCs w:val="0"/>
          <w:sz w:val="24"/>
        </w:rPr>
        <w:t>建设项目危险因素评价（预先危险性分析方法）</w:t>
      </w:r>
    </w:p>
    <w:tbl>
      <w:tblPr>
        <w:tblStyle w:val="1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0"/>
        <w:gridCol w:w="1052"/>
        <w:gridCol w:w="2105"/>
        <w:gridCol w:w="1263"/>
        <w:gridCol w:w="2569"/>
        <w:gridCol w:w="728"/>
        <w:gridCol w:w="742"/>
        <w:gridCol w:w="4953"/>
      </w:tblGrid>
      <w:tr w14:paraId="2D621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1090" w:type="dxa"/>
            <w:vAlign w:val="center"/>
          </w:tcPr>
          <w:p w14:paraId="32B59DEE">
            <w:pPr>
              <w:spacing w:line="240" w:lineRule="atLeast"/>
              <w:jc w:val="center"/>
              <w:rPr>
                <w:rFonts w:hint="default" w:ascii="Times New Roman" w:hAnsi="Times New Roman" w:cs="Times New Roman"/>
                <w:szCs w:val="21"/>
              </w:rPr>
            </w:pPr>
            <w:bookmarkStart w:id="485" w:name="_Toc410311935"/>
            <w:bookmarkStart w:id="486" w:name="_Toc410312012"/>
            <w:bookmarkStart w:id="487" w:name="_Toc41246771"/>
            <w:r>
              <w:rPr>
                <w:rFonts w:hint="default" w:ascii="Times New Roman" w:hAnsi="Times New Roman" w:cs="Times New Roman"/>
                <w:szCs w:val="21"/>
              </w:rPr>
              <w:t>潜在</w:t>
            </w:r>
          </w:p>
          <w:p w14:paraId="430DE56C">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事故</w:t>
            </w:r>
          </w:p>
        </w:tc>
        <w:tc>
          <w:tcPr>
            <w:tcW w:w="1052" w:type="dxa"/>
            <w:vAlign w:val="center"/>
          </w:tcPr>
          <w:p w14:paraId="45217790">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危险危害因素</w:t>
            </w:r>
          </w:p>
        </w:tc>
        <w:tc>
          <w:tcPr>
            <w:tcW w:w="2105" w:type="dxa"/>
            <w:vAlign w:val="center"/>
          </w:tcPr>
          <w:p w14:paraId="58A00F69">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触发事件</w:t>
            </w:r>
          </w:p>
        </w:tc>
        <w:tc>
          <w:tcPr>
            <w:tcW w:w="1263" w:type="dxa"/>
            <w:vAlign w:val="center"/>
          </w:tcPr>
          <w:p w14:paraId="5DBB44CA">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现象</w:t>
            </w:r>
          </w:p>
        </w:tc>
        <w:tc>
          <w:tcPr>
            <w:tcW w:w="2569" w:type="dxa"/>
            <w:vAlign w:val="center"/>
          </w:tcPr>
          <w:p w14:paraId="05406C6A">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形成事故</w:t>
            </w:r>
          </w:p>
          <w:p w14:paraId="1FBF185E">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原因事件</w:t>
            </w:r>
          </w:p>
        </w:tc>
        <w:tc>
          <w:tcPr>
            <w:tcW w:w="728" w:type="dxa"/>
            <w:vAlign w:val="center"/>
          </w:tcPr>
          <w:p w14:paraId="48F28819">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事故</w:t>
            </w:r>
          </w:p>
          <w:p w14:paraId="4E2A111C">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后果</w:t>
            </w:r>
          </w:p>
        </w:tc>
        <w:tc>
          <w:tcPr>
            <w:tcW w:w="742" w:type="dxa"/>
            <w:vAlign w:val="center"/>
          </w:tcPr>
          <w:p w14:paraId="536D869B">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危险等级</w:t>
            </w:r>
          </w:p>
        </w:tc>
        <w:tc>
          <w:tcPr>
            <w:tcW w:w="4953" w:type="dxa"/>
            <w:vAlign w:val="center"/>
          </w:tcPr>
          <w:p w14:paraId="282373E8">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措施</w:t>
            </w:r>
          </w:p>
        </w:tc>
      </w:tr>
      <w:tr w14:paraId="3237E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52AFFB02">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火灾</w:t>
            </w:r>
          </w:p>
        </w:tc>
        <w:tc>
          <w:tcPr>
            <w:tcW w:w="1052" w:type="dxa"/>
            <w:vAlign w:val="center"/>
          </w:tcPr>
          <w:p w14:paraId="2014D6AF">
            <w:pPr>
              <w:spacing w:line="240" w:lineRule="atLeast"/>
              <w:rPr>
                <w:rFonts w:hint="default" w:ascii="Times New Roman" w:hAnsi="Times New Roman" w:cs="Times New Roman"/>
                <w:szCs w:val="21"/>
              </w:rPr>
            </w:pPr>
            <w:r>
              <w:rPr>
                <w:rFonts w:hint="default" w:ascii="Times New Roman" w:hAnsi="Times New Roman" w:cs="Times New Roman"/>
                <w:szCs w:val="21"/>
              </w:rPr>
              <w:t>油品泄漏；油气与空气形成爆炸性混合物</w:t>
            </w:r>
          </w:p>
        </w:tc>
        <w:tc>
          <w:tcPr>
            <w:tcW w:w="2105" w:type="dxa"/>
            <w:vAlign w:val="center"/>
          </w:tcPr>
          <w:p w14:paraId="264A53C7">
            <w:pPr>
              <w:spacing w:line="240" w:lineRule="atLeast"/>
              <w:rPr>
                <w:rFonts w:hint="default" w:ascii="Times New Roman" w:hAnsi="Times New Roman" w:cs="Times New Roman"/>
                <w:szCs w:val="21"/>
              </w:rPr>
            </w:pPr>
            <w:r>
              <w:rPr>
                <w:rFonts w:hint="default" w:ascii="Times New Roman" w:hAnsi="Times New Roman" w:cs="Times New Roman"/>
                <w:szCs w:val="21"/>
              </w:rPr>
              <w:t>1、储罐、管线等破裂泄漏；</w:t>
            </w:r>
          </w:p>
          <w:p w14:paraId="3A0DC8DE">
            <w:pPr>
              <w:spacing w:line="240" w:lineRule="atLeast"/>
              <w:rPr>
                <w:rFonts w:hint="default" w:ascii="Times New Roman" w:hAnsi="Times New Roman" w:cs="Times New Roman"/>
                <w:szCs w:val="21"/>
              </w:rPr>
            </w:pPr>
            <w:r>
              <w:rPr>
                <w:rFonts w:hint="default" w:ascii="Times New Roman" w:hAnsi="Times New Roman" w:cs="Times New Roman"/>
                <w:szCs w:val="21"/>
              </w:rPr>
              <w:t>2、转动设备如泵等密封处泄漏；</w:t>
            </w:r>
          </w:p>
          <w:p w14:paraId="373495A2">
            <w:pPr>
              <w:spacing w:line="240" w:lineRule="atLeast"/>
              <w:rPr>
                <w:rFonts w:hint="default" w:ascii="Times New Roman" w:hAnsi="Times New Roman" w:cs="Times New Roman"/>
                <w:szCs w:val="21"/>
              </w:rPr>
            </w:pPr>
            <w:r>
              <w:rPr>
                <w:rFonts w:hint="default" w:ascii="Times New Roman" w:hAnsi="Times New Roman" w:cs="Times New Roman"/>
                <w:szCs w:val="21"/>
              </w:rPr>
              <w:t>3、阀门、管道连接处泄漏；</w:t>
            </w:r>
          </w:p>
          <w:p w14:paraId="7321A586">
            <w:pPr>
              <w:spacing w:line="240" w:lineRule="atLeast"/>
              <w:rPr>
                <w:rFonts w:hint="default" w:ascii="Times New Roman" w:hAnsi="Times New Roman" w:cs="Times New Roman"/>
                <w:szCs w:val="21"/>
              </w:rPr>
            </w:pPr>
            <w:r>
              <w:rPr>
                <w:rFonts w:hint="default" w:ascii="Times New Roman" w:hAnsi="Times New Roman" w:cs="Times New Roman"/>
                <w:szCs w:val="21"/>
              </w:rPr>
              <w:t>4、设备、阀门、管道等因质量或安装不当泄漏；</w:t>
            </w:r>
          </w:p>
          <w:p w14:paraId="1A957FAC">
            <w:pPr>
              <w:spacing w:line="240" w:lineRule="atLeast"/>
              <w:rPr>
                <w:rFonts w:hint="default" w:ascii="Times New Roman" w:hAnsi="Times New Roman" w:cs="Times New Roman"/>
                <w:szCs w:val="21"/>
              </w:rPr>
            </w:pPr>
            <w:r>
              <w:rPr>
                <w:rFonts w:hint="default" w:ascii="Times New Roman" w:hAnsi="Times New Roman" w:cs="Times New Roman"/>
                <w:szCs w:val="21"/>
              </w:rPr>
              <w:t>5、撞击、人为破坏或自然灾害等造成储罐、管道、加油机等破裂而泄漏。</w:t>
            </w:r>
          </w:p>
        </w:tc>
        <w:tc>
          <w:tcPr>
            <w:tcW w:w="1263" w:type="dxa"/>
            <w:vAlign w:val="center"/>
          </w:tcPr>
          <w:p w14:paraId="392B4811">
            <w:pPr>
              <w:spacing w:line="240" w:lineRule="atLeast"/>
              <w:rPr>
                <w:rFonts w:hint="default" w:ascii="Times New Roman" w:hAnsi="Times New Roman" w:cs="Times New Roman"/>
                <w:szCs w:val="21"/>
              </w:rPr>
            </w:pPr>
            <w:r>
              <w:rPr>
                <w:rFonts w:hint="default" w:ascii="Times New Roman" w:hAnsi="Times New Roman" w:cs="Times New Roman"/>
                <w:szCs w:val="21"/>
              </w:rPr>
              <w:t>遇高热、明火燃烧甚至爆炸</w:t>
            </w:r>
          </w:p>
        </w:tc>
        <w:tc>
          <w:tcPr>
            <w:tcW w:w="2569" w:type="dxa"/>
            <w:vAlign w:val="center"/>
          </w:tcPr>
          <w:p w14:paraId="016C048E">
            <w:pPr>
              <w:spacing w:line="240" w:lineRule="atLeast"/>
              <w:rPr>
                <w:rFonts w:hint="default" w:ascii="Times New Roman" w:hAnsi="Times New Roman" w:cs="Times New Roman"/>
                <w:szCs w:val="21"/>
              </w:rPr>
            </w:pPr>
            <w:r>
              <w:rPr>
                <w:rFonts w:hint="default" w:ascii="Times New Roman" w:hAnsi="Times New Roman" w:cs="Times New Roman"/>
                <w:szCs w:val="21"/>
              </w:rPr>
              <w:t>1.点火吸烟；</w:t>
            </w:r>
          </w:p>
          <w:p w14:paraId="161FA6D8">
            <w:pPr>
              <w:spacing w:line="240" w:lineRule="atLeast"/>
              <w:rPr>
                <w:rFonts w:hint="default" w:ascii="Times New Roman" w:hAnsi="Times New Roman" w:cs="Times New Roman"/>
                <w:szCs w:val="21"/>
              </w:rPr>
            </w:pPr>
            <w:r>
              <w:rPr>
                <w:rFonts w:hint="default" w:ascii="Times New Roman" w:hAnsi="Times New Roman" w:cs="Times New Roman"/>
                <w:szCs w:val="21"/>
              </w:rPr>
              <w:t>2.抢修、检修时违章动火、焊接时未按有关规定动火；</w:t>
            </w:r>
          </w:p>
          <w:p w14:paraId="2791AF68">
            <w:pPr>
              <w:spacing w:line="240" w:lineRule="atLeast"/>
              <w:rPr>
                <w:rFonts w:hint="default" w:ascii="Times New Roman" w:hAnsi="Times New Roman" w:cs="Times New Roman"/>
                <w:szCs w:val="21"/>
              </w:rPr>
            </w:pPr>
            <w:r>
              <w:rPr>
                <w:rFonts w:hint="default" w:ascii="Times New Roman" w:hAnsi="Times New Roman" w:cs="Times New Roman"/>
                <w:szCs w:val="21"/>
              </w:rPr>
              <w:t xml:space="preserve">3.其他火源，电气短路；                      </w:t>
            </w:r>
          </w:p>
          <w:p w14:paraId="63CD3DED">
            <w:pPr>
              <w:spacing w:line="240" w:lineRule="atLeast"/>
              <w:rPr>
                <w:rFonts w:hint="default" w:ascii="Times New Roman" w:hAnsi="Times New Roman" w:cs="Times New Roman"/>
                <w:szCs w:val="21"/>
              </w:rPr>
            </w:pPr>
            <w:r>
              <w:rPr>
                <w:rFonts w:hint="default" w:ascii="Times New Roman" w:hAnsi="Times New Roman" w:cs="Times New Roman"/>
                <w:szCs w:val="21"/>
              </w:rPr>
              <w:t>4.电气线路陈旧老化或受到损坏产生短路火花；</w:t>
            </w:r>
          </w:p>
          <w:p w14:paraId="5F7ED94C">
            <w:pPr>
              <w:spacing w:line="240" w:lineRule="atLeast"/>
              <w:rPr>
                <w:rFonts w:hint="default" w:ascii="Times New Roman" w:hAnsi="Times New Roman" w:cs="Times New Roman"/>
                <w:szCs w:val="21"/>
              </w:rPr>
            </w:pPr>
            <w:r>
              <w:rPr>
                <w:rFonts w:hint="default" w:ascii="Times New Roman" w:hAnsi="Times New Roman" w:cs="Times New Roman"/>
                <w:szCs w:val="21"/>
              </w:rPr>
              <w:t>5.静电放电；</w:t>
            </w:r>
          </w:p>
          <w:p w14:paraId="2F25C1EA">
            <w:pPr>
              <w:spacing w:line="240" w:lineRule="atLeast"/>
              <w:rPr>
                <w:rFonts w:hint="default" w:ascii="Times New Roman" w:hAnsi="Times New Roman" w:cs="Times New Roman"/>
                <w:szCs w:val="21"/>
              </w:rPr>
            </w:pPr>
            <w:r>
              <w:rPr>
                <w:rFonts w:hint="default" w:ascii="Times New Roman" w:hAnsi="Times New Roman" w:cs="Times New Roman"/>
                <w:szCs w:val="21"/>
              </w:rPr>
              <w:t>6.雷击（直接雷击、雷电二次作用、沿着电气线路、金属管道侵入）；</w:t>
            </w:r>
          </w:p>
          <w:p w14:paraId="51EAAE4C">
            <w:pPr>
              <w:spacing w:line="240" w:lineRule="atLeast"/>
              <w:rPr>
                <w:rFonts w:hint="default" w:ascii="Times New Roman" w:hAnsi="Times New Roman" w:cs="Times New Roman"/>
                <w:szCs w:val="21"/>
              </w:rPr>
            </w:pPr>
            <w:r>
              <w:rPr>
                <w:rFonts w:hint="default" w:ascii="Times New Roman" w:hAnsi="Times New Roman" w:cs="Times New Roman"/>
                <w:szCs w:val="21"/>
              </w:rPr>
              <w:t>7.防爆电器失去防爆作用；</w:t>
            </w:r>
          </w:p>
          <w:p w14:paraId="69B581C2">
            <w:pPr>
              <w:spacing w:line="240" w:lineRule="atLeast"/>
              <w:rPr>
                <w:rFonts w:hint="default" w:ascii="Times New Roman" w:hAnsi="Times New Roman" w:cs="Times New Roman"/>
                <w:szCs w:val="21"/>
              </w:rPr>
            </w:pPr>
            <w:r>
              <w:rPr>
                <w:rFonts w:hint="default" w:ascii="Times New Roman" w:hAnsi="Times New Roman" w:cs="Times New Roman"/>
                <w:szCs w:val="21"/>
              </w:rPr>
              <w:t>8.管道沟未填沙，形成限制性空间。</w:t>
            </w:r>
          </w:p>
        </w:tc>
        <w:tc>
          <w:tcPr>
            <w:tcW w:w="728" w:type="dxa"/>
            <w:vAlign w:val="center"/>
          </w:tcPr>
          <w:p w14:paraId="0A7C722B">
            <w:pPr>
              <w:spacing w:line="240" w:lineRule="atLeast"/>
              <w:rPr>
                <w:rFonts w:hint="default" w:ascii="Times New Roman" w:hAnsi="Times New Roman" w:cs="Times New Roman"/>
                <w:szCs w:val="21"/>
              </w:rPr>
            </w:pPr>
            <w:r>
              <w:rPr>
                <w:rFonts w:hint="default" w:ascii="Times New Roman" w:hAnsi="Times New Roman" w:cs="Times New Roman"/>
                <w:szCs w:val="21"/>
              </w:rPr>
              <w:t>财产损失、人员伤亡、物料跑损</w:t>
            </w:r>
          </w:p>
        </w:tc>
        <w:tc>
          <w:tcPr>
            <w:tcW w:w="742" w:type="dxa"/>
            <w:vAlign w:val="center"/>
          </w:tcPr>
          <w:p w14:paraId="34F36F8B">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III</w:t>
            </w:r>
          </w:p>
        </w:tc>
        <w:tc>
          <w:tcPr>
            <w:tcW w:w="4953" w:type="dxa"/>
            <w:vAlign w:val="center"/>
          </w:tcPr>
          <w:p w14:paraId="689F45AC">
            <w:pPr>
              <w:spacing w:line="240" w:lineRule="atLeast"/>
              <w:rPr>
                <w:rFonts w:hint="default" w:ascii="Times New Roman" w:hAnsi="Times New Roman" w:cs="Times New Roman"/>
                <w:szCs w:val="21"/>
              </w:rPr>
            </w:pPr>
            <w:r>
              <w:rPr>
                <w:rFonts w:hint="default" w:ascii="Times New Roman" w:hAnsi="Times New Roman" w:cs="Times New Roman"/>
                <w:szCs w:val="21"/>
              </w:rPr>
              <w:t>1、站内严禁烟火、严禁吸烟；</w:t>
            </w:r>
          </w:p>
          <w:p w14:paraId="279D3FD4">
            <w:pPr>
              <w:spacing w:line="240" w:lineRule="atLeast"/>
              <w:rPr>
                <w:rFonts w:hint="default" w:ascii="Times New Roman" w:hAnsi="Times New Roman" w:cs="Times New Roman"/>
                <w:szCs w:val="21"/>
              </w:rPr>
            </w:pPr>
            <w:r>
              <w:rPr>
                <w:rFonts w:hint="default" w:ascii="Times New Roman" w:hAnsi="Times New Roman" w:cs="Times New Roman"/>
                <w:szCs w:val="21"/>
              </w:rPr>
              <w:t>2、动火时必须严格按动火手续办理动火证，并采取有效防范措施；</w:t>
            </w:r>
          </w:p>
          <w:p w14:paraId="2CABFA68">
            <w:pPr>
              <w:spacing w:line="240" w:lineRule="atLeast"/>
              <w:rPr>
                <w:rFonts w:hint="default" w:ascii="Times New Roman" w:hAnsi="Times New Roman" w:cs="Times New Roman"/>
                <w:szCs w:val="21"/>
              </w:rPr>
            </w:pPr>
            <w:r>
              <w:rPr>
                <w:rFonts w:hint="default" w:ascii="Times New Roman" w:hAnsi="Times New Roman" w:cs="Times New Roman"/>
                <w:szCs w:val="21"/>
              </w:rPr>
              <w:t>3、机动车辆加强管理；</w:t>
            </w:r>
          </w:p>
          <w:p w14:paraId="2D493B4F">
            <w:pPr>
              <w:spacing w:line="240" w:lineRule="atLeast"/>
              <w:rPr>
                <w:rFonts w:hint="default" w:ascii="Times New Roman" w:hAnsi="Times New Roman" w:cs="Times New Roman"/>
                <w:szCs w:val="21"/>
              </w:rPr>
            </w:pPr>
            <w:r>
              <w:rPr>
                <w:rFonts w:hint="default" w:ascii="Times New Roman" w:hAnsi="Times New Roman" w:cs="Times New Roman"/>
                <w:szCs w:val="21"/>
              </w:rPr>
              <w:t>4、明火源安全距离符合规定要求；</w:t>
            </w:r>
          </w:p>
          <w:p w14:paraId="31F207BD">
            <w:pPr>
              <w:spacing w:line="240" w:lineRule="atLeast"/>
              <w:rPr>
                <w:rFonts w:hint="default" w:ascii="Times New Roman" w:hAnsi="Times New Roman" w:cs="Times New Roman"/>
                <w:szCs w:val="21"/>
              </w:rPr>
            </w:pPr>
            <w:r>
              <w:rPr>
                <w:rFonts w:hint="default" w:ascii="Times New Roman" w:hAnsi="Times New Roman" w:cs="Times New Roman"/>
                <w:szCs w:val="21"/>
              </w:rPr>
              <w:t>5、防爆设备的定期检查、鉴定；</w:t>
            </w:r>
          </w:p>
          <w:p w14:paraId="0697060C">
            <w:pPr>
              <w:spacing w:line="240" w:lineRule="atLeast"/>
              <w:rPr>
                <w:rFonts w:hint="eastAsia" w:cs="Times New Roman"/>
                <w:szCs w:val="21"/>
                <w:lang w:val="en-US" w:eastAsia="zh-CN"/>
              </w:rPr>
            </w:pPr>
            <w:r>
              <w:rPr>
                <w:rFonts w:hint="eastAsia" w:cs="Times New Roman"/>
                <w:szCs w:val="21"/>
                <w:lang w:val="en-US" w:eastAsia="zh-CN"/>
              </w:rPr>
              <w:t>6、防雷、防静电设施要完善，并定期检测，确保可靠；</w:t>
            </w:r>
          </w:p>
          <w:p w14:paraId="0CA99A45">
            <w:pPr>
              <w:spacing w:line="240" w:lineRule="atLeast"/>
              <w:rPr>
                <w:rFonts w:hint="eastAsia" w:cs="Times New Roman"/>
                <w:szCs w:val="21"/>
                <w:lang w:val="en-US" w:eastAsia="zh-CN"/>
              </w:rPr>
            </w:pPr>
            <w:r>
              <w:rPr>
                <w:rFonts w:hint="eastAsia" w:cs="Times New Roman"/>
                <w:szCs w:val="21"/>
                <w:lang w:val="en-US" w:eastAsia="zh-CN"/>
              </w:rPr>
              <w:t>7、做好变配电及加油控制室、电气线路、其他用电设备的用电安全作业和运行；</w:t>
            </w:r>
          </w:p>
          <w:p w14:paraId="7525481D">
            <w:pPr>
              <w:spacing w:line="240" w:lineRule="atLeast"/>
              <w:rPr>
                <w:rFonts w:hint="default" w:cs="Times New Roman"/>
                <w:szCs w:val="21"/>
                <w:lang w:val="en-US" w:eastAsia="zh-CN"/>
              </w:rPr>
            </w:pPr>
            <w:r>
              <w:rPr>
                <w:rFonts w:hint="eastAsia" w:cs="Times New Roman"/>
                <w:szCs w:val="21"/>
                <w:lang w:val="en-US" w:eastAsia="zh-CN"/>
              </w:rPr>
              <w:t>8、应用青铜或镀铜工具，用钢制工具时严禁敲打、撞击或抛掷；</w:t>
            </w:r>
          </w:p>
          <w:p w14:paraId="4EC38994">
            <w:pPr>
              <w:spacing w:line="240" w:lineRule="atLeast"/>
              <w:rPr>
                <w:rFonts w:hint="default" w:ascii="Times New Roman" w:hAnsi="Times New Roman" w:cs="Times New Roman"/>
                <w:szCs w:val="21"/>
              </w:rPr>
            </w:pPr>
            <w:r>
              <w:rPr>
                <w:rFonts w:hint="eastAsia" w:cs="Times New Roman"/>
                <w:szCs w:val="21"/>
                <w:lang w:val="en-US" w:eastAsia="zh-CN"/>
              </w:rPr>
              <w:t>9</w:t>
            </w:r>
            <w:r>
              <w:rPr>
                <w:rFonts w:hint="default" w:ascii="Times New Roman" w:hAnsi="Times New Roman" w:cs="Times New Roman"/>
                <w:szCs w:val="21"/>
              </w:rPr>
              <w:t>、管道沟应填沙充实。</w:t>
            </w:r>
          </w:p>
        </w:tc>
      </w:tr>
      <w:tr w14:paraId="69B81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621B3826">
            <w:pPr>
              <w:spacing w:line="240" w:lineRule="atLeast"/>
              <w:jc w:val="center"/>
              <w:rPr>
                <w:rFonts w:hint="eastAsia" w:ascii="Times New Roman" w:hAnsi="Times New Roman" w:eastAsia="宋体" w:cs="Times New Roman"/>
                <w:szCs w:val="21"/>
                <w:lang w:val="en-US" w:eastAsia="zh-CN"/>
              </w:rPr>
            </w:pPr>
            <w:r>
              <w:rPr>
                <w:rFonts w:hint="eastAsia" w:cs="Times New Roman"/>
                <w:szCs w:val="21"/>
                <w:lang w:val="en-US" w:eastAsia="zh-CN"/>
              </w:rPr>
              <w:t>可燃液体蒸汽爆炸</w:t>
            </w:r>
          </w:p>
        </w:tc>
        <w:tc>
          <w:tcPr>
            <w:tcW w:w="1052" w:type="dxa"/>
            <w:vAlign w:val="center"/>
          </w:tcPr>
          <w:p w14:paraId="1B2021D0">
            <w:pPr>
              <w:spacing w:line="240" w:lineRule="atLeast"/>
              <w:rPr>
                <w:rFonts w:hint="default" w:ascii="Times New Roman" w:hAnsi="Times New Roman" w:cs="Times New Roman"/>
                <w:szCs w:val="21"/>
              </w:rPr>
            </w:pPr>
            <w:r>
              <w:rPr>
                <w:rFonts w:hint="default" w:ascii="Times New Roman" w:hAnsi="Times New Roman" w:cs="Times New Roman"/>
                <w:szCs w:val="21"/>
              </w:rPr>
              <w:t>油品泄漏；油气与空气形成爆炸性混合物</w:t>
            </w:r>
          </w:p>
        </w:tc>
        <w:tc>
          <w:tcPr>
            <w:tcW w:w="2105" w:type="dxa"/>
            <w:vAlign w:val="center"/>
          </w:tcPr>
          <w:p w14:paraId="240F4F98">
            <w:pPr>
              <w:spacing w:line="240" w:lineRule="atLeast"/>
              <w:rPr>
                <w:rFonts w:hint="default" w:ascii="Times New Roman" w:hAnsi="Times New Roman" w:cs="Times New Roman"/>
                <w:szCs w:val="21"/>
              </w:rPr>
            </w:pPr>
            <w:r>
              <w:rPr>
                <w:rFonts w:hint="default" w:ascii="Times New Roman" w:hAnsi="Times New Roman" w:cs="Times New Roman"/>
                <w:szCs w:val="21"/>
              </w:rPr>
              <w:t>1、储罐、管线等破裂泄漏；</w:t>
            </w:r>
          </w:p>
          <w:p w14:paraId="15D658BB">
            <w:pPr>
              <w:spacing w:line="240" w:lineRule="atLeast"/>
              <w:rPr>
                <w:rFonts w:hint="default" w:ascii="Times New Roman" w:hAnsi="Times New Roman" w:cs="Times New Roman"/>
                <w:szCs w:val="21"/>
              </w:rPr>
            </w:pPr>
            <w:r>
              <w:rPr>
                <w:rFonts w:hint="default" w:ascii="Times New Roman" w:hAnsi="Times New Roman" w:cs="Times New Roman"/>
                <w:szCs w:val="21"/>
              </w:rPr>
              <w:t>2、转动设备如泵等密封处泄漏；</w:t>
            </w:r>
          </w:p>
          <w:p w14:paraId="61702A41">
            <w:pPr>
              <w:spacing w:line="240" w:lineRule="atLeast"/>
              <w:rPr>
                <w:rFonts w:hint="default" w:ascii="Times New Roman" w:hAnsi="Times New Roman" w:cs="Times New Roman"/>
                <w:szCs w:val="21"/>
              </w:rPr>
            </w:pPr>
            <w:r>
              <w:rPr>
                <w:rFonts w:hint="default" w:ascii="Times New Roman" w:hAnsi="Times New Roman" w:cs="Times New Roman"/>
                <w:szCs w:val="21"/>
              </w:rPr>
              <w:t>3、阀门、管道连接处泄漏；</w:t>
            </w:r>
          </w:p>
          <w:p w14:paraId="5B29B4BA">
            <w:pPr>
              <w:spacing w:line="240" w:lineRule="atLeast"/>
              <w:rPr>
                <w:rFonts w:hint="default" w:ascii="Times New Roman" w:hAnsi="Times New Roman" w:cs="Times New Roman"/>
                <w:szCs w:val="21"/>
              </w:rPr>
            </w:pPr>
            <w:r>
              <w:rPr>
                <w:rFonts w:hint="default" w:ascii="Times New Roman" w:hAnsi="Times New Roman" w:cs="Times New Roman"/>
                <w:szCs w:val="21"/>
              </w:rPr>
              <w:t>4、设备、阀门、管道等因质量或安装不当泄漏；</w:t>
            </w:r>
          </w:p>
          <w:p w14:paraId="76F33835">
            <w:pPr>
              <w:spacing w:line="240" w:lineRule="atLeast"/>
              <w:rPr>
                <w:rFonts w:hint="default" w:ascii="Times New Roman" w:hAnsi="Times New Roman" w:cs="Times New Roman"/>
                <w:szCs w:val="21"/>
              </w:rPr>
            </w:pPr>
            <w:r>
              <w:rPr>
                <w:rFonts w:hint="default" w:ascii="Times New Roman" w:hAnsi="Times New Roman" w:cs="Times New Roman"/>
                <w:szCs w:val="21"/>
              </w:rPr>
              <w:t>5、撞击、人为破坏或自然灾害等造成储罐、管道、加油机等破裂而泄漏。</w:t>
            </w:r>
          </w:p>
        </w:tc>
        <w:tc>
          <w:tcPr>
            <w:tcW w:w="1263" w:type="dxa"/>
            <w:vAlign w:val="center"/>
          </w:tcPr>
          <w:p w14:paraId="0D7A93F4">
            <w:pPr>
              <w:spacing w:line="240" w:lineRule="atLeast"/>
              <w:rPr>
                <w:rFonts w:hint="default" w:ascii="Times New Roman" w:hAnsi="Times New Roman" w:cs="Times New Roman"/>
                <w:szCs w:val="21"/>
              </w:rPr>
            </w:pPr>
            <w:r>
              <w:rPr>
                <w:rFonts w:hint="default" w:ascii="Times New Roman" w:hAnsi="Times New Roman" w:cs="Times New Roman"/>
                <w:szCs w:val="21"/>
              </w:rPr>
              <w:t>遇高热、明火燃烧甚至爆炸</w:t>
            </w:r>
          </w:p>
        </w:tc>
        <w:tc>
          <w:tcPr>
            <w:tcW w:w="2569" w:type="dxa"/>
            <w:vAlign w:val="center"/>
          </w:tcPr>
          <w:p w14:paraId="0CD7D6CB">
            <w:pPr>
              <w:spacing w:line="240" w:lineRule="atLeast"/>
              <w:rPr>
                <w:rFonts w:hint="default" w:ascii="Times New Roman" w:hAnsi="Times New Roman" w:cs="Times New Roman"/>
                <w:szCs w:val="21"/>
              </w:rPr>
            </w:pPr>
            <w:r>
              <w:rPr>
                <w:rFonts w:hint="default" w:ascii="Times New Roman" w:hAnsi="Times New Roman" w:cs="Times New Roman"/>
                <w:szCs w:val="21"/>
              </w:rPr>
              <w:t>1.点火吸烟；</w:t>
            </w:r>
          </w:p>
          <w:p w14:paraId="079AE244">
            <w:pPr>
              <w:spacing w:line="240" w:lineRule="atLeast"/>
              <w:rPr>
                <w:rFonts w:hint="default" w:ascii="Times New Roman" w:hAnsi="Times New Roman" w:cs="Times New Roman"/>
                <w:szCs w:val="21"/>
              </w:rPr>
            </w:pPr>
            <w:r>
              <w:rPr>
                <w:rFonts w:hint="default" w:ascii="Times New Roman" w:hAnsi="Times New Roman" w:cs="Times New Roman"/>
                <w:szCs w:val="21"/>
              </w:rPr>
              <w:t>2.抢修、检修时违章动火、焊接时未按有关规定动火；</w:t>
            </w:r>
          </w:p>
          <w:p w14:paraId="4CEA0000">
            <w:pPr>
              <w:spacing w:line="240" w:lineRule="atLeast"/>
              <w:rPr>
                <w:rFonts w:hint="default" w:ascii="Times New Roman" w:hAnsi="Times New Roman" w:cs="Times New Roman"/>
                <w:szCs w:val="21"/>
              </w:rPr>
            </w:pPr>
            <w:r>
              <w:rPr>
                <w:rFonts w:hint="default" w:ascii="Times New Roman" w:hAnsi="Times New Roman" w:cs="Times New Roman"/>
                <w:szCs w:val="21"/>
              </w:rPr>
              <w:t xml:space="preserve">3.其他火源，电气短路；                      </w:t>
            </w:r>
          </w:p>
          <w:p w14:paraId="2F8BE07A">
            <w:pPr>
              <w:spacing w:line="240" w:lineRule="atLeast"/>
              <w:rPr>
                <w:rFonts w:hint="default" w:ascii="Times New Roman" w:hAnsi="Times New Roman" w:cs="Times New Roman"/>
                <w:szCs w:val="21"/>
              </w:rPr>
            </w:pPr>
            <w:r>
              <w:rPr>
                <w:rFonts w:hint="default" w:ascii="Times New Roman" w:hAnsi="Times New Roman" w:cs="Times New Roman"/>
                <w:szCs w:val="21"/>
              </w:rPr>
              <w:t>4.电气线路陈旧老化或受到损坏产生短路火花；</w:t>
            </w:r>
          </w:p>
          <w:p w14:paraId="1F2ED1AD">
            <w:pPr>
              <w:spacing w:line="240" w:lineRule="atLeast"/>
              <w:rPr>
                <w:rFonts w:hint="default" w:ascii="Times New Roman" w:hAnsi="Times New Roman" w:cs="Times New Roman"/>
                <w:szCs w:val="21"/>
              </w:rPr>
            </w:pPr>
            <w:r>
              <w:rPr>
                <w:rFonts w:hint="default" w:ascii="Times New Roman" w:hAnsi="Times New Roman" w:cs="Times New Roman"/>
                <w:szCs w:val="21"/>
              </w:rPr>
              <w:t>5.静电放电；</w:t>
            </w:r>
          </w:p>
          <w:p w14:paraId="51D26423">
            <w:pPr>
              <w:spacing w:line="240" w:lineRule="atLeast"/>
              <w:rPr>
                <w:rFonts w:hint="default" w:ascii="Times New Roman" w:hAnsi="Times New Roman" w:cs="Times New Roman"/>
                <w:szCs w:val="21"/>
              </w:rPr>
            </w:pPr>
            <w:r>
              <w:rPr>
                <w:rFonts w:hint="default" w:ascii="Times New Roman" w:hAnsi="Times New Roman" w:cs="Times New Roman"/>
                <w:szCs w:val="21"/>
              </w:rPr>
              <w:t>6.雷击（直接雷击、雷电二次作用、沿着电气线路、金属管道侵入）；</w:t>
            </w:r>
          </w:p>
          <w:p w14:paraId="1E588427">
            <w:pPr>
              <w:spacing w:line="240" w:lineRule="atLeast"/>
              <w:rPr>
                <w:rFonts w:hint="default" w:ascii="Times New Roman" w:hAnsi="Times New Roman" w:cs="Times New Roman"/>
                <w:szCs w:val="21"/>
              </w:rPr>
            </w:pPr>
            <w:r>
              <w:rPr>
                <w:rFonts w:hint="default" w:ascii="Times New Roman" w:hAnsi="Times New Roman" w:cs="Times New Roman"/>
                <w:szCs w:val="21"/>
              </w:rPr>
              <w:t>7.防爆电器失去防爆作用；</w:t>
            </w:r>
          </w:p>
          <w:p w14:paraId="6E6A39A8">
            <w:pPr>
              <w:spacing w:line="240" w:lineRule="atLeast"/>
              <w:rPr>
                <w:rFonts w:hint="default" w:ascii="Times New Roman" w:hAnsi="Times New Roman" w:cs="Times New Roman"/>
                <w:szCs w:val="21"/>
              </w:rPr>
            </w:pPr>
            <w:r>
              <w:rPr>
                <w:rFonts w:hint="default" w:ascii="Times New Roman" w:hAnsi="Times New Roman" w:cs="Times New Roman"/>
                <w:szCs w:val="21"/>
              </w:rPr>
              <w:t>8.管道沟未填沙，形成限制性空间。</w:t>
            </w:r>
          </w:p>
        </w:tc>
        <w:tc>
          <w:tcPr>
            <w:tcW w:w="728" w:type="dxa"/>
            <w:vAlign w:val="center"/>
          </w:tcPr>
          <w:p w14:paraId="1209AA65">
            <w:pPr>
              <w:spacing w:line="240" w:lineRule="atLeast"/>
              <w:rPr>
                <w:rFonts w:hint="default" w:ascii="Times New Roman" w:hAnsi="Times New Roman" w:cs="Times New Roman"/>
                <w:szCs w:val="21"/>
              </w:rPr>
            </w:pPr>
            <w:r>
              <w:rPr>
                <w:rFonts w:hint="default" w:ascii="Times New Roman" w:hAnsi="Times New Roman" w:cs="Times New Roman"/>
                <w:szCs w:val="21"/>
              </w:rPr>
              <w:t>财产损失、人员伤亡、物料跑损</w:t>
            </w:r>
          </w:p>
        </w:tc>
        <w:tc>
          <w:tcPr>
            <w:tcW w:w="742" w:type="dxa"/>
            <w:vAlign w:val="center"/>
          </w:tcPr>
          <w:p w14:paraId="4B410F0B">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III</w:t>
            </w:r>
          </w:p>
        </w:tc>
        <w:tc>
          <w:tcPr>
            <w:tcW w:w="4953" w:type="dxa"/>
            <w:vAlign w:val="center"/>
          </w:tcPr>
          <w:p w14:paraId="2C4CBF71">
            <w:pPr>
              <w:spacing w:line="240" w:lineRule="atLeast"/>
              <w:rPr>
                <w:rFonts w:hint="default" w:ascii="Times New Roman" w:hAnsi="Times New Roman" w:cs="Times New Roman"/>
                <w:szCs w:val="21"/>
              </w:rPr>
            </w:pPr>
            <w:r>
              <w:rPr>
                <w:rFonts w:hint="default" w:ascii="Times New Roman" w:hAnsi="Times New Roman" w:cs="Times New Roman"/>
                <w:szCs w:val="21"/>
              </w:rPr>
              <w:t>1、站内严禁烟火、严禁吸烟；</w:t>
            </w:r>
          </w:p>
          <w:p w14:paraId="04394468">
            <w:pPr>
              <w:spacing w:line="240" w:lineRule="atLeast"/>
              <w:rPr>
                <w:rFonts w:hint="default" w:ascii="Times New Roman" w:hAnsi="Times New Roman" w:cs="Times New Roman"/>
                <w:szCs w:val="21"/>
              </w:rPr>
            </w:pPr>
            <w:r>
              <w:rPr>
                <w:rFonts w:hint="default" w:ascii="Times New Roman" w:hAnsi="Times New Roman" w:cs="Times New Roman"/>
                <w:szCs w:val="21"/>
              </w:rPr>
              <w:t>2、动火时必须严格按动火手续办理动火证，并采取有效防范措施；</w:t>
            </w:r>
          </w:p>
          <w:p w14:paraId="6566CB5E">
            <w:pPr>
              <w:spacing w:line="240" w:lineRule="atLeast"/>
              <w:rPr>
                <w:rFonts w:hint="default" w:ascii="Times New Roman" w:hAnsi="Times New Roman" w:cs="Times New Roman"/>
                <w:szCs w:val="21"/>
              </w:rPr>
            </w:pPr>
            <w:r>
              <w:rPr>
                <w:rFonts w:hint="default" w:ascii="Times New Roman" w:hAnsi="Times New Roman" w:cs="Times New Roman"/>
                <w:szCs w:val="21"/>
              </w:rPr>
              <w:t>3、机动车辆加强管理；</w:t>
            </w:r>
          </w:p>
          <w:p w14:paraId="0ABC7599">
            <w:pPr>
              <w:spacing w:line="240" w:lineRule="atLeast"/>
              <w:rPr>
                <w:rFonts w:hint="eastAsia" w:ascii="Times New Roman" w:hAnsi="Times New Roman" w:eastAsia="宋体" w:cs="Times New Roman"/>
                <w:szCs w:val="21"/>
                <w:lang w:eastAsia="zh-CN"/>
              </w:rPr>
            </w:pPr>
            <w:r>
              <w:rPr>
                <w:rFonts w:hint="default" w:ascii="Times New Roman" w:hAnsi="Times New Roman" w:cs="Times New Roman"/>
                <w:szCs w:val="21"/>
              </w:rPr>
              <w:t>4、明火源安全距离符合规定要求</w:t>
            </w:r>
            <w:r>
              <w:rPr>
                <w:rFonts w:hint="eastAsia" w:cs="Times New Roman"/>
                <w:szCs w:val="21"/>
                <w:lang w:eastAsia="zh-CN"/>
              </w:rPr>
              <w:t>。</w:t>
            </w:r>
          </w:p>
        </w:tc>
      </w:tr>
      <w:tr w14:paraId="01616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717429DC">
            <w:pPr>
              <w:spacing w:line="240" w:lineRule="atLeast"/>
              <w:jc w:val="center"/>
              <w:rPr>
                <w:rFonts w:hint="default" w:cs="Times New Roman"/>
                <w:szCs w:val="21"/>
                <w:lang w:val="en-US" w:eastAsia="zh-CN"/>
              </w:rPr>
            </w:pPr>
            <w:r>
              <w:rPr>
                <w:rFonts w:hint="eastAsia" w:cs="Times New Roman"/>
                <w:szCs w:val="21"/>
                <w:lang w:val="en-US" w:eastAsia="zh-CN"/>
              </w:rPr>
              <w:t>泄漏</w:t>
            </w:r>
          </w:p>
        </w:tc>
        <w:tc>
          <w:tcPr>
            <w:tcW w:w="1052" w:type="dxa"/>
            <w:vAlign w:val="center"/>
          </w:tcPr>
          <w:p w14:paraId="3B8E4F12">
            <w:pPr>
              <w:spacing w:line="240" w:lineRule="atLeast"/>
              <w:rPr>
                <w:rFonts w:hint="default" w:ascii="Times New Roman" w:hAnsi="Times New Roman" w:cs="Times New Roman"/>
                <w:szCs w:val="21"/>
              </w:rPr>
            </w:pPr>
            <w:r>
              <w:rPr>
                <w:rFonts w:hint="default" w:ascii="Times New Roman" w:hAnsi="Times New Roman" w:cs="Times New Roman"/>
                <w:szCs w:val="21"/>
              </w:rPr>
              <w:t>油品泄漏</w:t>
            </w:r>
          </w:p>
        </w:tc>
        <w:tc>
          <w:tcPr>
            <w:tcW w:w="2105" w:type="dxa"/>
            <w:vAlign w:val="center"/>
          </w:tcPr>
          <w:p w14:paraId="0C394011">
            <w:pPr>
              <w:spacing w:line="240" w:lineRule="atLeast"/>
              <w:rPr>
                <w:rFonts w:hint="default" w:ascii="Times New Roman" w:hAnsi="Times New Roman" w:cs="Times New Roman"/>
                <w:szCs w:val="21"/>
              </w:rPr>
            </w:pPr>
            <w:r>
              <w:rPr>
                <w:rFonts w:hint="default" w:ascii="Times New Roman" w:hAnsi="Times New Roman" w:cs="Times New Roman"/>
                <w:szCs w:val="21"/>
              </w:rPr>
              <w:t>1、储罐、管线等破裂泄漏；</w:t>
            </w:r>
          </w:p>
          <w:p w14:paraId="40B40AE4">
            <w:pPr>
              <w:spacing w:line="240" w:lineRule="atLeast"/>
              <w:rPr>
                <w:rFonts w:hint="default" w:ascii="Times New Roman" w:hAnsi="Times New Roman" w:cs="Times New Roman"/>
                <w:szCs w:val="21"/>
              </w:rPr>
            </w:pPr>
            <w:r>
              <w:rPr>
                <w:rFonts w:hint="default" w:ascii="Times New Roman" w:hAnsi="Times New Roman" w:cs="Times New Roman"/>
                <w:szCs w:val="21"/>
              </w:rPr>
              <w:t>2、转动设备如泵等密封处泄漏；</w:t>
            </w:r>
          </w:p>
          <w:p w14:paraId="5EC7417B">
            <w:pPr>
              <w:spacing w:line="240" w:lineRule="atLeast"/>
              <w:rPr>
                <w:rFonts w:hint="default" w:ascii="Times New Roman" w:hAnsi="Times New Roman" w:cs="Times New Roman"/>
                <w:szCs w:val="21"/>
              </w:rPr>
            </w:pPr>
            <w:r>
              <w:rPr>
                <w:rFonts w:hint="default" w:ascii="Times New Roman" w:hAnsi="Times New Roman" w:cs="Times New Roman"/>
                <w:szCs w:val="21"/>
              </w:rPr>
              <w:t>3、阀门、管道连接处泄漏；</w:t>
            </w:r>
          </w:p>
          <w:p w14:paraId="0C478AED">
            <w:pPr>
              <w:spacing w:line="240" w:lineRule="atLeast"/>
              <w:rPr>
                <w:rFonts w:hint="default" w:ascii="Times New Roman" w:hAnsi="Times New Roman" w:cs="Times New Roman"/>
                <w:szCs w:val="21"/>
              </w:rPr>
            </w:pPr>
            <w:r>
              <w:rPr>
                <w:rFonts w:hint="default" w:ascii="Times New Roman" w:hAnsi="Times New Roman" w:cs="Times New Roman"/>
                <w:szCs w:val="21"/>
              </w:rPr>
              <w:t>4、设备、阀门、管道等因质量或安装不当泄漏；</w:t>
            </w:r>
          </w:p>
          <w:p w14:paraId="0595E35F">
            <w:pPr>
              <w:spacing w:line="240" w:lineRule="atLeast"/>
              <w:rPr>
                <w:rFonts w:hint="default" w:ascii="Times New Roman" w:hAnsi="Times New Roman" w:cs="Times New Roman"/>
                <w:szCs w:val="21"/>
              </w:rPr>
            </w:pPr>
            <w:r>
              <w:rPr>
                <w:rFonts w:hint="default" w:ascii="Times New Roman" w:hAnsi="Times New Roman" w:cs="Times New Roman"/>
                <w:szCs w:val="21"/>
              </w:rPr>
              <w:t>5、撞击、人为破坏或自然灾害等造成储罐、管道、加油机等破裂而泄漏。</w:t>
            </w:r>
          </w:p>
        </w:tc>
        <w:tc>
          <w:tcPr>
            <w:tcW w:w="1263" w:type="dxa"/>
            <w:vAlign w:val="center"/>
          </w:tcPr>
          <w:p w14:paraId="24683233">
            <w:pPr>
              <w:spacing w:line="240" w:lineRule="atLeast"/>
              <w:rPr>
                <w:rFonts w:hint="default" w:ascii="Times New Roman" w:hAnsi="Times New Roman" w:cs="Times New Roman"/>
                <w:szCs w:val="21"/>
              </w:rPr>
            </w:pPr>
            <w:r>
              <w:rPr>
                <w:rFonts w:hint="eastAsia" w:ascii="Times New Roman" w:hAnsi="Times New Roman" w:eastAsia="宋体" w:cs="Times New Roman"/>
                <w:sz w:val="21"/>
                <w:szCs w:val="21"/>
              </w:rPr>
              <w:t>物料泄漏</w:t>
            </w:r>
          </w:p>
        </w:tc>
        <w:tc>
          <w:tcPr>
            <w:tcW w:w="2569" w:type="dxa"/>
            <w:vAlign w:val="center"/>
          </w:tcPr>
          <w:p w14:paraId="401FC27A">
            <w:pPr>
              <w:spacing w:line="240" w:lineRule="atLeast"/>
              <w:rPr>
                <w:rFonts w:hint="eastAsia"/>
              </w:rPr>
            </w:pPr>
            <w:r>
              <w:rPr>
                <w:rFonts w:hint="eastAsia"/>
                <w:lang w:val="en-US" w:eastAsia="zh-CN"/>
              </w:rPr>
              <w:t>1</w:t>
            </w:r>
            <w:r>
              <w:rPr>
                <w:rFonts w:hint="eastAsia"/>
                <w:lang w:eastAsia="zh-CN"/>
              </w:rPr>
              <w:t>、</w:t>
            </w:r>
            <w:r>
              <w:rPr>
                <w:rFonts w:hint="eastAsia"/>
              </w:rPr>
              <w:t>工艺参数异常；</w:t>
            </w:r>
          </w:p>
          <w:p w14:paraId="1902CD49">
            <w:pPr>
              <w:spacing w:line="240" w:lineRule="atLeast"/>
              <w:rPr>
                <w:rFonts w:hint="eastAsia"/>
              </w:rPr>
            </w:pPr>
            <w:r>
              <w:rPr>
                <w:rFonts w:hint="eastAsia"/>
                <w:lang w:val="en-US" w:eastAsia="zh-CN"/>
              </w:rPr>
              <w:t>2</w:t>
            </w:r>
            <w:r>
              <w:rPr>
                <w:rFonts w:hint="eastAsia"/>
                <w:lang w:eastAsia="zh-CN"/>
              </w:rPr>
              <w:t>、</w:t>
            </w:r>
            <w:r>
              <w:rPr>
                <w:rFonts w:hint="eastAsia"/>
              </w:rPr>
              <w:t>储罐具有先天性结构缺陷；</w:t>
            </w:r>
          </w:p>
          <w:p w14:paraId="0EEB9E44">
            <w:pPr>
              <w:spacing w:line="240" w:lineRule="atLeast"/>
              <w:rPr>
                <w:rFonts w:hint="default" w:ascii="Times New Roman" w:hAnsi="Times New Roman" w:cs="Times New Roman"/>
                <w:szCs w:val="21"/>
              </w:rPr>
            </w:pPr>
            <w:r>
              <w:rPr>
                <w:rFonts w:hint="eastAsia"/>
                <w:lang w:val="en-US" w:eastAsia="zh-CN"/>
              </w:rPr>
              <w:t>3</w:t>
            </w:r>
            <w:r>
              <w:rPr>
                <w:rFonts w:hint="eastAsia"/>
                <w:lang w:eastAsia="zh-CN"/>
              </w:rPr>
              <w:t>、</w:t>
            </w:r>
            <w:r>
              <w:rPr>
                <w:rFonts w:hint="eastAsia"/>
              </w:rPr>
              <w:t>介质侵蚀</w:t>
            </w:r>
          </w:p>
        </w:tc>
        <w:tc>
          <w:tcPr>
            <w:tcW w:w="728" w:type="dxa"/>
            <w:vAlign w:val="center"/>
          </w:tcPr>
          <w:p w14:paraId="6B1CB3DA">
            <w:pPr>
              <w:spacing w:line="240" w:lineRule="atLeast"/>
              <w:rPr>
                <w:rFonts w:hint="default" w:ascii="Times New Roman" w:hAnsi="Times New Roman" w:cs="Times New Roman"/>
                <w:szCs w:val="21"/>
              </w:rPr>
            </w:pPr>
            <w:r>
              <w:rPr>
                <w:rFonts w:hint="default" w:ascii="Times New Roman" w:hAnsi="Times New Roman" w:cs="Times New Roman"/>
                <w:szCs w:val="21"/>
              </w:rPr>
              <w:t>财产损失、人员伤亡、物料跑损</w:t>
            </w:r>
          </w:p>
        </w:tc>
        <w:tc>
          <w:tcPr>
            <w:tcW w:w="742" w:type="dxa"/>
            <w:vAlign w:val="center"/>
          </w:tcPr>
          <w:p w14:paraId="5E9456C9">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III</w:t>
            </w:r>
          </w:p>
        </w:tc>
        <w:tc>
          <w:tcPr>
            <w:tcW w:w="4953" w:type="dxa"/>
            <w:vAlign w:val="center"/>
          </w:tcPr>
          <w:p w14:paraId="729EC5E5">
            <w:pPr>
              <w:spacing w:line="240" w:lineRule="atLeast"/>
              <w:rPr>
                <w:rFonts w:hint="default" w:ascii="Times New Roman" w:hAnsi="Times New Roman" w:cs="Times New Roman"/>
                <w:szCs w:val="21"/>
              </w:rPr>
            </w:pPr>
            <w:r>
              <w:rPr>
                <w:rFonts w:hint="default" w:ascii="Times New Roman" w:hAnsi="Times New Roman" w:cs="Times New Roman"/>
                <w:szCs w:val="21"/>
              </w:rPr>
              <w:t>设备的定期检查、鉴定</w:t>
            </w:r>
          </w:p>
          <w:p w14:paraId="7B19ABD6">
            <w:pPr>
              <w:spacing w:line="240" w:lineRule="atLeast"/>
              <w:rPr>
                <w:rFonts w:hint="default" w:ascii="Times New Roman" w:hAnsi="Times New Roman" w:cs="Times New Roman"/>
                <w:szCs w:val="21"/>
              </w:rPr>
            </w:pPr>
          </w:p>
        </w:tc>
      </w:tr>
      <w:tr w14:paraId="75694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264BD9EA">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中毒</w:t>
            </w:r>
          </w:p>
          <w:p w14:paraId="49E686E1">
            <w:pPr>
              <w:spacing w:line="240" w:lineRule="atLeast"/>
              <w:jc w:val="center"/>
              <w:rPr>
                <w:rFonts w:hint="default" w:ascii="Times New Roman" w:hAnsi="Times New Roman" w:cs="Times New Roman"/>
                <w:szCs w:val="21"/>
              </w:rPr>
            </w:pPr>
          </w:p>
        </w:tc>
        <w:tc>
          <w:tcPr>
            <w:tcW w:w="1052" w:type="dxa"/>
            <w:vAlign w:val="center"/>
          </w:tcPr>
          <w:p w14:paraId="3F6FC4E2">
            <w:pPr>
              <w:spacing w:line="240" w:lineRule="atLeast"/>
              <w:rPr>
                <w:rFonts w:hint="default" w:ascii="Times New Roman" w:hAnsi="Times New Roman" w:cs="Times New Roman"/>
                <w:szCs w:val="21"/>
              </w:rPr>
            </w:pPr>
            <w:r>
              <w:rPr>
                <w:rFonts w:hint="default" w:ascii="Times New Roman" w:hAnsi="Times New Roman" w:cs="Times New Roman"/>
                <w:szCs w:val="21"/>
              </w:rPr>
              <w:t>1、</w:t>
            </w:r>
            <w:r>
              <w:rPr>
                <w:rFonts w:hint="eastAsia" w:cs="Times New Roman"/>
                <w:szCs w:val="21"/>
                <w:lang w:eastAsia="zh-CN"/>
              </w:rPr>
              <w:t>乙醇汽油</w:t>
            </w:r>
            <w:r>
              <w:rPr>
                <w:rFonts w:hint="default" w:ascii="Times New Roman" w:hAnsi="Times New Roman" w:cs="Times New Roman"/>
                <w:szCs w:val="21"/>
              </w:rPr>
              <w:t>、柴油大量泄漏。</w:t>
            </w:r>
          </w:p>
          <w:p w14:paraId="3A6206E8">
            <w:pPr>
              <w:spacing w:line="240" w:lineRule="atLeast"/>
              <w:rPr>
                <w:rFonts w:hint="default" w:ascii="Times New Roman" w:hAnsi="Times New Roman" w:cs="Times New Roman"/>
                <w:szCs w:val="21"/>
              </w:rPr>
            </w:pPr>
            <w:r>
              <w:rPr>
                <w:rFonts w:hint="default" w:ascii="Times New Roman" w:hAnsi="Times New Roman" w:cs="Times New Roman"/>
                <w:szCs w:val="21"/>
              </w:rPr>
              <w:t>2、检修、抢修设备设施等作业时空气中氧含量低</w:t>
            </w:r>
          </w:p>
        </w:tc>
        <w:tc>
          <w:tcPr>
            <w:tcW w:w="2105" w:type="dxa"/>
            <w:vAlign w:val="center"/>
          </w:tcPr>
          <w:p w14:paraId="582ECEBA">
            <w:pPr>
              <w:spacing w:line="240" w:lineRule="atLeast"/>
              <w:rPr>
                <w:rFonts w:hint="default" w:ascii="Times New Roman" w:hAnsi="Times New Roman" w:cs="Times New Roman"/>
                <w:szCs w:val="21"/>
              </w:rPr>
            </w:pPr>
            <w:r>
              <w:rPr>
                <w:rFonts w:hint="default" w:ascii="Times New Roman" w:hAnsi="Times New Roman" w:cs="Times New Roman"/>
                <w:szCs w:val="21"/>
              </w:rPr>
              <w:t>1、在封闭的空间内作业。</w:t>
            </w:r>
          </w:p>
          <w:p w14:paraId="6C7A94EC">
            <w:pPr>
              <w:spacing w:line="240" w:lineRule="atLeast"/>
              <w:rPr>
                <w:rFonts w:hint="default" w:ascii="Times New Roman" w:hAnsi="Times New Roman" w:cs="Times New Roman"/>
                <w:szCs w:val="21"/>
              </w:rPr>
            </w:pPr>
            <w:r>
              <w:rPr>
                <w:rFonts w:hint="default" w:ascii="Times New Roman" w:hAnsi="Times New Roman" w:cs="Times New Roman"/>
                <w:szCs w:val="21"/>
              </w:rPr>
              <w:t>2、检修、抢修（设备、管线、阀门等）时，有毒物料未彻底清洗干净。</w:t>
            </w:r>
          </w:p>
          <w:p w14:paraId="0B290A30">
            <w:pPr>
              <w:tabs>
                <w:tab w:val="left" w:pos="5115"/>
              </w:tabs>
              <w:spacing w:line="240" w:lineRule="atLeast"/>
              <w:rPr>
                <w:rFonts w:hint="default" w:ascii="Times New Roman" w:hAnsi="Times New Roman" w:cs="Times New Roman"/>
                <w:szCs w:val="21"/>
              </w:rPr>
            </w:pPr>
            <w:r>
              <w:rPr>
                <w:rFonts w:hint="default" w:ascii="Times New Roman" w:hAnsi="Times New Roman" w:cs="Times New Roman"/>
                <w:szCs w:val="21"/>
              </w:rPr>
              <w:t>3、通风不畅。</w:t>
            </w:r>
            <w:r>
              <w:rPr>
                <w:rFonts w:hint="default" w:ascii="Times New Roman" w:hAnsi="Times New Roman" w:cs="Times New Roman"/>
                <w:szCs w:val="21"/>
              </w:rPr>
              <w:tab/>
            </w:r>
          </w:p>
          <w:p w14:paraId="55F02C73">
            <w:pPr>
              <w:spacing w:line="240" w:lineRule="atLeast"/>
              <w:rPr>
                <w:rFonts w:hint="default" w:ascii="Times New Roman" w:hAnsi="Times New Roman" w:cs="Times New Roman"/>
                <w:szCs w:val="21"/>
              </w:rPr>
            </w:pPr>
            <w:r>
              <w:rPr>
                <w:rFonts w:hint="default" w:ascii="Times New Roman" w:hAnsi="Times New Roman" w:cs="Times New Roman"/>
                <w:szCs w:val="21"/>
              </w:rPr>
              <w:t>4、缺乏泄漏物料的危险、危害特性的知识及其应急预防方法。</w:t>
            </w:r>
          </w:p>
          <w:p w14:paraId="5A253742">
            <w:pPr>
              <w:spacing w:line="240" w:lineRule="atLeast"/>
              <w:rPr>
                <w:rFonts w:hint="default" w:ascii="Times New Roman" w:hAnsi="Times New Roman" w:cs="Times New Roman"/>
                <w:szCs w:val="21"/>
              </w:rPr>
            </w:pPr>
            <w:r>
              <w:rPr>
                <w:rFonts w:hint="default" w:ascii="Times New Roman" w:hAnsi="Times New Roman" w:cs="Times New Roman"/>
                <w:szCs w:val="21"/>
              </w:rPr>
              <w:t>5、应急不当、救护不当。</w:t>
            </w:r>
          </w:p>
          <w:p w14:paraId="61B74809">
            <w:pPr>
              <w:spacing w:line="240" w:lineRule="atLeast"/>
              <w:rPr>
                <w:rFonts w:hint="default" w:ascii="Times New Roman" w:hAnsi="Times New Roman" w:cs="Times New Roman"/>
                <w:szCs w:val="21"/>
              </w:rPr>
            </w:pPr>
            <w:r>
              <w:rPr>
                <w:rFonts w:hint="default" w:ascii="Times New Roman" w:hAnsi="Times New Roman" w:cs="Times New Roman"/>
                <w:szCs w:val="21"/>
              </w:rPr>
              <w:t>6、在窒息场所作业时无人监护。</w:t>
            </w:r>
          </w:p>
        </w:tc>
        <w:tc>
          <w:tcPr>
            <w:tcW w:w="1263" w:type="dxa"/>
            <w:vAlign w:val="center"/>
          </w:tcPr>
          <w:p w14:paraId="6F033B2B">
            <w:pPr>
              <w:spacing w:line="240" w:lineRule="atLeast"/>
              <w:rPr>
                <w:rFonts w:hint="default" w:ascii="Times New Roman" w:hAnsi="Times New Roman" w:cs="Times New Roman"/>
                <w:szCs w:val="21"/>
              </w:rPr>
            </w:pPr>
            <w:r>
              <w:rPr>
                <w:rFonts w:hint="default" w:ascii="Times New Roman" w:hAnsi="Times New Roman" w:cs="Times New Roman"/>
                <w:szCs w:val="21"/>
              </w:rPr>
              <w:t>人员中毒</w:t>
            </w:r>
          </w:p>
        </w:tc>
        <w:tc>
          <w:tcPr>
            <w:tcW w:w="2569" w:type="dxa"/>
            <w:vAlign w:val="center"/>
          </w:tcPr>
          <w:p w14:paraId="2F973E6E">
            <w:pPr>
              <w:spacing w:line="240" w:lineRule="atLeast"/>
              <w:rPr>
                <w:rFonts w:hint="default" w:ascii="Times New Roman" w:hAnsi="Times New Roman" w:cs="Times New Roman"/>
                <w:szCs w:val="21"/>
              </w:rPr>
            </w:pPr>
            <w:r>
              <w:rPr>
                <w:rFonts w:hint="default" w:ascii="Times New Roman" w:hAnsi="Times New Roman" w:cs="Times New Roman"/>
                <w:szCs w:val="21"/>
              </w:rPr>
              <w:t>1、窒息性气体泄漏，超过容许浓度。</w:t>
            </w:r>
          </w:p>
          <w:p w14:paraId="6DBDE94F">
            <w:pPr>
              <w:spacing w:line="240" w:lineRule="atLeast"/>
              <w:rPr>
                <w:rFonts w:hint="default" w:ascii="Times New Roman" w:hAnsi="Times New Roman" w:cs="Times New Roman"/>
                <w:szCs w:val="21"/>
              </w:rPr>
            </w:pPr>
            <w:r>
              <w:rPr>
                <w:rFonts w:hint="eastAsia" w:cs="Times New Roman"/>
                <w:szCs w:val="21"/>
                <w:lang w:val="en-US" w:eastAsia="zh-CN"/>
              </w:rPr>
              <w:t>2</w:t>
            </w:r>
            <w:r>
              <w:rPr>
                <w:rFonts w:hint="default" w:ascii="Times New Roman" w:hAnsi="Times New Roman" w:cs="Times New Roman"/>
                <w:szCs w:val="21"/>
              </w:rPr>
              <w:t>、有毒气体存在。</w:t>
            </w:r>
          </w:p>
        </w:tc>
        <w:tc>
          <w:tcPr>
            <w:tcW w:w="728" w:type="dxa"/>
            <w:vAlign w:val="center"/>
          </w:tcPr>
          <w:p w14:paraId="127E3373">
            <w:pPr>
              <w:spacing w:line="240" w:lineRule="atLeast"/>
              <w:rPr>
                <w:rFonts w:hint="default" w:ascii="Times New Roman" w:hAnsi="Times New Roman" w:cs="Times New Roman"/>
                <w:szCs w:val="21"/>
              </w:rPr>
            </w:pPr>
            <w:r>
              <w:rPr>
                <w:rFonts w:hint="default" w:ascii="Times New Roman" w:hAnsi="Times New Roman" w:cs="Times New Roman"/>
                <w:szCs w:val="21"/>
              </w:rPr>
              <w:t>人员伤亡</w:t>
            </w:r>
          </w:p>
        </w:tc>
        <w:tc>
          <w:tcPr>
            <w:tcW w:w="742" w:type="dxa"/>
            <w:vAlign w:val="center"/>
          </w:tcPr>
          <w:p w14:paraId="47855D81">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1AEE427E">
            <w:pPr>
              <w:spacing w:line="240" w:lineRule="atLeast"/>
              <w:rPr>
                <w:rFonts w:hint="default" w:ascii="Times New Roman" w:hAnsi="Times New Roman" w:cs="Times New Roman"/>
                <w:szCs w:val="21"/>
              </w:rPr>
            </w:pPr>
            <w:r>
              <w:rPr>
                <w:rFonts w:hint="default" w:ascii="Times New Roman" w:hAnsi="Times New Roman" w:cs="Times New Roman"/>
                <w:szCs w:val="21"/>
              </w:rPr>
              <w:t>1、严格控制设备及安装质量，消除泄漏的可能性。</w:t>
            </w:r>
          </w:p>
          <w:p w14:paraId="04EB204E">
            <w:pPr>
              <w:spacing w:line="240" w:lineRule="atLeast"/>
              <w:rPr>
                <w:rFonts w:hint="default" w:ascii="Times New Roman" w:hAnsi="Times New Roman" w:cs="Times New Roman"/>
                <w:szCs w:val="21"/>
              </w:rPr>
            </w:pPr>
            <w:r>
              <w:rPr>
                <w:rFonts w:hint="default" w:ascii="Times New Roman" w:hAnsi="Times New Roman" w:cs="Times New Roman"/>
                <w:szCs w:val="21"/>
              </w:rPr>
              <w:t>2、一旦发生泄漏，应立即采取措施：</w:t>
            </w:r>
          </w:p>
          <w:p w14:paraId="2EC77FC0">
            <w:pPr>
              <w:spacing w:line="240" w:lineRule="atLeast"/>
              <w:rPr>
                <w:rFonts w:hint="default" w:ascii="Times New Roman" w:hAnsi="Times New Roman" w:cs="Times New Roman"/>
                <w:szCs w:val="21"/>
              </w:rPr>
            </w:pPr>
            <w:r>
              <w:rPr>
                <w:rFonts w:hint="default" w:ascii="Times New Roman" w:hAnsi="Times New Roman" w:cs="Times New Roman"/>
                <w:szCs w:val="21"/>
              </w:rPr>
              <w:t>①查明泄漏点，切断相关阀门，消除泄漏源，及时报告；</w:t>
            </w:r>
          </w:p>
          <w:p w14:paraId="617DC31D">
            <w:pPr>
              <w:spacing w:line="240" w:lineRule="atLeast"/>
              <w:rPr>
                <w:rFonts w:hint="default" w:ascii="Times New Roman" w:hAnsi="Times New Roman" w:cs="Times New Roman"/>
                <w:szCs w:val="21"/>
              </w:rPr>
            </w:pPr>
            <w:r>
              <w:rPr>
                <w:rFonts w:hint="default" w:ascii="Times New Roman" w:hAnsi="Times New Roman" w:cs="Times New Roman"/>
                <w:szCs w:val="21"/>
              </w:rPr>
              <w:t>②如泄漏量大，应疏散相关人员至安全处。</w:t>
            </w:r>
          </w:p>
          <w:p w14:paraId="1E809734">
            <w:pPr>
              <w:spacing w:line="240" w:lineRule="atLeast"/>
              <w:rPr>
                <w:rFonts w:hint="default" w:ascii="Times New Roman" w:hAnsi="Times New Roman" w:cs="Times New Roman"/>
                <w:szCs w:val="21"/>
              </w:rPr>
            </w:pPr>
            <w:r>
              <w:rPr>
                <w:rFonts w:hint="default" w:ascii="Times New Roman" w:hAnsi="Times New Roman" w:cs="Times New Roman"/>
                <w:szCs w:val="21"/>
              </w:rPr>
              <w:t>3、定期检修、维护保养，保持设备的完好状态。检修时，要彻底清洗干净，作业时要有人监护及抢救后备措施，作业人员要穿戴好防护用品。</w:t>
            </w:r>
          </w:p>
          <w:p w14:paraId="0DC8DBB7">
            <w:pPr>
              <w:spacing w:line="240" w:lineRule="atLeast"/>
              <w:rPr>
                <w:rFonts w:hint="default" w:ascii="Times New Roman" w:hAnsi="Times New Roman" w:cs="Times New Roman"/>
                <w:szCs w:val="21"/>
              </w:rPr>
            </w:pPr>
            <w:r>
              <w:rPr>
                <w:rFonts w:hint="default" w:ascii="Times New Roman" w:hAnsi="Times New Roman" w:cs="Times New Roman"/>
                <w:szCs w:val="21"/>
              </w:rPr>
              <w:t>4、组织管理措施。</w:t>
            </w:r>
          </w:p>
          <w:p w14:paraId="53FAE692">
            <w:pPr>
              <w:spacing w:line="240" w:lineRule="atLeast"/>
              <w:rPr>
                <w:rFonts w:hint="default" w:ascii="Times New Roman" w:hAnsi="Times New Roman" w:cs="Times New Roman"/>
                <w:szCs w:val="21"/>
              </w:rPr>
            </w:pPr>
            <w:r>
              <w:rPr>
                <w:rFonts w:hint="default" w:ascii="Times New Roman" w:hAnsi="Times New Roman" w:cs="Times New Roman"/>
                <w:szCs w:val="21"/>
              </w:rPr>
              <w:t>①加强检测，杜绝泄漏；</w:t>
            </w:r>
          </w:p>
          <w:p w14:paraId="79BC5ABA">
            <w:pPr>
              <w:spacing w:line="240" w:lineRule="atLeast"/>
              <w:rPr>
                <w:rFonts w:hint="default" w:ascii="Times New Roman" w:hAnsi="Times New Roman" w:cs="Times New Roman"/>
                <w:szCs w:val="21"/>
              </w:rPr>
            </w:pPr>
            <w:r>
              <w:rPr>
                <w:rFonts w:hint="default" w:ascii="Times New Roman" w:hAnsi="Times New Roman" w:cs="Times New Roman"/>
                <w:szCs w:val="21"/>
              </w:rPr>
              <w:t>②教育、培训职工掌握有关预防窒息的方法及其急救法；</w:t>
            </w:r>
          </w:p>
          <w:p w14:paraId="2258A4FC">
            <w:pPr>
              <w:spacing w:line="240" w:lineRule="atLeast"/>
              <w:rPr>
                <w:rFonts w:hint="default" w:ascii="Times New Roman" w:hAnsi="Times New Roman" w:cs="Times New Roman"/>
                <w:szCs w:val="21"/>
              </w:rPr>
            </w:pPr>
            <w:r>
              <w:rPr>
                <w:rFonts w:hint="default" w:ascii="Times New Roman" w:hAnsi="Times New Roman" w:cs="Times New Roman"/>
                <w:szCs w:val="21"/>
              </w:rPr>
              <w:t>③要求职工严格遵守各种规章制度、操作规程；</w:t>
            </w:r>
          </w:p>
          <w:p w14:paraId="738369E9">
            <w:pPr>
              <w:spacing w:line="240" w:lineRule="atLeast"/>
              <w:rPr>
                <w:rFonts w:hint="default" w:ascii="Times New Roman" w:hAnsi="Times New Roman" w:cs="Times New Roman"/>
                <w:szCs w:val="21"/>
              </w:rPr>
            </w:pPr>
            <w:r>
              <w:rPr>
                <w:rFonts w:hint="default" w:ascii="Times New Roman" w:hAnsi="Times New Roman" w:cs="Times New Roman"/>
                <w:szCs w:val="21"/>
              </w:rPr>
              <w:t>④培训人员提高对窒息等急救处理能力。</w:t>
            </w:r>
          </w:p>
          <w:p w14:paraId="2F07BB38">
            <w:pPr>
              <w:spacing w:line="240" w:lineRule="atLeast"/>
              <w:rPr>
                <w:rFonts w:hint="default" w:ascii="Times New Roman" w:hAnsi="Times New Roman" w:cs="Times New Roman"/>
                <w:szCs w:val="21"/>
              </w:rPr>
            </w:pPr>
            <w:r>
              <w:rPr>
                <w:rFonts w:hint="default" w:ascii="Times New Roman" w:hAnsi="Times New Roman" w:cs="Times New Roman"/>
                <w:szCs w:val="21"/>
              </w:rPr>
              <w:t>5、防止车辆行驶过程中撞坏设备、管线，造成窒息性物料泄漏。</w:t>
            </w:r>
          </w:p>
          <w:p w14:paraId="1277F203">
            <w:pPr>
              <w:spacing w:line="240" w:lineRule="atLeast"/>
              <w:rPr>
                <w:rFonts w:hint="default" w:ascii="Times New Roman" w:hAnsi="Times New Roman" w:cs="Times New Roman"/>
                <w:szCs w:val="21"/>
              </w:rPr>
            </w:pPr>
            <w:r>
              <w:rPr>
                <w:rFonts w:hint="default" w:ascii="Times New Roman" w:hAnsi="Times New Roman" w:cs="Times New Roman"/>
                <w:szCs w:val="21"/>
              </w:rPr>
              <w:t>6、合理发放、正确穿戴劳动保护用品。</w:t>
            </w:r>
          </w:p>
          <w:p w14:paraId="1A7D11D1">
            <w:pPr>
              <w:spacing w:line="240" w:lineRule="atLeast"/>
              <w:rPr>
                <w:rFonts w:hint="default" w:ascii="Times New Roman" w:hAnsi="Times New Roman" w:cs="Times New Roman"/>
                <w:szCs w:val="21"/>
              </w:rPr>
            </w:pPr>
            <w:r>
              <w:rPr>
                <w:rFonts w:hint="default" w:ascii="Times New Roman" w:hAnsi="Times New Roman" w:cs="Times New Roman"/>
                <w:szCs w:val="21"/>
              </w:rPr>
              <w:t>7、严格执行安全操作规程及各种规章制度。</w:t>
            </w:r>
          </w:p>
          <w:p w14:paraId="587B0DD8">
            <w:pPr>
              <w:spacing w:line="240" w:lineRule="atLeast"/>
              <w:rPr>
                <w:rFonts w:hint="default" w:ascii="Times New Roman" w:hAnsi="Times New Roman" w:cs="Times New Roman"/>
                <w:szCs w:val="21"/>
              </w:rPr>
            </w:pPr>
            <w:r>
              <w:rPr>
                <w:rFonts w:hint="default" w:ascii="Times New Roman" w:hAnsi="Times New Roman" w:cs="Times New Roman"/>
                <w:szCs w:val="21"/>
              </w:rPr>
              <w:t>8、设立安全标志和风向标，作业场所要通风良好。</w:t>
            </w:r>
          </w:p>
          <w:p w14:paraId="2187C730">
            <w:pPr>
              <w:spacing w:line="240" w:lineRule="atLeast"/>
              <w:rPr>
                <w:rFonts w:hint="default" w:ascii="Times New Roman" w:hAnsi="Times New Roman" w:cs="Times New Roman"/>
                <w:szCs w:val="21"/>
              </w:rPr>
            </w:pPr>
            <w:r>
              <w:rPr>
                <w:rFonts w:hint="default" w:ascii="Times New Roman" w:hAnsi="Times New Roman" w:cs="Times New Roman"/>
                <w:szCs w:val="21"/>
              </w:rPr>
              <w:t>9、制定事故应急救援预案，并报有关部门备案，并定期组织演练。</w:t>
            </w:r>
          </w:p>
        </w:tc>
      </w:tr>
      <w:tr w14:paraId="60ED3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756E4DA6">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窒息</w:t>
            </w:r>
          </w:p>
        </w:tc>
        <w:tc>
          <w:tcPr>
            <w:tcW w:w="1052" w:type="dxa"/>
            <w:vAlign w:val="center"/>
          </w:tcPr>
          <w:p w14:paraId="1EE7E454">
            <w:pPr>
              <w:spacing w:line="240" w:lineRule="atLeast"/>
              <w:rPr>
                <w:rFonts w:hint="default" w:ascii="Times New Roman" w:hAnsi="Times New Roman" w:cs="Times New Roman"/>
                <w:szCs w:val="21"/>
              </w:rPr>
            </w:pPr>
            <w:r>
              <w:rPr>
                <w:rFonts w:hint="default" w:ascii="Times New Roman" w:hAnsi="Times New Roman" w:cs="Times New Roman"/>
                <w:szCs w:val="21"/>
              </w:rPr>
              <w:t>1、</w:t>
            </w:r>
            <w:r>
              <w:rPr>
                <w:rFonts w:hint="eastAsia" w:cs="Times New Roman"/>
                <w:szCs w:val="21"/>
                <w:lang w:eastAsia="zh-CN"/>
              </w:rPr>
              <w:t>乙醇汽油</w:t>
            </w:r>
            <w:r>
              <w:rPr>
                <w:rFonts w:hint="default" w:ascii="Times New Roman" w:hAnsi="Times New Roman" w:cs="Times New Roman"/>
                <w:szCs w:val="21"/>
              </w:rPr>
              <w:t>、柴油大量泄漏。</w:t>
            </w:r>
          </w:p>
          <w:p w14:paraId="2882CA08">
            <w:pPr>
              <w:spacing w:line="240" w:lineRule="atLeast"/>
              <w:rPr>
                <w:rFonts w:hint="default" w:ascii="Times New Roman" w:hAnsi="Times New Roman" w:cs="Times New Roman"/>
                <w:szCs w:val="21"/>
              </w:rPr>
            </w:pPr>
            <w:r>
              <w:rPr>
                <w:rFonts w:hint="default" w:ascii="Times New Roman" w:hAnsi="Times New Roman" w:cs="Times New Roman"/>
                <w:szCs w:val="21"/>
              </w:rPr>
              <w:t>2、检修、抢修设备设施等作业时空气中氧含量低</w:t>
            </w:r>
          </w:p>
        </w:tc>
        <w:tc>
          <w:tcPr>
            <w:tcW w:w="2105" w:type="dxa"/>
            <w:vAlign w:val="center"/>
          </w:tcPr>
          <w:p w14:paraId="0C0E2109">
            <w:pPr>
              <w:spacing w:line="240" w:lineRule="atLeast"/>
              <w:rPr>
                <w:rFonts w:hint="default" w:ascii="Times New Roman" w:hAnsi="Times New Roman" w:cs="Times New Roman"/>
                <w:szCs w:val="21"/>
              </w:rPr>
            </w:pPr>
            <w:r>
              <w:rPr>
                <w:rFonts w:hint="default" w:ascii="Times New Roman" w:hAnsi="Times New Roman" w:cs="Times New Roman"/>
                <w:szCs w:val="21"/>
              </w:rPr>
              <w:t>1、在封闭的空间内作业。</w:t>
            </w:r>
          </w:p>
          <w:p w14:paraId="54B4AE9F">
            <w:pPr>
              <w:spacing w:line="240" w:lineRule="atLeast"/>
              <w:rPr>
                <w:rFonts w:hint="default" w:ascii="Times New Roman" w:hAnsi="Times New Roman" w:cs="Times New Roman"/>
                <w:szCs w:val="21"/>
              </w:rPr>
            </w:pPr>
            <w:r>
              <w:rPr>
                <w:rFonts w:hint="default" w:ascii="Times New Roman" w:hAnsi="Times New Roman" w:cs="Times New Roman"/>
                <w:szCs w:val="21"/>
              </w:rPr>
              <w:t>2、检修、抢修（设备、管线、阀门等）时，有毒物料未彻底清洗干净。</w:t>
            </w:r>
          </w:p>
          <w:p w14:paraId="191FC51E">
            <w:pPr>
              <w:tabs>
                <w:tab w:val="left" w:pos="5115"/>
              </w:tabs>
              <w:spacing w:line="240" w:lineRule="atLeast"/>
              <w:rPr>
                <w:rFonts w:hint="default" w:ascii="Times New Roman" w:hAnsi="Times New Roman" w:cs="Times New Roman"/>
                <w:szCs w:val="21"/>
              </w:rPr>
            </w:pPr>
            <w:r>
              <w:rPr>
                <w:rFonts w:hint="default" w:ascii="Times New Roman" w:hAnsi="Times New Roman" w:cs="Times New Roman"/>
                <w:szCs w:val="21"/>
              </w:rPr>
              <w:t>3、通风不畅。</w:t>
            </w:r>
            <w:r>
              <w:rPr>
                <w:rFonts w:hint="default" w:ascii="Times New Roman" w:hAnsi="Times New Roman" w:cs="Times New Roman"/>
                <w:szCs w:val="21"/>
              </w:rPr>
              <w:tab/>
            </w:r>
          </w:p>
          <w:p w14:paraId="423E60CD">
            <w:pPr>
              <w:spacing w:line="240" w:lineRule="atLeast"/>
              <w:rPr>
                <w:rFonts w:hint="default" w:ascii="Times New Roman" w:hAnsi="Times New Roman" w:cs="Times New Roman"/>
                <w:szCs w:val="21"/>
              </w:rPr>
            </w:pPr>
            <w:r>
              <w:rPr>
                <w:rFonts w:hint="default" w:ascii="Times New Roman" w:hAnsi="Times New Roman" w:cs="Times New Roman"/>
                <w:szCs w:val="21"/>
              </w:rPr>
              <w:t>4、缺乏泄漏物料的危险、危害特性的知识及其应急预防方法。</w:t>
            </w:r>
          </w:p>
          <w:p w14:paraId="7B5F8264">
            <w:pPr>
              <w:spacing w:line="240" w:lineRule="atLeast"/>
              <w:rPr>
                <w:rFonts w:hint="default" w:ascii="Times New Roman" w:hAnsi="Times New Roman" w:cs="Times New Roman"/>
                <w:szCs w:val="21"/>
              </w:rPr>
            </w:pPr>
            <w:r>
              <w:rPr>
                <w:rFonts w:hint="default" w:ascii="Times New Roman" w:hAnsi="Times New Roman" w:cs="Times New Roman"/>
                <w:szCs w:val="21"/>
              </w:rPr>
              <w:t>5、应急不当、救护不当。</w:t>
            </w:r>
          </w:p>
          <w:p w14:paraId="5A3F9F55">
            <w:pPr>
              <w:spacing w:line="240" w:lineRule="atLeast"/>
              <w:rPr>
                <w:rFonts w:hint="default" w:ascii="Times New Roman" w:hAnsi="Times New Roman" w:cs="Times New Roman"/>
                <w:szCs w:val="21"/>
              </w:rPr>
            </w:pPr>
            <w:r>
              <w:rPr>
                <w:rFonts w:hint="default" w:ascii="Times New Roman" w:hAnsi="Times New Roman" w:cs="Times New Roman"/>
                <w:szCs w:val="21"/>
              </w:rPr>
              <w:t>6、在窒息场所作业时无人监护。</w:t>
            </w:r>
          </w:p>
        </w:tc>
        <w:tc>
          <w:tcPr>
            <w:tcW w:w="1263" w:type="dxa"/>
            <w:vAlign w:val="center"/>
          </w:tcPr>
          <w:p w14:paraId="5780C7F5">
            <w:pPr>
              <w:spacing w:line="240" w:lineRule="atLeast"/>
              <w:rPr>
                <w:rFonts w:hint="default" w:ascii="Times New Roman" w:hAnsi="Times New Roman" w:cs="Times New Roman"/>
                <w:szCs w:val="21"/>
              </w:rPr>
            </w:pPr>
            <w:r>
              <w:rPr>
                <w:rFonts w:hint="default" w:ascii="Times New Roman" w:hAnsi="Times New Roman" w:cs="Times New Roman"/>
                <w:szCs w:val="21"/>
              </w:rPr>
              <w:t>人员窒息</w:t>
            </w:r>
          </w:p>
        </w:tc>
        <w:tc>
          <w:tcPr>
            <w:tcW w:w="2569" w:type="dxa"/>
            <w:vAlign w:val="center"/>
          </w:tcPr>
          <w:p w14:paraId="2F501DDF">
            <w:pPr>
              <w:spacing w:line="240" w:lineRule="atLeast"/>
              <w:rPr>
                <w:rFonts w:hint="default" w:ascii="Times New Roman" w:hAnsi="Times New Roman" w:cs="Times New Roman"/>
                <w:szCs w:val="21"/>
              </w:rPr>
            </w:pPr>
            <w:r>
              <w:rPr>
                <w:rFonts w:hint="default" w:ascii="Times New Roman" w:hAnsi="Times New Roman" w:cs="Times New Roman"/>
                <w:szCs w:val="21"/>
              </w:rPr>
              <w:t>1、窒息性气体泄漏，超过容许浓度。</w:t>
            </w:r>
          </w:p>
          <w:p w14:paraId="74E7B3D9">
            <w:pPr>
              <w:spacing w:line="240" w:lineRule="atLeast"/>
              <w:rPr>
                <w:rFonts w:hint="default" w:ascii="Times New Roman" w:hAnsi="Times New Roman" w:cs="Times New Roman"/>
                <w:szCs w:val="21"/>
              </w:rPr>
            </w:pPr>
            <w:r>
              <w:rPr>
                <w:rFonts w:hint="default" w:ascii="Times New Roman" w:hAnsi="Times New Roman" w:cs="Times New Roman"/>
                <w:szCs w:val="21"/>
              </w:rPr>
              <w:t>2、缺氧。</w:t>
            </w:r>
          </w:p>
        </w:tc>
        <w:tc>
          <w:tcPr>
            <w:tcW w:w="728" w:type="dxa"/>
            <w:vAlign w:val="center"/>
          </w:tcPr>
          <w:p w14:paraId="7EC35DE2">
            <w:pPr>
              <w:spacing w:line="240" w:lineRule="atLeast"/>
              <w:rPr>
                <w:rFonts w:hint="default" w:ascii="Times New Roman" w:hAnsi="Times New Roman" w:cs="Times New Roman"/>
                <w:szCs w:val="21"/>
              </w:rPr>
            </w:pPr>
            <w:r>
              <w:rPr>
                <w:rFonts w:hint="default" w:ascii="Times New Roman" w:hAnsi="Times New Roman" w:cs="Times New Roman"/>
                <w:szCs w:val="21"/>
              </w:rPr>
              <w:t>人员伤亡</w:t>
            </w:r>
          </w:p>
        </w:tc>
        <w:tc>
          <w:tcPr>
            <w:tcW w:w="742" w:type="dxa"/>
            <w:vAlign w:val="center"/>
          </w:tcPr>
          <w:p w14:paraId="083AEEE4">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2E943F94">
            <w:pPr>
              <w:spacing w:line="240" w:lineRule="atLeast"/>
              <w:rPr>
                <w:rFonts w:hint="default" w:ascii="Times New Roman" w:hAnsi="Times New Roman" w:cs="Times New Roman"/>
                <w:szCs w:val="21"/>
              </w:rPr>
            </w:pPr>
            <w:r>
              <w:rPr>
                <w:rFonts w:hint="default" w:ascii="Times New Roman" w:hAnsi="Times New Roman" w:cs="Times New Roman"/>
                <w:szCs w:val="21"/>
              </w:rPr>
              <w:t>1、严格控制设备及安装质量，消除泄漏的可能性。</w:t>
            </w:r>
          </w:p>
          <w:p w14:paraId="2D152DAB">
            <w:pPr>
              <w:spacing w:line="240" w:lineRule="atLeast"/>
              <w:rPr>
                <w:rFonts w:hint="default" w:ascii="Times New Roman" w:hAnsi="Times New Roman" w:cs="Times New Roman"/>
                <w:szCs w:val="21"/>
              </w:rPr>
            </w:pPr>
            <w:r>
              <w:rPr>
                <w:rFonts w:hint="default" w:ascii="Times New Roman" w:hAnsi="Times New Roman" w:cs="Times New Roman"/>
                <w:szCs w:val="21"/>
              </w:rPr>
              <w:t>2、一旦发生泄漏，应立即采取措施：</w:t>
            </w:r>
          </w:p>
          <w:p w14:paraId="7A5CA62A">
            <w:pPr>
              <w:spacing w:line="240" w:lineRule="atLeast"/>
              <w:rPr>
                <w:rFonts w:hint="default" w:ascii="Times New Roman" w:hAnsi="Times New Roman" w:cs="Times New Roman"/>
                <w:szCs w:val="21"/>
              </w:rPr>
            </w:pPr>
            <w:r>
              <w:rPr>
                <w:rFonts w:hint="default" w:ascii="Times New Roman" w:hAnsi="Times New Roman" w:cs="Times New Roman"/>
                <w:szCs w:val="21"/>
              </w:rPr>
              <w:t>①查明泄漏点，切断相关阀门，消除泄漏源，及时报告；</w:t>
            </w:r>
          </w:p>
          <w:p w14:paraId="118A9110">
            <w:pPr>
              <w:spacing w:line="240" w:lineRule="atLeast"/>
              <w:rPr>
                <w:rFonts w:hint="default" w:ascii="Times New Roman" w:hAnsi="Times New Roman" w:cs="Times New Roman"/>
                <w:szCs w:val="21"/>
              </w:rPr>
            </w:pPr>
            <w:r>
              <w:rPr>
                <w:rFonts w:hint="default" w:ascii="Times New Roman" w:hAnsi="Times New Roman" w:cs="Times New Roman"/>
                <w:szCs w:val="21"/>
              </w:rPr>
              <w:t>②如泄漏量大，应疏散相关人员至安全处。</w:t>
            </w:r>
          </w:p>
          <w:p w14:paraId="3836B710">
            <w:pPr>
              <w:spacing w:line="240" w:lineRule="atLeast"/>
              <w:rPr>
                <w:rFonts w:hint="default" w:ascii="Times New Roman" w:hAnsi="Times New Roman" w:cs="Times New Roman"/>
                <w:szCs w:val="21"/>
              </w:rPr>
            </w:pPr>
            <w:r>
              <w:rPr>
                <w:rFonts w:hint="default" w:ascii="Times New Roman" w:hAnsi="Times New Roman" w:cs="Times New Roman"/>
                <w:szCs w:val="21"/>
              </w:rPr>
              <w:t>3、定期检修、维护保养，保持设备的完好状态。检修时，要彻底清洗干净，作业时要有人监护及抢救后备措施，作业人员要穿戴好防护用品。</w:t>
            </w:r>
          </w:p>
          <w:p w14:paraId="58AD7040">
            <w:pPr>
              <w:spacing w:line="240" w:lineRule="atLeast"/>
              <w:rPr>
                <w:rFonts w:hint="default" w:ascii="Times New Roman" w:hAnsi="Times New Roman" w:cs="Times New Roman"/>
                <w:szCs w:val="21"/>
              </w:rPr>
            </w:pPr>
            <w:r>
              <w:rPr>
                <w:rFonts w:hint="default" w:ascii="Times New Roman" w:hAnsi="Times New Roman" w:cs="Times New Roman"/>
                <w:szCs w:val="21"/>
              </w:rPr>
              <w:t>4、组织管理措施。</w:t>
            </w:r>
          </w:p>
          <w:p w14:paraId="0541B375">
            <w:pPr>
              <w:spacing w:line="240" w:lineRule="atLeast"/>
              <w:rPr>
                <w:rFonts w:hint="default" w:ascii="Times New Roman" w:hAnsi="Times New Roman" w:cs="Times New Roman"/>
                <w:szCs w:val="21"/>
              </w:rPr>
            </w:pPr>
            <w:r>
              <w:rPr>
                <w:rFonts w:hint="default" w:ascii="Times New Roman" w:hAnsi="Times New Roman" w:cs="Times New Roman"/>
                <w:szCs w:val="21"/>
              </w:rPr>
              <w:t>①加强检测，杜绝泄漏；</w:t>
            </w:r>
          </w:p>
          <w:p w14:paraId="3951AD59">
            <w:pPr>
              <w:spacing w:line="240" w:lineRule="atLeast"/>
              <w:rPr>
                <w:rFonts w:hint="default" w:ascii="Times New Roman" w:hAnsi="Times New Roman" w:cs="Times New Roman"/>
                <w:szCs w:val="21"/>
              </w:rPr>
            </w:pPr>
            <w:r>
              <w:rPr>
                <w:rFonts w:hint="default" w:ascii="Times New Roman" w:hAnsi="Times New Roman" w:cs="Times New Roman"/>
                <w:szCs w:val="21"/>
              </w:rPr>
              <w:t>②教育、培训职工掌握有关预防窒息的方法及其急救法；</w:t>
            </w:r>
          </w:p>
          <w:p w14:paraId="6981F312">
            <w:pPr>
              <w:spacing w:line="240" w:lineRule="atLeast"/>
              <w:rPr>
                <w:rFonts w:hint="default" w:ascii="Times New Roman" w:hAnsi="Times New Roman" w:cs="Times New Roman"/>
                <w:szCs w:val="21"/>
              </w:rPr>
            </w:pPr>
            <w:r>
              <w:rPr>
                <w:rFonts w:hint="default" w:ascii="Times New Roman" w:hAnsi="Times New Roman" w:cs="Times New Roman"/>
                <w:szCs w:val="21"/>
              </w:rPr>
              <w:t>③要求职工严格遵守各种规章制度、操作规程；</w:t>
            </w:r>
          </w:p>
          <w:p w14:paraId="3830BDCB">
            <w:pPr>
              <w:spacing w:line="240" w:lineRule="atLeast"/>
              <w:rPr>
                <w:rFonts w:hint="default" w:ascii="Times New Roman" w:hAnsi="Times New Roman" w:cs="Times New Roman"/>
                <w:szCs w:val="21"/>
              </w:rPr>
            </w:pPr>
            <w:r>
              <w:rPr>
                <w:rFonts w:hint="default" w:ascii="Times New Roman" w:hAnsi="Times New Roman" w:cs="Times New Roman"/>
                <w:szCs w:val="21"/>
              </w:rPr>
              <w:t>④培训人员提高对窒息等急救处理能力。</w:t>
            </w:r>
          </w:p>
          <w:p w14:paraId="27D42607">
            <w:pPr>
              <w:spacing w:line="240" w:lineRule="atLeast"/>
              <w:rPr>
                <w:rFonts w:hint="default" w:ascii="Times New Roman" w:hAnsi="Times New Roman" w:cs="Times New Roman"/>
                <w:szCs w:val="21"/>
              </w:rPr>
            </w:pPr>
            <w:r>
              <w:rPr>
                <w:rFonts w:hint="default" w:ascii="Times New Roman" w:hAnsi="Times New Roman" w:cs="Times New Roman"/>
                <w:szCs w:val="21"/>
              </w:rPr>
              <w:t>5、防止车辆行驶过程中撞坏设备、管线，造成窒息性物料泄漏。</w:t>
            </w:r>
          </w:p>
          <w:p w14:paraId="4F790733">
            <w:pPr>
              <w:spacing w:line="240" w:lineRule="atLeast"/>
              <w:rPr>
                <w:rFonts w:hint="default" w:ascii="Times New Roman" w:hAnsi="Times New Roman" w:cs="Times New Roman"/>
                <w:szCs w:val="21"/>
              </w:rPr>
            </w:pPr>
            <w:r>
              <w:rPr>
                <w:rFonts w:hint="default" w:ascii="Times New Roman" w:hAnsi="Times New Roman" w:cs="Times New Roman"/>
                <w:szCs w:val="21"/>
              </w:rPr>
              <w:t>6、合理发放、正确穿戴劳动保护用品。</w:t>
            </w:r>
          </w:p>
          <w:p w14:paraId="4DC60BAA">
            <w:pPr>
              <w:spacing w:line="240" w:lineRule="atLeast"/>
              <w:rPr>
                <w:rFonts w:hint="default" w:ascii="Times New Roman" w:hAnsi="Times New Roman" w:cs="Times New Roman"/>
                <w:szCs w:val="21"/>
              </w:rPr>
            </w:pPr>
            <w:r>
              <w:rPr>
                <w:rFonts w:hint="default" w:ascii="Times New Roman" w:hAnsi="Times New Roman" w:cs="Times New Roman"/>
                <w:szCs w:val="21"/>
              </w:rPr>
              <w:t>7、严格执行安全操作规程及各种规章制度。</w:t>
            </w:r>
          </w:p>
          <w:p w14:paraId="1A9F08D0">
            <w:pPr>
              <w:spacing w:line="240" w:lineRule="atLeast"/>
              <w:rPr>
                <w:rFonts w:hint="default" w:ascii="Times New Roman" w:hAnsi="Times New Roman" w:cs="Times New Roman"/>
                <w:szCs w:val="21"/>
              </w:rPr>
            </w:pPr>
            <w:r>
              <w:rPr>
                <w:rFonts w:hint="default" w:ascii="Times New Roman" w:hAnsi="Times New Roman" w:cs="Times New Roman"/>
                <w:szCs w:val="21"/>
              </w:rPr>
              <w:t>8、设立安全标志和风向标，作业场所要通风良好。</w:t>
            </w:r>
          </w:p>
          <w:p w14:paraId="58332C0A">
            <w:pPr>
              <w:spacing w:line="240" w:lineRule="atLeast"/>
              <w:rPr>
                <w:rFonts w:hint="default" w:ascii="Times New Roman" w:hAnsi="Times New Roman" w:cs="Times New Roman"/>
                <w:szCs w:val="21"/>
              </w:rPr>
            </w:pPr>
            <w:r>
              <w:rPr>
                <w:rFonts w:hint="default" w:ascii="Times New Roman" w:hAnsi="Times New Roman" w:cs="Times New Roman"/>
                <w:szCs w:val="21"/>
              </w:rPr>
              <w:t>9、制定事故应急救援预案，并报有关部门备案，并定期组织演练。</w:t>
            </w:r>
          </w:p>
        </w:tc>
      </w:tr>
      <w:tr w14:paraId="37694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1090" w:type="dxa"/>
            <w:vAlign w:val="center"/>
          </w:tcPr>
          <w:p w14:paraId="3909B9F2">
            <w:pPr>
              <w:jc w:val="center"/>
              <w:rPr>
                <w:rFonts w:hint="default" w:ascii="Times New Roman" w:hAnsi="Times New Roman" w:cs="Times New Roman"/>
                <w:szCs w:val="21"/>
              </w:rPr>
            </w:pPr>
            <w:r>
              <w:rPr>
                <w:rFonts w:hint="default" w:ascii="Times New Roman" w:hAnsi="Times New Roman" w:cs="Times New Roman"/>
                <w:szCs w:val="21"/>
              </w:rPr>
              <w:t>触电</w:t>
            </w:r>
          </w:p>
        </w:tc>
        <w:tc>
          <w:tcPr>
            <w:tcW w:w="1052" w:type="dxa"/>
            <w:vAlign w:val="center"/>
          </w:tcPr>
          <w:p w14:paraId="674830D5">
            <w:pPr>
              <w:adjustRightInd w:val="0"/>
              <w:snapToGrid w:val="0"/>
              <w:spacing w:line="240" w:lineRule="atLeast"/>
              <w:jc w:val="center"/>
              <w:rPr>
                <w:rFonts w:hint="default" w:ascii="Times New Roman" w:hAnsi="Times New Roman" w:cs="Times New Roman"/>
                <w:szCs w:val="21"/>
              </w:rPr>
            </w:pPr>
            <w:r>
              <w:rPr>
                <w:rFonts w:hint="default" w:ascii="Times New Roman" w:hAnsi="Times New Roman" w:cs="Times New Roman"/>
                <w:szCs w:val="21"/>
              </w:rPr>
              <w:t>漏电、绝缘损坏、安全距离不够、雷击、静电</w:t>
            </w:r>
          </w:p>
        </w:tc>
        <w:tc>
          <w:tcPr>
            <w:tcW w:w="2105" w:type="dxa"/>
          </w:tcPr>
          <w:p w14:paraId="2D3EE759">
            <w:pPr>
              <w:adjustRightInd w:val="0"/>
              <w:snapToGrid w:val="0"/>
              <w:rPr>
                <w:rFonts w:hint="default" w:ascii="Times New Roman" w:hAnsi="Times New Roman" w:cs="Times New Roman"/>
                <w:szCs w:val="21"/>
              </w:rPr>
            </w:pPr>
            <w:r>
              <w:rPr>
                <w:rFonts w:hint="default" w:ascii="Times New Roman" w:hAnsi="Times New Roman" w:cs="Times New Roman"/>
                <w:szCs w:val="21"/>
              </w:rPr>
              <w:t>1. 电气线路或电气设备在设计、安装上存在缺陷，或在运行中缺乏必要的检修维护；</w:t>
            </w:r>
          </w:p>
          <w:p w14:paraId="7F9B055B">
            <w:pPr>
              <w:rPr>
                <w:rFonts w:hint="default" w:ascii="Times New Roman" w:hAnsi="Times New Roman" w:cs="Times New Roman"/>
                <w:szCs w:val="21"/>
              </w:rPr>
            </w:pPr>
            <w:r>
              <w:rPr>
                <w:rFonts w:hint="default" w:ascii="Times New Roman" w:hAnsi="Times New Roman" w:cs="Times New Roman"/>
                <w:szCs w:val="21"/>
              </w:rPr>
              <w:t>2. 没有设置必要的安全技术措施或安全措施失效；</w:t>
            </w:r>
          </w:p>
          <w:p w14:paraId="61890F69">
            <w:pPr>
              <w:rPr>
                <w:rFonts w:hint="default" w:ascii="Times New Roman" w:hAnsi="Times New Roman" w:cs="Times New Roman"/>
                <w:szCs w:val="21"/>
              </w:rPr>
            </w:pPr>
            <w:r>
              <w:rPr>
                <w:rFonts w:hint="default" w:ascii="Times New Roman" w:hAnsi="Times New Roman" w:cs="Times New Roman"/>
                <w:szCs w:val="21"/>
              </w:rPr>
              <w:t>3.电气设备运行管理不当，安全管理制度不完善，没有必要的安全组织措施；</w:t>
            </w:r>
          </w:p>
          <w:p w14:paraId="7FE4891C">
            <w:pPr>
              <w:rPr>
                <w:rFonts w:hint="default" w:ascii="Times New Roman" w:hAnsi="Times New Roman" w:cs="Times New Roman"/>
                <w:szCs w:val="21"/>
              </w:rPr>
            </w:pPr>
            <w:r>
              <w:rPr>
                <w:rFonts w:hint="default" w:ascii="Times New Roman" w:hAnsi="Times New Roman" w:cs="Times New Roman"/>
                <w:szCs w:val="21"/>
              </w:rPr>
              <w:t>4.专业电工或机电设备操作人员的操作失误，或违章作业等；</w:t>
            </w:r>
          </w:p>
          <w:p w14:paraId="2237C492">
            <w:pPr>
              <w:rPr>
                <w:rFonts w:hint="default" w:ascii="Times New Roman" w:hAnsi="Times New Roman" w:cs="Times New Roman"/>
                <w:szCs w:val="21"/>
              </w:rPr>
            </w:pPr>
            <w:r>
              <w:rPr>
                <w:rFonts w:hint="default" w:ascii="Times New Roman" w:hAnsi="Times New Roman" w:cs="Times New Roman"/>
                <w:szCs w:val="21"/>
              </w:rPr>
              <w:t>5. 雷击，包括直接雷、感应雷。</w:t>
            </w:r>
          </w:p>
        </w:tc>
        <w:tc>
          <w:tcPr>
            <w:tcW w:w="1263" w:type="dxa"/>
            <w:vAlign w:val="center"/>
          </w:tcPr>
          <w:p w14:paraId="698A57C6">
            <w:pPr>
              <w:spacing w:line="240" w:lineRule="atLeast"/>
              <w:jc w:val="left"/>
              <w:rPr>
                <w:rFonts w:hint="default" w:ascii="Times New Roman" w:hAnsi="Times New Roman" w:cs="Times New Roman"/>
                <w:szCs w:val="21"/>
              </w:rPr>
            </w:pPr>
            <w:r>
              <w:rPr>
                <w:rFonts w:hint="default" w:ascii="Times New Roman" w:hAnsi="Times New Roman" w:cs="Times New Roman"/>
                <w:szCs w:val="21"/>
              </w:rPr>
              <w:t>人体触及带电体</w:t>
            </w:r>
          </w:p>
        </w:tc>
        <w:tc>
          <w:tcPr>
            <w:tcW w:w="2569" w:type="dxa"/>
            <w:vAlign w:val="center"/>
          </w:tcPr>
          <w:p w14:paraId="6335D1C9">
            <w:pPr>
              <w:adjustRightInd w:val="0"/>
              <w:snapToGrid w:val="0"/>
              <w:jc w:val="left"/>
              <w:rPr>
                <w:rFonts w:hint="default" w:ascii="Times New Roman" w:hAnsi="Times New Roman" w:cs="Times New Roman"/>
                <w:szCs w:val="21"/>
              </w:rPr>
            </w:pPr>
            <w:r>
              <w:rPr>
                <w:rFonts w:hint="default" w:ascii="Times New Roman" w:hAnsi="Times New Roman" w:cs="Times New Roman"/>
                <w:szCs w:val="21"/>
              </w:rPr>
              <w:t>1．人体触及带电体；</w:t>
            </w:r>
          </w:p>
          <w:p w14:paraId="2AE137A2">
            <w:pPr>
              <w:adjustRightInd w:val="0"/>
              <w:snapToGrid w:val="0"/>
              <w:jc w:val="left"/>
              <w:rPr>
                <w:rFonts w:hint="default" w:ascii="Times New Roman" w:hAnsi="Times New Roman" w:cs="Times New Roman"/>
                <w:szCs w:val="21"/>
              </w:rPr>
            </w:pPr>
            <w:r>
              <w:rPr>
                <w:rFonts w:hint="default" w:ascii="Times New Roman" w:hAnsi="Times New Roman" w:cs="Times New Roman"/>
                <w:szCs w:val="21"/>
              </w:rPr>
              <w:t>2．流过人体的电流超过50mA·s，持续时间超过心动周期；</w:t>
            </w:r>
          </w:p>
          <w:p w14:paraId="73FA3AE2">
            <w:pPr>
              <w:spacing w:line="240" w:lineRule="atLeast"/>
              <w:rPr>
                <w:rFonts w:hint="default" w:ascii="Times New Roman" w:hAnsi="Times New Roman" w:cs="Times New Roman"/>
                <w:szCs w:val="21"/>
              </w:rPr>
            </w:pPr>
            <w:r>
              <w:rPr>
                <w:rFonts w:hint="default" w:ascii="Times New Roman" w:hAnsi="Times New Roman" w:cs="Times New Roman"/>
                <w:szCs w:val="21"/>
              </w:rPr>
              <w:t>3．安全距离不够，空气击穿。</w:t>
            </w:r>
          </w:p>
        </w:tc>
        <w:tc>
          <w:tcPr>
            <w:tcW w:w="728" w:type="dxa"/>
            <w:vAlign w:val="center"/>
          </w:tcPr>
          <w:p w14:paraId="1DB265F6">
            <w:pPr>
              <w:adjustRightInd w:val="0"/>
              <w:snapToGrid w:val="0"/>
              <w:spacing w:line="240" w:lineRule="atLeast"/>
              <w:jc w:val="center"/>
              <w:rPr>
                <w:rFonts w:hint="default" w:ascii="Times New Roman" w:hAnsi="Times New Roman" w:cs="Times New Roman"/>
                <w:szCs w:val="21"/>
              </w:rPr>
            </w:pPr>
            <w:r>
              <w:rPr>
                <w:rFonts w:hint="default" w:ascii="Times New Roman" w:hAnsi="Times New Roman" w:cs="Times New Roman"/>
                <w:szCs w:val="21"/>
              </w:rPr>
              <w:t>可能人员烫伤或死亡</w:t>
            </w:r>
          </w:p>
        </w:tc>
        <w:tc>
          <w:tcPr>
            <w:tcW w:w="742" w:type="dxa"/>
            <w:vAlign w:val="center"/>
          </w:tcPr>
          <w:p w14:paraId="3AF380DA">
            <w:pPr>
              <w:adjustRightInd w:val="0"/>
              <w:snapToGrid w:val="0"/>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14CF98E3">
            <w:pPr>
              <w:adjustRightInd w:val="0"/>
              <w:snapToGrid w:val="0"/>
              <w:spacing w:line="240" w:lineRule="atLeast"/>
              <w:rPr>
                <w:rFonts w:hint="default" w:ascii="Times New Roman" w:hAnsi="Times New Roman" w:cs="Times New Roman"/>
                <w:szCs w:val="21"/>
              </w:rPr>
            </w:pPr>
            <w:r>
              <w:rPr>
                <w:rFonts w:hint="default" w:ascii="Times New Roman" w:hAnsi="Times New Roman" w:cs="Times New Roman"/>
                <w:szCs w:val="21"/>
              </w:rPr>
              <w:t>1.设备要采用合格产品，全面的质量保证措施，要有完好的保温层或其它防护措施，防止发生泄漏；</w:t>
            </w:r>
          </w:p>
          <w:p w14:paraId="2B8B4DAA">
            <w:pPr>
              <w:adjustRightInd w:val="0"/>
              <w:snapToGrid w:val="0"/>
              <w:spacing w:line="240" w:lineRule="atLeast"/>
              <w:rPr>
                <w:rFonts w:hint="default" w:ascii="Times New Roman" w:hAnsi="Times New Roman" w:cs="Times New Roman"/>
                <w:szCs w:val="21"/>
              </w:rPr>
            </w:pPr>
            <w:r>
              <w:rPr>
                <w:rFonts w:hint="default" w:ascii="Times New Roman" w:hAnsi="Times New Roman" w:cs="Times New Roman"/>
                <w:szCs w:val="21"/>
              </w:rPr>
              <w:t>2.设备要定期及时进行检修，保证其处于完好状态；</w:t>
            </w:r>
          </w:p>
          <w:p w14:paraId="6B06A982">
            <w:pPr>
              <w:adjustRightInd w:val="0"/>
              <w:snapToGrid w:val="0"/>
              <w:spacing w:line="240" w:lineRule="atLeast"/>
              <w:rPr>
                <w:rFonts w:hint="default" w:ascii="Times New Roman" w:hAnsi="Times New Roman" w:cs="Times New Roman"/>
                <w:szCs w:val="21"/>
              </w:rPr>
            </w:pPr>
            <w:r>
              <w:rPr>
                <w:rFonts w:hint="default" w:ascii="Times New Roman" w:hAnsi="Times New Roman" w:cs="Times New Roman"/>
                <w:szCs w:val="21"/>
              </w:rPr>
              <w:t>3.遵守操作规程；</w:t>
            </w:r>
          </w:p>
          <w:p w14:paraId="09CACB66">
            <w:pPr>
              <w:adjustRightInd w:val="0"/>
              <w:snapToGrid w:val="0"/>
              <w:spacing w:line="240" w:lineRule="atLeast"/>
              <w:rPr>
                <w:rFonts w:hint="default" w:ascii="Times New Roman" w:hAnsi="Times New Roman" w:cs="Times New Roman"/>
                <w:szCs w:val="21"/>
              </w:rPr>
            </w:pPr>
            <w:r>
              <w:rPr>
                <w:rFonts w:hint="default" w:ascii="Times New Roman" w:hAnsi="Times New Roman" w:cs="Times New Roman"/>
                <w:szCs w:val="21"/>
              </w:rPr>
              <w:t>4.穿戴合适的防护用品；</w:t>
            </w:r>
          </w:p>
          <w:p w14:paraId="1CEF7736">
            <w:pPr>
              <w:adjustRightInd w:val="0"/>
              <w:snapToGrid w:val="0"/>
              <w:spacing w:line="240" w:lineRule="atLeast"/>
              <w:rPr>
                <w:rFonts w:hint="default" w:ascii="Times New Roman" w:hAnsi="Times New Roman" w:cs="Times New Roman"/>
                <w:szCs w:val="21"/>
              </w:rPr>
            </w:pPr>
            <w:r>
              <w:rPr>
                <w:rFonts w:hint="default" w:ascii="Times New Roman" w:hAnsi="Times New Roman" w:cs="Times New Roman"/>
                <w:szCs w:val="21"/>
              </w:rPr>
              <w:t>5.要在相应地点设立警示标志；</w:t>
            </w:r>
          </w:p>
          <w:p w14:paraId="00118E56">
            <w:pPr>
              <w:spacing w:line="240" w:lineRule="atLeast"/>
              <w:rPr>
                <w:rFonts w:hint="default" w:ascii="Times New Roman" w:hAnsi="Times New Roman" w:cs="Times New Roman"/>
                <w:szCs w:val="21"/>
              </w:rPr>
            </w:pPr>
            <w:r>
              <w:rPr>
                <w:rFonts w:hint="default" w:ascii="Times New Roman" w:hAnsi="Times New Roman" w:cs="Times New Roman"/>
                <w:szCs w:val="21"/>
              </w:rPr>
              <w:t>6.要设立应急救援点，配备必要的急救设施，备用急救药品。</w:t>
            </w:r>
          </w:p>
        </w:tc>
      </w:tr>
      <w:tr w14:paraId="5F6C8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1090" w:type="dxa"/>
            <w:vAlign w:val="center"/>
          </w:tcPr>
          <w:p w14:paraId="2FF34C2F">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高处坠落</w:t>
            </w:r>
          </w:p>
        </w:tc>
        <w:tc>
          <w:tcPr>
            <w:tcW w:w="1052" w:type="dxa"/>
            <w:vAlign w:val="center"/>
          </w:tcPr>
          <w:p w14:paraId="089EACFE">
            <w:pPr>
              <w:spacing w:line="240" w:lineRule="atLeast"/>
              <w:rPr>
                <w:rFonts w:hint="default" w:ascii="Times New Roman" w:hAnsi="Times New Roman" w:cs="Times New Roman"/>
                <w:szCs w:val="21"/>
              </w:rPr>
            </w:pPr>
            <w:r>
              <w:rPr>
                <w:rFonts w:hint="default" w:ascii="Times New Roman" w:hAnsi="Times New Roman" w:cs="Times New Roman"/>
                <w:szCs w:val="21"/>
              </w:rPr>
              <w:t>未防护、防护不好或作业不当而发生人或物的坠落</w:t>
            </w:r>
          </w:p>
        </w:tc>
        <w:tc>
          <w:tcPr>
            <w:tcW w:w="2105" w:type="dxa"/>
            <w:vAlign w:val="center"/>
          </w:tcPr>
          <w:p w14:paraId="01E9F90C">
            <w:pPr>
              <w:adjustRightInd w:val="0"/>
              <w:snapToGrid w:val="0"/>
              <w:rPr>
                <w:rFonts w:hint="default" w:ascii="Times New Roman" w:hAnsi="Times New Roman" w:cs="Times New Roman"/>
              </w:rPr>
            </w:pPr>
            <w:r>
              <w:rPr>
                <w:rFonts w:hint="default" w:ascii="Times New Roman" w:hAnsi="Times New Roman" w:cs="Times New Roman"/>
                <w:kern w:val="1"/>
                <w:szCs w:val="22"/>
                <w:lang w:bidi="ar"/>
              </w:rPr>
              <w:t>1.作业场所防护装置缺乏或存在缺陷，如栏杆防护不稳固易移动等；</w:t>
            </w:r>
          </w:p>
          <w:p w14:paraId="49346543">
            <w:pPr>
              <w:adjustRightInd w:val="0"/>
              <w:snapToGrid w:val="0"/>
              <w:rPr>
                <w:rFonts w:hint="default" w:ascii="Times New Roman" w:hAnsi="Times New Roman" w:cs="Times New Roman"/>
              </w:rPr>
            </w:pPr>
            <w:r>
              <w:rPr>
                <w:rFonts w:hint="default" w:ascii="Times New Roman" w:hAnsi="Times New Roman" w:cs="Times New Roman"/>
                <w:kern w:val="1"/>
                <w:szCs w:val="22"/>
                <w:lang w:bidi="ar"/>
              </w:rPr>
              <w:t>2.作业人员个体防护用品缺乏或存在缺陷，如未戴安全帽、系安全带等；</w:t>
            </w:r>
          </w:p>
          <w:p w14:paraId="21D55719">
            <w:pPr>
              <w:adjustRightInd w:val="0"/>
              <w:snapToGrid w:val="0"/>
              <w:ind w:firstLine="198"/>
              <w:rPr>
                <w:rFonts w:hint="default" w:ascii="Times New Roman" w:hAnsi="Times New Roman" w:cs="Times New Roman"/>
              </w:rPr>
            </w:pPr>
            <w:r>
              <w:rPr>
                <w:rFonts w:hint="default" w:ascii="Times New Roman" w:hAnsi="Times New Roman" w:cs="Times New Roman"/>
                <w:spacing w:val="-6"/>
                <w:kern w:val="1"/>
                <w:szCs w:val="21"/>
                <w:lang w:bidi="ar"/>
              </w:rPr>
              <w:t>3.</w:t>
            </w:r>
            <w:r>
              <w:rPr>
                <w:rFonts w:hint="default" w:ascii="Times New Roman" w:hAnsi="Times New Roman" w:cs="Times New Roman"/>
                <w:kern w:val="1"/>
                <w:szCs w:val="22"/>
                <w:lang w:bidi="ar"/>
              </w:rPr>
              <w:t>违章作业、违章指挥、作业人员操作失误或注意力不集中；</w:t>
            </w:r>
          </w:p>
          <w:p w14:paraId="135401B7">
            <w:pPr>
              <w:widowControl/>
              <w:jc w:val="left"/>
              <w:rPr>
                <w:rFonts w:hint="default" w:ascii="Times New Roman" w:hAnsi="Times New Roman" w:cs="Times New Roman"/>
                <w:szCs w:val="21"/>
              </w:rPr>
            </w:pPr>
            <w:r>
              <w:rPr>
                <w:rFonts w:hint="default" w:ascii="Times New Roman" w:hAnsi="Times New Roman" w:cs="Times New Roman"/>
                <w:kern w:val="1"/>
                <w:szCs w:val="22"/>
                <w:lang w:bidi="ar"/>
              </w:rPr>
              <w:t>4.环境因素，如夜间作业等环境也是产生高处坠落的原因所在。</w:t>
            </w:r>
          </w:p>
        </w:tc>
        <w:tc>
          <w:tcPr>
            <w:tcW w:w="1263" w:type="dxa"/>
            <w:vAlign w:val="center"/>
          </w:tcPr>
          <w:p w14:paraId="06EB07F7">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人员摔伤</w:t>
            </w:r>
          </w:p>
        </w:tc>
        <w:tc>
          <w:tcPr>
            <w:tcW w:w="2569" w:type="dxa"/>
            <w:vAlign w:val="center"/>
          </w:tcPr>
          <w:p w14:paraId="784AF798">
            <w:pPr>
              <w:spacing w:line="240" w:lineRule="atLeast"/>
              <w:rPr>
                <w:rFonts w:hint="default" w:ascii="Times New Roman" w:hAnsi="Times New Roman" w:cs="Times New Roman"/>
                <w:szCs w:val="21"/>
              </w:rPr>
            </w:pPr>
            <w:r>
              <w:rPr>
                <w:rFonts w:hint="default" w:ascii="Times New Roman" w:hAnsi="Times New Roman" w:cs="Times New Roman"/>
                <w:szCs w:val="21"/>
              </w:rPr>
              <w:t>1.人员防护措施缺失；</w:t>
            </w:r>
          </w:p>
          <w:p w14:paraId="6CBF0EBB">
            <w:pPr>
              <w:spacing w:line="240" w:lineRule="atLeast"/>
              <w:rPr>
                <w:rFonts w:hint="default" w:ascii="Times New Roman" w:hAnsi="Times New Roman" w:cs="Times New Roman"/>
                <w:szCs w:val="21"/>
              </w:rPr>
            </w:pPr>
            <w:r>
              <w:rPr>
                <w:rFonts w:hint="default" w:ascii="Times New Roman" w:hAnsi="Times New Roman" w:cs="Times New Roman"/>
                <w:szCs w:val="21"/>
              </w:rPr>
              <w:t>2.违章作业；</w:t>
            </w:r>
          </w:p>
        </w:tc>
        <w:tc>
          <w:tcPr>
            <w:tcW w:w="728" w:type="dxa"/>
            <w:vAlign w:val="center"/>
          </w:tcPr>
          <w:p w14:paraId="764C25B0">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人员伤害</w:t>
            </w:r>
          </w:p>
        </w:tc>
        <w:tc>
          <w:tcPr>
            <w:tcW w:w="742" w:type="dxa"/>
            <w:vAlign w:val="center"/>
          </w:tcPr>
          <w:p w14:paraId="37D48C84">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462AC7B7">
            <w:pPr>
              <w:pStyle w:val="12"/>
              <w:keepLines/>
              <w:adjustRightInd w:val="0"/>
              <w:snapToGrid w:val="0"/>
              <w:spacing w:before="0" w:beforeAutospacing="0" w:after="0" w:afterAutospacing="0"/>
              <w:jc w:val="both"/>
              <w:rPr>
                <w:rFonts w:hint="default" w:ascii="Times New Roman" w:hAnsi="Times New Roman" w:cs="Times New Roman"/>
              </w:rPr>
            </w:pPr>
            <w:r>
              <w:rPr>
                <w:rFonts w:hint="default" w:ascii="Times New Roman" w:hAnsi="Times New Roman" w:cs="Times New Roman"/>
                <w:kern w:val="1"/>
                <w:sz w:val="21"/>
                <w:szCs w:val="21"/>
                <w:lang w:bidi="ar"/>
              </w:rPr>
              <w:t>1.高处的作业场所有孔洞要封堵或加盖，临边设置合格的护栏；</w:t>
            </w:r>
          </w:p>
          <w:p w14:paraId="165C6C33">
            <w:pPr>
              <w:pStyle w:val="12"/>
              <w:keepLines/>
              <w:adjustRightInd w:val="0"/>
              <w:snapToGrid w:val="0"/>
              <w:spacing w:before="0" w:beforeAutospacing="0" w:after="0" w:afterAutospacing="0"/>
              <w:jc w:val="both"/>
              <w:rPr>
                <w:rFonts w:hint="default" w:ascii="Times New Roman" w:hAnsi="Times New Roman" w:cs="Times New Roman"/>
              </w:rPr>
            </w:pPr>
            <w:r>
              <w:rPr>
                <w:rFonts w:hint="default" w:ascii="Times New Roman" w:hAnsi="Times New Roman" w:cs="Times New Roman"/>
                <w:kern w:val="1"/>
                <w:sz w:val="21"/>
                <w:szCs w:val="21"/>
                <w:lang w:bidi="ar"/>
              </w:rPr>
              <w:t>2.钢梯要符合要求；</w:t>
            </w:r>
          </w:p>
          <w:p w14:paraId="5EFD3A98">
            <w:pPr>
              <w:pStyle w:val="12"/>
              <w:keepLines/>
              <w:adjustRightInd w:val="0"/>
              <w:snapToGrid w:val="0"/>
              <w:spacing w:before="0" w:beforeAutospacing="0" w:after="0" w:afterAutospacing="0"/>
              <w:jc w:val="both"/>
              <w:rPr>
                <w:rFonts w:hint="default" w:ascii="Times New Roman" w:hAnsi="Times New Roman" w:cs="Times New Roman"/>
              </w:rPr>
            </w:pPr>
            <w:r>
              <w:rPr>
                <w:rFonts w:hint="default" w:ascii="Times New Roman" w:hAnsi="Times New Roman" w:cs="Times New Roman"/>
                <w:kern w:val="1"/>
                <w:sz w:val="21"/>
                <w:szCs w:val="21"/>
                <w:lang w:bidi="ar"/>
              </w:rPr>
              <w:t>3.要在相应地点设立警示标志；</w:t>
            </w:r>
          </w:p>
          <w:p w14:paraId="538CB3DB">
            <w:pPr>
              <w:widowControl/>
              <w:jc w:val="left"/>
              <w:rPr>
                <w:rFonts w:hint="default" w:ascii="Times New Roman" w:hAnsi="Times New Roman" w:cs="Times New Roman"/>
              </w:rPr>
            </w:pPr>
            <w:r>
              <w:rPr>
                <w:rFonts w:hint="default" w:ascii="Times New Roman" w:hAnsi="Times New Roman" w:cs="Times New Roman"/>
                <w:spacing w:val="-8"/>
                <w:kern w:val="1"/>
                <w:lang w:bidi="ar"/>
              </w:rPr>
              <w:t>4.严格按作业规程作业</w:t>
            </w:r>
            <w:r>
              <w:rPr>
                <w:rFonts w:hint="default" w:ascii="Times New Roman" w:hAnsi="Times New Roman" w:cs="Times New Roman"/>
                <w:kern w:val="1"/>
                <w:szCs w:val="22"/>
                <w:lang w:bidi="ar"/>
              </w:rPr>
              <w:t>。</w:t>
            </w:r>
          </w:p>
          <w:p w14:paraId="14FF4813">
            <w:pPr>
              <w:spacing w:line="240" w:lineRule="atLeast"/>
              <w:rPr>
                <w:rFonts w:hint="default" w:ascii="Times New Roman" w:hAnsi="Times New Roman" w:cs="Times New Roman"/>
                <w:szCs w:val="21"/>
              </w:rPr>
            </w:pPr>
          </w:p>
        </w:tc>
      </w:tr>
      <w:tr w14:paraId="40EAF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67C19CA6">
            <w:pPr>
              <w:spacing w:line="240" w:lineRule="atLeast"/>
              <w:jc w:val="center"/>
              <w:rPr>
                <w:rFonts w:hint="default" w:ascii="Times New Roman" w:hAnsi="Times New Roman" w:cs="Times New Roman"/>
                <w:szCs w:val="21"/>
              </w:rPr>
            </w:pPr>
            <w:r>
              <w:rPr>
                <w:rFonts w:hint="eastAsia" w:cs="Times New Roman"/>
                <w:szCs w:val="21"/>
                <w:lang w:val="en-US" w:eastAsia="zh-CN"/>
              </w:rPr>
              <w:t>厂（场）内</w:t>
            </w:r>
            <w:r>
              <w:rPr>
                <w:rFonts w:hint="default" w:ascii="Times New Roman" w:hAnsi="Times New Roman" w:cs="Times New Roman"/>
                <w:szCs w:val="21"/>
              </w:rPr>
              <w:t>车辆</w:t>
            </w:r>
          </w:p>
          <w:p w14:paraId="20E19B74">
            <w:pPr>
              <w:spacing w:line="240" w:lineRule="atLeast"/>
              <w:jc w:val="center"/>
              <w:rPr>
                <w:rFonts w:hint="default" w:ascii="Times New Roman" w:hAnsi="Times New Roman" w:cs="Times New Roman"/>
                <w:szCs w:val="21"/>
              </w:rPr>
            </w:pPr>
            <w:r>
              <w:rPr>
                <w:rFonts w:hint="eastAsia" w:cs="Times New Roman"/>
                <w:szCs w:val="21"/>
                <w:lang w:val="en-US" w:eastAsia="zh-CN"/>
              </w:rPr>
              <w:t>致</w:t>
            </w:r>
            <w:r>
              <w:rPr>
                <w:rFonts w:hint="default" w:ascii="Times New Roman" w:hAnsi="Times New Roman" w:cs="Times New Roman"/>
                <w:szCs w:val="21"/>
              </w:rPr>
              <w:t>害</w:t>
            </w:r>
          </w:p>
        </w:tc>
        <w:tc>
          <w:tcPr>
            <w:tcW w:w="1052" w:type="dxa"/>
            <w:vAlign w:val="center"/>
          </w:tcPr>
          <w:p w14:paraId="187370C3">
            <w:pPr>
              <w:spacing w:line="240" w:lineRule="atLeast"/>
              <w:rPr>
                <w:rFonts w:hint="default" w:ascii="Times New Roman" w:hAnsi="Times New Roman" w:cs="Times New Roman"/>
                <w:szCs w:val="21"/>
              </w:rPr>
            </w:pPr>
            <w:r>
              <w:rPr>
                <w:rFonts w:hint="default" w:ascii="Times New Roman" w:hAnsi="Times New Roman" w:cs="Times New Roman"/>
                <w:szCs w:val="21"/>
              </w:rPr>
              <w:t>油品运输作业</w:t>
            </w:r>
          </w:p>
          <w:p w14:paraId="05FF41C9">
            <w:pPr>
              <w:spacing w:line="240" w:lineRule="atLeast"/>
              <w:rPr>
                <w:rFonts w:hint="default" w:ascii="Times New Roman" w:hAnsi="Times New Roman" w:cs="Times New Roman"/>
                <w:spacing w:val="-20"/>
                <w:szCs w:val="21"/>
              </w:rPr>
            </w:pPr>
            <w:r>
              <w:rPr>
                <w:rFonts w:hint="default" w:ascii="Times New Roman" w:hAnsi="Times New Roman" w:cs="Times New Roman"/>
                <w:szCs w:val="21"/>
              </w:rPr>
              <w:t>来站加油车辆</w:t>
            </w:r>
          </w:p>
        </w:tc>
        <w:tc>
          <w:tcPr>
            <w:tcW w:w="2105" w:type="dxa"/>
            <w:vAlign w:val="center"/>
          </w:tcPr>
          <w:p w14:paraId="10B672A7">
            <w:pPr>
              <w:spacing w:line="240" w:lineRule="atLeast"/>
              <w:rPr>
                <w:rFonts w:hint="default" w:ascii="Times New Roman" w:hAnsi="Times New Roman" w:cs="Times New Roman"/>
                <w:szCs w:val="21"/>
              </w:rPr>
            </w:pPr>
            <w:r>
              <w:rPr>
                <w:rFonts w:hint="default" w:ascii="Times New Roman" w:hAnsi="Times New Roman" w:cs="Times New Roman"/>
                <w:szCs w:val="21"/>
              </w:rPr>
              <w:t>1.车辆有故障;</w:t>
            </w:r>
          </w:p>
          <w:p w14:paraId="1D761B23">
            <w:pPr>
              <w:spacing w:line="240" w:lineRule="atLeast"/>
              <w:rPr>
                <w:rFonts w:hint="default" w:ascii="Times New Roman" w:hAnsi="Times New Roman" w:cs="Times New Roman"/>
                <w:szCs w:val="21"/>
              </w:rPr>
            </w:pPr>
            <w:r>
              <w:rPr>
                <w:rFonts w:hint="default" w:ascii="Times New Roman" w:hAnsi="Times New Roman" w:cs="Times New Roman"/>
                <w:szCs w:val="21"/>
              </w:rPr>
              <w:t>2.车速太快;</w:t>
            </w:r>
          </w:p>
          <w:p w14:paraId="669C9AB1">
            <w:pPr>
              <w:spacing w:line="240" w:lineRule="atLeast"/>
              <w:rPr>
                <w:rFonts w:hint="default" w:ascii="Times New Roman" w:hAnsi="Times New Roman" w:cs="Times New Roman"/>
                <w:szCs w:val="21"/>
              </w:rPr>
            </w:pPr>
            <w:r>
              <w:rPr>
                <w:rFonts w:hint="default" w:ascii="Times New Roman" w:hAnsi="Times New Roman" w:cs="Times New Roman"/>
                <w:szCs w:val="21"/>
              </w:rPr>
              <w:t>3.道路管线、管架等在马路边无防止车辆撞击设施;</w:t>
            </w:r>
          </w:p>
          <w:p w14:paraId="5FFDF48C">
            <w:pPr>
              <w:spacing w:line="240" w:lineRule="atLeast"/>
              <w:rPr>
                <w:rFonts w:hint="default" w:ascii="Times New Roman" w:hAnsi="Times New Roman" w:cs="Times New Roman"/>
                <w:szCs w:val="21"/>
              </w:rPr>
            </w:pPr>
            <w:r>
              <w:rPr>
                <w:rFonts w:hint="default" w:ascii="Times New Roman" w:hAnsi="Times New Roman" w:cs="Times New Roman"/>
                <w:szCs w:val="21"/>
              </w:rPr>
              <w:t>4.路面不太好；</w:t>
            </w:r>
          </w:p>
        </w:tc>
        <w:tc>
          <w:tcPr>
            <w:tcW w:w="1263" w:type="dxa"/>
            <w:vAlign w:val="center"/>
          </w:tcPr>
          <w:p w14:paraId="32F65E39">
            <w:pPr>
              <w:spacing w:line="240" w:lineRule="atLeast"/>
              <w:rPr>
                <w:rFonts w:hint="default" w:ascii="Times New Roman" w:hAnsi="Times New Roman" w:cs="Times New Roman"/>
                <w:szCs w:val="21"/>
              </w:rPr>
            </w:pPr>
            <w:r>
              <w:rPr>
                <w:rFonts w:hint="default" w:ascii="Times New Roman" w:hAnsi="Times New Roman" w:cs="Times New Roman"/>
                <w:szCs w:val="21"/>
              </w:rPr>
              <w:t>车辆撞击人体、设备等</w:t>
            </w:r>
          </w:p>
        </w:tc>
        <w:tc>
          <w:tcPr>
            <w:tcW w:w="2569" w:type="dxa"/>
            <w:vAlign w:val="center"/>
          </w:tcPr>
          <w:p w14:paraId="78319E03">
            <w:pPr>
              <w:spacing w:line="240" w:lineRule="atLeast"/>
              <w:rPr>
                <w:rFonts w:hint="default" w:ascii="Times New Roman" w:hAnsi="Times New Roman" w:cs="Times New Roman"/>
                <w:szCs w:val="21"/>
              </w:rPr>
            </w:pPr>
            <w:r>
              <w:rPr>
                <w:rFonts w:hint="default" w:ascii="Times New Roman" w:hAnsi="Times New Roman" w:cs="Times New Roman"/>
                <w:szCs w:val="21"/>
              </w:rPr>
              <w:t>1．驾驶员违章行驶；</w:t>
            </w:r>
          </w:p>
          <w:p w14:paraId="232F6BB1">
            <w:pPr>
              <w:spacing w:line="240" w:lineRule="atLeast"/>
              <w:rPr>
                <w:rFonts w:hint="default" w:ascii="Times New Roman" w:hAnsi="Times New Roman" w:cs="Times New Roman"/>
                <w:szCs w:val="21"/>
              </w:rPr>
            </w:pPr>
            <w:r>
              <w:rPr>
                <w:rFonts w:hint="default" w:ascii="Times New Roman" w:hAnsi="Times New Roman" w:cs="Times New Roman"/>
                <w:szCs w:val="21"/>
              </w:rPr>
              <w:t>2．驾驶员精力不集中（如抽烟、谈话等）；</w:t>
            </w:r>
          </w:p>
          <w:p w14:paraId="525BA263">
            <w:pPr>
              <w:spacing w:line="240" w:lineRule="atLeast"/>
              <w:rPr>
                <w:rFonts w:hint="default" w:ascii="Times New Roman" w:hAnsi="Times New Roman" w:cs="Times New Roman"/>
                <w:szCs w:val="21"/>
              </w:rPr>
            </w:pPr>
            <w:r>
              <w:rPr>
                <w:rFonts w:hint="default" w:ascii="Times New Roman" w:hAnsi="Times New Roman" w:cs="Times New Roman"/>
                <w:szCs w:val="21"/>
              </w:rPr>
              <w:t>3．酒后驾车；</w:t>
            </w:r>
          </w:p>
          <w:p w14:paraId="7C01C7B6">
            <w:pPr>
              <w:spacing w:line="240" w:lineRule="atLeast"/>
              <w:rPr>
                <w:rFonts w:hint="default" w:ascii="Times New Roman" w:hAnsi="Times New Roman" w:cs="Times New Roman"/>
                <w:szCs w:val="21"/>
              </w:rPr>
            </w:pPr>
            <w:r>
              <w:rPr>
                <w:rFonts w:hint="default" w:ascii="Times New Roman" w:hAnsi="Times New Roman" w:cs="Times New Roman"/>
                <w:szCs w:val="21"/>
              </w:rPr>
              <w:t>4．疲劳驾驶；</w:t>
            </w:r>
          </w:p>
          <w:p w14:paraId="367BDBC9">
            <w:pPr>
              <w:spacing w:line="240" w:lineRule="atLeast"/>
              <w:rPr>
                <w:rFonts w:hint="default" w:ascii="Times New Roman" w:hAnsi="Times New Roman" w:cs="Times New Roman"/>
                <w:szCs w:val="21"/>
              </w:rPr>
            </w:pPr>
            <w:r>
              <w:rPr>
                <w:rFonts w:hint="default" w:ascii="Times New Roman" w:hAnsi="Times New Roman" w:cs="Times New Roman"/>
                <w:szCs w:val="21"/>
              </w:rPr>
              <w:t>5．驾驶员心境差，激情驾驶。</w:t>
            </w:r>
          </w:p>
        </w:tc>
        <w:tc>
          <w:tcPr>
            <w:tcW w:w="728" w:type="dxa"/>
            <w:vAlign w:val="center"/>
          </w:tcPr>
          <w:p w14:paraId="7B2F8C79">
            <w:pPr>
              <w:spacing w:line="240" w:lineRule="atLeast"/>
              <w:rPr>
                <w:rFonts w:hint="default" w:ascii="Times New Roman" w:hAnsi="Times New Roman" w:cs="Times New Roman"/>
                <w:szCs w:val="21"/>
              </w:rPr>
            </w:pPr>
            <w:r>
              <w:rPr>
                <w:rFonts w:hint="default" w:ascii="Times New Roman" w:hAnsi="Times New Roman" w:cs="Times New Roman"/>
                <w:szCs w:val="21"/>
              </w:rPr>
              <w:t>人员伤害、财产损失</w:t>
            </w:r>
          </w:p>
        </w:tc>
        <w:tc>
          <w:tcPr>
            <w:tcW w:w="742" w:type="dxa"/>
            <w:vAlign w:val="center"/>
          </w:tcPr>
          <w:p w14:paraId="44300AB2">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35D4C9AC">
            <w:pPr>
              <w:spacing w:line="240" w:lineRule="atLeast"/>
              <w:rPr>
                <w:rFonts w:hint="default" w:ascii="Times New Roman" w:hAnsi="Times New Roman" w:cs="Times New Roman"/>
                <w:szCs w:val="21"/>
              </w:rPr>
            </w:pPr>
            <w:r>
              <w:rPr>
                <w:rFonts w:hint="default" w:ascii="Times New Roman" w:hAnsi="Times New Roman" w:cs="Times New Roman"/>
                <w:szCs w:val="21"/>
              </w:rPr>
              <w:t>1．增设交通标志（包括限速、限高标志）；</w:t>
            </w:r>
          </w:p>
          <w:p w14:paraId="7C643B4B">
            <w:pPr>
              <w:spacing w:line="240" w:lineRule="atLeast"/>
              <w:rPr>
                <w:rFonts w:hint="default" w:ascii="Times New Roman" w:hAnsi="Times New Roman" w:cs="Times New Roman"/>
                <w:szCs w:val="21"/>
              </w:rPr>
            </w:pPr>
            <w:r>
              <w:rPr>
                <w:rFonts w:hint="default" w:ascii="Times New Roman" w:hAnsi="Times New Roman" w:cs="Times New Roman"/>
                <w:szCs w:val="21"/>
              </w:rPr>
              <w:t>2．保持路面状态良好；</w:t>
            </w:r>
          </w:p>
          <w:p w14:paraId="06133A5B">
            <w:pPr>
              <w:spacing w:line="240" w:lineRule="atLeast"/>
              <w:rPr>
                <w:rFonts w:hint="default" w:ascii="Times New Roman" w:hAnsi="Times New Roman" w:cs="Times New Roman"/>
                <w:szCs w:val="21"/>
              </w:rPr>
            </w:pPr>
            <w:r>
              <w:rPr>
                <w:rFonts w:hint="default" w:ascii="Times New Roman" w:hAnsi="Times New Roman" w:cs="Times New Roman"/>
                <w:szCs w:val="21"/>
              </w:rPr>
              <w:t>3．管线应埋地敷设并做钢管保护；</w:t>
            </w:r>
          </w:p>
          <w:p w14:paraId="31558B78">
            <w:pPr>
              <w:spacing w:line="240" w:lineRule="atLeast"/>
              <w:rPr>
                <w:rFonts w:hint="default" w:ascii="Times New Roman" w:hAnsi="Times New Roman" w:cs="Times New Roman"/>
                <w:szCs w:val="21"/>
              </w:rPr>
            </w:pPr>
            <w:r>
              <w:rPr>
                <w:rFonts w:hint="default" w:ascii="Times New Roman" w:hAnsi="Times New Roman" w:cs="Times New Roman"/>
                <w:szCs w:val="21"/>
              </w:rPr>
              <w:t>4．驾驶员遵守交通规则，不违章行驾；</w:t>
            </w:r>
          </w:p>
          <w:p w14:paraId="6918A6E6">
            <w:pPr>
              <w:spacing w:line="240" w:lineRule="atLeast"/>
              <w:rPr>
                <w:rFonts w:hint="default" w:ascii="Times New Roman" w:hAnsi="Times New Roman" w:cs="Times New Roman"/>
                <w:szCs w:val="21"/>
              </w:rPr>
            </w:pPr>
            <w:r>
              <w:rPr>
                <w:rFonts w:hint="default" w:ascii="Times New Roman" w:hAnsi="Times New Roman" w:cs="Times New Roman"/>
                <w:szCs w:val="21"/>
              </w:rPr>
              <w:t>5．车辆保证完好状态。</w:t>
            </w:r>
          </w:p>
        </w:tc>
      </w:tr>
      <w:tr w14:paraId="36D9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3" w:hRule="atLeast"/>
          <w:jc w:val="center"/>
        </w:trPr>
        <w:tc>
          <w:tcPr>
            <w:tcW w:w="1090" w:type="dxa"/>
            <w:vAlign w:val="center"/>
          </w:tcPr>
          <w:p w14:paraId="773BEB3E">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机械</w:t>
            </w:r>
            <w:r>
              <w:rPr>
                <w:rFonts w:hint="eastAsia" w:cs="Times New Roman"/>
                <w:szCs w:val="21"/>
                <w:lang w:val="en-US" w:eastAsia="zh-CN"/>
              </w:rPr>
              <w:t>致</w:t>
            </w:r>
            <w:r>
              <w:rPr>
                <w:rFonts w:hint="default" w:ascii="Times New Roman" w:hAnsi="Times New Roman" w:cs="Times New Roman"/>
                <w:szCs w:val="21"/>
              </w:rPr>
              <w:t>害</w:t>
            </w:r>
          </w:p>
        </w:tc>
        <w:tc>
          <w:tcPr>
            <w:tcW w:w="1052" w:type="dxa"/>
            <w:vAlign w:val="center"/>
          </w:tcPr>
          <w:p w14:paraId="621377B2">
            <w:pPr>
              <w:spacing w:line="240" w:lineRule="atLeast"/>
              <w:rPr>
                <w:rFonts w:hint="default" w:ascii="Times New Roman" w:hAnsi="Times New Roman" w:cs="Times New Roman"/>
                <w:szCs w:val="21"/>
              </w:rPr>
            </w:pPr>
            <w:r>
              <w:rPr>
                <w:rFonts w:hint="default" w:ascii="Times New Roman" w:hAnsi="Times New Roman" w:cs="Times New Roman"/>
                <w:szCs w:val="21"/>
              </w:rPr>
              <w:t>机械设备传动部位绞、碰、戳、砸伤人体</w:t>
            </w:r>
          </w:p>
        </w:tc>
        <w:tc>
          <w:tcPr>
            <w:tcW w:w="2105" w:type="dxa"/>
            <w:vAlign w:val="center"/>
          </w:tcPr>
          <w:p w14:paraId="3EBB4FFE">
            <w:pPr>
              <w:rPr>
                <w:rFonts w:hint="default" w:ascii="Times New Roman" w:hAnsi="Times New Roman" w:cs="Times New Roman"/>
                <w:szCs w:val="21"/>
              </w:rPr>
            </w:pPr>
            <w:r>
              <w:rPr>
                <w:rFonts w:hint="default" w:ascii="Times New Roman" w:hAnsi="Times New Roman" w:cs="Times New Roman"/>
                <w:szCs w:val="21"/>
              </w:rPr>
              <w:t>1、在生产检查、维修设备时不注意被碰、割、戳</w:t>
            </w:r>
          </w:p>
          <w:p w14:paraId="79741709">
            <w:pPr>
              <w:rPr>
                <w:rFonts w:hint="default" w:ascii="Times New Roman" w:hAnsi="Times New Roman" w:cs="Times New Roman"/>
                <w:szCs w:val="21"/>
              </w:rPr>
            </w:pPr>
            <w:r>
              <w:rPr>
                <w:rFonts w:hint="default" w:ascii="Times New Roman" w:hAnsi="Times New Roman" w:cs="Times New Roman"/>
                <w:szCs w:val="21"/>
              </w:rPr>
              <w:t>2、运转设备撞击人体、衣物绞入</w:t>
            </w:r>
          </w:p>
          <w:p w14:paraId="395D6916">
            <w:pPr>
              <w:spacing w:line="240" w:lineRule="atLeast"/>
              <w:rPr>
                <w:rFonts w:hint="default" w:ascii="Times New Roman" w:hAnsi="Times New Roman" w:cs="Times New Roman"/>
                <w:szCs w:val="21"/>
              </w:rPr>
            </w:pPr>
            <w:r>
              <w:rPr>
                <w:rFonts w:hint="default" w:ascii="Times New Roman" w:hAnsi="Times New Roman" w:cs="Times New Roman"/>
                <w:szCs w:val="21"/>
              </w:rPr>
              <w:t>3、检修设备时电源未切断，他人误启动设备等</w:t>
            </w:r>
          </w:p>
        </w:tc>
        <w:tc>
          <w:tcPr>
            <w:tcW w:w="1263" w:type="dxa"/>
            <w:vAlign w:val="center"/>
          </w:tcPr>
          <w:p w14:paraId="619722F0">
            <w:pPr>
              <w:spacing w:line="240" w:lineRule="atLeast"/>
              <w:rPr>
                <w:rFonts w:hint="default" w:ascii="Times New Roman" w:hAnsi="Times New Roman" w:cs="Times New Roman"/>
                <w:szCs w:val="21"/>
              </w:rPr>
            </w:pPr>
            <w:r>
              <w:rPr>
                <w:rFonts w:hint="default" w:ascii="Times New Roman" w:hAnsi="Times New Roman" w:cs="Times New Roman"/>
                <w:szCs w:val="21"/>
              </w:rPr>
              <w:t>人体、衣物卷入，或人体碰到转动、移动的物体</w:t>
            </w:r>
          </w:p>
        </w:tc>
        <w:tc>
          <w:tcPr>
            <w:tcW w:w="2569" w:type="dxa"/>
            <w:vAlign w:val="center"/>
          </w:tcPr>
          <w:p w14:paraId="3FEFE1E2">
            <w:pPr>
              <w:rPr>
                <w:rFonts w:hint="default" w:ascii="Times New Roman" w:hAnsi="Times New Roman" w:cs="Times New Roman"/>
                <w:szCs w:val="21"/>
              </w:rPr>
            </w:pPr>
            <w:r>
              <w:rPr>
                <w:rFonts w:hint="default" w:ascii="Times New Roman" w:hAnsi="Times New Roman" w:cs="Times New Roman"/>
                <w:szCs w:val="21"/>
              </w:rPr>
              <w:t>1、违章操作或检修</w:t>
            </w:r>
          </w:p>
          <w:p w14:paraId="22222DFD">
            <w:pPr>
              <w:rPr>
                <w:rFonts w:hint="default" w:ascii="Times New Roman" w:hAnsi="Times New Roman" w:cs="Times New Roman"/>
                <w:szCs w:val="21"/>
              </w:rPr>
            </w:pPr>
            <w:r>
              <w:rPr>
                <w:rFonts w:hint="default" w:ascii="Times New Roman" w:hAnsi="Times New Roman" w:cs="Times New Roman"/>
                <w:szCs w:val="21"/>
              </w:rPr>
              <w:t>2、无防护罩等防护设施</w:t>
            </w:r>
          </w:p>
          <w:p w14:paraId="512C3F47">
            <w:pPr>
              <w:rPr>
                <w:rFonts w:hint="default" w:ascii="Times New Roman" w:hAnsi="Times New Roman" w:cs="Times New Roman"/>
                <w:szCs w:val="21"/>
              </w:rPr>
            </w:pPr>
            <w:r>
              <w:rPr>
                <w:rFonts w:hint="default" w:ascii="Times New Roman" w:hAnsi="Times New Roman" w:cs="Times New Roman"/>
                <w:szCs w:val="21"/>
              </w:rPr>
              <w:t>3、工作时注意力不集中</w:t>
            </w:r>
          </w:p>
          <w:p w14:paraId="03A1011B">
            <w:pPr>
              <w:spacing w:line="240" w:lineRule="atLeast"/>
              <w:rPr>
                <w:rFonts w:hint="default" w:ascii="Times New Roman" w:hAnsi="Times New Roman" w:cs="Times New Roman"/>
                <w:szCs w:val="21"/>
              </w:rPr>
            </w:pPr>
            <w:r>
              <w:rPr>
                <w:rFonts w:hint="default" w:ascii="Times New Roman" w:hAnsi="Times New Roman" w:cs="Times New Roman"/>
                <w:szCs w:val="21"/>
              </w:rPr>
              <w:t>4、劳动护具未正确穿戴</w:t>
            </w:r>
          </w:p>
        </w:tc>
        <w:tc>
          <w:tcPr>
            <w:tcW w:w="728" w:type="dxa"/>
            <w:vAlign w:val="center"/>
          </w:tcPr>
          <w:p w14:paraId="0CA72943">
            <w:pPr>
              <w:spacing w:line="240" w:lineRule="atLeast"/>
              <w:rPr>
                <w:rFonts w:hint="default" w:ascii="Times New Roman" w:hAnsi="Times New Roman" w:eastAsia="宋体" w:cs="Times New Roman"/>
                <w:szCs w:val="21"/>
                <w:lang w:val="en-US" w:eastAsia="zh-CN"/>
              </w:rPr>
            </w:pPr>
            <w:r>
              <w:rPr>
                <w:rFonts w:hint="default" w:ascii="Times New Roman" w:hAnsi="Times New Roman" w:cs="Times New Roman"/>
                <w:szCs w:val="21"/>
                <w:lang w:val="en-US" w:eastAsia="zh-CN"/>
              </w:rPr>
              <w:t>人员伤害</w:t>
            </w:r>
          </w:p>
        </w:tc>
        <w:tc>
          <w:tcPr>
            <w:tcW w:w="742" w:type="dxa"/>
            <w:vAlign w:val="center"/>
          </w:tcPr>
          <w:p w14:paraId="0FE85EE7">
            <w:pPr>
              <w:spacing w:line="240" w:lineRule="atLeast"/>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08FA48B6">
            <w:pPr>
              <w:rPr>
                <w:rFonts w:hint="default" w:ascii="Times New Roman" w:hAnsi="Times New Roman" w:cs="Times New Roman"/>
                <w:szCs w:val="21"/>
              </w:rPr>
            </w:pPr>
            <w:r>
              <w:rPr>
                <w:rFonts w:hint="default" w:ascii="Times New Roman" w:hAnsi="Times New Roman" w:cs="Times New Roman"/>
                <w:szCs w:val="21"/>
              </w:rPr>
              <w:t>1、严格遵守有关操作规程</w:t>
            </w:r>
          </w:p>
          <w:p w14:paraId="1F1612CF">
            <w:pPr>
              <w:rPr>
                <w:rFonts w:hint="default" w:ascii="Times New Roman" w:hAnsi="Times New Roman" w:cs="Times New Roman"/>
                <w:szCs w:val="21"/>
              </w:rPr>
            </w:pPr>
            <w:r>
              <w:rPr>
                <w:rFonts w:hint="default" w:ascii="Times New Roman" w:hAnsi="Times New Roman" w:cs="Times New Roman"/>
                <w:szCs w:val="21"/>
              </w:rPr>
              <w:t>2、正确穿戴劳动保护用品</w:t>
            </w:r>
          </w:p>
          <w:p w14:paraId="098131FA">
            <w:pPr>
              <w:rPr>
                <w:rFonts w:hint="default" w:ascii="Times New Roman" w:hAnsi="Times New Roman" w:cs="Times New Roman"/>
                <w:szCs w:val="21"/>
              </w:rPr>
            </w:pPr>
            <w:r>
              <w:rPr>
                <w:rFonts w:hint="default" w:ascii="Times New Roman" w:hAnsi="Times New Roman" w:cs="Times New Roman"/>
                <w:szCs w:val="21"/>
              </w:rPr>
              <w:t>3、转动部位应有防护罩</w:t>
            </w:r>
          </w:p>
          <w:p w14:paraId="609EF7EE">
            <w:pPr>
              <w:rPr>
                <w:rFonts w:hint="default" w:ascii="Times New Roman" w:hAnsi="Times New Roman" w:cs="Times New Roman"/>
                <w:szCs w:val="21"/>
              </w:rPr>
            </w:pPr>
            <w:r>
              <w:rPr>
                <w:rFonts w:hint="default" w:ascii="Times New Roman" w:hAnsi="Times New Roman" w:cs="Times New Roman"/>
                <w:szCs w:val="21"/>
              </w:rPr>
              <w:t>4、工作时注意力要集中，注意观察</w:t>
            </w:r>
          </w:p>
          <w:p w14:paraId="4D31DB6A">
            <w:pPr>
              <w:rPr>
                <w:rFonts w:hint="default" w:ascii="Times New Roman" w:hAnsi="Times New Roman" w:cs="Times New Roman"/>
                <w:szCs w:val="21"/>
              </w:rPr>
            </w:pPr>
            <w:r>
              <w:rPr>
                <w:rFonts w:hint="default" w:ascii="Times New Roman" w:hAnsi="Times New Roman" w:cs="Times New Roman"/>
                <w:szCs w:val="21"/>
              </w:rPr>
              <w:t>5、设备定期检修、保持完好</w:t>
            </w:r>
          </w:p>
          <w:p w14:paraId="0C07CDAA">
            <w:pPr>
              <w:spacing w:line="240" w:lineRule="atLeast"/>
              <w:rPr>
                <w:rFonts w:hint="default" w:ascii="Times New Roman" w:hAnsi="Times New Roman" w:cs="Times New Roman"/>
                <w:szCs w:val="21"/>
              </w:rPr>
            </w:pPr>
            <w:r>
              <w:rPr>
                <w:rFonts w:hint="default" w:ascii="Times New Roman" w:hAnsi="Times New Roman" w:cs="Times New Roman"/>
                <w:szCs w:val="21"/>
              </w:rPr>
              <w:t>6、检修时要遵守检修规程采取安全措施</w:t>
            </w:r>
          </w:p>
        </w:tc>
      </w:tr>
      <w:tr w14:paraId="375FB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7D2016CC">
            <w:pPr>
              <w:jc w:val="center"/>
              <w:rPr>
                <w:rFonts w:hint="default" w:ascii="Times New Roman" w:hAnsi="Times New Roman" w:cs="Times New Roman"/>
                <w:szCs w:val="21"/>
              </w:rPr>
            </w:pPr>
            <w:r>
              <w:rPr>
                <w:rFonts w:hint="default" w:ascii="Times New Roman" w:hAnsi="Times New Roman" w:cs="Times New Roman"/>
                <w:szCs w:val="21"/>
              </w:rPr>
              <w:t>物体打击</w:t>
            </w:r>
          </w:p>
        </w:tc>
        <w:tc>
          <w:tcPr>
            <w:tcW w:w="1052" w:type="dxa"/>
            <w:vAlign w:val="center"/>
          </w:tcPr>
          <w:p w14:paraId="3AE36E84">
            <w:pPr>
              <w:rPr>
                <w:rFonts w:hint="default" w:ascii="Times New Roman" w:hAnsi="Times New Roman" w:cs="Times New Roman"/>
                <w:szCs w:val="21"/>
              </w:rPr>
            </w:pPr>
            <w:r>
              <w:rPr>
                <w:rFonts w:hint="default" w:ascii="Times New Roman" w:hAnsi="Times New Roman" w:cs="Times New Roman"/>
                <w:szCs w:val="21"/>
              </w:rPr>
              <w:t>物体坠落；物体弹击；坍塌撞击；挤压等</w:t>
            </w:r>
          </w:p>
        </w:tc>
        <w:tc>
          <w:tcPr>
            <w:tcW w:w="2105" w:type="dxa"/>
            <w:vAlign w:val="center"/>
          </w:tcPr>
          <w:p w14:paraId="073D5B62">
            <w:pPr>
              <w:adjustRightInd w:val="0"/>
              <w:snapToGrid w:val="0"/>
              <w:rPr>
                <w:rFonts w:hint="default" w:ascii="Times New Roman" w:hAnsi="Times New Roman" w:cs="Times New Roman"/>
                <w:szCs w:val="21"/>
              </w:rPr>
            </w:pPr>
            <w:r>
              <w:rPr>
                <w:rFonts w:hint="default" w:ascii="Times New Roman" w:hAnsi="Times New Roman" w:cs="Times New Roman"/>
                <w:szCs w:val="21"/>
              </w:rPr>
              <w:t>1、在高处有浮物或设施不牢，即将倒塌的地方行进或停留；</w:t>
            </w:r>
          </w:p>
          <w:p w14:paraId="5773C8B3">
            <w:pPr>
              <w:adjustRightInd w:val="0"/>
              <w:snapToGrid w:val="0"/>
              <w:rPr>
                <w:rFonts w:hint="default" w:ascii="Times New Roman" w:hAnsi="Times New Roman" w:cs="Times New Roman"/>
                <w:szCs w:val="21"/>
              </w:rPr>
            </w:pPr>
            <w:r>
              <w:rPr>
                <w:rFonts w:hint="default" w:ascii="Times New Roman" w:hAnsi="Times New Roman" w:cs="Times New Roman"/>
                <w:szCs w:val="21"/>
              </w:rPr>
              <w:t>2、作业人员在堆放不合要求的区域内工作</w:t>
            </w:r>
          </w:p>
          <w:p w14:paraId="05325B89">
            <w:pPr>
              <w:rPr>
                <w:rFonts w:hint="default" w:ascii="Times New Roman" w:hAnsi="Times New Roman" w:cs="Times New Roman"/>
                <w:szCs w:val="21"/>
              </w:rPr>
            </w:pPr>
            <w:r>
              <w:rPr>
                <w:rFonts w:hint="default" w:ascii="Times New Roman" w:hAnsi="Times New Roman" w:cs="Times New Roman"/>
                <w:szCs w:val="21"/>
              </w:rPr>
              <w:t>3、燃爆事故波及</w:t>
            </w:r>
          </w:p>
        </w:tc>
        <w:tc>
          <w:tcPr>
            <w:tcW w:w="1263" w:type="dxa"/>
            <w:vAlign w:val="center"/>
          </w:tcPr>
          <w:p w14:paraId="68C24624">
            <w:pPr>
              <w:rPr>
                <w:rFonts w:hint="default" w:ascii="Times New Roman" w:hAnsi="Times New Roman" w:cs="Times New Roman"/>
                <w:szCs w:val="21"/>
              </w:rPr>
            </w:pPr>
            <w:r>
              <w:rPr>
                <w:rFonts w:hint="default" w:ascii="Times New Roman" w:hAnsi="Times New Roman" w:cs="Times New Roman"/>
                <w:szCs w:val="21"/>
              </w:rPr>
              <w:t>坠落、飞出物体击中人体</w:t>
            </w:r>
          </w:p>
        </w:tc>
        <w:tc>
          <w:tcPr>
            <w:tcW w:w="2569" w:type="dxa"/>
            <w:vAlign w:val="center"/>
          </w:tcPr>
          <w:p w14:paraId="7B6443EB">
            <w:pPr>
              <w:adjustRightInd w:val="0"/>
              <w:snapToGrid w:val="0"/>
              <w:rPr>
                <w:rFonts w:hint="default" w:ascii="Times New Roman" w:hAnsi="Times New Roman" w:cs="Times New Roman"/>
                <w:szCs w:val="21"/>
              </w:rPr>
            </w:pPr>
            <w:r>
              <w:rPr>
                <w:rFonts w:hint="default" w:ascii="Times New Roman" w:hAnsi="Times New Roman" w:cs="Times New Roman"/>
                <w:szCs w:val="21"/>
              </w:rPr>
              <w:t>1、高处有未被固定的物体被碰撞或风吹等坠落</w:t>
            </w:r>
          </w:p>
          <w:p w14:paraId="42760F99">
            <w:pPr>
              <w:adjustRightInd w:val="0"/>
              <w:snapToGrid w:val="0"/>
              <w:rPr>
                <w:rFonts w:hint="default" w:ascii="Times New Roman" w:hAnsi="Times New Roman" w:cs="Times New Roman"/>
                <w:szCs w:val="21"/>
              </w:rPr>
            </w:pPr>
            <w:r>
              <w:rPr>
                <w:rFonts w:hint="default" w:ascii="Times New Roman" w:hAnsi="Times New Roman" w:cs="Times New Roman"/>
                <w:szCs w:val="21"/>
              </w:rPr>
              <w:t>2、工具、器具等上下抛掷</w:t>
            </w:r>
          </w:p>
          <w:p w14:paraId="13454663">
            <w:pPr>
              <w:adjustRightInd w:val="0"/>
              <w:snapToGrid w:val="0"/>
              <w:rPr>
                <w:rFonts w:hint="default" w:ascii="Times New Roman" w:hAnsi="Times New Roman" w:cs="Times New Roman"/>
                <w:szCs w:val="21"/>
              </w:rPr>
            </w:pPr>
            <w:r>
              <w:rPr>
                <w:rFonts w:hint="default" w:ascii="Times New Roman" w:hAnsi="Times New Roman" w:cs="Times New Roman"/>
                <w:szCs w:val="21"/>
              </w:rPr>
              <w:t>3、设施、堆垛倒塌</w:t>
            </w:r>
          </w:p>
          <w:p w14:paraId="2DA60D3C">
            <w:pPr>
              <w:spacing w:line="320" w:lineRule="exact"/>
              <w:rPr>
                <w:rFonts w:hint="default" w:ascii="Times New Roman" w:hAnsi="Times New Roman" w:cs="Times New Roman"/>
                <w:szCs w:val="21"/>
              </w:rPr>
            </w:pPr>
            <w:r>
              <w:rPr>
                <w:rFonts w:hint="default" w:ascii="Times New Roman" w:hAnsi="Times New Roman" w:cs="Times New Roman"/>
                <w:szCs w:val="21"/>
              </w:rPr>
              <w:t>4、违章作业、违章指挥、违反劳动纪律等</w:t>
            </w:r>
          </w:p>
        </w:tc>
        <w:tc>
          <w:tcPr>
            <w:tcW w:w="728" w:type="dxa"/>
            <w:vAlign w:val="center"/>
          </w:tcPr>
          <w:p w14:paraId="05E0225A">
            <w:pPr>
              <w:rPr>
                <w:rFonts w:hint="default" w:ascii="Times New Roman" w:hAnsi="Times New Roman" w:cs="Times New Roman"/>
                <w:szCs w:val="21"/>
              </w:rPr>
            </w:pPr>
            <w:r>
              <w:rPr>
                <w:rFonts w:hint="default" w:ascii="Times New Roman" w:hAnsi="Times New Roman" w:cs="Times New Roman"/>
                <w:szCs w:val="21"/>
              </w:rPr>
              <w:t>人员伤亡</w:t>
            </w:r>
          </w:p>
        </w:tc>
        <w:tc>
          <w:tcPr>
            <w:tcW w:w="742" w:type="dxa"/>
            <w:vAlign w:val="center"/>
          </w:tcPr>
          <w:p w14:paraId="3F9DDDF0">
            <w:pPr>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54A7CE3F">
            <w:pPr>
              <w:adjustRightInd w:val="0"/>
              <w:snapToGrid w:val="0"/>
              <w:rPr>
                <w:rFonts w:hint="default" w:ascii="Times New Roman" w:hAnsi="Times New Roman" w:cs="Times New Roman"/>
                <w:szCs w:val="21"/>
              </w:rPr>
            </w:pPr>
            <w:r>
              <w:rPr>
                <w:rFonts w:hint="default" w:ascii="Times New Roman" w:hAnsi="Times New Roman" w:cs="Times New Roman"/>
                <w:szCs w:val="21"/>
              </w:rPr>
              <w:t>1、高处作业时物品要放置牢固、平稳，禁止抛物作业</w:t>
            </w:r>
          </w:p>
          <w:p w14:paraId="53DDA87C">
            <w:pPr>
              <w:adjustRightInd w:val="0"/>
              <w:snapToGrid w:val="0"/>
              <w:rPr>
                <w:rFonts w:hint="default" w:ascii="Times New Roman" w:hAnsi="Times New Roman" w:cs="Times New Roman"/>
                <w:szCs w:val="21"/>
              </w:rPr>
            </w:pPr>
            <w:r>
              <w:rPr>
                <w:rFonts w:hint="default" w:ascii="Times New Roman" w:hAnsi="Times New Roman" w:cs="Times New Roman"/>
                <w:szCs w:val="21"/>
              </w:rPr>
              <w:t>2、及时清除、加固可能倒塌的设施；</w:t>
            </w:r>
          </w:p>
          <w:p w14:paraId="1B34AA9C">
            <w:pPr>
              <w:adjustRightInd w:val="0"/>
              <w:snapToGrid w:val="0"/>
              <w:rPr>
                <w:rFonts w:hint="default" w:ascii="Times New Roman" w:hAnsi="Times New Roman" w:cs="Times New Roman"/>
                <w:szCs w:val="21"/>
              </w:rPr>
            </w:pPr>
            <w:r>
              <w:rPr>
                <w:rFonts w:hint="default" w:ascii="Times New Roman" w:hAnsi="Times New Roman" w:cs="Times New Roman"/>
                <w:szCs w:val="21"/>
              </w:rPr>
              <w:t>3、加强对员工的安全意识教育，杜绝“三违”；</w:t>
            </w:r>
          </w:p>
          <w:p w14:paraId="62605B72">
            <w:pPr>
              <w:adjustRightInd w:val="0"/>
              <w:snapToGrid w:val="0"/>
              <w:rPr>
                <w:rFonts w:hint="default" w:ascii="Times New Roman" w:hAnsi="Times New Roman" w:cs="Times New Roman"/>
                <w:szCs w:val="21"/>
              </w:rPr>
            </w:pPr>
            <w:r>
              <w:rPr>
                <w:rFonts w:hint="default" w:ascii="Times New Roman" w:hAnsi="Times New Roman" w:cs="Times New Roman"/>
                <w:szCs w:val="21"/>
              </w:rPr>
              <w:t>4、作业人员、进入现场的其他人员都应穿戴必要的防护用品，特别是安全帽</w:t>
            </w:r>
          </w:p>
        </w:tc>
      </w:tr>
      <w:tr w14:paraId="029FF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0FE6F1BC">
            <w:pPr>
              <w:jc w:val="center"/>
              <w:rPr>
                <w:rFonts w:hint="default" w:ascii="Times New Roman" w:hAnsi="Times New Roman" w:cs="Times New Roman"/>
                <w:szCs w:val="21"/>
              </w:rPr>
            </w:pPr>
            <w:r>
              <w:rPr>
                <w:rFonts w:hint="default" w:ascii="Times New Roman" w:hAnsi="Times New Roman" w:cs="Times New Roman"/>
                <w:szCs w:val="21"/>
              </w:rPr>
              <w:t>坍塌</w:t>
            </w:r>
          </w:p>
        </w:tc>
        <w:tc>
          <w:tcPr>
            <w:tcW w:w="1052" w:type="dxa"/>
            <w:vAlign w:val="center"/>
          </w:tcPr>
          <w:p w14:paraId="59E6D6D3">
            <w:pPr>
              <w:rPr>
                <w:rFonts w:hint="default" w:ascii="Times New Roman" w:hAnsi="Times New Roman" w:cs="Times New Roman"/>
                <w:szCs w:val="21"/>
              </w:rPr>
            </w:pPr>
            <w:r>
              <w:rPr>
                <w:rFonts w:hint="default" w:ascii="Times New Roman" w:hAnsi="Times New Roman" w:cs="Times New Roman"/>
                <w:szCs w:val="21"/>
              </w:rPr>
              <w:t>站房、</w:t>
            </w:r>
            <w:r>
              <w:rPr>
                <w:rFonts w:hint="default" w:ascii="Times New Roman" w:hAnsi="Times New Roman" w:cs="Times New Roman"/>
                <w:szCs w:val="21"/>
                <w:lang w:val="en-US" w:eastAsia="zh-CN"/>
              </w:rPr>
              <w:t>加油</w:t>
            </w:r>
            <w:r>
              <w:rPr>
                <w:rFonts w:hint="default" w:ascii="Times New Roman" w:hAnsi="Times New Roman" w:cs="Times New Roman"/>
                <w:szCs w:val="21"/>
              </w:rPr>
              <w:t>罩棚</w:t>
            </w:r>
            <w:r>
              <w:rPr>
                <w:rFonts w:hint="default" w:ascii="Times New Roman" w:hAnsi="Times New Roman" w:cs="Times New Roman"/>
                <w:szCs w:val="21"/>
                <w:lang w:val="en-US" w:eastAsia="zh-CN"/>
              </w:rPr>
              <w:t>和</w:t>
            </w:r>
            <w:r>
              <w:rPr>
                <w:rFonts w:hint="default" w:ascii="Times New Roman" w:hAnsi="Times New Roman" w:cs="Times New Roman"/>
                <w:szCs w:val="21"/>
              </w:rPr>
              <w:t>围墙倒塌砸伤或淹埋人员</w:t>
            </w:r>
          </w:p>
        </w:tc>
        <w:tc>
          <w:tcPr>
            <w:tcW w:w="2105" w:type="dxa"/>
            <w:vAlign w:val="center"/>
          </w:tcPr>
          <w:p w14:paraId="673E006E">
            <w:pPr>
              <w:rPr>
                <w:rFonts w:hint="default" w:ascii="Times New Roman" w:hAnsi="Times New Roman" w:cs="Times New Roman"/>
                <w:szCs w:val="21"/>
              </w:rPr>
            </w:pPr>
            <w:r>
              <w:rPr>
                <w:rFonts w:hint="default" w:ascii="Times New Roman" w:hAnsi="Times New Roman" w:cs="Times New Roman"/>
                <w:szCs w:val="21"/>
              </w:rPr>
              <w:t>1、人员在站房、罩棚</w:t>
            </w:r>
            <w:r>
              <w:rPr>
                <w:rFonts w:hint="default" w:ascii="Times New Roman" w:hAnsi="Times New Roman" w:cs="Times New Roman"/>
                <w:szCs w:val="21"/>
                <w:lang w:eastAsia="zh-CN"/>
              </w:rPr>
              <w:t>、</w:t>
            </w:r>
            <w:r>
              <w:rPr>
                <w:rFonts w:hint="default" w:ascii="Times New Roman" w:hAnsi="Times New Roman" w:cs="Times New Roman"/>
                <w:szCs w:val="21"/>
              </w:rPr>
              <w:t>顶部作业</w:t>
            </w:r>
          </w:p>
          <w:p w14:paraId="2597165F">
            <w:pPr>
              <w:rPr>
                <w:rFonts w:hint="default" w:ascii="Times New Roman" w:hAnsi="Times New Roman" w:cs="Times New Roman"/>
                <w:szCs w:val="21"/>
              </w:rPr>
            </w:pPr>
            <w:r>
              <w:rPr>
                <w:rFonts w:hint="default" w:ascii="Times New Roman" w:hAnsi="Times New Roman" w:cs="Times New Roman"/>
                <w:szCs w:val="21"/>
              </w:rPr>
              <w:t>2、人员在围墙周围作业</w:t>
            </w:r>
          </w:p>
          <w:p w14:paraId="6FF2F878">
            <w:pPr>
              <w:rPr>
                <w:rFonts w:hint="default" w:ascii="Times New Roman" w:hAnsi="Times New Roman" w:cs="Times New Roman"/>
                <w:szCs w:val="21"/>
              </w:rPr>
            </w:pPr>
            <w:r>
              <w:rPr>
                <w:rFonts w:hint="default" w:ascii="Times New Roman" w:hAnsi="Times New Roman" w:cs="Times New Roman"/>
                <w:szCs w:val="21"/>
              </w:rPr>
              <w:t>3、恶劣气候条件</w:t>
            </w:r>
          </w:p>
          <w:p w14:paraId="39CF9C40">
            <w:pPr>
              <w:rPr>
                <w:rFonts w:hint="default" w:ascii="Times New Roman" w:hAnsi="Times New Roman" w:cs="Times New Roman"/>
                <w:szCs w:val="21"/>
              </w:rPr>
            </w:pPr>
            <w:r>
              <w:rPr>
                <w:rFonts w:hint="default" w:ascii="Times New Roman" w:hAnsi="Times New Roman" w:cs="Times New Roman"/>
                <w:szCs w:val="21"/>
              </w:rPr>
              <w:t>4、车辆撞击罩棚或围墙</w:t>
            </w:r>
          </w:p>
          <w:p w14:paraId="5091A6F8">
            <w:pPr>
              <w:rPr>
                <w:rFonts w:hint="default" w:ascii="Times New Roman" w:hAnsi="Times New Roman" w:cs="Times New Roman"/>
                <w:szCs w:val="21"/>
              </w:rPr>
            </w:pPr>
            <w:r>
              <w:rPr>
                <w:rFonts w:hint="default" w:ascii="Times New Roman" w:hAnsi="Times New Roman" w:cs="Times New Roman"/>
                <w:szCs w:val="21"/>
              </w:rPr>
              <w:t>5、站内发生火灾</w:t>
            </w:r>
          </w:p>
        </w:tc>
        <w:tc>
          <w:tcPr>
            <w:tcW w:w="1263" w:type="dxa"/>
            <w:vAlign w:val="center"/>
          </w:tcPr>
          <w:p w14:paraId="0C6FA3DE">
            <w:pPr>
              <w:rPr>
                <w:rFonts w:hint="default" w:ascii="Times New Roman" w:hAnsi="Times New Roman" w:cs="Times New Roman"/>
                <w:szCs w:val="21"/>
              </w:rPr>
            </w:pPr>
            <w:r>
              <w:rPr>
                <w:rFonts w:hint="default" w:ascii="Times New Roman" w:hAnsi="Times New Roman" w:cs="Times New Roman"/>
                <w:szCs w:val="21"/>
              </w:rPr>
              <w:t>站房、罩棚、围墙倒塌砸伤或淹埋人员</w:t>
            </w:r>
          </w:p>
        </w:tc>
        <w:tc>
          <w:tcPr>
            <w:tcW w:w="2569" w:type="dxa"/>
            <w:vAlign w:val="center"/>
          </w:tcPr>
          <w:p w14:paraId="79B5A4A7">
            <w:pPr>
              <w:rPr>
                <w:rFonts w:hint="default" w:ascii="Times New Roman" w:hAnsi="Times New Roman" w:cs="Times New Roman"/>
                <w:szCs w:val="21"/>
              </w:rPr>
            </w:pPr>
            <w:r>
              <w:rPr>
                <w:rFonts w:hint="default" w:ascii="Times New Roman" w:hAnsi="Times New Roman" w:cs="Times New Roman"/>
                <w:szCs w:val="21"/>
              </w:rPr>
              <w:t>1、站房、罩棚、围墙基础未经地质勘查和设计；</w:t>
            </w:r>
          </w:p>
          <w:p w14:paraId="19F31167">
            <w:pPr>
              <w:rPr>
                <w:rFonts w:hint="default" w:ascii="Times New Roman" w:hAnsi="Times New Roman" w:cs="Times New Roman"/>
                <w:szCs w:val="21"/>
              </w:rPr>
            </w:pPr>
            <w:r>
              <w:rPr>
                <w:rFonts w:hint="default" w:ascii="Times New Roman" w:hAnsi="Times New Roman" w:cs="Times New Roman"/>
                <w:szCs w:val="21"/>
              </w:rPr>
              <w:t>2、站房、罩棚、围墙基础未按设计要求施工；</w:t>
            </w:r>
          </w:p>
          <w:p w14:paraId="3D2AABA2">
            <w:pPr>
              <w:rPr>
                <w:rFonts w:hint="default" w:ascii="Times New Roman" w:hAnsi="Times New Roman" w:cs="Times New Roman"/>
                <w:szCs w:val="21"/>
              </w:rPr>
            </w:pPr>
            <w:r>
              <w:rPr>
                <w:rFonts w:hint="default" w:ascii="Times New Roman" w:hAnsi="Times New Roman" w:cs="Times New Roman"/>
                <w:szCs w:val="21"/>
              </w:rPr>
              <w:t>3、施工单位无相应资质；</w:t>
            </w:r>
          </w:p>
          <w:p w14:paraId="448F69BD">
            <w:pPr>
              <w:rPr>
                <w:rFonts w:hint="default" w:ascii="Times New Roman" w:hAnsi="Times New Roman" w:cs="Times New Roman"/>
                <w:szCs w:val="21"/>
              </w:rPr>
            </w:pPr>
            <w:r>
              <w:rPr>
                <w:rFonts w:hint="default" w:ascii="Times New Roman" w:hAnsi="Times New Roman" w:cs="Times New Roman"/>
                <w:szCs w:val="21"/>
              </w:rPr>
              <w:t>4、加油车辆违章驾驶撞坏</w:t>
            </w:r>
            <w:r>
              <w:rPr>
                <w:rFonts w:hint="default" w:ascii="Times New Roman" w:hAnsi="Times New Roman" w:cs="Times New Roman"/>
                <w:szCs w:val="21"/>
                <w:lang w:val="en-US" w:eastAsia="zh-CN"/>
              </w:rPr>
              <w:t>加油</w:t>
            </w:r>
            <w:r>
              <w:rPr>
                <w:rFonts w:hint="default" w:ascii="Times New Roman" w:hAnsi="Times New Roman" w:cs="Times New Roman"/>
                <w:szCs w:val="21"/>
              </w:rPr>
              <w:t>罩棚</w:t>
            </w:r>
            <w:r>
              <w:rPr>
                <w:rFonts w:hint="default" w:ascii="Times New Roman" w:hAnsi="Times New Roman" w:cs="Times New Roman"/>
                <w:szCs w:val="21"/>
                <w:lang w:eastAsia="zh-CN"/>
              </w:rPr>
              <w:t>、</w:t>
            </w:r>
            <w:r>
              <w:rPr>
                <w:rFonts w:hint="default" w:ascii="Times New Roman" w:hAnsi="Times New Roman" w:cs="Times New Roman"/>
                <w:szCs w:val="21"/>
              </w:rPr>
              <w:t>支柱或围墙；</w:t>
            </w:r>
          </w:p>
          <w:p w14:paraId="4E10B336">
            <w:pPr>
              <w:rPr>
                <w:rFonts w:hint="default" w:ascii="Times New Roman" w:hAnsi="Times New Roman" w:cs="Times New Roman"/>
                <w:szCs w:val="21"/>
              </w:rPr>
            </w:pPr>
            <w:r>
              <w:rPr>
                <w:rFonts w:hint="default" w:ascii="Times New Roman" w:hAnsi="Times New Roman" w:cs="Times New Roman"/>
                <w:szCs w:val="21"/>
              </w:rPr>
              <w:t>5、其它如管理上的缺陷、标志缺陷等；</w:t>
            </w:r>
          </w:p>
          <w:p w14:paraId="3A405748">
            <w:pPr>
              <w:rPr>
                <w:rFonts w:hint="default" w:ascii="Times New Roman" w:hAnsi="Times New Roman" w:cs="Times New Roman"/>
                <w:szCs w:val="21"/>
              </w:rPr>
            </w:pPr>
            <w:r>
              <w:rPr>
                <w:rFonts w:hint="default" w:ascii="Times New Roman" w:hAnsi="Times New Roman" w:cs="Times New Roman"/>
                <w:szCs w:val="21"/>
              </w:rPr>
              <w:t>6、站房或罩棚</w:t>
            </w:r>
            <w:r>
              <w:rPr>
                <w:rFonts w:hint="default" w:ascii="Times New Roman" w:hAnsi="Times New Roman" w:cs="Times New Roman"/>
                <w:szCs w:val="21"/>
                <w:lang w:eastAsia="zh-CN"/>
              </w:rPr>
              <w:t>、</w:t>
            </w:r>
            <w:r>
              <w:rPr>
                <w:rFonts w:hint="default" w:ascii="Times New Roman" w:hAnsi="Times New Roman" w:cs="Times New Roman"/>
                <w:szCs w:val="21"/>
              </w:rPr>
              <w:t>钢框架结构没有采取防火处理（涂刷防火涂料），当发生火灾时，有发生坍塌的危险；</w:t>
            </w:r>
          </w:p>
          <w:p w14:paraId="59AAB234">
            <w:pPr>
              <w:rPr>
                <w:rFonts w:hint="default" w:ascii="Times New Roman" w:hAnsi="Times New Roman" w:cs="Times New Roman"/>
                <w:szCs w:val="21"/>
              </w:rPr>
            </w:pPr>
            <w:r>
              <w:rPr>
                <w:rFonts w:hint="default" w:ascii="Times New Roman" w:hAnsi="Times New Roman" w:cs="Times New Roman"/>
                <w:szCs w:val="21"/>
              </w:rPr>
              <w:t>7、雪载荷设计不够，大雪造成站房、罩棚</w:t>
            </w:r>
            <w:r>
              <w:rPr>
                <w:rFonts w:hint="default" w:ascii="Times New Roman" w:hAnsi="Times New Roman" w:cs="Times New Roman"/>
                <w:szCs w:val="21"/>
                <w:lang w:eastAsia="zh-CN"/>
              </w:rPr>
              <w:t>、</w:t>
            </w:r>
            <w:r>
              <w:rPr>
                <w:rFonts w:hint="default" w:ascii="Times New Roman" w:hAnsi="Times New Roman" w:cs="Times New Roman"/>
                <w:szCs w:val="21"/>
              </w:rPr>
              <w:t>顶盖结构破坏。</w:t>
            </w:r>
          </w:p>
        </w:tc>
        <w:tc>
          <w:tcPr>
            <w:tcW w:w="728" w:type="dxa"/>
            <w:vAlign w:val="center"/>
          </w:tcPr>
          <w:p w14:paraId="47CA4E8F">
            <w:pPr>
              <w:jc w:val="center"/>
              <w:rPr>
                <w:rFonts w:hint="default" w:ascii="Times New Roman" w:hAnsi="Times New Roman" w:cs="Times New Roman"/>
                <w:szCs w:val="21"/>
              </w:rPr>
            </w:pPr>
            <w:r>
              <w:rPr>
                <w:rFonts w:hint="default" w:ascii="Times New Roman" w:hAnsi="Times New Roman" w:cs="Times New Roman"/>
                <w:szCs w:val="21"/>
              </w:rPr>
              <w:t>人员伤亡、</w:t>
            </w:r>
          </w:p>
          <w:p w14:paraId="11C22F96">
            <w:pPr>
              <w:jc w:val="center"/>
              <w:rPr>
                <w:rFonts w:hint="default" w:ascii="Times New Roman" w:hAnsi="Times New Roman" w:cs="Times New Roman"/>
                <w:szCs w:val="21"/>
              </w:rPr>
            </w:pPr>
            <w:r>
              <w:rPr>
                <w:rFonts w:hint="default" w:ascii="Times New Roman" w:hAnsi="Times New Roman" w:cs="Times New Roman"/>
                <w:szCs w:val="21"/>
              </w:rPr>
              <w:t>财产损失、</w:t>
            </w:r>
          </w:p>
          <w:p w14:paraId="4A469DE4">
            <w:pPr>
              <w:rPr>
                <w:rFonts w:hint="default" w:ascii="Times New Roman" w:hAnsi="Times New Roman" w:cs="Times New Roman"/>
                <w:szCs w:val="21"/>
              </w:rPr>
            </w:pPr>
            <w:r>
              <w:rPr>
                <w:rFonts w:hint="default" w:ascii="Times New Roman" w:hAnsi="Times New Roman" w:cs="Times New Roman"/>
                <w:szCs w:val="21"/>
              </w:rPr>
              <w:t>停产</w:t>
            </w:r>
          </w:p>
        </w:tc>
        <w:tc>
          <w:tcPr>
            <w:tcW w:w="742" w:type="dxa"/>
            <w:vAlign w:val="center"/>
          </w:tcPr>
          <w:p w14:paraId="48D7970F">
            <w:pPr>
              <w:jc w:val="center"/>
              <w:rPr>
                <w:rFonts w:hint="default" w:ascii="Times New Roman" w:hAnsi="Times New Roman" w:cs="Times New Roman"/>
                <w:szCs w:val="21"/>
              </w:rPr>
            </w:pPr>
            <w:r>
              <w:rPr>
                <w:rFonts w:hint="default" w:ascii="Times New Roman" w:hAnsi="Times New Roman" w:cs="Times New Roman"/>
                <w:szCs w:val="21"/>
              </w:rPr>
              <w:fldChar w:fldCharType="begin"/>
            </w:r>
            <w:r>
              <w:rPr>
                <w:rFonts w:hint="default" w:ascii="Times New Roman" w:hAnsi="Times New Roman" w:cs="Times New Roman"/>
                <w:szCs w:val="21"/>
              </w:rPr>
              <w:instrText xml:space="preserve"> = 2 \* ROMAN </w:instrText>
            </w:r>
            <w:r>
              <w:rPr>
                <w:rFonts w:hint="default" w:ascii="Times New Roman" w:hAnsi="Times New Roman" w:cs="Times New Roman"/>
                <w:szCs w:val="21"/>
              </w:rPr>
              <w:fldChar w:fldCharType="separate"/>
            </w:r>
            <w:r>
              <w:rPr>
                <w:rFonts w:hint="default" w:ascii="Times New Roman" w:hAnsi="Times New Roman" w:cs="Times New Roman"/>
                <w:szCs w:val="21"/>
              </w:rPr>
              <w:t>II</w:t>
            </w:r>
            <w:r>
              <w:rPr>
                <w:rFonts w:hint="default" w:ascii="Times New Roman" w:hAnsi="Times New Roman" w:cs="Times New Roman"/>
                <w:szCs w:val="21"/>
              </w:rPr>
              <w:fldChar w:fldCharType="end"/>
            </w:r>
          </w:p>
        </w:tc>
        <w:tc>
          <w:tcPr>
            <w:tcW w:w="4953" w:type="dxa"/>
            <w:vAlign w:val="center"/>
          </w:tcPr>
          <w:p w14:paraId="5550A923">
            <w:pPr>
              <w:rPr>
                <w:rFonts w:hint="default" w:ascii="Times New Roman" w:hAnsi="Times New Roman" w:cs="Times New Roman"/>
                <w:szCs w:val="21"/>
              </w:rPr>
            </w:pPr>
            <w:r>
              <w:rPr>
                <w:rFonts w:hint="default" w:ascii="Times New Roman" w:hAnsi="Times New Roman" w:cs="Times New Roman"/>
                <w:szCs w:val="21"/>
              </w:rPr>
              <w:t>1、建站前应进行地质勘察和设计</w:t>
            </w:r>
          </w:p>
          <w:p w14:paraId="0F9B143A">
            <w:pPr>
              <w:rPr>
                <w:rFonts w:hint="default" w:ascii="Times New Roman" w:hAnsi="Times New Roman" w:cs="Times New Roman"/>
                <w:szCs w:val="21"/>
              </w:rPr>
            </w:pPr>
            <w:r>
              <w:rPr>
                <w:rFonts w:hint="default" w:ascii="Times New Roman" w:hAnsi="Times New Roman" w:cs="Times New Roman"/>
                <w:szCs w:val="21"/>
              </w:rPr>
              <w:t>2.聘用具有资质的施工单位进行施工</w:t>
            </w:r>
          </w:p>
          <w:p w14:paraId="5B7F514A">
            <w:pPr>
              <w:rPr>
                <w:rFonts w:hint="default" w:ascii="Times New Roman" w:hAnsi="Times New Roman" w:cs="Times New Roman"/>
                <w:szCs w:val="21"/>
              </w:rPr>
            </w:pPr>
            <w:r>
              <w:rPr>
                <w:rFonts w:hint="default" w:ascii="Times New Roman" w:hAnsi="Times New Roman" w:cs="Times New Roman"/>
                <w:szCs w:val="21"/>
              </w:rPr>
              <w:t>3、</w:t>
            </w:r>
            <w:r>
              <w:rPr>
                <w:rFonts w:hint="default" w:ascii="Times New Roman" w:hAnsi="Times New Roman" w:cs="Times New Roman"/>
                <w:szCs w:val="21"/>
                <w:lang w:val="en-US" w:eastAsia="zh-CN"/>
              </w:rPr>
              <w:t>加油</w:t>
            </w:r>
            <w:r>
              <w:rPr>
                <w:rFonts w:hint="default" w:ascii="Times New Roman" w:hAnsi="Times New Roman" w:cs="Times New Roman"/>
                <w:szCs w:val="21"/>
              </w:rPr>
              <w:t>罩棚处设置防撞柱和警示标志</w:t>
            </w:r>
          </w:p>
          <w:p w14:paraId="3F6E3078">
            <w:pPr>
              <w:rPr>
                <w:rFonts w:hint="default" w:ascii="Times New Roman" w:hAnsi="Times New Roman" w:cs="Times New Roman"/>
                <w:szCs w:val="21"/>
              </w:rPr>
            </w:pPr>
            <w:r>
              <w:rPr>
                <w:rFonts w:hint="default" w:ascii="Times New Roman" w:hAnsi="Times New Roman" w:cs="Times New Roman"/>
                <w:szCs w:val="21"/>
              </w:rPr>
              <w:t>4、对罩棚支柱涂刷防火涂料</w:t>
            </w:r>
          </w:p>
          <w:p w14:paraId="076ECC5B">
            <w:pPr>
              <w:rPr>
                <w:rFonts w:hint="default" w:ascii="Times New Roman" w:hAnsi="Times New Roman" w:cs="Times New Roman"/>
                <w:szCs w:val="21"/>
              </w:rPr>
            </w:pPr>
            <w:r>
              <w:rPr>
                <w:rFonts w:hint="default" w:ascii="Times New Roman" w:hAnsi="Times New Roman" w:cs="Times New Roman"/>
                <w:szCs w:val="21"/>
              </w:rPr>
              <w:t>5、针对当地气候条件特点，对站房、罩棚等建构筑物进行雪载荷设计</w:t>
            </w:r>
          </w:p>
        </w:tc>
      </w:tr>
      <w:tr w14:paraId="3DAB9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90" w:type="dxa"/>
            <w:vAlign w:val="center"/>
          </w:tcPr>
          <w:p w14:paraId="2C110789">
            <w:pPr>
              <w:jc w:val="center"/>
              <w:rPr>
                <w:rFonts w:hint="default" w:ascii="Times New Roman" w:hAnsi="Times New Roman" w:cs="Times New Roman"/>
                <w:szCs w:val="21"/>
              </w:rPr>
            </w:pPr>
            <w:r>
              <w:rPr>
                <w:rFonts w:hint="eastAsia" w:cs="Times New Roman"/>
                <w:szCs w:val="21"/>
                <w:lang w:val="en-US" w:eastAsia="zh-CN"/>
              </w:rPr>
              <w:t>其他（</w:t>
            </w:r>
            <w:r>
              <w:rPr>
                <w:rFonts w:hint="default" w:ascii="Times New Roman" w:hAnsi="Times New Roman" w:cs="Times New Roman"/>
                <w:szCs w:val="21"/>
                <w:lang w:eastAsia="zh-CN"/>
              </w:rPr>
              <w:t>噪声</w:t>
            </w:r>
            <w:r>
              <w:rPr>
                <w:rFonts w:hint="eastAsia" w:cs="Times New Roman"/>
                <w:szCs w:val="21"/>
                <w:lang w:val="en-US" w:eastAsia="zh-CN"/>
              </w:rPr>
              <w:t>）</w:t>
            </w:r>
          </w:p>
        </w:tc>
        <w:tc>
          <w:tcPr>
            <w:tcW w:w="1052" w:type="dxa"/>
            <w:vAlign w:val="center"/>
          </w:tcPr>
          <w:p w14:paraId="3AA36070">
            <w:pPr>
              <w:rPr>
                <w:rFonts w:hint="default" w:ascii="Times New Roman" w:hAnsi="Times New Roman" w:cs="Times New Roman"/>
                <w:szCs w:val="21"/>
              </w:rPr>
            </w:pPr>
            <w:r>
              <w:rPr>
                <w:rFonts w:hint="default" w:ascii="Times New Roman" w:hAnsi="Times New Roman" w:cs="Times New Roman"/>
                <w:szCs w:val="21"/>
              </w:rPr>
              <w:t>加油机、车辆等设备运行</w:t>
            </w:r>
          </w:p>
        </w:tc>
        <w:tc>
          <w:tcPr>
            <w:tcW w:w="2105" w:type="dxa"/>
            <w:vAlign w:val="center"/>
          </w:tcPr>
          <w:p w14:paraId="378F4E01">
            <w:pPr>
              <w:rPr>
                <w:rFonts w:hint="default" w:ascii="Times New Roman" w:hAnsi="Times New Roman" w:cs="Times New Roman"/>
                <w:szCs w:val="21"/>
              </w:rPr>
            </w:pPr>
            <w:r>
              <w:rPr>
                <w:rFonts w:hint="default" w:ascii="Times New Roman" w:hAnsi="Times New Roman" w:cs="Times New Roman"/>
                <w:szCs w:val="21"/>
              </w:rPr>
              <w:t>作业人员在噪声环境中作业</w:t>
            </w:r>
          </w:p>
        </w:tc>
        <w:tc>
          <w:tcPr>
            <w:tcW w:w="1263" w:type="dxa"/>
            <w:vAlign w:val="center"/>
          </w:tcPr>
          <w:p w14:paraId="5BA05677">
            <w:pPr>
              <w:rPr>
                <w:rFonts w:hint="default" w:ascii="Times New Roman" w:hAnsi="Times New Roman" w:cs="Times New Roman"/>
                <w:szCs w:val="21"/>
              </w:rPr>
            </w:pPr>
            <w:r>
              <w:rPr>
                <w:rFonts w:hint="default" w:ascii="Times New Roman" w:hAnsi="Times New Roman" w:cs="Times New Roman"/>
                <w:szCs w:val="21"/>
              </w:rPr>
              <w:t>个人防护用品（如护耳器）缺乏或失效</w:t>
            </w:r>
          </w:p>
        </w:tc>
        <w:tc>
          <w:tcPr>
            <w:tcW w:w="2569" w:type="dxa"/>
            <w:vAlign w:val="center"/>
          </w:tcPr>
          <w:p w14:paraId="381254F8">
            <w:pPr>
              <w:spacing w:line="320" w:lineRule="exact"/>
              <w:rPr>
                <w:rFonts w:hint="default" w:ascii="Times New Roman" w:hAnsi="Times New Roman" w:cs="Times New Roman"/>
                <w:szCs w:val="21"/>
              </w:rPr>
            </w:pPr>
            <w:r>
              <w:rPr>
                <w:rFonts w:hint="default" w:ascii="Times New Roman" w:hAnsi="Times New Roman" w:cs="Times New Roman"/>
                <w:szCs w:val="21"/>
              </w:rPr>
              <w:t>1、加油设备在安装时未采取减振、降噪措施；</w:t>
            </w:r>
          </w:p>
          <w:p w14:paraId="40740C68">
            <w:pPr>
              <w:spacing w:line="320" w:lineRule="exact"/>
              <w:rPr>
                <w:rFonts w:hint="default" w:ascii="Times New Roman" w:hAnsi="Times New Roman" w:cs="Times New Roman"/>
                <w:szCs w:val="21"/>
              </w:rPr>
            </w:pPr>
            <w:r>
              <w:rPr>
                <w:rFonts w:hint="default" w:ascii="Times New Roman" w:hAnsi="Times New Roman" w:cs="Times New Roman"/>
                <w:szCs w:val="21"/>
              </w:rPr>
              <w:t>2、作业人员未佩戴耳塞或失效；</w:t>
            </w:r>
          </w:p>
          <w:p w14:paraId="67935E8B">
            <w:pPr>
              <w:spacing w:line="320" w:lineRule="exact"/>
              <w:rPr>
                <w:rFonts w:hint="default" w:ascii="Times New Roman" w:hAnsi="Times New Roman" w:cs="Times New Roman"/>
                <w:szCs w:val="21"/>
              </w:rPr>
            </w:pPr>
            <w:r>
              <w:rPr>
                <w:rFonts w:hint="default" w:ascii="Times New Roman" w:hAnsi="Times New Roman" w:cs="Times New Roman"/>
                <w:szCs w:val="21"/>
              </w:rPr>
              <w:t>3、操作人员本身有职业禁忌症，不适合接触噪声岗位；</w:t>
            </w:r>
          </w:p>
        </w:tc>
        <w:tc>
          <w:tcPr>
            <w:tcW w:w="728" w:type="dxa"/>
            <w:vAlign w:val="center"/>
          </w:tcPr>
          <w:p w14:paraId="20D696B0">
            <w:pPr>
              <w:rPr>
                <w:rFonts w:hint="default" w:ascii="Times New Roman" w:hAnsi="Times New Roman" w:cs="Times New Roman"/>
                <w:szCs w:val="21"/>
              </w:rPr>
            </w:pPr>
            <w:r>
              <w:rPr>
                <w:rFonts w:hint="default" w:ascii="Times New Roman" w:hAnsi="Times New Roman" w:cs="Times New Roman"/>
                <w:szCs w:val="21"/>
              </w:rPr>
              <w:t>听力损坏</w:t>
            </w:r>
          </w:p>
        </w:tc>
        <w:tc>
          <w:tcPr>
            <w:tcW w:w="742" w:type="dxa"/>
            <w:vAlign w:val="center"/>
          </w:tcPr>
          <w:p w14:paraId="4DED3857">
            <w:pPr>
              <w:jc w:val="center"/>
              <w:rPr>
                <w:rFonts w:hint="default" w:ascii="Times New Roman" w:hAnsi="Times New Roman" w:cs="Times New Roman"/>
                <w:szCs w:val="21"/>
              </w:rPr>
            </w:pPr>
            <w:r>
              <w:rPr>
                <w:rFonts w:hint="default" w:ascii="Times New Roman" w:hAnsi="Times New Roman" w:cs="Times New Roman"/>
                <w:szCs w:val="21"/>
              </w:rPr>
              <w:t>Ⅱ</w:t>
            </w:r>
          </w:p>
        </w:tc>
        <w:tc>
          <w:tcPr>
            <w:tcW w:w="4953" w:type="dxa"/>
            <w:vAlign w:val="center"/>
          </w:tcPr>
          <w:p w14:paraId="1EC54FC2">
            <w:pPr>
              <w:rPr>
                <w:rFonts w:hint="default" w:ascii="Times New Roman" w:hAnsi="Times New Roman" w:cs="Times New Roman"/>
                <w:szCs w:val="21"/>
              </w:rPr>
            </w:pPr>
            <w:r>
              <w:rPr>
                <w:rFonts w:hint="default" w:ascii="Times New Roman" w:hAnsi="Times New Roman" w:cs="Times New Roman"/>
                <w:szCs w:val="21"/>
              </w:rPr>
              <w:t>1、采用隔声、吸声等降噪措施。</w:t>
            </w:r>
          </w:p>
          <w:p w14:paraId="333FD6E1">
            <w:pPr>
              <w:rPr>
                <w:rFonts w:hint="default" w:ascii="Times New Roman" w:hAnsi="Times New Roman" w:cs="Times New Roman"/>
                <w:szCs w:val="21"/>
              </w:rPr>
            </w:pPr>
            <w:r>
              <w:rPr>
                <w:rFonts w:hint="default" w:ascii="Times New Roman" w:hAnsi="Times New Roman" w:cs="Times New Roman"/>
                <w:szCs w:val="21"/>
              </w:rPr>
              <w:t>2、配戴适宜耳塞。</w:t>
            </w:r>
          </w:p>
          <w:p w14:paraId="7E60DD9E">
            <w:pPr>
              <w:rPr>
                <w:rFonts w:hint="default" w:ascii="Times New Roman" w:hAnsi="Times New Roman" w:cs="Times New Roman"/>
                <w:szCs w:val="21"/>
              </w:rPr>
            </w:pPr>
            <w:r>
              <w:rPr>
                <w:rFonts w:hint="default" w:ascii="Times New Roman" w:hAnsi="Times New Roman" w:cs="Times New Roman"/>
                <w:szCs w:val="21"/>
              </w:rPr>
              <w:t>3、设置减振、阻尼等装置。</w:t>
            </w:r>
          </w:p>
          <w:p w14:paraId="54DA7F66">
            <w:pPr>
              <w:rPr>
                <w:rFonts w:hint="default" w:ascii="Times New Roman" w:hAnsi="Times New Roman" w:cs="Times New Roman"/>
                <w:szCs w:val="21"/>
              </w:rPr>
            </w:pPr>
            <w:r>
              <w:rPr>
                <w:rFonts w:hint="default" w:ascii="Times New Roman" w:hAnsi="Times New Roman" w:cs="Times New Roman"/>
                <w:szCs w:val="21"/>
              </w:rPr>
              <w:t>4、尽量减少在噪声处停留时间。</w:t>
            </w:r>
          </w:p>
        </w:tc>
      </w:tr>
      <w:bookmarkEnd w:id="485"/>
      <w:bookmarkEnd w:id="486"/>
      <w:bookmarkEnd w:id="487"/>
    </w:tbl>
    <w:p w14:paraId="0AECD65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pPr>
      <w:bookmarkStart w:id="488" w:name="_Toc21976"/>
      <w:r>
        <w:rPr>
          <w:rFonts w:hint="default" w:ascii="Times New Roman" w:hAnsi="Times New Roman" w:cs="Times New Roman"/>
          <w:sz w:val="28"/>
          <w:szCs w:val="28"/>
        </w:rPr>
        <w:t>从以上分析可以得出，加油站工艺过程单元火灾、可燃液体蒸汽爆炸</w:t>
      </w:r>
      <w:r>
        <w:rPr>
          <w:rFonts w:hint="eastAsia" w:cs="Times New Roman"/>
          <w:sz w:val="28"/>
          <w:szCs w:val="28"/>
          <w:lang w:eastAsia="zh-CN"/>
        </w:rPr>
        <w:t>、</w:t>
      </w:r>
      <w:r>
        <w:rPr>
          <w:rFonts w:hint="eastAsia" w:cs="Times New Roman"/>
          <w:sz w:val="28"/>
          <w:szCs w:val="28"/>
          <w:lang w:val="en-US" w:eastAsia="zh-CN"/>
        </w:rPr>
        <w:t>管道</w:t>
      </w:r>
      <w:r>
        <w:rPr>
          <w:rFonts w:hint="default" w:ascii="Times New Roman" w:hAnsi="Times New Roman" w:cs="Times New Roman"/>
          <w:sz w:val="28"/>
          <w:szCs w:val="28"/>
        </w:rPr>
        <w:t>爆炸</w:t>
      </w:r>
      <w:r>
        <w:rPr>
          <w:rFonts w:hint="eastAsia" w:cs="Times New Roman"/>
          <w:sz w:val="28"/>
          <w:szCs w:val="28"/>
          <w:lang w:eastAsia="zh-CN"/>
        </w:rPr>
        <w:t>、</w:t>
      </w:r>
      <w:r>
        <w:rPr>
          <w:rFonts w:hint="eastAsia" w:cs="Times New Roman"/>
          <w:sz w:val="28"/>
          <w:szCs w:val="28"/>
          <w:lang w:val="en-US" w:eastAsia="zh-CN"/>
        </w:rPr>
        <w:t>泄漏</w:t>
      </w:r>
      <w:r>
        <w:rPr>
          <w:rFonts w:hint="default" w:ascii="Times New Roman" w:hAnsi="Times New Roman" w:cs="Times New Roman"/>
          <w:sz w:val="28"/>
          <w:szCs w:val="28"/>
        </w:rPr>
        <w:t>的危险程度为Ⅲ级，危险程度为危险的，需要采取相应安全措施并予以重视；中毒</w:t>
      </w:r>
      <w:r>
        <w:rPr>
          <w:rFonts w:hint="eastAsia" w:cs="Times New Roman"/>
          <w:sz w:val="28"/>
          <w:szCs w:val="28"/>
          <w:lang w:eastAsia="zh-CN"/>
        </w:rPr>
        <w:t>、</w:t>
      </w:r>
      <w:r>
        <w:rPr>
          <w:rFonts w:hint="default" w:ascii="Times New Roman" w:hAnsi="Times New Roman" w:cs="Times New Roman"/>
          <w:sz w:val="28"/>
          <w:szCs w:val="28"/>
        </w:rPr>
        <w:t>窒息、触电、</w:t>
      </w:r>
      <w:r>
        <w:rPr>
          <w:rFonts w:hint="eastAsia" w:cs="Times New Roman"/>
          <w:sz w:val="28"/>
          <w:szCs w:val="28"/>
          <w:lang w:val="en-US" w:eastAsia="zh-CN"/>
        </w:rPr>
        <w:t>厂（场）内</w:t>
      </w:r>
      <w:r>
        <w:rPr>
          <w:rFonts w:hint="default" w:ascii="Times New Roman" w:hAnsi="Times New Roman" w:cs="Times New Roman"/>
          <w:sz w:val="28"/>
          <w:szCs w:val="28"/>
        </w:rPr>
        <w:t>车辆</w:t>
      </w:r>
      <w:r>
        <w:rPr>
          <w:rFonts w:hint="eastAsia" w:cs="Times New Roman"/>
          <w:sz w:val="28"/>
          <w:szCs w:val="28"/>
          <w:lang w:val="en-US" w:eastAsia="zh-CN"/>
        </w:rPr>
        <w:t>致</w:t>
      </w:r>
      <w:r>
        <w:rPr>
          <w:rFonts w:hint="default" w:ascii="Times New Roman" w:hAnsi="Times New Roman" w:cs="Times New Roman"/>
          <w:sz w:val="28"/>
          <w:szCs w:val="28"/>
        </w:rPr>
        <w:t>害、高处坠落</w:t>
      </w:r>
      <w:r>
        <w:rPr>
          <w:rFonts w:hint="default" w:ascii="Times New Roman" w:hAnsi="Times New Roman" w:cs="Times New Roman"/>
          <w:sz w:val="28"/>
          <w:szCs w:val="28"/>
          <w:lang w:val="en-US" w:eastAsia="zh-CN"/>
        </w:rPr>
        <w:t>、机械</w:t>
      </w:r>
      <w:r>
        <w:rPr>
          <w:rFonts w:hint="eastAsia" w:cs="Times New Roman"/>
          <w:sz w:val="28"/>
          <w:szCs w:val="28"/>
          <w:lang w:val="en-US" w:eastAsia="zh-CN"/>
        </w:rPr>
        <w:t>致</w:t>
      </w:r>
      <w:r>
        <w:rPr>
          <w:rFonts w:hint="default" w:ascii="Times New Roman" w:hAnsi="Times New Roman" w:cs="Times New Roman"/>
          <w:sz w:val="28"/>
          <w:szCs w:val="28"/>
          <w:lang w:val="en-US" w:eastAsia="zh-CN"/>
        </w:rPr>
        <w:t>害、物体打击、坍塌</w:t>
      </w:r>
      <w:r>
        <w:rPr>
          <w:rFonts w:hint="default" w:ascii="Times New Roman" w:hAnsi="Times New Roman" w:cs="Times New Roman"/>
          <w:sz w:val="28"/>
          <w:szCs w:val="28"/>
        </w:rPr>
        <w:t>和</w:t>
      </w:r>
      <w:r>
        <w:rPr>
          <w:rFonts w:hint="eastAsia" w:cs="Times New Roman"/>
          <w:sz w:val="28"/>
          <w:szCs w:val="28"/>
          <w:lang w:val="en-US" w:eastAsia="zh-CN"/>
        </w:rPr>
        <w:t>其他（</w:t>
      </w:r>
      <w:r>
        <w:rPr>
          <w:rFonts w:hint="default" w:ascii="Times New Roman" w:hAnsi="Times New Roman" w:cs="Times New Roman"/>
          <w:sz w:val="28"/>
          <w:szCs w:val="28"/>
          <w:lang w:val="en-US" w:eastAsia="zh-CN"/>
        </w:rPr>
        <w:t>噪声</w:t>
      </w:r>
      <w:r>
        <w:rPr>
          <w:rFonts w:hint="eastAsia" w:cs="Times New Roman"/>
          <w:sz w:val="28"/>
          <w:szCs w:val="28"/>
          <w:lang w:val="en-US" w:eastAsia="zh-CN"/>
        </w:rPr>
        <w:t>）</w:t>
      </w:r>
      <w:r>
        <w:rPr>
          <w:rFonts w:hint="default" w:ascii="Times New Roman" w:hAnsi="Times New Roman" w:cs="Times New Roman"/>
          <w:sz w:val="28"/>
          <w:szCs w:val="28"/>
        </w:rPr>
        <w:t>的危险等级为Ⅱ级，临界的，需要注意。</w:t>
      </w:r>
    </w:p>
    <w:p w14:paraId="3E7A486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cs="Times New Roman"/>
          <w:sz w:val="28"/>
          <w:szCs w:val="28"/>
        </w:rPr>
        <w:sectPr>
          <w:pgSz w:w="16838" w:h="11906" w:orient="landscape"/>
          <w:pgMar w:top="1588" w:right="1418" w:bottom="1134" w:left="1134" w:header="851" w:footer="992" w:gutter="0"/>
          <w:pgBorders>
            <w:top w:val="none" w:sz="0" w:space="0"/>
            <w:left w:val="none" w:sz="0" w:space="0"/>
            <w:bottom w:val="none" w:sz="0" w:space="0"/>
            <w:right w:val="none" w:sz="0" w:space="0"/>
          </w:pgBorders>
          <w:pgNumType w:fmt="decimal"/>
          <w:cols w:space="720" w:num="1"/>
          <w:docGrid w:type="lines" w:linePitch="326" w:charSpace="6144"/>
        </w:sectPr>
      </w:pPr>
    </w:p>
    <w:p w14:paraId="40281D69">
      <w:pPr>
        <w:pStyle w:val="3"/>
        <w:keepNext/>
        <w:keepLines/>
        <w:pageBreakBefore w:val="0"/>
        <w:widowControl w:val="0"/>
        <w:kinsoku/>
        <w:wordWrap/>
        <w:overflowPunct/>
        <w:topLinePunct w:val="0"/>
        <w:autoSpaceDE/>
        <w:autoSpaceDN/>
        <w:bidi w:val="0"/>
        <w:adjustRightInd w:val="0"/>
        <w:snapToGrid w:val="0"/>
        <w:spacing w:before="327" w:beforeLines="100" w:after="327" w:afterLines="100" w:line="360" w:lineRule="auto"/>
        <w:jc w:val="center"/>
        <w:textAlignment w:val="auto"/>
        <w:rPr>
          <w:rFonts w:hint="default" w:ascii="Times New Roman" w:hAnsi="Times New Roman" w:eastAsia="楷体" w:cs="Times New Roman"/>
          <w:b/>
          <w:bCs/>
          <w:sz w:val="32"/>
          <w:szCs w:val="32"/>
          <w:lang w:val="en-US" w:eastAsia="zh-CN"/>
        </w:rPr>
      </w:pPr>
      <w:bookmarkStart w:id="489" w:name="_Toc2803"/>
      <w:r>
        <w:rPr>
          <w:rFonts w:hint="default" w:ascii="Times New Roman" w:hAnsi="Times New Roman" w:eastAsia="楷体" w:cs="Times New Roman"/>
          <w:b/>
          <w:bCs/>
          <w:sz w:val="32"/>
          <w:szCs w:val="32"/>
          <w:lang w:val="en-US" w:eastAsia="zh-CN"/>
        </w:rPr>
        <w:t>F4.3蒸汽云爆炸模拟</w:t>
      </w:r>
      <w:bookmarkEnd w:id="488"/>
      <w:bookmarkEnd w:id="489"/>
    </w:p>
    <w:p w14:paraId="3D1E40B9">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cs="Times New Roman"/>
          <w:sz w:val="28"/>
          <w:szCs w:val="28"/>
        </w:rPr>
      </w:pPr>
      <w:r>
        <w:rPr>
          <w:rFonts w:hint="default" w:ascii="Times New Roman" w:hAnsi="Times New Roman" w:eastAsia="楷体" w:cs="Times New Roman"/>
          <w:b/>
        </w:rPr>
        <w:t xml:space="preserve"> </w:t>
      </w:r>
      <w:r>
        <w:rPr>
          <w:rFonts w:hint="default" w:ascii="Times New Roman" w:hAnsi="Times New Roman" w:cs="Times New Roman"/>
          <w:sz w:val="28"/>
          <w:szCs w:val="28"/>
        </w:rPr>
        <w:t>储罐区物质泄漏后形成蒸汽云，蒸汽云爆炸的能量常用TNT当量描述，即将参与爆炸的可燃气体释放的能量折合为能释放相同能量的TNT炸药描述。</w:t>
      </w:r>
    </w:p>
    <w:p w14:paraId="0726841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TNT当量计算公式如下：</w:t>
      </w:r>
    </w:p>
    <w:p w14:paraId="259F591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  =βAW</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Q</w:t>
      </w:r>
      <w:r>
        <w:rPr>
          <w:rFonts w:hint="default" w:ascii="Times New Roman" w:hAnsi="Times New Roman" w:eastAsia="宋体" w:cs="Times New Roman"/>
          <w:sz w:val="28"/>
          <w:szCs w:val="28"/>
          <w:highlight w:val="none"/>
          <w:vertAlign w:val="subscript"/>
        </w:rPr>
        <w:t>f </w:t>
      </w:r>
      <w:r>
        <w:rPr>
          <w:rFonts w:hint="default" w:ascii="Times New Roman" w:hAnsi="Times New Roman" w:eastAsia="宋体" w:cs="Times New Roman"/>
          <w:sz w:val="28"/>
          <w:szCs w:val="28"/>
          <w:highlight w:val="none"/>
        </w:rPr>
        <w:t>/ Q</w:t>
      </w:r>
      <w:r>
        <w:rPr>
          <w:rFonts w:hint="default" w:ascii="Times New Roman" w:hAnsi="Times New Roman" w:eastAsia="宋体" w:cs="Times New Roman"/>
          <w:sz w:val="28"/>
          <w:szCs w:val="28"/>
          <w:highlight w:val="none"/>
          <w:vertAlign w:val="subscript"/>
        </w:rPr>
        <w:t>TNT</w:t>
      </w:r>
    </w:p>
    <w:p w14:paraId="4E1B791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式中：W</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——蒸气云的TNT当量，kg；</w:t>
      </w:r>
    </w:p>
    <w:p w14:paraId="62CB26D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 xml:space="preserve">      β——地面爆炸系数，取β=1.8； </w:t>
      </w:r>
    </w:p>
    <w:p w14:paraId="7BE092D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 xml:space="preserve">      A——蒸气云的TNT当量系数，A=4%； </w:t>
      </w:r>
    </w:p>
    <w:p w14:paraId="0B812C8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      W</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 xml:space="preserve">——蒸气云中燃料的总质量：kg； </w:t>
      </w:r>
    </w:p>
    <w:p w14:paraId="3003456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      Q</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 xml:space="preserve">——燃料的燃烧热，kJ/kg； </w:t>
      </w:r>
    </w:p>
    <w:p w14:paraId="385AD67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      Q</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——TNT的爆热，Q</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 xml:space="preserve">=4520kJ/kg。 </w:t>
      </w:r>
    </w:p>
    <w:p w14:paraId="1EEC85E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以乙醇汽油储罐蒸汽云爆炸的TNT当量计算为例：</w:t>
      </w:r>
    </w:p>
    <w:p w14:paraId="36881C3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本项目一个埋地乙醇汽油罐储存的质量为</w:t>
      </w:r>
      <w:r>
        <w:rPr>
          <w:rFonts w:hint="eastAsia" w:ascii="Times New Roman" w:hAnsi="Times New Roman" w:eastAsia="宋体" w:cs="Times New Roman"/>
          <w:sz w:val="28"/>
          <w:szCs w:val="28"/>
          <w:highlight w:val="none"/>
          <w:lang w:val="en-US" w:eastAsia="zh-CN"/>
        </w:rPr>
        <w:t>24</w:t>
      </w:r>
      <w:r>
        <w:rPr>
          <w:rFonts w:hint="default" w:ascii="Times New Roman" w:hAnsi="Times New Roman" w:eastAsia="宋体" w:cs="Times New Roman"/>
          <w:sz w:val="28"/>
          <w:szCs w:val="28"/>
          <w:highlight w:val="none"/>
        </w:rPr>
        <w:t>t，假设参加蒸气云爆炸的量为10%，则W</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w:t>
      </w:r>
      <w:r>
        <w:rPr>
          <w:rFonts w:hint="eastAsia" w:ascii="Times New Roman" w:hAnsi="Times New Roman" w:eastAsia="宋体" w:cs="Times New Roman"/>
          <w:sz w:val="28"/>
          <w:szCs w:val="28"/>
          <w:highlight w:val="none"/>
          <w:lang w:val="en-US" w:eastAsia="zh-CN"/>
        </w:rPr>
        <w:t>2.4</w:t>
      </w:r>
      <w:r>
        <w:rPr>
          <w:rFonts w:hint="default" w:ascii="Times New Roman" w:hAnsi="Times New Roman" w:eastAsia="宋体" w:cs="Times New Roman"/>
          <w:sz w:val="28"/>
          <w:szCs w:val="28"/>
          <w:highlight w:val="none"/>
        </w:rPr>
        <w:t>t。</w:t>
      </w:r>
    </w:p>
    <w:p w14:paraId="17E5722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=βAW</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Q</w:t>
      </w:r>
      <w:r>
        <w:rPr>
          <w:rFonts w:hint="default" w:ascii="Times New Roman" w:hAnsi="Times New Roman" w:eastAsia="宋体" w:cs="Times New Roman"/>
          <w:sz w:val="28"/>
          <w:szCs w:val="28"/>
          <w:highlight w:val="none"/>
          <w:vertAlign w:val="subscript"/>
        </w:rPr>
        <w:t>f</w:t>
      </w:r>
      <w:r>
        <w:rPr>
          <w:rFonts w:hint="default" w:ascii="Times New Roman" w:hAnsi="Times New Roman" w:eastAsia="宋体" w:cs="Times New Roman"/>
          <w:sz w:val="28"/>
          <w:szCs w:val="28"/>
          <w:highlight w:val="none"/>
        </w:rPr>
        <w:t>/Q</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 xml:space="preserve"> =1.8×0.04×</w:t>
      </w:r>
      <w:r>
        <w:rPr>
          <w:rFonts w:hint="eastAsia" w:ascii="Times New Roman" w:hAnsi="Times New Roman" w:eastAsia="宋体" w:cs="Times New Roman"/>
          <w:sz w:val="28"/>
          <w:szCs w:val="28"/>
          <w:highlight w:val="none"/>
          <w:lang w:val="en-US" w:eastAsia="zh-CN"/>
        </w:rPr>
        <w:t>2.4</w:t>
      </w:r>
      <w:r>
        <w:rPr>
          <w:rFonts w:hint="default" w:ascii="Times New Roman" w:hAnsi="Times New Roman" w:eastAsia="宋体" w:cs="Times New Roman"/>
          <w:sz w:val="28"/>
          <w:szCs w:val="28"/>
          <w:highlight w:val="none"/>
        </w:rPr>
        <w:t>×10</w:t>
      </w:r>
      <w:r>
        <w:rPr>
          <w:rFonts w:hint="default" w:ascii="Times New Roman" w:hAnsi="Times New Roman" w:eastAsia="宋体" w:cs="Times New Roman"/>
          <w:sz w:val="28"/>
          <w:szCs w:val="28"/>
          <w:highlight w:val="none"/>
          <w:vertAlign w:val="superscript"/>
        </w:rPr>
        <w:t>3</w:t>
      </w:r>
      <w:r>
        <w:rPr>
          <w:rFonts w:hint="default" w:ascii="Times New Roman" w:hAnsi="Times New Roman" w:eastAsia="宋体" w:cs="Times New Roman"/>
          <w:sz w:val="28"/>
          <w:szCs w:val="28"/>
          <w:highlight w:val="none"/>
        </w:rPr>
        <w:t>×45980/4520</w:t>
      </w:r>
    </w:p>
    <w:p w14:paraId="2FC22A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r>
        <w:rPr>
          <w:rFonts w:hint="eastAsia" w:ascii="Times New Roman" w:hAnsi="Times New Roman" w:eastAsia="宋体" w:cs="Times New Roman"/>
          <w:sz w:val="28"/>
          <w:szCs w:val="28"/>
          <w:highlight w:val="none"/>
          <w:lang w:val="en-US" w:eastAsia="zh-CN"/>
        </w:rPr>
        <w:t>1757</w:t>
      </w:r>
      <w:r>
        <w:rPr>
          <w:rFonts w:hint="default" w:ascii="Times New Roman" w:hAnsi="Times New Roman" w:eastAsia="宋体" w:cs="Times New Roman"/>
          <w:sz w:val="28"/>
          <w:szCs w:val="28"/>
          <w:highlight w:val="none"/>
        </w:rPr>
        <w:t>.8</w:t>
      </w:r>
      <w:r>
        <w:rPr>
          <w:rFonts w:hint="eastAsia" w:ascii="Times New Roman" w:hAnsi="Times New Roman" w:eastAsia="宋体" w:cs="Times New Roman"/>
          <w:sz w:val="28"/>
          <w:szCs w:val="28"/>
          <w:highlight w:val="none"/>
          <w:lang w:val="en-US" w:eastAsia="zh-CN"/>
        </w:rPr>
        <w:t>2</w:t>
      </w:r>
      <w:r>
        <w:rPr>
          <w:rFonts w:hint="default" w:ascii="Times New Roman" w:hAnsi="Times New Roman" w:eastAsia="宋体" w:cs="Times New Roman"/>
          <w:sz w:val="28"/>
          <w:szCs w:val="28"/>
          <w:highlight w:val="none"/>
        </w:rPr>
        <w:t>kg</w:t>
      </w:r>
    </w:p>
    <w:p w14:paraId="5728B3D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相当于梯恩梯（TNT）的摩尔量：1</w:t>
      </w:r>
      <w:r>
        <w:rPr>
          <w:rFonts w:hint="eastAsia" w:ascii="Times New Roman" w:hAnsi="Times New Roman" w:eastAsia="宋体" w:cs="Times New Roman"/>
          <w:sz w:val="28"/>
          <w:szCs w:val="28"/>
          <w:highlight w:val="none"/>
          <w:lang w:val="en-US" w:eastAsia="zh-CN"/>
        </w:rPr>
        <w:t>757.82</w:t>
      </w:r>
      <w:r>
        <w:rPr>
          <w:rFonts w:hint="default" w:ascii="Times New Roman" w:hAnsi="Times New Roman" w:eastAsia="宋体" w:cs="Times New Roman"/>
          <w:sz w:val="28"/>
          <w:szCs w:val="28"/>
          <w:highlight w:val="none"/>
        </w:rPr>
        <w:t>/227=</w:t>
      </w:r>
      <w:r>
        <w:rPr>
          <w:rFonts w:hint="eastAsia" w:ascii="Times New Roman" w:hAnsi="Times New Roman" w:eastAsia="宋体" w:cs="Times New Roman"/>
          <w:sz w:val="28"/>
          <w:szCs w:val="28"/>
          <w:highlight w:val="none"/>
          <w:lang w:val="en-US" w:eastAsia="zh-CN"/>
        </w:rPr>
        <w:t>7.74</w:t>
      </w:r>
      <w:r>
        <w:rPr>
          <w:rFonts w:hint="default" w:ascii="Times New Roman" w:hAnsi="Times New Roman" w:eastAsia="宋体" w:cs="Times New Roman"/>
          <w:sz w:val="28"/>
          <w:szCs w:val="28"/>
          <w:highlight w:val="none"/>
        </w:rPr>
        <w:t>kmol</w:t>
      </w:r>
    </w:p>
    <w:p w14:paraId="5016D70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死亡半径计算根据超压-冲量准则和概率模型得出的死亡半径公式R</w:t>
      </w:r>
      <w:r>
        <w:rPr>
          <w:rFonts w:hint="default" w:ascii="Times New Roman" w:hAnsi="Times New Roman" w:eastAsia="宋体" w:cs="Times New Roman"/>
          <w:sz w:val="28"/>
          <w:szCs w:val="28"/>
          <w:highlight w:val="none"/>
          <w:vertAlign w:val="subscript"/>
        </w:rPr>
        <w:t>0.5=</w:t>
      </w:r>
      <w:r>
        <w:rPr>
          <w:rFonts w:hint="default" w:ascii="Times New Roman" w:hAnsi="Times New Roman" w:eastAsia="宋体" w:cs="Times New Roman"/>
          <w:sz w:val="28"/>
          <w:szCs w:val="28"/>
          <w:highlight w:val="none"/>
        </w:rPr>
        <w:t>13.6(W</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 /1000)</w:t>
      </w:r>
      <w:r>
        <w:rPr>
          <w:rFonts w:hint="default" w:ascii="Times New Roman" w:hAnsi="Times New Roman" w:eastAsia="宋体" w:cs="Times New Roman"/>
          <w:sz w:val="28"/>
          <w:szCs w:val="28"/>
          <w:highlight w:val="none"/>
          <w:vertAlign w:val="superscript"/>
        </w:rPr>
        <w:t>0.37</w:t>
      </w:r>
    </w:p>
    <w:p w14:paraId="62689CE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R</w:t>
      </w:r>
      <w:r>
        <w:rPr>
          <w:rFonts w:hint="default" w:ascii="Times New Roman" w:hAnsi="Times New Roman" w:eastAsia="宋体" w:cs="Times New Roman"/>
          <w:sz w:val="28"/>
          <w:szCs w:val="28"/>
          <w:highlight w:val="none"/>
          <w:vertAlign w:val="subscript"/>
        </w:rPr>
        <w:t>0.5</w:t>
      </w:r>
      <w:r>
        <w:rPr>
          <w:rFonts w:hint="default" w:ascii="Times New Roman" w:hAnsi="Times New Roman" w:eastAsia="宋体" w:cs="Times New Roman"/>
          <w:sz w:val="28"/>
          <w:szCs w:val="28"/>
          <w:highlight w:val="none"/>
        </w:rPr>
        <w:t>=13.6(W</w:t>
      </w:r>
      <w:r>
        <w:rPr>
          <w:rFonts w:hint="default" w:ascii="Times New Roman" w:hAnsi="Times New Roman" w:eastAsia="宋体" w:cs="Times New Roman"/>
          <w:sz w:val="28"/>
          <w:szCs w:val="28"/>
          <w:highlight w:val="none"/>
          <w:vertAlign w:val="subscript"/>
        </w:rPr>
        <w:t>TNT</w:t>
      </w:r>
      <w:r>
        <w:rPr>
          <w:rFonts w:hint="default" w:ascii="Times New Roman" w:hAnsi="Times New Roman" w:eastAsia="宋体" w:cs="Times New Roman"/>
          <w:sz w:val="28"/>
          <w:szCs w:val="28"/>
          <w:highlight w:val="none"/>
        </w:rPr>
        <w:t> /1000)</w:t>
      </w:r>
      <w:r>
        <w:rPr>
          <w:rFonts w:hint="default" w:ascii="Times New Roman" w:hAnsi="Times New Roman" w:eastAsia="宋体" w:cs="Times New Roman"/>
          <w:sz w:val="28"/>
          <w:szCs w:val="28"/>
          <w:highlight w:val="none"/>
          <w:vertAlign w:val="superscript"/>
        </w:rPr>
        <w:t>0.37</w:t>
      </w:r>
      <w:r>
        <w:rPr>
          <w:rFonts w:hint="default" w:ascii="Times New Roman" w:hAnsi="Times New Roman" w:eastAsia="宋体" w:cs="Times New Roman"/>
          <w:sz w:val="28"/>
          <w:szCs w:val="28"/>
          <w:highlight w:val="none"/>
        </w:rPr>
        <w:t>=13.6(</w:t>
      </w:r>
      <w:r>
        <w:rPr>
          <w:rFonts w:hint="eastAsia" w:ascii="Times New Roman" w:hAnsi="Times New Roman" w:eastAsia="宋体" w:cs="Times New Roman"/>
          <w:sz w:val="28"/>
          <w:szCs w:val="28"/>
          <w:highlight w:val="none"/>
          <w:lang w:val="en-US" w:eastAsia="zh-CN"/>
        </w:rPr>
        <w:t>1757.82</w:t>
      </w:r>
      <w:r>
        <w:rPr>
          <w:rFonts w:hint="default" w:ascii="Times New Roman" w:hAnsi="Times New Roman" w:eastAsia="宋体" w:cs="Times New Roman"/>
          <w:sz w:val="28"/>
          <w:szCs w:val="28"/>
          <w:highlight w:val="none"/>
        </w:rPr>
        <w:t>/1000)</w:t>
      </w:r>
      <w:r>
        <w:rPr>
          <w:rFonts w:hint="default" w:ascii="Times New Roman" w:hAnsi="Times New Roman" w:eastAsia="宋体" w:cs="Times New Roman"/>
          <w:sz w:val="28"/>
          <w:szCs w:val="28"/>
          <w:highlight w:val="none"/>
          <w:vertAlign w:val="superscript"/>
        </w:rPr>
        <w:t>0.37</w:t>
      </w:r>
      <w:r>
        <w:rPr>
          <w:rFonts w:hint="default" w:ascii="Times New Roman" w:hAnsi="Times New Roman" w:eastAsia="宋体" w:cs="Times New Roman"/>
          <w:sz w:val="28"/>
          <w:szCs w:val="28"/>
          <w:highlight w:val="none"/>
        </w:rPr>
        <w:t>=</w:t>
      </w:r>
      <w:r>
        <w:rPr>
          <w:rFonts w:hint="eastAsia" w:ascii="Times New Roman" w:hAnsi="Times New Roman" w:eastAsia="宋体" w:cs="Times New Roman"/>
          <w:sz w:val="28"/>
          <w:szCs w:val="28"/>
          <w:highlight w:val="none"/>
          <w:lang w:val="en-US" w:eastAsia="zh-CN"/>
        </w:rPr>
        <w:t>16.76</w:t>
      </w:r>
      <w:r>
        <w:rPr>
          <w:rFonts w:hint="default" w:ascii="Times New Roman" w:hAnsi="Times New Roman" w:eastAsia="宋体" w:cs="Times New Roman"/>
          <w:sz w:val="28"/>
          <w:szCs w:val="28"/>
          <w:highlight w:val="none"/>
        </w:rPr>
        <w:t>m</w:t>
      </w:r>
    </w:p>
    <w:p w14:paraId="48574F3F">
      <w:pPr>
        <w:keepNext w:val="0"/>
        <w:keepLines w:val="0"/>
        <w:pageBreakBefore w:val="0"/>
        <w:widowControl w:val="0"/>
        <w:kinsoku/>
        <w:wordWrap/>
        <w:overflowPunct/>
        <w:topLinePunct w:val="0"/>
        <w:autoSpaceDE/>
        <w:autoSpaceDN/>
        <w:bidi w:val="0"/>
        <w:adjustRightInd w:val="0"/>
        <w:snapToGrid w:val="0"/>
        <w:spacing w:before="469" w:beforeLines="150" w:after="469" w:afterLines="150" w:line="360" w:lineRule="auto"/>
        <w:ind w:firstLine="0"/>
        <w:jc w:val="center"/>
        <w:textAlignment w:val="auto"/>
        <w:outlineLvl w:val="0"/>
        <w:rPr>
          <w:rFonts w:hint="default" w:ascii="Times New Roman" w:hAnsi="Times New Roman" w:eastAsia="黑体" w:cs="Times New Roman"/>
          <w:b/>
          <w:bCs/>
          <w:kern w:val="2"/>
          <w:sz w:val="32"/>
          <w:szCs w:val="32"/>
          <w:lang w:val="en-US" w:eastAsia="zh-CN" w:bidi="ar-SA"/>
        </w:rPr>
      </w:pPr>
      <w:r>
        <w:rPr>
          <w:rFonts w:hint="default" w:ascii="Times New Roman" w:hAnsi="Times New Roman" w:cs="Times New Roman"/>
          <w:sz w:val="28"/>
          <w:szCs w:val="28"/>
        </w:rPr>
        <w:br w:type="page"/>
      </w:r>
      <w:bookmarkStart w:id="490" w:name="_Toc410311944"/>
      <w:bookmarkStart w:id="491" w:name="_Toc410312021"/>
      <w:bookmarkStart w:id="492" w:name="_Toc41246778"/>
      <w:bookmarkStart w:id="493" w:name="_Toc20141"/>
      <w:bookmarkStart w:id="494" w:name="_Toc16343"/>
      <w:r>
        <w:rPr>
          <w:rFonts w:hint="default" w:ascii="Times New Roman" w:hAnsi="Times New Roman" w:eastAsia="黑体" w:cs="Times New Roman"/>
          <w:b/>
          <w:bCs w:val="0"/>
          <w:kern w:val="32"/>
          <w:sz w:val="32"/>
          <w:szCs w:val="32"/>
          <w:lang w:val="en-US" w:eastAsia="zh-CN" w:bidi="ar-SA"/>
        </w:rPr>
        <w:t>附</w:t>
      </w:r>
      <w:bookmarkEnd w:id="490"/>
      <w:bookmarkEnd w:id="491"/>
      <w:r>
        <w:rPr>
          <w:rFonts w:hint="default" w:ascii="Times New Roman" w:hAnsi="Times New Roman" w:eastAsia="黑体" w:cs="Times New Roman"/>
          <w:b/>
          <w:bCs w:val="0"/>
          <w:kern w:val="32"/>
          <w:sz w:val="32"/>
          <w:szCs w:val="32"/>
          <w:lang w:val="en-US" w:eastAsia="zh-CN" w:bidi="ar-SA"/>
        </w:rPr>
        <w:t>录F5报告附件目录</w:t>
      </w:r>
      <w:bookmarkEnd w:id="492"/>
      <w:bookmarkEnd w:id="493"/>
      <w:bookmarkEnd w:id="494"/>
    </w:p>
    <w:p w14:paraId="46157AEE">
      <w:pPr>
        <w:numPr>
          <w:ilvl w:val="0"/>
          <w:numId w:val="34"/>
        </w:numPr>
        <w:ind w:firstLine="560" w:firstLineChars="200"/>
        <w:rPr>
          <w:rFonts w:hint="default" w:ascii="Times New Roman" w:hAnsi="Times New Roman" w:cs="Times New Roman"/>
          <w:bCs/>
          <w:sz w:val="28"/>
          <w:szCs w:val="28"/>
        </w:rPr>
      </w:pPr>
      <w:bookmarkStart w:id="495" w:name="_Toc6886"/>
      <w:bookmarkStart w:id="496" w:name="OLE_LINK1"/>
      <w:r>
        <w:rPr>
          <w:rFonts w:hint="default" w:ascii="Times New Roman" w:hAnsi="Times New Roman" w:cs="Times New Roman"/>
          <w:bCs/>
          <w:sz w:val="28"/>
          <w:szCs w:val="28"/>
        </w:rPr>
        <w:t>营业执照</w:t>
      </w:r>
      <w:bookmarkEnd w:id="495"/>
    </w:p>
    <w:p w14:paraId="541468CE">
      <w:pPr>
        <w:numPr>
          <w:ilvl w:val="0"/>
          <w:numId w:val="34"/>
        </w:numPr>
        <w:ind w:firstLine="560" w:firstLineChars="200"/>
        <w:rPr>
          <w:rFonts w:hint="default" w:ascii="Times New Roman" w:hAnsi="Times New Roman" w:cs="Times New Roman"/>
          <w:bCs/>
          <w:sz w:val="28"/>
          <w:szCs w:val="28"/>
        </w:rPr>
      </w:pPr>
      <w:r>
        <w:rPr>
          <w:rFonts w:hint="eastAsia" w:cs="Times New Roman"/>
          <w:bCs/>
          <w:sz w:val="28"/>
          <w:szCs w:val="28"/>
          <w:lang w:val="en-US" w:eastAsia="zh-CN"/>
        </w:rPr>
        <w:t>土地证</w:t>
      </w:r>
    </w:p>
    <w:bookmarkEnd w:id="496"/>
    <w:p w14:paraId="6947EA6C">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立项申请表</w:t>
      </w:r>
    </w:p>
    <w:p w14:paraId="726A4AE8">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原建设项目立项及总平面布置图</w:t>
      </w:r>
    </w:p>
    <w:p w14:paraId="421BCF02">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证明文件</w:t>
      </w:r>
    </w:p>
    <w:p w14:paraId="6F28DC93">
      <w:pPr>
        <w:numPr>
          <w:ilvl w:val="0"/>
          <w:numId w:val="34"/>
        </w:numPr>
        <w:ind w:left="0" w:leftChars="0" w:firstLine="560" w:firstLineChars="200"/>
        <w:rPr>
          <w:rFonts w:hint="default" w:ascii="Times New Roman" w:hAnsi="Times New Roman" w:cs="Times New Roman"/>
          <w:bCs/>
          <w:sz w:val="28"/>
          <w:szCs w:val="28"/>
        </w:rPr>
      </w:pPr>
      <w:r>
        <w:rPr>
          <w:rFonts w:hint="default" w:ascii="Times New Roman" w:hAnsi="Times New Roman" w:cs="Times New Roman"/>
          <w:bCs/>
          <w:sz w:val="28"/>
          <w:szCs w:val="28"/>
        </w:rPr>
        <w:t>总平面布置图</w:t>
      </w:r>
    </w:p>
    <w:p w14:paraId="3939FA39">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工艺管道及仪表流程图</w:t>
      </w:r>
    </w:p>
    <w:p w14:paraId="3380FB1F">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爆炸危险区域划分平面及局部立面图</w:t>
      </w:r>
    </w:p>
    <w:p w14:paraId="2814B126">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评审意见</w:t>
      </w:r>
    </w:p>
    <w:p w14:paraId="6AFB8107">
      <w:pPr>
        <w:numPr>
          <w:ilvl w:val="0"/>
          <w:numId w:val="34"/>
        </w:numPr>
        <w:ind w:left="0" w:leftChars="0" w:firstLine="560" w:firstLineChars="200"/>
        <w:rPr>
          <w:rFonts w:hint="default" w:ascii="Times New Roman" w:hAnsi="Times New Roman" w:cs="Times New Roman"/>
          <w:bCs/>
          <w:sz w:val="28"/>
          <w:szCs w:val="28"/>
        </w:rPr>
      </w:pPr>
      <w:r>
        <w:rPr>
          <w:rFonts w:hint="eastAsia" w:cs="Times New Roman"/>
          <w:bCs/>
          <w:sz w:val="28"/>
          <w:szCs w:val="28"/>
          <w:lang w:val="en-US" w:eastAsia="zh-CN"/>
        </w:rPr>
        <w:t>报告修改说明</w:t>
      </w:r>
    </w:p>
    <w:p w14:paraId="33CEC36E">
      <w:pPr>
        <w:rPr>
          <w:rFonts w:hint="default" w:ascii="Times New Roman" w:hAnsi="Times New Roman" w:cs="Times New Roman"/>
        </w:rPr>
      </w:pPr>
    </w:p>
    <w:p w14:paraId="58F5FC9A">
      <w:pPr>
        <w:rPr>
          <w:rFonts w:hint="default" w:ascii="Times New Roman" w:hAnsi="Times New Roman" w:cs="Times New Roman"/>
        </w:rPr>
      </w:pPr>
    </w:p>
    <w:p w14:paraId="7D521CAF">
      <w:pPr>
        <w:pStyle w:val="5"/>
        <w:rPr>
          <w:rFonts w:hint="default" w:ascii="Times New Roman" w:hAnsi="Times New Roman" w:cs="Times New Roman"/>
        </w:rPr>
      </w:pPr>
    </w:p>
    <w:p w14:paraId="59BCDF3D">
      <w:pPr>
        <w:pStyle w:val="5"/>
        <w:rPr>
          <w:rFonts w:hint="default" w:ascii="Times New Roman" w:hAnsi="Times New Roman" w:cs="Times New Roman"/>
        </w:rPr>
      </w:pPr>
    </w:p>
    <w:p w14:paraId="609E395A">
      <w:pPr>
        <w:pStyle w:val="5"/>
        <w:rPr>
          <w:rFonts w:hint="default" w:ascii="Times New Roman" w:hAnsi="Times New Roman" w:cs="Times New Roman"/>
        </w:rPr>
      </w:pPr>
    </w:p>
    <w:p w14:paraId="1889D580">
      <w:pPr>
        <w:pStyle w:val="5"/>
        <w:rPr>
          <w:rFonts w:hint="default" w:ascii="Times New Roman" w:hAnsi="Times New Roman" w:cs="Times New Roman"/>
        </w:rPr>
      </w:pPr>
    </w:p>
    <w:p w14:paraId="53F785B6">
      <w:pPr>
        <w:pStyle w:val="5"/>
        <w:rPr>
          <w:rFonts w:hint="default" w:ascii="Times New Roman" w:hAnsi="Times New Roman" w:cs="Times New Roman"/>
        </w:rPr>
      </w:pPr>
    </w:p>
    <w:p w14:paraId="5467C1CC">
      <w:pPr>
        <w:pStyle w:val="5"/>
        <w:rPr>
          <w:rFonts w:hint="default" w:ascii="Times New Roman" w:hAnsi="Times New Roman" w:cs="Times New Roman"/>
        </w:rPr>
      </w:pPr>
    </w:p>
    <w:p w14:paraId="46FC1F5F">
      <w:pPr>
        <w:rPr>
          <w:rFonts w:hint="default" w:ascii="Times New Roman" w:hAnsi="Times New Roman" w:cs="Times New Roman"/>
        </w:rPr>
      </w:pPr>
    </w:p>
    <w:sectPr>
      <w:footerReference r:id="rId10" w:type="default"/>
      <w:pgSz w:w="11906" w:h="16838"/>
      <w:pgMar w:top="1417" w:right="1134" w:bottom="1134"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13471">
    <w:pPr>
      <w:pStyle w:val="8"/>
      <w:jc w:val="right"/>
    </w:pPr>
  </w:p>
  <w:p w14:paraId="1970B9FF">
    <w:pPr>
      <w:pStyle w:val="8"/>
      <w:pBdr>
        <w:top w:val="none" w:color="auto" w:sz="0" w:space="1"/>
      </w:pBdr>
      <w:wordWrap w:val="0"/>
      <w:spacing w:line="300"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5D511">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23E13">
    <w:pPr>
      <w:pStyle w:val="8"/>
      <w:pBdr>
        <w:top w:val="single" w:color="auto" w:sz="4" w:space="1"/>
      </w:pBdr>
      <w:wordWrap w:val="0"/>
      <w:spacing w:line="300" w:lineRule="exact"/>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91B48B">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691B48B">
                    <w:pPr>
                      <w:pStyle w:val="8"/>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drawing>
        <wp:inline distT="0" distB="0" distL="114300" distR="114300">
          <wp:extent cx="361315" cy="136525"/>
          <wp:effectExtent l="0" t="0" r="0" b="15875"/>
          <wp:docPr id="72"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77C6B">
    <w:pPr>
      <w:pStyle w:val="8"/>
      <w:pBdr>
        <w:top w:val="single" w:color="auto" w:sz="4" w:space="1"/>
      </w:pBdr>
      <w:wordWrap w:val="0"/>
      <w:spacing w:line="300" w:lineRule="exact"/>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626986">
                          <w:pPr>
                            <w:pStyle w:val="8"/>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1626986">
                    <w:pPr>
                      <w:pStyle w:val="8"/>
                    </w:pPr>
                    <w:r>
                      <w:fldChar w:fldCharType="begin"/>
                    </w:r>
                    <w:r>
                      <w:instrText xml:space="preserve"> PAGE  \* MERGEFORMAT </w:instrText>
                    </w:r>
                    <w:r>
                      <w:fldChar w:fldCharType="separate"/>
                    </w:r>
                    <w:r>
                      <w:t>8</w:t>
                    </w:r>
                    <w:r>
                      <w:fldChar w:fldCharType="end"/>
                    </w:r>
                  </w:p>
                </w:txbxContent>
              </v:textbox>
            </v:shape>
          </w:pict>
        </mc:Fallback>
      </mc:AlternateContent>
    </w:r>
    <w:r>
      <w:rPr>
        <w:rFonts w:hint="eastAsia"/>
      </w:rPr>
      <w:drawing>
        <wp:inline distT="0" distB="0" distL="114300" distR="114300">
          <wp:extent cx="361315" cy="136525"/>
          <wp:effectExtent l="0" t="0" r="0" b="15875"/>
          <wp:docPr id="173"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9CD9E">
    <w:pPr>
      <w:pStyle w:val="8"/>
      <w:pBdr>
        <w:top w:val="single" w:color="auto" w:sz="4" w:space="1"/>
      </w:pBdr>
      <w:wordWrap w:val="0"/>
      <w:spacing w:line="300" w:lineRule="exact"/>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27ECA6">
                          <w:pPr>
                            <w:pStyle w:val="8"/>
                          </w:pPr>
                          <w:r>
                            <w:fldChar w:fldCharType="begin"/>
                          </w:r>
                          <w:r>
                            <w:instrText xml:space="preserve"> PAGE  \* MERGEFORMAT </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E27ECA6">
                    <w:pPr>
                      <w:pStyle w:val="8"/>
                    </w:pPr>
                    <w:r>
                      <w:fldChar w:fldCharType="begin"/>
                    </w:r>
                    <w:r>
                      <w:instrText xml:space="preserve"> PAGE  \* MERGEFORMAT </w:instrText>
                    </w:r>
                    <w:r>
                      <w:fldChar w:fldCharType="separate"/>
                    </w:r>
                    <w:r>
                      <w:t>19</w:t>
                    </w:r>
                    <w:r>
                      <w:fldChar w:fldCharType="end"/>
                    </w:r>
                  </w:p>
                </w:txbxContent>
              </v:textbox>
            </v:shape>
          </w:pict>
        </mc:Fallback>
      </mc:AlternateContent>
    </w:r>
    <w:r>
      <w:rPr>
        <w:rFonts w:hint="eastAsia"/>
      </w:rPr>
      <w:drawing>
        <wp:inline distT="0" distB="0" distL="114300" distR="114300">
          <wp:extent cx="361315" cy="136525"/>
          <wp:effectExtent l="0" t="0" r="0" b="15875"/>
          <wp:docPr id="7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B1942">
    <w:pPr>
      <w:pStyle w:val="8"/>
      <w:jc w:val="right"/>
    </w:pP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9F2ACF">
                          <w:pPr>
                            <w:pStyle w:val="8"/>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49F2ACF">
                    <w:pPr>
                      <w:pStyle w:val="8"/>
                    </w:pPr>
                    <w:r>
                      <w:fldChar w:fldCharType="begin"/>
                    </w:r>
                    <w:r>
                      <w:instrText xml:space="preserve"> PAGE  \* MERGEFORMAT </w:instrText>
                    </w:r>
                    <w:r>
                      <w:fldChar w:fldCharType="separate"/>
                    </w:r>
                    <w:r>
                      <w:t>94</w:t>
                    </w:r>
                    <w:r>
                      <w:fldChar w:fldCharType="end"/>
                    </w:r>
                  </w:p>
                </w:txbxContent>
              </v:textbox>
            </v:shape>
          </w:pict>
        </mc:Fallback>
      </mc:AlternateContent>
    </w:r>
  </w:p>
  <w:p w14:paraId="13099C80">
    <w:pPr>
      <w:pStyle w:val="8"/>
      <w:pBdr>
        <w:top w:val="single" w:color="auto" w:sz="4" w:space="1"/>
      </w:pBdr>
      <w:wordWrap w:val="0"/>
      <w:spacing w:line="300" w:lineRule="exact"/>
    </w:pPr>
    <w:r>
      <w:rPr>
        <w:rFonts w:hint="eastAsia"/>
      </w:rPr>
      <w:drawing>
        <wp:inline distT="0" distB="0" distL="114300" distR="114300">
          <wp:extent cx="361315" cy="136525"/>
          <wp:effectExtent l="0" t="0" r="0" b="15875"/>
          <wp:docPr id="143"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7537E">
    <w:pPr>
      <w:pStyle w:val="9"/>
      <w:rPr>
        <w:rFonts w:hint="default"/>
        <w:lang w:val="en-US"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FF795">
    <w:pPr>
      <w:pBdr>
        <w:bottom w:val="single" w:color="auto" w:sz="4" w:space="1"/>
      </w:pBdr>
      <w:jc w:val="center"/>
      <w:rPr>
        <w:rFonts w:hint="default" w:ascii="楷体" w:hAnsi="楷体" w:eastAsia="楷体"/>
        <w:szCs w:val="21"/>
        <w:lang w:val="en-US" w:eastAsia="zh-CN"/>
      </w:rPr>
    </w:pPr>
    <w:r>
      <w:rPr>
        <w:rFonts w:hint="eastAsia" w:ascii="楷体" w:hAnsi="楷体" w:eastAsia="楷体"/>
        <w:szCs w:val="21"/>
        <w:lang w:val="en-US" w:eastAsia="zh-CN"/>
      </w:rPr>
      <w:t>中国石油天然气股份有限公司河北销售绥中第二加油站改建项目设立安全评价报告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3BAB56"/>
    <w:multiLevelType w:val="singleLevel"/>
    <w:tmpl w:val="803BAB56"/>
    <w:lvl w:ilvl="0" w:tentative="0">
      <w:start w:val="1"/>
      <w:numFmt w:val="decimal"/>
      <w:suff w:val="nothing"/>
      <w:lvlText w:val="（%1）"/>
      <w:lvlJc w:val="left"/>
    </w:lvl>
  </w:abstractNum>
  <w:abstractNum w:abstractNumId="1">
    <w:nsid w:val="835E44C6"/>
    <w:multiLevelType w:val="singleLevel"/>
    <w:tmpl w:val="835E44C6"/>
    <w:lvl w:ilvl="0" w:tentative="0">
      <w:start w:val="1"/>
      <w:numFmt w:val="decimal"/>
      <w:suff w:val="nothing"/>
      <w:lvlText w:val="（%1）"/>
      <w:lvlJc w:val="left"/>
    </w:lvl>
  </w:abstractNum>
  <w:abstractNum w:abstractNumId="2">
    <w:nsid w:val="95B12C48"/>
    <w:multiLevelType w:val="multilevel"/>
    <w:tmpl w:val="95B12C48"/>
    <w:lvl w:ilvl="0" w:tentative="0">
      <w:start w:val="1"/>
      <w:numFmt w:val="decimal"/>
      <w:suff w:val="nothing"/>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A647F3E9"/>
    <w:multiLevelType w:val="singleLevel"/>
    <w:tmpl w:val="A647F3E9"/>
    <w:lvl w:ilvl="0" w:tentative="0">
      <w:start w:val="1"/>
      <w:numFmt w:val="decimal"/>
      <w:suff w:val="nothing"/>
      <w:lvlText w:val="（%1）"/>
      <w:lvlJc w:val="left"/>
    </w:lvl>
  </w:abstractNum>
  <w:abstractNum w:abstractNumId="4">
    <w:nsid w:val="BCA4CCF5"/>
    <w:multiLevelType w:val="singleLevel"/>
    <w:tmpl w:val="BCA4CCF5"/>
    <w:lvl w:ilvl="0" w:tentative="0">
      <w:start w:val="1"/>
      <w:numFmt w:val="decimal"/>
      <w:suff w:val="nothing"/>
      <w:lvlText w:val="%1、"/>
      <w:lvlJc w:val="left"/>
    </w:lvl>
  </w:abstractNum>
  <w:abstractNum w:abstractNumId="5">
    <w:nsid w:val="C88FE9D1"/>
    <w:multiLevelType w:val="multilevel"/>
    <w:tmpl w:val="C88FE9D1"/>
    <w:lvl w:ilvl="0" w:tentative="0">
      <w:start w:val="1"/>
      <w:numFmt w:val="decimal"/>
      <w:suff w:val="nothing"/>
      <w:lvlText w:val="（%1）"/>
      <w:lvlJc w:val="left"/>
      <w:pPr>
        <w:ind w:left="0" w:firstLine="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E0727D46"/>
    <w:multiLevelType w:val="singleLevel"/>
    <w:tmpl w:val="E0727D46"/>
    <w:lvl w:ilvl="0" w:tentative="0">
      <w:start w:val="1"/>
      <w:numFmt w:val="decimal"/>
      <w:suff w:val="nothing"/>
      <w:lvlText w:val="（%1）"/>
      <w:lvlJc w:val="left"/>
    </w:lvl>
  </w:abstractNum>
  <w:abstractNum w:abstractNumId="7">
    <w:nsid w:val="E11C8670"/>
    <w:multiLevelType w:val="multilevel"/>
    <w:tmpl w:val="E11C8670"/>
    <w:lvl w:ilvl="0" w:tentative="0">
      <w:start w:val="1"/>
      <w:numFmt w:val="decimal"/>
      <w:suff w:val="nothing"/>
      <w:lvlText w:val="%1."/>
      <w:lvlJc w:val="left"/>
      <w:pPr>
        <w:ind w:left="0" w:leftChars="0" w:firstLine="0" w:firstLineChars="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E6A987A7"/>
    <w:multiLevelType w:val="singleLevel"/>
    <w:tmpl w:val="E6A987A7"/>
    <w:lvl w:ilvl="0" w:tentative="0">
      <w:start w:val="1"/>
      <w:numFmt w:val="decimal"/>
      <w:suff w:val="nothing"/>
      <w:lvlText w:val="（%1）"/>
      <w:lvlJc w:val="left"/>
    </w:lvl>
  </w:abstractNum>
  <w:abstractNum w:abstractNumId="9">
    <w:nsid w:val="EF08D37D"/>
    <w:multiLevelType w:val="multilevel"/>
    <w:tmpl w:val="EF08D37D"/>
    <w:lvl w:ilvl="0" w:tentative="0">
      <w:start w:val="1"/>
      <w:numFmt w:val="decimal"/>
      <w:suff w:val="nothing"/>
      <w:lvlText w:val="%1."/>
      <w:lvlJc w:val="left"/>
      <w:pPr>
        <w:ind w:left="440" w:hanging="440"/>
      </w:pPr>
      <w:rPr>
        <w:sz w:val="21"/>
        <w:szCs w:val="21"/>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0">
    <w:nsid w:val="F1F96558"/>
    <w:multiLevelType w:val="singleLevel"/>
    <w:tmpl w:val="F1F96558"/>
    <w:lvl w:ilvl="0" w:tentative="0">
      <w:start w:val="1"/>
      <w:numFmt w:val="decimal"/>
      <w:suff w:val="nothing"/>
      <w:lvlText w:val="（%1）"/>
      <w:lvlJc w:val="left"/>
    </w:lvl>
  </w:abstractNum>
  <w:abstractNum w:abstractNumId="11">
    <w:nsid w:val="F8D856F5"/>
    <w:multiLevelType w:val="singleLevel"/>
    <w:tmpl w:val="F8D856F5"/>
    <w:lvl w:ilvl="0" w:tentative="0">
      <w:start w:val="1"/>
      <w:numFmt w:val="decimal"/>
      <w:suff w:val="nothing"/>
      <w:lvlText w:val="（%1）"/>
      <w:lvlJc w:val="left"/>
    </w:lvl>
  </w:abstractNum>
  <w:abstractNum w:abstractNumId="12">
    <w:nsid w:val="021DA405"/>
    <w:multiLevelType w:val="singleLevel"/>
    <w:tmpl w:val="021DA405"/>
    <w:lvl w:ilvl="0" w:tentative="0">
      <w:start w:val="1"/>
      <w:numFmt w:val="decimal"/>
      <w:suff w:val="nothing"/>
      <w:lvlText w:val="（%1）"/>
      <w:lvlJc w:val="left"/>
    </w:lvl>
  </w:abstractNum>
  <w:abstractNum w:abstractNumId="13">
    <w:nsid w:val="03DE04E6"/>
    <w:multiLevelType w:val="singleLevel"/>
    <w:tmpl w:val="03DE04E6"/>
    <w:lvl w:ilvl="0" w:tentative="0">
      <w:start w:val="1"/>
      <w:numFmt w:val="decimal"/>
      <w:suff w:val="nothing"/>
      <w:lvlText w:val="（%1）"/>
      <w:lvlJc w:val="left"/>
    </w:lvl>
  </w:abstractNum>
  <w:abstractNum w:abstractNumId="14">
    <w:nsid w:val="0B49C83B"/>
    <w:multiLevelType w:val="singleLevel"/>
    <w:tmpl w:val="0B49C83B"/>
    <w:lvl w:ilvl="0" w:tentative="0">
      <w:start w:val="1"/>
      <w:numFmt w:val="decimal"/>
      <w:suff w:val="nothing"/>
      <w:lvlText w:val="（%1）"/>
      <w:lvlJc w:val="left"/>
    </w:lvl>
  </w:abstractNum>
  <w:abstractNum w:abstractNumId="15">
    <w:nsid w:val="18291386"/>
    <w:multiLevelType w:val="multilevel"/>
    <w:tmpl w:val="18291386"/>
    <w:lvl w:ilvl="0" w:tentative="0">
      <w:start w:val="1"/>
      <w:numFmt w:val="decimal"/>
      <w:pStyle w:val="21"/>
      <w:lvlText w:val="(%1)"/>
      <w:lvlJc w:val="left"/>
      <w:pPr>
        <w:ind w:left="1000" w:hanging="440"/>
      </w:pPr>
      <w:rPr>
        <w:rFonts w:hint="default" w:ascii="宋体" w:hAnsi="宋体" w:eastAsia="宋体"/>
        <w:color w:val="auto"/>
        <w:sz w:val="28"/>
        <w:szCs w:val="28"/>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6">
    <w:nsid w:val="288E8747"/>
    <w:multiLevelType w:val="singleLevel"/>
    <w:tmpl w:val="288E8747"/>
    <w:lvl w:ilvl="0" w:tentative="0">
      <w:start w:val="1"/>
      <w:numFmt w:val="decimal"/>
      <w:suff w:val="nothing"/>
      <w:lvlText w:val="（%1）"/>
      <w:lvlJc w:val="left"/>
    </w:lvl>
  </w:abstractNum>
  <w:abstractNum w:abstractNumId="17">
    <w:nsid w:val="2A82E938"/>
    <w:multiLevelType w:val="singleLevel"/>
    <w:tmpl w:val="2A82E938"/>
    <w:lvl w:ilvl="0" w:tentative="0">
      <w:start w:val="1"/>
      <w:numFmt w:val="decimal"/>
      <w:suff w:val="nothing"/>
      <w:lvlText w:val="%1、"/>
      <w:lvlJc w:val="left"/>
    </w:lvl>
  </w:abstractNum>
  <w:abstractNum w:abstractNumId="18">
    <w:nsid w:val="2CE7D7A3"/>
    <w:multiLevelType w:val="singleLevel"/>
    <w:tmpl w:val="2CE7D7A3"/>
    <w:lvl w:ilvl="0" w:tentative="0">
      <w:start w:val="1"/>
      <w:numFmt w:val="decimal"/>
      <w:lvlText w:val="(%1)"/>
      <w:lvlJc w:val="left"/>
      <w:pPr>
        <w:ind w:left="425" w:hanging="425"/>
      </w:pPr>
      <w:rPr>
        <w:rFonts w:hint="default" w:ascii="宋体" w:hAnsi="宋体" w:eastAsia="宋体" w:cs="宋体"/>
      </w:rPr>
    </w:lvl>
  </w:abstractNum>
  <w:abstractNum w:abstractNumId="19">
    <w:nsid w:val="303A5B12"/>
    <w:multiLevelType w:val="singleLevel"/>
    <w:tmpl w:val="303A5B12"/>
    <w:lvl w:ilvl="0" w:tentative="0">
      <w:start w:val="6"/>
      <w:numFmt w:val="decimal"/>
      <w:suff w:val="nothing"/>
      <w:lvlText w:val="（%1）"/>
      <w:lvlJc w:val="left"/>
    </w:lvl>
  </w:abstractNum>
  <w:abstractNum w:abstractNumId="20">
    <w:nsid w:val="3CF3A7E5"/>
    <w:multiLevelType w:val="singleLevel"/>
    <w:tmpl w:val="3CF3A7E5"/>
    <w:lvl w:ilvl="0" w:tentative="0">
      <w:start w:val="1"/>
      <w:numFmt w:val="decimal"/>
      <w:suff w:val="nothing"/>
      <w:lvlText w:val="（%1）"/>
      <w:lvlJc w:val="left"/>
    </w:lvl>
  </w:abstractNum>
  <w:abstractNum w:abstractNumId="21">
    <w:nsid w:val="3EEC36F7"/>
    <w:multiLevelType w:val="multilevel"/>
    <w:tmpl w:val="3EEC36F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3F674F50"/>
    <w:multiLevelType w:val="singleLevel"/>
    <w:tmpl w:val="3F674F50"/>
    <w:lvl w:ilvl="0" w:tentative="0">
      <w:start w:val="1"/>
      <w:numFmt w:val="decimal"/>
      <w:suff w:val="nothing"/>
      <w:lvlText w:val="（%1）"/>
      <w:lvlJc w:val="left"/>
    </w:lvl>
  </w:abstractNum>
  <w:abstractNum w:abstractNumId="23">
    <w:nsid w:val="408E1F00"/>
    <w:multiLevelType w:val="singleLevel"/>
    <w:tmpl w:val="408E1F00"/>
    <w:lvl w:ilvl="0" w:tentative="0">
      <w:start w:val="1"/>
      <w:numFmt w:val="decimal"/>
      <w:suff w:val="nothing"/>
      <w:lvlText w:val="（%1）"/>
      <w:lvlJc w:val="left"/>
    </w:lvl>
  </w:abstractNum>
  <w:abstractNum w:abstractNumId="24">
    <w:nsid w:val="451DC936"/>
    <w:multiLevelType w:val="singleLevel"/>
    <w:tmpl w:val="451DC936"/>
    <w:lvl w:ilvl="0" w:tentative="0">
      <w:start w:val="1"/>
      <w:numFmt w:val="decimal"/>
      <w:suff w:val="nothing"/>
      <w:lvlText w:val="（%1）"/>
      <w:lvlJc w:val="left"/>
    </w:lvl>
  </w:abstractNum>
  <w:abstractNum w:abstractNumId="25">
    <w:nsid w:val="517DC0AE"/>
    <w:multiLevelType w:val="singleLevel"/>
    <w:tmpl w:val="517DC0AE"/>
    <w:lvl w:ilvl="0" w:tentative="0">
      <w:start w:val="1"/>
      <w:numFmt w:val="decimal"/>
      <w:suff w:val="nothing"/>
      <w:lvlText w:val="（%1）"/>
      <w:lvlJc w:val="left"/>
    </w:lvl>
  </w:abstractNum>
  <w:abstractNum w:abstractNumId="26">
    <w:nsid w:val="53A3F232"/>
    <w:multiLevelType w:val="singleLevel"/>
    <w:tmpl w:val="53A3F232"/>
    <w:lvl w:ilvl="0" w:tentative="0">
      <w:start w:val="1"/>
      <w:numFmt w:val="decimal"/>
      <w:suff w:val="nothing"/>
      <w:lvlText w:val="%1、"/>
      <w:lvlJc w:val="left"/>
    </w:lvl>
  </w:abstractNum>
  <w:abstractNum w:abstractNumId="27">
    <w:nsid w:val="53EAC145"/>
    <w:multiLevelType w:val="singleLevel"/>
    <w:tmpl w:val="53EAC145"/>
    <w:lvl w:ilvl="0" w:tentative="0">
      <w:start w:val="4"/>
      <w:numFmt w:val="decimal"/>
      <w:suff w:val="nothing"/>
      <w:lvlText w:val="（%1）"/>
      <w:lvlJc w:val="left"/>
    </w:lvl>
  </w:abstractNum>
  <w:abstractNum w:abstractNumId="28">
    <w:nsid w:val="565E6F67"/>
    <w:multiLevelType w:val="singleLevel"/>
    <w:tmpl w:val="565E6F67"/>
    <w:lvl w:ilvl="0" w:tentative="0">
      <w:start w:val="1"/>
      <w:numFmt w:val="decimal"/>
      <w:suff w:val="nothing"/>
      <w:lvlText w:val="（%1）"/>
      <w:lvlJc w:val="left"/>
    </w:lvl>
  </w:abstractNum>
  <w:abstractNum w:abstractNumId="29">
    <w:nsid w:val="5E2956E6"/>
    <w:multiLevelType w:val="singleLevel"/>
    <w:tmpl w:val="5E2956E6"/>
    <w:lvl w:ilvl="0" w:tentative="0">
      <w:start w:val="1"/>
      <w:numFmt w:val="decimal"/>
      <w:suff w:val="nothing"/>
      <w:lvlText w:val="（%1）"/>
      <w:lvlJc w:val="left"/>
    </w:lvl>
  </w:abstractNum>
  <w:abstractNum w:abstractNumId="30">
    <w:nsid w:val="60B98FF6"/>
    <w:multiLevelType w:val="multilevel"/>
    <w:tmpl w:val="60B98FF6"/>
    <w:lvl w:ilvl="0" w:tentative="0">
      <w:start w:val="1"/>
      <w:numFmt w:val="decimal"/>
      <w:suff w:val="nothing"/>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1">
    <w:nsid w:val="6C850363"/>
    <w:multiLevelType w:val="multilevel"/>
    <w:tmpl w:val="6C85036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2">
    <w:nsid w:val="6ED26B1E"/>
    <w:multiLevelType w:val="singleLevel"/>
    <w:tmpl w:val="6ED26B1E"/>
    <w:lvl w:ilvl="0" w:tentative="0">
      <w:start w:val="1"/>
      <w:numFmt w:val="decimal"/>
      <w:suff w:val="nothing"/>
      <w:lvlText w:val="（%1）"/>
      <w:lvlJc w:val="left"/>
    </w:lvl>
  </w:abstractNum>
  <w:abstractNum w:abstractNumId="33">
    <w:nsid w:val="7839A165"/>
    <w:multiLevelType w:val="singleLevel"/>
    <w:tmpl w:val="7839A165"/>
    <w:lvl w:ilvl="0" w:tentative="0">
      <w:start w:val="1"/>
      <w:numFmt w:val="decimal"/>
      <w:suff w:val="nothing"/>
      <w:lvlText w:val="%1、"/>
      <w:lvlJc w:val="left"/>
    </w:lvl>
  </w:abstractNum>
  <w:num w:numId="1">
    <w:abstractNumId w:val="15"/>
  </w:num>
  <w:num w:numId="2">
    <w:abstractNumId w:val="19"/>
  </w:num>
  <w:num w:numId="3">
    <w:abstractNumId w:val="27"/>
  </w:num>
  <w:num w:numId="4">
    <w:abstractNumId w:val="7"/>
  </w:num>
  <w:num w:numId="5">
    <w:abstractNumId w:val="21"/>
  </w:num>
  <w:num w:numId="6">
    <w:abstractNumId w:val="18"/>
  </w:num>
  <w:num w:numId="7">
    <w:abstractNumId w:val="30"/>
  </w:num>
  <w:num w:numId="8">
    <w:abstractNumId w:val="4"/>
  </w:num>
  <w:num w:numId="9">
    <w:abstractNumId w:val="26"/>
  </w:num>
  <w:num w:numId="10">
    <w:abstractNumId w:val="17"/>
  </w:num>
  <w:num w:numId="11">
    <w:abstractNumId w:val="33"/>
  </w:num>
  <w:num w:numId="12">
    <w:abstractNumId w:val="3"/>
  </w:num>
  <w:num w:numId="13">
    <w:abstractNumId w:val="8"/>
  </w:num>
  <w:num w:numId="14">
    <w:abstractNumId w:val="20"/>
  </w:num>
  <w:num w:numId="15">
    <w:abstractNumId w:val="29"/>
  </w:num>
  <w:num w:numId="16">
    <w:abstractNumId w:val="14"/>
  </w:num>
  <w:num w:numId="17">
    <w:abstractNumId w:val="11"/>
  </w:num>
  <w:num w:numId="18">
    <w:abstractNumId w:val="24"/>
  </w:num>
  <w:num w:numId="19">
    <w:abstractNumId w:val="28"/>
  </w:num>
  <w:num w:numId="20">
    <w:abstractNumId w:val="12"/>
  </w:num>
  <w:num w:numId="21">
    <w:abstractNumId w:val="23"/>
  </w:num>
  <w:num w:numId="22">
    <w:abstractNumId w:val="22"/>
  </w:num>
  <w:num w:numId="23">
    <w:abstractNumId w:val="13"/>
  </w:num>
  <w:num w:numId="24">
    <w:abstractNumId w:val="5"/>
  </w:num>
  <w:num w:numId="25">
    <w:abstractNumId w:val="10"/>
  </w:num>
  <w:num w:numId="26">
    <w:abstractNumId w:val="32"/>
  </w:num>
  <w:num w:numId="27">
    <w:abstractNumId w:val="25"/>
  </w:num>
  <w:num w:numId="28">
    <w:abstractNumId w:val="6"/>
  </w:num>
  <w:num w:numId="29">
    <w:abstractNumId w:val="16"/>
  </w:num>
  <w:num w:numId="30">
    <w:abstractNumId w:val="1"/>
  </w:num>
  <w:num w:numId="31">
    <w:abstractNumId w:val="2"/>
  </w:num>
  <w:num w:numId="32">
    <w:abstractNumId w:val="9"/>
  </w:num>
  <w:num w:numId="33">
    <w:abstractNumId w:val="31"/>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1ZjZjZjUxY2I0MGFlNzkwYTRmOGE2YjZlY2UwNzMifQ=="/>
  </w:docVars>
  <w:rsids>
    <w:rsidRoot w:val="2E1B4B38"/>
    <w:rsid w:val="00173C90"/>
    <w:rsid w:val="0058253A"/>
    <w:rsid w:val="00950C33"/>
    <w:rsid w:val="00A95A9A"/>
    <w:rsid w:val="01360345"/>
    <w:rsid w:val="01825B45"/>
    <w:rsid w:val="01971CCC"/>
    <w:rsid w:val="01B0404B"/>
    <w:rsid w:val="01DC3F33"/>
    <w:rsid w:val="02BF6F00"/>
    <w:rsid w:val="02C960CD"/>
    <w:rsid w:val="02DA1F3A"/>
    <w:rsid w:val="02EF513A"/>
    <w:rsid w:val="03327554"/>
    <w:rsid w:val="039C4C1C"/>
    <w:rsid w:val="03A9642F"/>
    <w:rsid w:val="04027BD2"/>
    <w:rsid w:val="04260AA2"/>
    <w:rsid w:val="042B5143"/>
    <w:rsid w:val="0434142E"/>
    <w:rsid w:val="04513BA5"/>
    <w:rsid w:val="04770389"/>
    <w:rsid w:val="04CE5ACF"/>
    <w:rsid w:val="04E377CC"/>
    <w:rsid w:val="04E90EDE"/>
    <w:rsid w:val="04EB39F0"/>
    <w:rsid w:val="04F75026"/>
    <w:rsid w:val="053F1976"/>
    <w:rsid w:val="056326BB"/>
    <w:rsid w:val="056A6957"/>
    <w:rsid w:val="058E5C40"/>
    <w:rsid w:val="05BB0E6A"/>
    <w:rsid w:val="05F9584B"/>
    <w:rsid w:val="06163BD1"/>
    <w:rsid w:val="06E053AA"/>
    <w:rsid w:val="06E15F8D"/>
    <w:rsid w:val="06EB6E0C"/>
    <w:rsid w:val="07695D3D"/>
    <w:rsid w:val="079C309F"/>
    <w:rsid w:val="07F34523"/>
    <w:rsid w:val="07F92E63"/>
    <w:rsid w:val="08122176"/>
    <w:rsid w:val="08566303"/>
    <w:rsid w:val="08F85810"/>
    <w:rsid w:val="093A7BD7"/>
    <w:rsid w:val="0957673C"/>
    <w:rsid w:val="097924AD"/>
    <w:rsid w:val="097C1F9D"/>
    <w:rsid w:val="09A93BB8"/>
    <w:rsid w:val="0A015C8E"/>
    <w:rsid w:val="0A8C2FBF"/>
    <w:rsid w:val="0ACB4F8A"/>
    <w:rsid w:val="0AD100C7"/>
    <w:rsid w:val="0ADB76CC"/>
    <w:rsid w:val="0AE24082"/>
    <w:rsid w:val="0AF1050E"/>
    <w:rsid w:val="0B1A281D"/>
    <w:rsid w:val="0B352404"/>
    <w:rsid w:val="0B582739"/>
    <w:rsid w:val="0B66198C"/>
    <w:rsid w:val="0B9158B5"/>
    <w:rsid w:val="0B974E6D"/>
    <w:rsid w:val="0BA06774"/>
    <w:rsid w:val="0BA13F3D"/>
    <w:rsid w:val="0BE678A2"/>
    <w:rsid w:val="0C0D3381"/>
    <w:rsid w:val="0C1810B1"/>
    <w:rsid w:val="0C447B92"/>
    <w:rsid w:val="0C711B61"/>
    <w:rsid w:val="0C776A4C"/>
    <w:rsid w:val="0D093BAF"/>
    <w:rsid w:val="0D212044"/>
    <w:rsid w:val="0D433517"/>
    <w:rsid w:val="0D7A2C98"/>
    <w:rsid w:val="0DE12B69"/>
    <w:rsid w:val="0E320E7D"/>
    <w:rsid w:val="0EF13EB7"/>
    <w:rsid w:val="0FE711B5"/>
    <w:rsid w:val="100920B1"/>
    <w:rsid w:val="10263ACB"/>
    <w:rsid w:val="104B091B"/>
    <w:rsid w:val="10C93EEC"/>
    <w:rsid w:val="10FB7C4C"/>
    <w:rsid w:val="110C6396"/>
    <w:rsid w:val="110E0629"/>
    <w:rsid w:val="11431C5D"/>
    <w:rsid w:val="11A71B81"/>
    <w:rsid w:val="11CA6C66"/>
    <w:rsid w:val="12127DBC"/>
    <w:rsid w:val="12815FE3"/>
    <w:rsid w:val="13056812"/>
    <w:rsid w:val="134747F7"/>
    <w:rsid w:val="13CA5996"/>
    <w:rsid w:val="13DD188A"/>
    <w:rsid w:val="141319BD"/>
    <w:rsid w:val="151A266A"/>
    <w:rsid w:val="1553011A"/>
    <w:rsid w:val="15632263"/>
    <w:rsid w:val="158703BA"/>
    <w:rsid w:val="15916675"/>
    <w:rsid w:val="159A389B"/>
    <w:rsid w:val="15A70CC8"/>
    <w:rsid w:val="15BF56EC"/>
    <w:rsid w:val="15E038B4"/>
    <w:rsid w:val="15FD4466"/>
    <w:rsid w:val="16B71056"/>
    <w:rsid w:val="17017F86"/>
    <w:rsid w:val="176B74E9"/>
    <w:rsid w:val="1789006A"/>
    <w:rsid w:val="17B0591C"/>
    <w:rsid w:val="17B84AE8"/>
    <w:rsid w:val="181A12FF"/>
    <w:rsid w:val="18330C03"/>
    <w:rsid w:val="18532050"/>
    <w:rsid w:val="185E63CF"/>
    <w:rsid w:val="18830D1E"/>
    <w:rsid w:val="188D5F04"/>
    <w:rsid w:val="189510F7"/>
    <w:rsid w:val="18C87828"/>
    <w:rsid w:val="18E92A80"/>
    <w:rsid w:val="18F94D15"/>
    <w:rsid w:val="191C3577"/>
    <w:rsid w:val="192201CA"/>
    <w:rsid w:val="1983491E"/>
    <w:rsid w:val="199E260D"/>
    <w:rsid w:val="19A5109C"/>
    <w:rsid w:val="19F85670"/>
    <w:rsid w:val="1A5517FB"/>
    <w:rsid w:val="1AB5530F"/>
    <w:rsid w:val="1B2D30F7"/>
    <w:rsid w:val="1BBD41C9"/>
    <w:rsid w:val="1BCB485C"/>
    <w:rsid w:val="1C273FEB"/>
    <w:rsid w:val="1C676ADD"/>
    <w:rsid w:val="1C6D2803"/>
    <w:rsid w:val="1C9C2643"/>
    <w:rsid w:val="1C9D31E1"/>
    <w:rsid w:val="1D564801"/>
    <w:rsid w:val="1D577807"/>
    <w:rsid w:val="1D8F4298"/>
    <w:rsid w:val="1DB16262"/>
    <w:rsid w:val="1E285DF8"/>
    <w:rsid w:val="1E32259E"/>
    <w:rsid w:val="1EEE6017"/>
    <w:rsid w:val="1FA350BC"/>
    <w:rsid w:val="1FA62962"/>
    <w:rsid w:val="1FB83575"/>
    <w:rsid w:val="202D39A2"/>
    <w:rsid w:val="20303903"/>
    <w:rsid w:val="203B29C0"/>
    <w:rsid w:val="20BA6845"/>
    <w:rsid w:val="20C56C84"/>
    <w:rsid w:val="20D444E5"/>
    <w:rsid w:val="20FA1D7A"/>
    <w:rsid w:val="217B307E"/>
    <w:rsid w:val="21DA38AD"/>
    <w:rsid w:val="22006C46"/>
    <w:rsid w:val="222D60D3"/>
    <w:rsid w:val="22C52C87"/>
    <w:rsid w:val="22EF1C60"/>
    <w:rsid w:val="233918BD"/>
    <w:rsid w:val="238D7510"/>
    <w:rsid w:val="23FE1B85"/>
    <w:rsid w:val="24397141"/>
    <w:rsid w:val="243A0633"/>
    <w:rsid w:val="24724271"/>
    <w:rsid w:val="249E0BC2"/>
    <w:rsid w:val="24A61AD5"/>
    <w:rsid w:val="24A82452"/>
    <w:rsid w:val="24E16D01"/>
    <w:rsid w:val="24F2482F"/>
    <w:rsid w:val="25167FBD"/>
    <w:rsid w:val="25333942"/>
    <w:rsid w:val="25537BFE"/>
    <w:rsid w:val="25556F73"/>
    <w:rsid w:val="256C14EE"/>
    <w:rsid w:val="259C54CD"/>
    <w:rsid w:val="25D97D0F"/>
    <w:rsid w:val="25DF617D"/>
    <w:rsid w:val="260A3821"/>
    <w:rsid w:val="260E1AC4"/>
    <w:rsid w:val="267C4F33"/>
    <w:rsid w:val="26B65C33"/>
    <w:rsid w:val="27067BCD"/>
    <w:rsid w:val="27561C28"/>
    <w:rsid w:val="275711AA"/>
    <w:rsid w:val="276A2F80"/>
    <w:rsid w:val="27766978"/>
    <w:rsid w:val="27960276"/>
    <w:rsid w:val="27C75E6D"/>
    <w:rsid w:val="27E502D5"/>
    <w:rsid w:val="27E62FAC"/>
    <w:rsid w:val="284A58CD"/>
    <w:rsid w:val="284B1061"/>
    <w:rsid w:val="28907339"/>
    <w:rsid w:val="28912A57"/>
    <w:rsid w:val="28B94130"/>
    <w:rsid w:val="28D234CC"/>
    <w:rsid w:val="28FC7E58"/>
    <w:rsid w:val="2A0B6CFA"/>
    <w:rsid w:val="2A1D6127"/>
    <w:rsid w:val="2A9752F1"/>
    <w:rsid w:val="2AB64C6D"/>
    <w:rsid w:val="2AEC5B81"/>
    <w:rsid w:val="2AF375EC"/>
    <w:rsid w:val="2B733244"/>
    <w:rsid w:val="2BE91E7B"/>
    <w:rsid w:val="2CA355EA"/>
    <w:rsid w:val="2CA62D0A"/>
    <w:rsid w:val="2CA927FA"/>
    <w:rsid w:val="2D496A35"/>
    <w:rsid w:val="2D6971FE"/>
    <w:rsid w:val="2DAA4A7C"/>
    <w:rsid w:val="2DAB7757"/>
    <w:rsid w:val="2DD104EF"/>
    <w:rsid w:val="2E0C5D86"/>
    <w:rsid w:val="2E1B4B38"/>
    <w:rsid w:val="2E35264B"/>
    <w:rsid w:val="2EE772F7"/>
    <w:rsid w:val="2EE94938"/>
    <w:rsid w:val="2F353943"/>
    <w:rsid w:val="2F430CE4"/>
    <w:rsid w:val="2F4A02C4"/>
    <w:rsid w:val="2F6D7D7A"/>
    <w:rsid w:val="304A5035"/>
    <w:rsid w:val="30D03A7C"/>
    <w:rsid w:val="31102E48"/>
    <w:rsid w:val="31416F71"/>
    <w:rsid w:val="314F1BC2"/>
    <w:rsid w:val="31741628"/>
    <w:rsid w:val="32606E16"/>
    <w:rsid w:val="32981347"/>
    <w:rsid w:val="32EA6B11"/>
    <w:rsid w:val="33873486"/>
    <w:rsid w:val="33A5774B"/>
    <w:rsid w:val="34886716"/>
    <w:rsid w:val="34E64F92"/>
    <w:rsid w:val="35057111"/>
    <w:rsid w:val="35804ACD"/>
    <w:rsid w:val="35A746CB"/>
    <w:rsid w:val="36687EA9"/>
    <w:rsid w:val="374C6A52"/>
    <w:rsid w:val="375031B1"/>
    <w:rsid w:val="375B39ED"/>
    <w:rsid w:val="376155F0"/>
    <w:rsid w:val="37981819"/>
    <w:rsid w:val="37A03524"/>
    <w:rsid w:val="38C8225A"/>
    <w:rsid w:val="38DE4F53"/>
    <w:rsid w:val="392747CC"/>
    <w:rsid w:val="39D114E5"/>
    <w:rsid w:val="3A5C5A06"/>
    <w:rsid w:val="3A8B03FD"/>
    <w:rsid w:val="3ABA37D6"/>
    <w:rsid w:val="3B091033"/>
    <w:rsid w:val="3B135AA1"/>
    <w:rsid w:val="3B331C0C"/>
    <w:rsid w:val="3BA13269"/>
    <w:rsid w:val="3BCB7603"/>
    <w:rsid w:val="3BD704EA"/>
    <w:rsid w:val="3BE41CF3"/>
    <w:rsid w:val="3C28373B"/>
    <w:rsid w:val="3C752336"/>
    <w:rsid w:val="3D003919"/>
    <w:rsid w:val="3D530A18"/>
    <w:rsid w:val="3D6F7148"/>
    <w:rsid w:val="3E147B57"/>
    <w:rsid w:val="3E835B97"/>
    <w:rsid w:val="3EEE6F53"/>
    <w:rsid w:val="3EF21DDE"/>
    <w:rsid w:val="3FFA719D"/>
    <w:rsid w:val="403A57EB"/>
    <w:rsid w:val="4048235C"/>
    <w:rsid w:val="40513FE3"/>
    <w:rsid w:val="4081297D"/>
    <w:rsid w:val="40CD6240"/>
    <w:rsid w:val="40DD79B5"/>
    <w:rsid w:val="41285F8B"/>
    <w:rsid w:val="41B8730F"/>
    <w:rsid w:val="41CF6407"/>
    <w:rsid w:val="42105272"/>
    <w:rsid w:val="427C1979"/>
    <w:rsid w:val="43416302"/>
    <w:rsid w:val="436573AD"/>
    <w:rsid w:val="439416B6"/>
    <w:rsid w:val="442C7B41"/>
    <w:rsid w:val="444046B4"/>
    <w:rsid w:val="44686700"/>
    <w:rsid w:val="451114E0"/>
    <w:rsid w:val="453945F8"/>
    <w:rsid w:val="45436DA3"/>
    <w:rsid w:val="459E48A5"/>
    <w:rsid w:val="45BF7239"/>
    <w:rsid w:val="45E22BAD"/>
    <w:rsid w:val="460348D1"/>
    <w:rsid w:val="4672145A"/>
    <w:rsid w:val="4688208B"/>
    <w:rsid w:val="46BF2EEE"/>
    <w:rsid w:val="47022DDB"/>
    <w:rsid w:val="478258AB"/>
    <w:rsid w:val="47E80223"/>
    <w:rsid w:val="47F608CC"/>
    <w:rsid w:val="48203094"/>
    <w:rsid w:val="48726585"/>
    <w:rsid w:val="494B74BB"/>
    <w:rsid w:val="49535B70"/>
    <w:rsid w:val="496658A3"/>
    <w:rsid w:val="4A83051B"/>
    <w:rsid w:val="4AB70B24"/>
    <w:rsid w:val="4AD47800"/>
    <w:rsid w:val="4B247D70"/>
    <w:rsid w:val="4B814E49"/>
    <w:rsid w:val="4B955C21"/>
    <w:rsid w:val="4BC863A1"/>
    <w:rsid w:val="4BDC3915"/>
    <w:rsid w:val="4C165EE2"/>
    <w:rsid w:val="4C2F4672"/>
    <w:rsid w:val="4C4D7C67"/>
    <w:rsid w:val="4D114108"/>
    <w:rsid w:val="4D3B4177"/>
    <w:rsid w:val="4D677E3B"/>
    <w:rsid w:val="4D9B6E60"/>
    <w:rsid w:val="4E104E28"/>
    <w:rsid w:val="4E600B13"/>
    <w:rsid w:val="4E7869F6"/>
    <w:rsid w:val="4F337FD5"/>
    <w:rsid w:val="4F6678D4"/>
    <w:rsid w:val="4F731D86"/>
    <w:rsid w:val="4F9D7B44"/>
    <w:rsid w:val="4FC16DCA"/>
    <w:rsid w:val="5018108D"/>
    <w:rsid w:val="50520CB9"/>
    <w:rsid w:val="5055041F"/>
    <w:rsid w:val="50811214"/>
    <w:rsid w:val="50F7714A"/>
    <w:rsid w:val="5109619C"/>
    <w:rsid w:val="512C43DD"/>
    <w:rsid w:val="513D513B"/>
    <w:rsid w:val="514A6566"/>
    <w:rsid w:val="5226503B"/>
    <w:rsid w:val="522B7CF0"/>
    <w:rsid w:val="52541F68"/>
    <w:rsid w:val="52B97B8E"/>
    <w:rsid w:val="52C8312A"/>
    <w:rsid w:val="52E67B1E"/>
    <w:rsid w:val="531A13EB"/>
    <w:rsid w:val="53423A51"/>
    <w:rsid w:val="534A79EB"/>
    <w:rsid w:val="53724DB6"/>
    <w:rsid w:val="545D7245"/>
    <w:rsid w:val="54CB0CB0"/>
    <w:rsid w:val="54D55DAD"/>
    <w:rsid w:val="54EA7388"/>
    <w:rsid w:val="550813D5"/>
    <w:rsid w:val="55DC3BD8"/>
    <w:rsid w:val="55EE05FC"/>
    <w:rsid w:val="563C685C"/>
    <w:rsid w:val="568D2242"/>
    <w:rsid w:val="5699792A"/>
    <w:rsid w:val="56EF4E37"/>
    <w:rsid w:val="570C4BB7"/>
    <w:rsid w:val="57527A9D"/>
    <w:rsid w:val="57832FAF"/>
    <w:rsid w:val="57F17AB9"/>
    <w:rsid w:val="57F64296"/>
    <w:rsid w:val="582901C7"/>
    <w:rsid w:val="586438F5"/>
    <w:rsid w:val="591C5E7C"/>
    <w:rsid w:val="59BE3A27"/>
    <w:rsid w:val="59C41AF9"/>
    <w:rsid w:val="5A252118"/>
    <w:rsid w:val="5A47527D"/>
    <w:rsid w:val="5A4F2AC3"/>
    <w:rsid w:val="5B384102"/>
    <w:rsid w:val="5B515638"/>
    <w:rsid w:val="5BD24641"/>
    <w:rsid w:val="5C3F2D6B"/>
    <w:rsid w:val="5E0756C5"/>
    <w:rsid w:val="5E1B6804"/>
    <w:rsid w:val="5E945144"/>
    <w:rsid w:val="5EA70098"/>
    <w:rsid w:val="5EA96B93"/>
    <w:rsid w:val="5ED5446C"/>
    <w:rsid w:val="5EF71274"/>
    <w:rsid w:val="5F4973A1"/>
    <w:rsid w:val="5F8852BC"/>
    <w:rsid w:val="5FBB029F"/>
    <w:rsid w:val="5FBB1EAF"/>
    <w:rsid w:val="5FE8775E"/>
    <w:rsid w:val="5FEE53C1"/>
    <w:rsid w:val="60D1769E"/>
    <w:rsid w:val="60F33A68"/>
    <w:rsid w:val="61077514"/>
    <w:rsid w:val="61222F99"/>
    <w:rsid w:val="61450C58"/>
    <w:rsid w:val="614E0C9F"/>
    <w:rsid w:val="616401E3"/>
    <w:rsid w:val="616975DA"/>
    <w:rsid w:val="61BC4EEB"/>
    <w:rsid w:val="61ED02FD"/>
    <w:rsid w:val="6209262B"/>
    <w:rsid w:val="62C10318"/>
    <w:rsid w:val="62CB59BF"/>
    <w:rsid w:val="62F13FD7"/>
    <w:rsid w:val="63043D0B"/>
    <w:rsid w:val="633B64B1"/>
    <w:rsid w:val="638B6CE0"/>
    <w:rsid w:val="63C4349A"/>
    <w:rsid w:val="63D40DB7"/>
    <w:rsid w:val="63D569F8"/>
    <w:rsid w:val="64155AA4"/>
    <w:rsid w:val="643A7BE0"/>
    <w:rsid w:val="646513B7"/>
    <w:rsid w:val="64917820"/>
    <w:rsid w:val="65A23197"/>
    <w:rsid w:val="65A74E21"/>
    <w:rsid w:val="665E1984"/>
    <w:rsid w:val="666B40BF"/>
    <w:rsid w:val="67552C4B"/>
    <w:rsid w:val="675E2D22"/>
    <w:rsid w:val="67674FB0"/>
    <w:rsid w:val="678F3DBF"/>
    <w:rsid w:val="68A14661"/>
    <w:rsid w:val="68D35D0B"/>
    <w:rsid w:val="69127871"/>
    <w:rsid w:val="6922313D"/>
    <w:rsid w:val="6A510385"/>
    <w:rsid w:val="6A994DE3"/>
    <w:rsid w:val="6AAF6C52"/>
    <w:rsid w:val="6AF757D9"/>
    <w:rsid w:val="6B032AFA"/>
    <w:rsid w:val="6B535169"/>
    <w:rsid w:val="6B5415A7"/>
    <w:rsid w:val="6B9D2F4E"/>
    <w:rsid w:val="6BC93D43"/>
    <w:rsid w:val="6C020CB1"/>
    <w:rsid w:val="6C8065B2"/>
    <w:rsid w:val="6CA976D1"/>
    <w:rsid w:val="6D907A20"/>
    <w:rsid w:val="6DBF323E"/>
    <w:rsid w:val="6DCA5B51"/>
    <w:rsid w:val="6DCF13B9"/>
    <w:rsid w:val="6DFF4F9D"/>
    <w:rsid w:val="6E1E2DBD"/>
    <w:rsid w:val="6E307083"/>
    <w:rsid w:val="6E453429"/>
    <w:rsid w:val="6E7B1FE3"/>
    <w:rsid w:val="6F21253B"/>
    <w:rsid w:val="6F2E0FD5"/>
    <w:rsid w:val="700530E1"/>
    <w:rsid w:val="702A3DFF"/>
    <w:rsid w:val="704905C7"/>
    <w:rsid w:val="70A068F9"/>
    <w:rsid w:val="726A0057"/>
    <w:rsid w:val="728256FA"/>
    <w:rsid w:val="72974471"/>
    <w:rsid w:val="729F5179"/>
    <w:rsid w:val="72A66907"/>
    <w:rsid w:val="72F4409B"/>
    <w:rsid w:val="731139C3"/>
    <w:rsid w:val="73203EF1"/>
    <w:rsid w:val="7379604F"/>
    <w:rsid w:val="73C70E68"/>
    <w:rsid w:val="73EB1201"/>
    <w:rsid w:val="741E09A4"/>
    <w:rsid w:val="742E02BF"/>
    <w:rsid w:val="745B0739"/>
    <w:rsid w:val="747B6434"/>
    <w:rsid w:val="748403CB"/>
    <w:rsid w:val="74BB059E"/>
    <w:rsid w:val="7552110D"/>
    <w:rsid w:val="75585787"/>
    <w:rsid w:val="75715EFC"/>
    <w:rsid w:val="757A3DC5"/>
    <w:rsid w:val="75845A4F"/>
    <w:rsid w:val="75F47E48"/>
    <w:rsid w:val="75F628F1"/>
    <w:rsid w:val="765F35B7"/>
    <w:rsid w:val="766C7695"/>
    <w:rsid w:val="76A6460C"/>
    <w:rsid w:val="76AF4308"/>
    <w:rsid w:val="7709593C"/>
    <w:rsid w:val="77286765"/>
    <w:rsid w:val="77B70DC1"/>
    <w:rsid w:val="77F2017E"/>
    <w:rsid w:val="780D0266"/>
    <w:rsid w:val="781C6174"/>
    <w:rsid w:val="78206744"/>
    <w:rsid w:val="78650950"/>
    <w:rsid w:val="78663CA7"/>
    <w:rsid w:val="792D6B2B"/>
    <w:rsid w:val="797352EE"/>
    <w:rsid w:val="797730FC"/>
    <w:rsid w:val="798219D5"/>
    <w:rsid w:val="7A28483B"/>
    <w:rsid w:val="7A3C5159"/>
    <w:rsid w:val="7A4506B8"/>
    <w:rsid w:val="7A656EA7"/>
    <w:rsid w:val="7A707A80"/>
    <w:rsid w:val="7AC342DE"/>
    <w:rsid w:val="7AEC1EC3"/>
    <w:rsid w:val="7B08546C"/>
    <w:rsid w:val="7B241440"/>
    <w:rsid w:val="7B6C46EB"/>
    <w:rsid w:val="7BF44ADE"/>
    <w:rsid w:val="7C0F5091"/>
    <w:rsid w:val="7C3D655A"/>
    <w:rsid w:val="7CA852AF"/>
    <w:rsid w:val="7D9D5D08"/>
    <w:rsid w:val="7DFB2EED"/>
    <w:rsid w:val="7E5F14AF"/>
    <w:rsid w:val="7E9D7ADC"/>
    <w:rsid w:val="7F013A2E"/>
    <w:rsid w:val="7F0B18FA"/>
    <w:rsid w:val="7F547970"/>
    <w:rsid w:val="7F875278"/>
    <w:rsid w:val="7FBA5A25"/>
    <w:rsid w:val="7FF345EF"/>
    <w:rsid w:val="7FF57B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240" w:after="240" w:line="576" w:lineRule="auto"/>
      <w:jc w:val="center"/>
      <w:outlineLvl w:val="0"/>
    </w:pPr>
    <w:rPr>
      <w:rFonts w:eastAsia="黑体"/>
      <w:bCs/>
      <w:kern w:val="44"/>
      <w:sz w:val="32"/>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spacing w:line="360" w:lineRule="auto"/>
      <w:ind w:firstLine="560" w:firstLineChars="200"/>
      <w:jc w:val="center"/>
    </w:pPr>
    <w:rPr>
      <w:bCs/>
      <w:kern w:val="0"/>
      <w:sz w:val="28"/>
      <w:szCs w:val="28"/>
    </w:rPr>
  </w:style>
  <w:style w:type="paragraph" w:styleId="6">
    <w:name w:val="Body Text"/>
    <w:basedOn w:val="1"/>
    <w:qFormat/>
    <w:uiPriority w:val="0"/>
    <w:pPr>
      <w:spacing w:after="120"/>
    </w:pPr>
  </w:style>
  <w:style w:type="paragraph" w:styleId="7">
    <w:name w:val="Plain Text"/>
    <w:basedOn w:val="1"/>
    <w:qFormat/>
    <w:uiPriority w:val="0"/>
    <w:rPr>
      <w:rFonts w:ascii="宋体" w:hAnsi="Courier New"/>
      <w:kern w:val="0"/>
      <w:sz w:val="20"/>
      <w:szCs w:val="20"/>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39"/>
    <w:pPr>
      <w:spacing w:before="120" w:after="120"/>
      <w:jc w:val="left"/>
    </w:pPr>
    <w:rPr>
      <w:b/>
      <w:bCs/>
      <w:caps/>
      <w:sz w:val="20"/>
      <w:szCs w:val="20"/>
    </w:rPr>
  </w:style>
  <w:style w:type="paragraph" w:styleId="11">
    <w:name w:val="toc 2"/>
    <w:basedOn w:val="1"/>
    <w:next w:val="1"/>
    <w:qFormat/>
    <w:uiPriority w:val="39"/>
    <w:pPr>
      <w:ind w:left="210"/>
      <w:jc w:val="left"/>
    </w:pPr>
    <w:rPr>
      <w:smallCaps/>
      <w:sz w:val="20"/>
      <w:szCs w:val="20"/>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Emphasis"/>
    <w:basedOn w:val="15"/>
    <w:qFormat/>
    <w:uiPriority w:val="0"/>
    <w:rPr>
      <w:color w:val="CC0000"/>
      <w:sz w:val="24"/>
      <w:szCs w:val="24"/>
    </w:rPr>
  </w:style>
  <w:style w:type="paragraph" w:customStyle="1" w:styleId="17">
    <w:name w:val="正文11"/>
    <w:autoRedefine/>
    <w:qFormat/>
    <w:uiPriority w:val="0"/>
    <w:pPr>
      <w:widowControl w:val="0"/>
      <w:adjustRightInd w:val="0"/>
      <w:snapToGrid w:val="0"/>
      <w:spacing w:line="360" w:lineRule="auto"/>
      <w:ind w:firstLine="480" w:firstLineChars="200"/>
      <w:jc w:val="both"/>
    </w:pPr>
    <w:rPr>
      <w:rFonts w:ascii="Times New Roman" w:hAnsi="Times New Roman" w:eastAsia="宋体" w:cs="宋体"/>
      <w:snapToGrid w:val="0"/>
      <w:kern w:val="24"/>
      <w:sz w:val="24"/>
      <w:szCs w:val="24"/>
      <w:lang w:val="en-US" w:eastAsia="zh-CN" w:bidi="ar-SA"/>
    </w:rPr>
  </w:style>
  <w:style w:type="paragraph" w:customStyle="1" w:styleId="18">
    <w:name w:val="TOC 标题1"/>
    <w:basedOn w:val="2"/>
    <w:next w:val="1"/>
    <w:autoRedefine/>
    <w:unhideWhenUsed/>
    <w:qFormat/>
    <w:uiPriority w:val="39"/>
    <w:pPr>
      <w:widowControl/>
      <w:spacing w:after="0" w:line="259" w:lineRule="auto"/>
      <w:jc w:val="left"/>
      <w:outlineLvl w:val="9"/>
    </w:pPr>
    <w:rPr>
      <w:rFonts w:asciiTheme="majorHAnsi" w:hAnsiTheme="majorHAnsi" w:eastAsiaTheme="majorEastAsia" w:cstheme="majorBidi"/>
      <w:bCs w:val="0"/>
      <w:color w:val="2E54A1" w:themeColor="accent1" w:themeShade="BF"/>
      <w:kern w:val="0"/>
      <w:szCs w:val="32"/>
    </w:rPr>
  </w:style>
  <w:style w:type="paragraph" w:customStyle="1" w:styleId="19">
    <w:name w:val="样式1"/>
    <w:basedOn w:val="1"/>
    <w:autoRedefine/>
    <w:qFormat/>
    <w:uiPriority w:val="0"/>
    <w:pPr>
      <w:shd w:val="clear" w:color="auto" w:fill="FFFFFF"/>
      <w:autoSpaceDE w:val="0"/>
      <w:autoSpaceDN w:val="0"/>
      <w:adjustRightInd w:val="0"/>
      <w:spacing w:line="360" w:lineRule="auto"/>
      <w:jc w:val="center"/>
    </w:pPr>
    <w:rPr>
      <w:rFonts w:ascii="宋体" w:hAnsi="宋体"/>
      <w:color w:val="000000"/>
      <w:position w:val="-6"/>
      <w:sz w:val="24"/>
    </w:rPr>
  </w:style>
  <w:style w:type="paragraph" w:customStyle="1" w:styleId="20">
    <w:name w:val="正文22"/>
    <w:autoRedefine/>
    <w:qFormat/>
    <w:uiPriority w:val="0"/>
    <w:pPr>
      <w:widowControl w:val="0"/>
      <w:adjustRightInd w:val="0"/>
      <w:snapToGrid w:val="0"/>
      <w:spacing w:line="360" w:lineRule="auto"/>
      <w:ind w:firstLine="560" w:firstLineChars="200"/>
    </w:pPr>
    <w:rPr>
      <w:rFonts w:ascii="Times New Roman" w:hAnsi="宋体" w:eastAsia="宋体" w:cs="Times New Roman"/>
      <w:kern w:val="28"/>
      <w:sz w:val="28"/>
      <w:szCs w:val="28"/>
      <w:lang w:val="en-US" w:eastAsia="zh-CN" w:bidi="ar-SA"/>
    </w:rPr>
  </w:style>
  <w:style w:type="paragraph" w:styleId="21">
    <w:name w:val="List Paragraph"/>
    <w:basedOn w:val="1"/>
    <w:autoRedefine/>
    <w:qFormat/>
    <w:uiPriority w:val="0"/>
    <w:pPr>
      <w:numPr>
        <w:ilvl w:val="0"/>
        <w:numId w:val="1"/>
      </w:numPr>
      <w:tabs>
        <w:tab w:val="left" w:pos="1200"/>
        <w:tab w:val="left" w:pos="1276"/>
      </w:tabs>
      <w:adjustRightInd w:val="0"/>
      <w:snapToGrid w:val="0"/>
      <w:spacing w:line="360" w:lineRule="auto"/>
      <w:ind w:left="0" w:firstLine="561"/>
      <w:jc w:val="left"/>
    </w:pPr>
    <w:rPr>
      <w:rFonts w:ascii="Calibri" w:hAnsi="Calibri"/>
      <w:kern w:val="0"/>
      <w:sz w:val="24"/>
      <w:lang w:eastAsia="en-US"/>
    </w:rPr>
  </w:style>
  <w:style w:type="character" w:customStyle="1" w:styleId="22">
    <w:name w:val="NormalCharacter"/>
    <w:autoRedefine/>
    <w:semiHidden/>
    <w:qFormat/>
    <w:uiPriority w:val="0"/>
  </w:style>
  <w:style w:type="paragraph" w:customStyle="1" w:styleId="23">
    <w:name w:val="zw"/>
    <w:basedOn w:val="1"/>
    <w:autoRedefine/>
    <w:qFormat/>
    <w:uiPriority w:val="0"/>
    <w:pPr>
      <w:widowControl/>
      <w:spacing w:before="100" w:beforeAutospacing="1" w:after="100" w:afterAutospacing="1" w:line="440" w:lineRule="atLeast"/>
      <w:jc w:val="left"/>
    </w:pPr>
    <w:rPr>
      <w:rFonts w:ascii="宋体" w:hAnsi="宋体" w:cs="宋体"/>
      <w:kern w:val="0"/>
      <w:sz w:val="22"/>
      <w:szCs w:val="22"/>
    </w:rPr>
  </w:style>
  <w:style w:type="character" w:customStyle="1" w:styleId="24">
    <w:name w:val="zw1"/>
    <w:autoRedefine/>
    <w:qFormat/>
    <w:uiPriority w:val="0"/>
    <w:rPr>
      <w:rFonts w:hint="eastAsia" w:ascii="宋体" w:hAnsi="宋体" w:eastAsia="宋体"/>
      <w:sz w:val="22"/>
      <w:szCs w:val="22"/>
    </w:rPr>
  </w:style>
  <w:style w:type="paragraph" w:customStyle="1" w:styleId="25">
    <w:name w:val="样式 样式 正文22 + 首行缩进:  2 字符 + 首行缩进:  2 字符"/>
    <w:basedOn w:val="26"/>
    <w:autoRedefine/>
    <w:qFormat/>
    <w:uiPriority w:val="0"/>
    <w:rPr>
      <w:rFonts w:hAnsi="Times New Roman" w:cs="宋体"/>
      <w:szCs w:val="28"/>
    </w:rPr>
  </w:style>
  <w:style w:type="paragraph" w:customStyle="1" w:styleId="26">
    <w:name w:val="样式 正文22 + 首行缩进:  2 字符"/>
    <w:basedOn w:val="20"/>
    <w:autoRedefine/>
    <w:qFormat/>
    <w:uiPriority w:val="0"/>
    <w:rPr>
      <w:rFonts w:ascii="宋体"/>
      <w:szCs w:val="20"/>
    </w:rPr>
  </w:style>
  <w:style w:type="paragraph" w:customStyle="1" w:styleId="27">
    <w:name w:val="图表五号"/>
    <w:basedOn w:val="1"/>
    <w:autoRedefine/>
    <w:qFormat/>
    <w:uiPriority w:val="0"/>
    <w:pPr>
      <w:autoSpaceDE w:val="0"/>
      <w:autoSpaceDN w:val="0"/>
      <w:adjustRightInd w:val="0"/>
      <w:snapToGrid w:val="0"/>
      <w:spacing w:line="20" w:lineRule="atLeast"/>
      <w:jc w:val="center"/>
    </w:pPr>
  </w:style>
  <w:style w:type="paragraph" w:customStyle="1" w:styleId="28">
    <w:name w:val="WPSOffice手动目录 1"/>
    <w:qFormat/>
    <w:uiPriority w:val="0"/>
    <w:pPr>
      <w:ind w:leftChars="0"/>
    </w:pPr>
    <w:rPr>
      <w:rFonts w:ascii="Times New Roman" w:hAnsi="Times New Roman" w:eastAsia="宋体" w:cs="Times New Roman"/>
      <w:sz w:val="20"/>
      <w:szCs w:val="20"/>
    </w:rPr>
  </w:style>
  <w:style w:type="paragraph" w:customStyle="1" w:styleId="29">
    <w:name w:val="WPSOffice手动目录 2"/>
    <w:qFormat/>
    <w:uiPriority w:val="0"/>
    <w:pPr>
      <w:ind w:leftChars="200"/>
    </w:pPr>
    <w:rPr>
      <w:rFonts w:ascii="Times New Roman" w:hAnsi="Times New Roman" w:eastAsia="宋体" w:cs="Times New Roman"/>
      <w:sz w:val="20"/>
      <w:szCs w:val="20"/>
    </w:rPr>
  </w:style>
  <w:style w:type="character" w:customStyle="1" w:styleId="30">
    <w:name w:val="标题 1 Char"/>
    <w:link w:val="2"/>
    <w:qFormat/>
    <w:uiPriority w:val="0"/>
    <w:rPr>
      <w:rFonts w:eastAsia="黑体"/>
      <w:bCs/>
      <w:kern w:val="44"/>
      <w:sz w:val="32"/>
      <w:szCs w:val="4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2.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103</Pages>
  <Words>11224</Words>
  <Characters>12151</Characters>
  <Lines>0</Lines>
  <Paragraphs>0</Paragraphs>
  <TotalTime>99</TotalTime>
  <ScaleCrop>false</ScaleCrop>
  <LinksUpToDate>false</LinksUpToDate>
  <CharactersWithSpaces>12368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2024-06-25T02:00:00Z</dcterms:created>
  <dc:creator>彤</dc:creator>
  <cp:lastModifiedBy>闪闪-</cp:lastModifiedBy>
  <dcterms:modified xsi:type="dcterms:W3CDTF">2026-05-09T01:47:25Z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D173EE3368B34D7CB4AF9A9031EEDAB6_13</vt:lpwstr>
  </property>
  <property fmtid="{D5CDD505-2E9C-101B-9397-08002B2CF9AE}" pid="4" name="KSOTemplateDocerSaveRecord">
    <vt:lpwstr>eyJoZGlkIjoiZmI1ZjZjZjUxY2I0MGFlNzkwYTRmOGE2YjZlY2UwNzMiLCJ1c2VySWQiOiI4NzY5MTEwNzQifQ==</vt:lpwstr>
  </property>
</Properties>
</file>