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DF425">
      <w:pPr>
        <w:spacing w:before="156" w:beforeLines="50" w:after="156" w:afterLines="50" w:line="360" w:lineRule="auto"/>
        <w:jc w:val="center"/>
        <w:outlineLvl w:val="0"/>
        <w:rPr>
          <w:rFonts w:hint="eastAsia" w:ascii="黑体" w:hAnsi="黑体" w:eastAsia="黑体"/>
          <w:b/>
          <w:bCs/>
          <w:sz w:val="32"/>
          <w:szCs w:val="32"/>
        </w:rPr>
      </w:pPr>
      <w:bookmarkStart w:id="0" w:name="_Toc177715686"/>
      <w:bookmarkStart w:id="1" w:name="_Toc175838256"/>
      <w:bookmarkStart w:id="2" w:name="_Toc11822"/>
      <w:bookmarkStart w:id="3" w:name="_Toc175732083"/>
      <w:r>
        <w:rPr>
          <w:rFonts w:hint="eastAsia" w:ascii="黑体" w:hAnsi="黑体" w:eastAsia="黑体"/>
          <w:b/>
          <w:bCs/>
          <w:sz w:val="32"/>
          <w:szCs w:val="32"/>
        </w:rPr>
        <w:t>前  言</w:t>
      </w:r>
      <w:bookmarkEnd w:id="0"/>
      <w:bookmarkEnd w:id="1"/>
      <w:bookmarkEnd w:id="2"/>
      <w:bookmarkEnd w:id="3"/>
    </w:p>
    <w:p w14:paraId="6E2B45BC">
      <w:pPr>
        <w:pStyle w:val="21"/>
        <w:adjustRightInd w:val="0"/>
        <w:snapToGrid w:val="0"/>
        <w:ind w:firstLine="560"/>
        <w:rPr>
          <w:rFonts w:hint="eastAsia"/>
          <w:lang w:eastAsia="zh-CN"/>
        </w:rPr>
      </w:pPr>
      <w:r>
        <w:rPr>
          <w:rFonts w:hint="eastAsia"/>
          <w:lang w:eastAsia="zh-CN"/>
        </w:rPr>
        <w:t>朝阳金达钛业股份有限公司成立于2006年08月28日，法定代表人为赵春雷，注册资本人民币壹亿伍仟万元整，公司类型为股份有限公司。许可项目：道路货物运输（不含危险货物）危险化学品经营（依法须经批准的项目，经相关部门批准后方可开展经营活动，具体经营项目以审批结果为准）。一般项目：常用有色金属冶炼，有色金属压延加工，化工产品销售（不含许可类化工产品），金属包装容器及材料制造，金属包装容器及材料销售，金属材料销售等。</w:t>
      </w:r>
    </w:p>
    <w:p w14:paraId="5013CC7A">
      <w:pPr>
        <w:pStyle w:val="21"/>
        <w:adjustRightInd w:val="0"/>
        <w:snapToGrid w:val="0"/>
        <w:ind w:firstLine="560"/>
        <w:rPr>
          <w:rFonts w:hint="eastAsia"/>
          <w:lang w:eastAsia="zh-CN"/>
        </w:rPr>
      </w:pPr>
      <w:r>
        <w:rPr>
          <w:rFonts w:hint="eastAsia"/>
          <w:lang w:eastAsia="zh-CN"/>
        </w:rPr>
        <w:t>企业以石油焦、高钛渣、液氯等为主要原料生产四氯化钛。目前，该企业1#液氯库已构成一级危险化学品重大危险源。</w:t>
      </w:r>
    </w:p>
    <w:p w14:paraId="6A279BCA">
      <w:pPr>
        <w:pStyle w:val="21"/>
        <w:adjustRightInd w:val="0"/>
        <w:snapToGrid w:val="0"/>
        <w:ind w:firstLine="560"/>
        <w:rPr>
          <w:rFonts w:hint="eastAsia"/>
          <w:lang w:eastAsia="zh-CN"/>
        </w:rPr>
      </w:pPr>
      <w:r>
        <w:rPr>
          <w:rFonts w:hint="eastAsia"/>
          <w:lang w:eastAsia="zh-CN"/>
        </w:rPr>
        <w:t>朝阳金达钛业股份有限公司于2023年委托辽宁智诚中安安全技术服务有限公司编制的危险化学品重大危险源安全评估报告，至此已满三年，根据《危险化学品重大危险源监督管理暂行规定》的有关规定，重大危险源安全评估已满三年的，危险化学品单位应当对危险化学品重大危险源进行安全评估并确定危险化学品重大危险源等级。构成重大危险源的危险化学品单位应当对重大危险源进行辨识、安全评估及分级，并向所在地县级以上人民政府应急管理部门备案。</w:t>
      </w:r>
    </w:p>
    <w:p w14:paraId="1CD2D161">
      <w:pPr>
        <w:pStyle w:val="21"/>
        <w:adjustRightInd w:val="0"/>
        <w:snapToGrid w:val="0"/>
        <w:ind w:firstLine="560"/>
        <w:rPr>
          <w:rFonts w:hint="eastAsia"/>
          <w:lang w:eastAsia="zh-CN"/>
        </w:rPr>
      </w:pPr>
      <w:r>
        <w:rPr>
          <w:rFonts w:hint="eastAsia"/>
          <w:lang w:eastAsia="zh-CN"/>
        </w:rPr>
        <w:t>为此，朝阳金达钛业股份有限公司特委托具有安全评价资质的辽宁诺诚安全科技有限公司对朝阳金达钛业股份有限公司进行危险化学品重大危险源辨识确认和评估分级，并编制危险化学品重大危险源安全评估报告。</w:t>
      </w:r>
    </w:p>
    <w:p w14:paraId="1BF38F3C">
      <w:pPr>
        <w:pStyle w:val="21"/>
        <w:adjustRightInd w:val="0"/>
        <w:snapToGrid w:val="0"/>
        <w:ind w:firstLine="560"/>
      </w:pPr>
      <w:r>
        <w:rPr>
          <w:rFonts w:hint="eastAsia"/>
          <w:lang w:eastAsia="zh-CN"/>
        </w:rPr>
        <w:t>在此，对危险化学品重大危险源安全评估报告编制过程中给予大力支持的朝阳金达钛业股份有限公司相关领导及负责人，表示衷心的感谢。</w:t>
      </w:r>
    </w:p>
    <w:p w14:paraId="3B912180">
      <w:pPr>
        <w:pStyle w:val="21"/>
        <w:ind w:firstLine="560"/>
      </w:pPr>
      <w:r>
        <w:br w:type="page"/>
      </w:r>
    </w:p>
    <w:p w14:paraId="0EF2C136">
      <w:pPr>
        <w:pStyle w:val="21"/>
        <w:ind w:left="0" w:leftChars="0" w:firstLine="0" w:firstLineChars="0"/>
        <w:sectPr>
          <w:headerReference r:id="rId5" w:type="default"/>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AndChars" w:linePitch="312" w:charSpace="0"/>
        </w:sectPr>
      </w:pPr>
    </w:p>
    <w:p w14:paraId="584753E1">
      <w:pPr>
        <w:spacing w:before="156" w:beforeLines="50" w:after="156" w:afterLines="50" w:line="360" w:lineRule="auto"/>
        <w:jc w:val="center"/>
        <w:outlineLvl w:val="0"/>
        <w:rPr>
          <w:rFonts w:hint="eastAsia" w:ascii="黑体" w:hAnsi="黑体" w:eastAsia="黑体"/>
          <w:b/>
          <w:bCs/>
          <w:sz w:val="32"/>
          <w:szCs w:val="32"/>
        </w:rPr>
      </w:pPr>
      <w:bookmarkStart w:id="4" w:name="_Toc23220"/>
      <w:bookmarkStart w:id="5" w:name="_Toc177715687"/>
      <w:bookmarkStart w:id="6" w:name="_Toc175732084"/>
      <w:bookmarkStart w:id="7" w:name="_Toc175838257"/>
      <w:r>
        <w:rPr>
          <w:rFonts w:hint="eastAsia" w:ascii="黑体" w:hAnsi="黑体" w:eastAsia="黑体"/>
          <w:b/>
          <w:bCs/>
          <w:sz w:val="32"/>
          <w:szCs w:val="32"/>
        </w:rPr>
        <w:t>目  录</w:t>
      </w:r>
      <w:bookmarkEnd w:id="4"/>
      <w:bookmarkEnd w:id="5"/>
      <w:bookmarkEnd w:id="6"/>
      <w:bookmarkEnd w:id="7"/>
    </w:p>
    <w:p w14:paraId="22F65281">
      <w:pPr>
        <w:pStyle w:val="11"/>
        <w:tabs>
          <w:tab w:val="right" w:leader="dot" w:pos="9184"/>
          <w:tab w:val="clear" w:pos="9174"/>
        </w:tabs>
      </w:pPr>
      <w:r>
        <w:rPr>
          <w:rFonts w:hint="default" w:ascii="Times New Roman" w:hAnsi="Times New Roman" w:cs="Times New Roman"/>
        </w:rPr>
        <w:fldChar w:fldCharType="begin"/>
      </w:r>
      <w:r>
        <w:rPr>
          <w:rFonts w:hint="default" w:ascii="Times New Roman" w:hAnsi="Times New Roman" w:cs="Times New Roman"/>
        </w:rPr>
        <w:instrText xml:space="preserve"> TOC \o "1-2" \h \z \u </w:instrText>
      </w:r>
      <w:r>
        <w:rPr>
          <w:rFonts w:hint="default" w:ascii="Times New Roman" w:hAnsi="Times New Roman" w:cs="Times New Roman"/>
        </w:rPr>
        <w:fldChar w:fldCharType="separate"/>
      </w: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_Toc20883 </w:instrText>
      </w:r>
      <w:r>
        <w:rPr>
          <w:rFonts w:hint="default" w:ascii="Times New Roman" w:hAnsi="Times New Roman" w:eastAsia="黑体" w:cs="Times New Roman"/>
        </w:rPr>
        <w:fldChar w:fldCharType="separate"/>
      </w:r>
      <w:r>
        <w:rPr>
          <w:rFonts w:eastAsia="黑体" w:cs="Times New Roman"/>
          <w:bCs/>
          <w:szCs w:val="32"/>
        </w:rPr>
        <w:t>1</w:t>
      </w:r>
      <w:r>
        <w:rPr>
          <w:rFonts w:hint="eastAsia" w:ascii="黑体" w:hAnsi="黑体" w:eastAsia="黑体"/>
          <w:bCs/>
          <w:szCs w:val="32"/>
        </w:rPr>
        <w:t>概述</w:t>
      </w:r>
      <w:r>
        <w:tab/>
      </w:r>
      <w:r>
        <w:fldChar w:fldCharType="begin"/>
      </w:r>
      <w:r>
        <w:instrText xml:space="preserve"> PAGEREF _Toc20883 \h </w:instrText>
      </w:r>
      <w:r>
        <w:fldChar w:fldCharType="separate"/>
      </w:r>
      <w:r>
        <w:t>1</w:t>
      </w:r>
      <w:r>
        <w:fldChar w:fldCharType="end"/>
      </w:r>
      <w:r>
        <w:rPr>
          <w:rFonts w:hint="default" w:ascii="Times New Roman" w:hAnsi="Times New Roman" w:eastAsia="黑体" w:cs="Times New Roman"/>
        </w:rPr>
        <w:fldChar w:fldCharType="end"/>
      </w:r>
    </w:p>
    <w:p w14:paraId="02E24D9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_Toc6228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1.1安全评估目的</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_Toc6228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5125E6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_Toc8166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1.2安全评估依据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_Toc8166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01A35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_Toc7139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1.3安全评估范围</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_Toc7139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711960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_Toc15678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1.4安全评估程序</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_Toc15678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FD8ECDD">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_Toc28902 </w:instrText>
      </w:r>
      <w:r>
        <w:rPr>
          <w:rFonts w:hint="default" w:ascii="Times New Roman" w:hAnsi="Times New Roman" w:eastAsia="黑体" w:cs="Times New Roman"/>
        </w:rPr>
        <w:fldChar w:fldCharType="separate"/>
      </w:r>
      <w:r>
        <w:rPr>
          <w:rFonts w:eastAsia="黑体" w:cs="Times New Roman"/>
          <w:bCs/>
          <w:szCs w:val="32"/>
        </w:rPr>
        <w:t>2</w:t>
      </w:r>
      <w:r>
        <w:rPr>
          <w:rFonts w:hint="eastAsia" w:ascii="黑体" w:hAnsi="黑体" w:eastAsia="黑体"/>
          <w:bCs/>
          <w:szCs w:val="32"/>
        </w:rPr>
        <w:t>重大危险源基本情况</w:t>
      </w:r>
      <w:r>
        <w:tab/>
      </w:r>
      <w:r>
        <w:fldChar w:fldCharType="begin"/>
      </w:r>
      <w:r>
        <w:instrText xml:space="preserve"> PAGEREF _Toc28902 \h </w:instrText>
      </w:r>
      <w:r>
        <w:fldChar w:fldCharType="separate"/>
      </w:r>
      <w:r>
        <w:t>12</w:t>
      </w:r>
      <w:r>
        <w:fldChar w:fldCharType="end"/>
      </w:r>
      <w:r>
        <w:rPr>
          <w:rFonts w:hint="default" w:ascii="Times New Roman" w:hAnsi="Times New Roman" w:eastAsia="黑体" w:cs="Times New Roman"/>
        </w:rPr>
        <w:fldChar w:fldCharType="end"/>
      </w:r>
    </w:p>
    <w:p w14:paraId="6C496C9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_Toc18355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2.1</w:t>
      </w:r>
      <w:r>
        <w:rPr>
          <w:rFonts w:hint="eastAsia" w:ascii="Times New Roman" w:hAnsi="Times New Roman" w:eastAsia="黑体" w:cs="Times New Roman"/>
          <w:sz w:val="28"/>
          <w:szCs w:val="28"/>
        </w:rPr>
        <w:t>单位概况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_Toc18355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E068B1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_Toc818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2危险化学品重大危险源辨识与分级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_Toc818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69FC548">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_Toc4468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3周边环境及总平面布置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_Toc4468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17</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F37D39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_Toc25375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4工艺流程、主要设备布局及其上下游生产装置的关系</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_Toc25375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1B57E714">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_Toc31932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5主要设备</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_Toc31932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F306F1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_Toc14393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6配套和辅助工程名称、能力（或者负荷）、介质（或者物料）来源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_Toc14393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03A4E77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_Toc4155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8组织机构和人员配备</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_Toc4155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4B8C3EB">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_Toc15991 </w:instrText>
      </w:r>
      <w:r>
        <w:rPr>
          <w:rFonts w:hint="default" w:ascii="Times New Roman" w:hAnsi="Times New Roman" w:eastAsia="黑体" w:cs="Times New Roman"/>
        </w:rPr>
        <w:fldChar w:fldCharType="separate"/>
      </w:r>
      <w:r>
        <w:rPr>
          <w:rFonts w:eastAsia="黑体" w:cs="Times New Roman"/>
          <w:bCs/>
          <w:szCs w:val="32"/>
        </w:rPr>
        <w:t>3</w:t>
      </w:r>
      <w:r>
        <w:rPr>
          <w:rFonts w:hint="eastAsia" w:ascii="黑体" w:hAnsi="黑体" w:eastAsia="黑体"/>
          <w:bCs/>
          <w:szCs w:val="32"/>
        </w:rPr>
        <w:t>事故发生的可能性及危害程度</w:t>
      </w:r>
      <w:r>
        <w:tab/>
      </w:r>
      <w:r>
        <w:fldChar w:fldCharType="begin"/>
      </w:r>
      <w:r>
        <w:instrText xml:space="preserve"> PAGEREF _Toc15991 \h </w:instrText>
      </w:r>
      <w:r>
        <w:fldChar w:fldCharType="separate"/>
      </w:r>
      <w:r>
        <w:t>31</w:t>
      </w:r>
      <w:r>
        <w:fldChar w:fldCharType="end"/>
      </w:r>
      <w:r>
        <w:rPr>
          <w:rFonts w:hint="default" w:ascii="Times New Roman" w:hAnsi="Times New Roman" w:eastAsia="黑体" w:cs="Times New Roman"/>
        </w:rPr>
        <w:fldChar w:fldCharType="end"/>
      </w:r>
    </w:p>
    <w:p w14:paraId="54769181">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_Toc20458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3.1</w:t>
      </w:r>
      <w:r>
        <w:rPr>
          <w:rFonts w:hint="eastAsia" w:ascii="Times New Roman" w:hAnsi="Times New Roman" w:eastAsia="黑体" w:cs="Times New Roman"/>
          <w:sz w:val="28"/>
          <w:szCs w:val="28"/>
        </w:rPr>
        <w:t>物质危险因素分析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_Toc20458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05D8830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_Toc19019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3.2</w:t>
      </w:r>
      <w:r>
        <w:rPr>
          <w:rFonts w:hint="eastAsia" w:ascii="Times New Roman" w:hAnsi="Times New Roman" w:eastAsia="黑体" w:cs="Times New Roman"/>
          <w:sz w:val="28"/>
          <w:szCs w:val="28"/>
        </w:rPr>
        <w:t>生产、储存过程的危险、有害因素分析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_Toc19019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35</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C4C5E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_Toc1384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3.3</w:t>
      </w:r>
      <w:r>
        <w:rPr>
          <w:rFonts w:hint="eastAsia" w:ascii="Times New Roman" w:hAnsi="Times New Roman" w:eastAsia="黑体" w:cs="Times New Roman"/>
          <w:sz w:val="28"/>
          <w:szCs w:val="28"/>
        </w:rPr>
        <w:t>检维修中的危险、有害因素分析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_Toc1384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8CE7EA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_Toc29187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3.4</w:t>
      </w:r>
      <w:r>
        <w:rPr>
          <w:rFonts w:hint="eastAsia" w:ascii="Times New Roman" w:hAnsi="Times New Roman" w:eastAsia="黑体" w:cs="Times New Roman"/>
          <w:sz w:val="28"/>
          <w:szCs w:val="28"/>
        </w:rPr>
        <w:t>出现火灾、爆炸、中毒事故造成人员伤亡的范围及危害程度</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_Toc29187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DD3D50">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_Toc15437 </w:instrText>
      </w:r>
      <w:r>
        <w:rPr>
          <w:rFonts w:hint="default" w:ascii="Times New Roman" w:hAnsi="Times New Roman" w:eastAsia="黑体" w:cs="Times New Roman"/>
        </w:rPr>
        <w:fldChar w:fldCharType="separate"/>
      </w:r>
      <w:r>
        <w:rPr>
          <w:rFonts w:eastAsia="黑体" w:cs="Times New Roman"/>
          <w:bCs/>
          <w:szCs w:val="32"/>
        </w:rPr>
        <w:t>4</w:t>
      </w:r>
      <w:r>
        <w:rPr>
          <w:rFonts w:hint="eastAsia" w:eastAsia="黑体" w:cs="Times New Roman"/>
          <w:bCs/>
          <w:szCs w:val="32"/>
        </w:rPr>
        <w:t>定性、定量分析</w:t>
      </w:r>
      <w:r>
        <w:tab/>
      </w:r>
      <w:r>
        <w:fldChar w:fldCharType="begin"/>
      </w:r>
      <w:r>
        <w:instrText xml:space="preserve"> PAGEREF _Toc15437 \h </w:instrText>
      </w:r>
      <w:r>
        <w:fldChar w:fldCharType="separate"/>
      </w:r>
      <w:r>
        <w:t>56</w:t>
      </w:r>
      <w:r>
        <w:fldChar w:fldCharType="end"/>
      </w:r>
      <w:r>
        <w:rPr>
          <w:rFonts w:hint="default" w:ascii="Times New Roman" w:hAnsi="Times New Roman" w:eastAsia="黑体" w:cs="Times New Roman"/>
        </w:rPr>
        <w:fldChar w:fldCharType="end"/>
      </w:r>
    </w:p>
    <w:p w14:paraId="3BCA3C84">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_Toc12110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4.1</w:t>
      </w:r>
      <w:r>
        <w:rPr>
          <w:rFonts w:hint="eastAsia" w:ascii="Times New Roman" w:hAnsi="Times New Roman" w:eastAsia="黑体" w:cs="Times New Roman"/>
          <w:sz w:val="28"/>
          <w:szCs w:val="28"/>
        </w:rPr>
        <w:t>个人风险和社会风险评价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_Toc12110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6F8FA0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_Toc6685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lang w:val="en-US" w:eastAsia="zh-CN"/>
        </w:rPr>
        <w:t>4.</w:t>
      </w:r>
      <w:r>
        <w:rPr>
          <w:rFonts w:hint="eastAsia" w:ascii="Times New Roman" w:hAnsi="Times New Roman" w:eastAsia="黑体" w:cs="Times New Roman"/>
          <w:sz w:val="28"/>
          <w:szCs w:val="28"/>
          <w:lang w:val="en-US" w:eastAsia="zh-CN"/>
        </w:rPr>
        <w:t>2事故后果模拟</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_Toc6685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83</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3A1ACC9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_Toc8683 </w:instrText>
      </w:r>
      <w:r>
        <w:rPr>
          <w:rFonts w:hint="default" w:ascii="Times New Roman" w:hAnsi="Times New Roman" w:eastAsia="黑体" w:cs="Times New Roman"/>
          <w:sz w:val="28"/>
          <w:szCs w:val="28"/>
        </w:rPr>
        <w:fldChar w:fldCharType="separate"/>
      </w:r>
      <w:r>
        <w:rPr>
          <w:rFonts w:hint="eastAsia" w:ascii="Times New Roman" w:hAnsi="Times New Roman" w:eastAsia="黑体" w:cs="Times New Roman"/>
          <w:sz w:val="28"/>
          <w:szCs w:val="28"/>
          <w:lang w:val="en-US" w:eastAsia="zh-CN"/>
        </w:rPr>
        <w:t>4.3</w:t>
      </w:r>
      <w:r>
        <w:rPr>
          <w:rFonts w:hint="eastAsia" w:ascii="Times New Roman" w:hAnsi="Times New Roman" w:eastAsia="黑体" w:cs="Times New Roman"/>
          <w:sz w:val="28"/>
          <w:szCs w:val="28"/>
        </w:rPr>
        <w:t>外部安全防护距离</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_Toc8683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9030E1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_Toc14012 </w:instrText>
      </w:r>
      <w:r>
        <w:rPr>
          <w:rFonts w:hint="default" w:ascii="Times New Roman" w:hAnsi="Times New Roman" w:eastAsia="黑体" w:cs="Times New Roman"/>
          <w:sz w:val="28"/>
          <w:szCs w:val="28"/>
        </w:rPr>
        <w:fldChar w:fldCharType="separate"/>
      </w:r>
      <w:r>
        <w:rPr>
          <w:rFonts w:hint="eastAsia" w:ascii="Times New Roman" w:hAnsi="Times New Roman" w:eastAsia="黑体" w:cs="Times New Roman"/>
          <w:sz w:val="28"/>
          <w:szCs w:val="28"/>
          <w:lang w:val="en-US" w:eastAsia="zh-CN"/>
        </w:rPr>
        <w:t>4.4多米诺半径</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_Toc14012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97</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3DE9F2E">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_Toc9417 </w:instrText>
      </w:r>
      <w:r>
        <w:rPr>
          <w:rFonts w:hint="default" w:ascii="Times New Roman" w:hAnsi="Times New Roman" w:eastAsia="黑体" w:cs="Times New Roman"/>
        </w:rPr>
        <w:fldChar w:fldCharType="separate"/>
      </w:r>
      <w:r>
        <w:rPr>
          <w:rFonts w:eastAsia="黑体" w:cs="Times New Roman"/>
          <w:bCs/>
          <w:szCs w:val="32"/>
        </w:rPr>
        <w:t>5</w:t>
      </w:r>
      <w:r>
        <w:rPr>
          <w:rFonts w:hint="eastAsia" w:ascii="黑体" w:hAnsi="黑体" w:eastAsia="黑体"/>
          <w:bCs/>
          <w:szCs w:val="32"/>
        </w:rPr>
        <w:t>可能受事故影响的周边场所、人员情况</w:t>
      </w:r>
      <w:r>
        <w:tab/>
      </w:r>
      <w:r>
        <w:fldChar w:fldCharType="begin"/>
      </w:r>
      <w:r>
        <w:instrText xml:space="preserve"> PAGEREF _Toc9417 \h </w:instrText>
      </w:r>
      <w:r>
        <w:fldChar w:fldCharType="separate"/>
      </w:r>
      <w:r>
        <w:t>99</w:t>
      </w:r>
      <w:r>
        <w:fldChar w:fldCharType="end"/>
      </w:r>
      <w:r>
        <w:rPr>
          <w:rFonts w:hint="default" w:ascii="Times New Roman" w:hAnsi="Times New Roman" w:eastAsia="黑体" w:cs="Times New Roman"/>
        </w:rPr>
        <w:fldChar w:fldCharType="end"/>
      </w:r>
    </w:p>
    <w:p w14:paraId="5D67A2D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_Toc401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5.1</w:t>
      </w:r>
      <w:r>
        <w:rPr>
          <w:rFonts w:hint="eastAsia" w:ascii="Times New Roman" w:hAnsi="Times New Roman" w:eastAsia="黑体" w:cs="Times New Roman"/>
          <w:sz w:val="28"/>
          <w:szCs w:val="28"/>
        </w:rPr>
        <w:t>项目周边24小时经营和生活情况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_Toc401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3AC4A3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_Toc12574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5.2</w:t>
      </w:r>
      <w:r>
        <w:rPr>
          <w:rFonts w:hint="eastAsia" w:ascii="Times New Roman" w:hAnsi="Times New Roman" w:eastAsia="黑体" w:cs="Times New Roman"/>
          <w:sz w:val="28"/>
          <w:szCs w:val="28"/>
        </w:rPr>
        <w:t>项目与周边单位生产、经营活动</w:t>
      </w:r>
      <w:r>
        <w:rPr>
          <w:rFonts w:hint="eastAsia" w:ascii="Times New Roman" w:hAnsi="Times New Roman" w:eastAsia="黑体" w:cs="Times New Roman"/>
          <w:sz w:val="28"/>
          <w:szCs w:val="28"/>
          <w:lang w:val="en-US" w:eastAsia="zh-CN"/>
        </w:rPr>
        <w:t>和</w:t>
      </w:r>
      <w:r>
        <w:rPr>
          <w:rFonts w:hint="eastAsia" w:ascii="Times New Roman" w:hAnsi="Times New Roman" w:eastAsia="黑体" w:cs="Times New Roman"/>
          <w:sz w:val="28"/>
          <w:szCs w:val="28"/>
        </w:rPr>
        <w:t>居民生活的影响情况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_Toc12574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1B9899B">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_Toc24764 </w:instrText>
      </w:r>
      <w:r>
        <w:rPr>
          <w:rFonts w:hint="default" w:ascii="Times New Roman" w:hAnsi="Times New Roman" w:eastAsia="黑体" w:cs="Times New Roman"/>
        </w:rPr>
        <w:fldChar w:fldCharType="separate"/>
      </w:r>
      <w:r>
        <w:rPr>
          <w:rFonts w:eastAsia="黑体" w:cs="Times New Roman"/>
          <w:bCs/>
          <w:szCs w:val="32"/>
        </w:rPr>
        <w:t>6</w:t>
      </w:r>
      <w:r>
        <w:rPr>
          <w:rFonts w:hint="eastAsia" w:ascii="黑体" w:hAnsi="黑体" w:eastAsia="黑体"/>
          <w:bCs/>
          <w:szCs w:val="32"/>
        </w:rPr>
        <w:t>重大危险源辨识、分级的符合性分析</w:t>
      </w:r>
      <w:r>
        <w:tab/>
      </w:r>
      <w:r>
        <w:fldChar w:fldCharType="begin"/>
      </w:r>
      <w:r>
        <w:instrText xml:space="preserve"> PAGEREF _Toc24764 \h </w:instrText>
      </w:r>
      <w:r>
        <w:fldChar w:fldCharType="separate"/>
      </w:r>
      <w:r>
        <w:t>100</w:t>
      </w:r>
      <w:r>
        <w:fldChar w:fldCharType="end"/>
      </w:r>
      <w:r>
        <w:rPr>
          <w:rFonts w:hint="default" w:ascii="Times New Roman" w:hAnsi="Times New Roman" w:eastAsia="黑体" w:cs="Times New Roman"/>
        </w:rPr>
        <w:fldChar w:fldCharType="end"/>
      </w:r>
    </w:p>
    <w:p w14:paraId="2070324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_Toc10047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6.1</w:t>
      </w:r>
      <w:r>
        <w:rPr>
          <w:rFonts w:hint="eastAsia" w:ascii="Times New Roman" w:hAnsi="Times New Roman" w:eastAsia="黑体" w:cs="Times New Roman"/>
          <w:sz w:val="28"/>
          <w:szCs w:val="28"/>
        </w:rPr>
        <w:t>重大危险源单元的划分的符合性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_Toc10047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E4494A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_Toc25359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6.2</w:t>
      </w:r>
      <w:r>
        <w:rPr>
          <w:rFonts w:hint="eastAsia" w:ascii="Times New Roman" w:hAnsi="Times New Roman" w:eastAsia="黑体" w:cs="Times New Roman"/>
          <w:sz w:val="28"/>
          <w:szCs w:val="28"/>
        </w:rPr>
        <w:t>危险化学品重大危险源分级的符合性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_Toc25359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DBB3833">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_Toc4932 </w:instrText>
      </w:r>
      <w:r>
        <w:rPr>
          <w:rFonts w:hint="default" w:ascii="Times New Roman" w:hAnsi="Times New Roman" w:eastAsia="黑体" w:cs="Times New Roman"/>
        </w:rPr>
        <w:fldChar w:fldCharType="separate"/>
      </w:r>
      <w:r>
        <w:rPr>
          <w:rFonts w:eastAsia="黑体" w:cs="Times New Roman"/>
          <w:bCs/>
          <w:szCs w:val="32"/>
        </w:rPr>
        <w:t>7</w:t>
      </w:r>
      <w:r>
        <w:rPr>
          <w:rFonts w:hint="eastAsia" w:ascii="黑体" w:hAnsi="黑体" w:eastAsia="黑体"/>
          <w:bCs/>
          <w:szCs w:val="32"/>
        </w:rPr>
        <w:t>安全管理措施、安全技术和监控措施</w:t>
      </w:r>
      <w:r>
        <w:tab/>
      </w:r>
      <w:r>
        <w:fldChar w:fldCharType="begin"/>
      </w:r>
      <w:r>
        <w:instrText xml:space="preserve"> PAGEREF _Toc4932 \h </w:instrText>
      </w:r>
      <w:r>
        <w:fldChar w:fldCharType="separate"/>
      </w:r>
      <w:r>
        <w:t>102</w:t>
      </w:r>
      <w:r>
        <w:fldChar w:fldCharType="end"/>
      </w:r>
      <w:r>
        <w:rPr>
          <w:rFonts w:hint="default" w:ascii="Times New Roman" w:hAnsi="Times New Roman" w:eastAsia="黑体" w:cs="Times New Roman"/>
        </w:rPr>
        <w:fldChar w:fldCharType="end"/>
      </w:r>
    </w:p>
    <w:p w14:paraId="5368187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_Toc25252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7.1</w:t>
      </w:r>
      <w:r>
        <w:rPr>
          <w:rFonts w:hint="eastAsia" w:ascii="Times New Roman" w:hAnsi="Times New Roman" w:eastAsia="黑体" w:cs="Times New Roman"/>
          <w:sz w:val="28"/>
          <w:szCs w:val="28"/>
        </w:rPr>
        <w:t>重大危险源安全管理措施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_Toc25252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102</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4811E3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_Toc29628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7.2</w:t>
      </w:r>
      <w:r>
        <w:rPr>
          <w:rFonts w:hint="eastAsia" w:ascii="Times New Roman" w:hAnsi="Times New Roman" w:eastAsia="黑体" w:cs="Times New Roman"/>
          <w:sz w:val="28"/>
          <w:szCs w:val="28"/>
        </w:rPr>
        <w:t>安全技术和监控措施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_Toc29628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107</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0AFBB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_Toc9538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7.3</w:t>
      </w:r>
      <w:r>
        <w:rPr>
          <w:rFonts w:hint="eastAsia" w:ascii="Times New Roman" w:hAnsi="Times New Roman" w:eastAsia="黑体" w:cs="Times New Roman"/>
          <w:sz w:val="28"/>
          <w:szCs w:val="28"/>
        </w:rPr>
        <w:t>符合性评价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_Toc9538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F3D3DA">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_Toc31477 </w:instrText>
      </w:r>
      <w:r>
        <w:rPr>
          <w:rFonts w:hint="default" w:ascii="Times New Roman" w:hAnsi="Times New Roman" w:eastAsia="黑体" w:cs="Times New Roman"/>
        </w:rPr>
        <w:fldChar w:fldCharType="separate"/>
      </w:r>
      <w:r>
        <w:rPr>
          <w:rFonts w:eastAsia="黑体" w:cs="Times New Roman"/>
          <w:bCs/>
          <w:szCs w:val="32"/>
        </w:rPr>
        <w:t>8</w:t>
      </w:r>
      <w:r>
        <w:rPr>
          <w:rFonts w:hint="eastAsia" w:ascii="黑体" w:hAnsi="黑体" w:eastAsia="黑体"/>
          <w:bCs/>
          <w:szCs w:val="32"/>
        </w:rPr>
        <w:t>事故应急措施</w:t>
      </w:r>
      <w:r>
        <w:tab/>
      </w:r>
      <w:r>
        <w:fldChar w:fldCharType="begin"/>
      </w:r>
      <w:r>
        <w:instrText xml:space="preserve"> PAGEREF _Toc31477 \h </w:instrText>
      </w:r>
      <w:r>
        <w:fldChar w:fldCharType="separate"/>
      </w:r>
      <w:r>
        <w:t>123</w:t>
      </w:r>
      <w:r>
        <w:fldChar w:fldCharType="end"/>
      </w:r>
      <w:r>
        <w:rPr>
          <w:rFonts w:hint="default" w:ascii="Times New Roman" w:hAnsi="Times New Roman" w:eastAsia="黑体" w:cs="Times New Roman"/>
        </w:rPr>
        <w:fldChar w:fldCharType="end"/>
      </w:r>
    </w:p>
    <w:p w14:paraId="1AAD221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_Toc12542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8.1</w:t>
      </w:r>
      <w:r>
        <w:rPr>
          <w:rFonts w:hint="eastAsia" w:ascii="Times New Roman" w:hAnsi="Times New Roman" w:eastAsia="黑体" w:cs="Times New Roman"/>
          <w:sz w:val="28"/>
          <w:szCs w:val="28"/>
        </w:rPr>
        <w:t>事故应预案</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_Toc12542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123</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54EAB4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_Toc18349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8.2</w:t>
      </w:r>
      <w:r>
        <w:rPr>
          <w:rFonts w:hint="eastAsia" w:ascii="Times New Roman" w:hAnsi="Times New Roman" w:eastAsia="黑体" w:cs="Times New Roman"/>
          <w:sz w:val="28"/>
          <w:szCs w:val="28"/>
        </w:rPr>
        <w:t>应急资源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_Toc18349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3BDC3D0">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_Toc32431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8.3</w:t>
      </w:r>
      <w:r>
        <w:rPr>
          <w:rFonts w:hint="eastAsia" w:ascii="Times New Roman" w:hAnsi="Times New Roman" w:eastAsia="黑体" w:cs="Times New Roman"/>
          <w:sz w:val="28"/>
          <w:szCs w:val="28"/>
        </w:rPr>
        <w:t>应急措施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_Toc32431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33AFEB94">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_Toc14376 </w:instrText>
      </w:r>
      <w:r>
        <w:rPr>
          <w:rFonts w:hint="default" w:ascii="Times New Roman" w:hAnsi="Times New Roman" w:eastAsia="黑体" w:cs="Times New Roman"/>
        </w:rPr>
        <w:fldChar w:fldCharType="separate"/>
      </w:r>
      <w:r>
        <w:rPr>
          <w:rFonts w:eastAsia="黑体" w:cs="Times New Roman"/>
          <w:bCs/>
          <w:szCs w:val="32"/>
        </w:rPr>
        <w:t>9</w:t>
      </w:r>
      <w:r>
        <w:rPr>
          <w:rFonts w:hint="eastAsia" w:ascii="黑体" w:hAnsi="黑体" w:eastAsia="黑体"/>
          <w:bCs/>
          <w:szCs w:val="32"/>
        </w:rPr>
        <w:t>评估结论及建议</w:t>
      </w:r>
      <w:r>
        <w:tab/>
      </w:r>
      <w:r>
        <w:fldChar w:fldCharType="begin"/>
      </w:r>
      <w:r>
        <w:instrText xml:space="preserve"> PAGEREF _Toc14376 \h </w:instrText>
      </w:r>
      <w:r>
        <w:fldChar w:fldCharType="separate"/>
      </w:r>
      <w:r>
        <w:t>131</w:t>
      </w:r>
      <w:r>
        <w:fldChar w:fldCharType="end"/>
      </w:r>
      <w:r>
        <w:rPr>
          <w:rFonts w:hint="default" w:ascii="Times New Roman" w:hAnsi="Times New Roman" w:eastAsia="黑体" w:cs="Times New Roman"/>
        </w:rPr>
        <w:fldChar w:fldCharType="end"/>
      </w:r>
    </w:p>
    <w:p w14:paraId="6F6A692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_Toc16687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9.1</w:t>
      </w:r>
      <w:r>
        <w:rPr>
          <w:rFonts w:hint="eastAsia" w:ascii="Times New Roman" w:hAnsi="Times New Roman" w:eastAsia="黑体" w:cs="Times New Roman"/>
          <w:sz w:val="28"/>
          <w:szCs w:val="28"/>
          <w:lang w:val="en-US" w:eastAsia="zh-CN"/>
        </w:rPr>
        <w:t>评估</w:t>
      </w:r>
      <w:r>
        <w:rPr>
          <w:rFonts w:hint="eastAsia" w:ascii="Times New Roman" w:hAnsi="Times New Roman" w:eastAsia="黑体" w:cs="Times New Roman"/>
          <w:sz w:val="28"/>
          <w:szCs w:val="28"/>
        </w:rPr>
        <w:t>结论</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_Toc16687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A23E17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lang w:val="en-US" w:eastAsia="zh-CN"/>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_Toc28547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w:t>
      </w:r>
      <w:r>
        <w:rPr>
          <w:rFonts w:hint="eastAsia" w:ascii="Times New Roman" w:hAnsi="Times New Roman" w:eastAsia="黑体" w:cs="Times New Roman"/>
          <w:sz w:val="28"/>
          <w:szCs w:val="28"/>
          <w:lang w:val="en-US" w:eastAsia="zh-CN"/>
        </w:rPr>
        <w:t>2符合性评价............................................................ .................................1</w:t>
      </w:r>
      <w:r>
        <w:rPr>
          <w:rFonts w:hint="default" w:ascii="Times New Roman" w:hAnsi="Times New Roman" w:eastAsia="黑体" w:cs="Times New Roman"/>
          <w:sz w:val="28"/>
          <w:szCs w:val="28"/>
        </w:rPr>
        <w:fldChar w:fldCharType="end"/>
      </w:r>
      <w:r>
        <w:rPr>
          <w:rFonts w:hint="eastAsia" w:ascii="Times New Roman" w:hAnsi="Times New Roman" w:eastAsia="黑体" w:cs="Times New Roman"/>
          <w:sz w:val="28"/>
          <w:szCs w:val="28"/>
          <w:lang w:val="en-US" w:eastAsia="zh-CN"/>
        </w:rPr>
        <w:t>29</w:t>
      </w:r>
    </w:p>
    <w:p w14:paraId="67EA10C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lang w:val="en-US" w:eastAsia="zh-CN"/>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_Toc28547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w:t>
      </w:r>
      <w:r>
        <w:rPr>
          <w:rFonts w:hint="eastAsia" w:ascii="Times New Roman" w:hAnsi="Times New Roman" w:eastAsia="黑体" w:cs="Times New Roman"/>
          <w:sz w:val="28"/>
          <w:szCs w:val="28"/>
          <w:lang w:val="en-US" w:eastAsia="zh-CN"/>
        </w:rPr>
        <w:t>3</w:t>
      </w:r>
      <w:r>
        <w:rPr>
          <w:rFonts w:hint="eastAsia" w:ascii="Times New Roman" w:hAnsi="Times New Roman" w:eastAsia="黑体" w:cs="Times New Roman"/>
          <w:sz w:val="28"/>
          <w:szCs w:val="28"/>
        </w:rPr>
        <w:t>建议</w:t>
      </w:r>
      <w:r>
        <w:rPr>
          <w:rFonts w:hint="default" w:ascii="Times New Roman" w:hAnsi="Times New Roman" w:eastAsia="黑体" w:cs="Times New Roman"/>
          <w:sz w:val="28"/>
          <w:szCs w:val="28"/>
        </w:rPr>
        <w:tab/>
      </w:r>
      <w:r>
        <w:rPr>
          <w:rFonts w:hint="eastAsia" w:ascii="Times New Roman" w:hAnsi="Times New Roman" w:eastAsia="黑体" w:cs="Times New Roman"/>
          <w:sz w:val="28"/>
          <w:szCs w:val="28"/>
          <w:lang w:val="en-US" w:eastAsia="zh-CN"/>
        </w:rPr>
        <w:t>1</w:t>
      </w:r>
      <w:r>
        <w:rPr>
          <w:rFonts w:hint="default" w:ascii="Times New Roman" w:hAnsi="Times New Roman" w:eastAsia="黑体" w:cs="Times New Roman"/>
          <w:sz w:val="28"/>
          <w:szCs w:val="28"/>
        </w:rPr>
        <w:fldChar w:fldCharType="end"/>
      </w:r>
      <w:r>
        <w:rPr>
          <w:rFonts w:hint="eastAsia" w:ascii="Times New Roman" w:hAnsi="Times New Roman" w:eastAsia="黑体" w:cs="Times New Roman"/>
          <w:sz w:val="28"/>
          <w:szCs w:val="28"/>
          <w:lang w:val="en-US" w:eastAsia="zh-CN"/>
        </w:rPr>
        <w:t>30</w:t>
      </w:r>
    </w:p>
    <w:p w14:paraId="201B3F5F">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_Toc23278 </w:instrText>
      </w:r>
      <w:r>
        <w:rPr>
          <w:rFonts w:hint="default" w:ascii="Times New Roman" w:hAnsi="Times New Roman" w:eastAsia="黑体" w:cs="Times New Roman"/>
        </w:rPr>
        <w:fldChar w:fldCharType="separate"/>
      </w:r>
      <w:r>
        <w:rPr>
          <w:rFonts w:hint="eastAsia" w:ascii="黑体" w:hAnsi="黑体" w:eastAsia="黑体"/>
          <w:bCs/>
          <w:szCs w:val="32"/>
        </w:rPr>
        <w:t>附件</w:t>
      </w:r>
      <w:r>
        <w:tab/>
      </w:r>
      <w:r>
        <w:fldChar w:fldCharType="begin"/>
      </w:r>
      <w:r>
        <w:instrText xml:space="preserve"> PAGEREF _Toc23278 \h </w:instrText>
      </w:r>
      <w:r>
        <w:fldChar w:fldCharType="separate"/>
      </w:r>
      <w:r>
        <w:t>136</w:t>
      </w:r>
      <w:r>
        <w:fldChar w:fldCharType="end"/>
      </w:r>
      <w:r>
        <w:rPr>
          <w:rFonts w:hint="default" w:ascii="Times New Roman" w:hAnsi="Times New Roman" w:eastAsia="黑体" w:cs="Times New Roman"/>
        </w:rPr>
        <w:fldChar w:fldCharType="end"/>
      </w:r>
    </w:p>
    <w:p w14:paraId="64B0150C">
      <w:pPr>
        <w:pStyle w:val="12"/>
        <w:tabs>
          <w:tab w:val="right" w:leader="dot" w:pos="9174"/>
        </w:tabs>
        <w:adjustRightInd w:val="0"/>
        <w:snapToGrid w:val="0"/>
        <w:spacing w:after="0" w:line="360" w:lineRule="auto"/>
        <w:ind w:left="0" w:leftChars="0" w:firstLine="220" w:firstLineChars="100"/>
        <w:sectPr>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AndChars" w:linePitch="312" w:charSpace="0"/>
        </w:sectPr>
      </w:pPr>
      <w:r>
        <w:rPr>
          <w:rFonts w:hint="default" w:ascii="Times New Roman" w:hAnsi="Times New Roman" w:eastAsia="黑体" w:cs="Times New Roman"/>
        </w:rPr>
        <w:fldChar w:fldCharType="end"/>
      </w:r>
    </w:p>
    <w:p w14:paraId="2A246A0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8" w:name="_Toc20883"/>
      <w:r>
        <w:rPr>
          <w:rFonts w:eastAsia="黑体" w:cs="Times New Roman"/>
          <w:b/>
          <w:bCs/>
          <w:sz w:val="32"/>
          <w:szCs w:val="32"/>
        </w:rPr>
        <w:t>1</w:t>
      </w:r>
      <w:r>
        <w:rPr>
          <w:rFonts w:hint="eastAsia" w:ascii="黑体" w:hAnsi="黑体" w:eastAsia="黑体"/>
          <w:b/>
          <w:bCs/>
          <w:sz w:val="32"/>
          <w:szCs w:val="32"/>
        </w:rPr>
        <w:t>概述</w:t>
      </w:r>
      <w:bookmarkEnd w:id="8"/>
    </w:p>
    <w:p w14:paraId="520464EF">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9" w:name="_Toc6228"/>
      <w:r>
        <w:rPr>
          <w:rFonts w:eastAsia="楷体" w:cs="Times New Roman"/>
          <w:b/>
          <w:bCs/>
          <w:sz w:val="32"/>
          <w:szCs w:val="32"/>
        </w:rPr>
        <w:t>1.1</w:t>
      </w:r>
      <w:r>
        <w:rPr>
          <w:rFonts w:hint="eastAsia" w:ascii="楷体" w:hAnsi="楷体" w:eastAsia="楷体"/>
          <w:b/>
          <w:bCs/>
          <w:sz w:val="32"/>
          <w:szCs w:val="32"/>
        </w:rPr>
        <w:t>安全评估目的</w:t>
      </w:r>
      <w:bookmarkEnd w:id="9"/>
    </w:p>
    <w:p w14:paraId="281C6735">
      <w:pPr>
        <w:pStyle w:val="21"/>
        <w:adjustRightInd w:val="0"/>
        <w:snapToGrid w:val="0"/>
        <w:ind w:firstLine="560"/>
      </w:pPr>
      <w:r>
        <w:rPr>
          <w:rFonts w:hint="eastAsia"/>
        </w:rPr>
        <w:t>贯彻落实《中华人民共和国安全生产法》“安全第一，预防为主、综合治理”的方针，进一步加强重大危险源的监督管理，完成重大危险源评估分级，完善重大危险源安全管理措施、安全技术和监控措施，确保重大危险源相关信息的录入、管理和申报，实现对重大危险源的分级管理、分级监控，落实企业的安全生产主体责任，强化企业内部管理，预防重、特大事故的发生。</w:t>
      </w:r>
    </w:p>
    <w:p w14:paraId="7C77513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0" w:name="_Toc8166"/>
      <w:r>
        <w:rPr>
          <w:rFonts w:eastAsia="楷体" w:cs="Times New Roman"/>
          <w:b/>
          <w:bCs/>
          <w:sz w:val="32"/>
          <w:szCs w:val="32"/>
        </w:rPr>
        <w:t>1.2</w:t>
      </w:r>
      <w:r>
        <w:rPr>
          <w:rFonts w:hint="eastAsia" w:ascii="楷体" w:hAnsi="楷体" w:eastAsia="楷体"/>
          <w:b/>
          <w:bCs/>
          <w:sz w:val="32"/>
          <w:szCs w:val="32"/>
        </w:rPr>
        <w:t>安全评估依据</w:t>
      </w:r>
      <w:bookmarkEnd w:id="10"/>
    </w:p>
    <w:p w14:paraId="08740B9F">
      <w:pPr>
        <w:pStyle w:val="21"/>
        <w:adjustRightInd w:val="0"/>
        <w:snapToGrid w:val="0"/>
        <w:ind w:firstLine="560"/>
      </w:pPr>
      <w:r>
        <w:rPr>
          <w:rFonts w:hint="eastAsia"/>
        </w:rPr>
        <w:t>本次危险化学品重大危险源安全评估主要依据的法律、法规、规章和技术标准如下：</w:t>
      </w:r>
    </w:p>
    <w:p w14:paraId="54D0065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1.2.1</w:t>
      </w:r>
      <w:r>
        <w:rPr>
          <w:rFonts w:hint="eastAsia" w:ascii="黑体" w:hAnsi="黑体" w:eastAsia="黑体"/>
          <w:b/>
          <w:bCs/>
        </w:rPr>
        <w:t>法律</w:t>
      </w:r>
    </w:p>
    <w:p w14:paraId="3174DFD4">
      <w:pPr>
        <w:pStyle w:val="21"/>
        <w:numPr>
          <w:ilvl w:val="0"/>
          <w:numId w:val="1"/>
        </w:numPr>
        <w:adjustRightInd w:val="0"/>
        <w:snapToGrid w:val="0"/>
        <w:ind w:left="0" w:firstLine="560"/>
      </w:pPr>
      <w:r>
        <w:rPr>
          <w:rFonts w:hint="eastAsia"/>
        </w:rPr>
        <w:t>《中华人民共和国安全生产法》（国家主席令第八十八号，2021年9月1日实施）</w:t>
      </w:r>
    </w:p>
    <w:p w14:paraId="6BBBA54D">
      <w:pPr>
        <w:pStyle w:val="21"/>
        <w:numPr>
          <w:ilvl w:val="0"/>
          <w:numId w:val="1"/>
        </w:numPr>
        <w:adjustRightInd w:val="0"/>
        <w:snapToGrid w:val="0"/>
        <w:ind w:left="0" w:firstLine="560"/>
      </w:pPr>
      <w:r>
        <w:rPr>
          <w:rFonts w:hint="eastAsia"/>
        </w:rPr>
        <w:t>《中华人民共和国特种设备安全法》（国家主席令第四号，2014年1月1日实施）</w:t>
      </w:r>
    </w:p>
    <w:p w14:paraId="18C15A49">
      <w:pPr>
        <w:pStyle w:val="21"/>
        <w:numPr>
          <w:ilvl w:val="0"/>
          <w:numId w:val="1"/>
        </w:numPr>
        <w:adjustRightInd w:val="0"/>
        <w:snapToGrid w:val="0"/>
        <w:ind w:left="0" w:firstLine="560"/>
      </w:pPr>
      <w:r>
        <w:rPr>
          <w:rFonts w:hint="eastAsia"/>
        </w:rPr>
        <w:t>《中华人民共和国消防法》（</w:t>
      </w:r>
      <w:bookmarkStart w:id="11" w:name="_Hlk176853493"/>
      <w:r>
        <w:rPr>
          <w:rFonts w:hint="eastAsia"/>
        </w:rPr>
        <w:t>国家主席令</w:t>
      </w:r>
      <w:bookmarkEnd w:id="11"/>
      <w:r>
        <w:rPr>
          <w:rFonts w:hint="eastAsia"/>
        </w:rPr>
        <w:t>第六号，2021年04月29日实施）</w:t>
      </w:r>
    </w:p>
    <w:p w14:paraId="4CB157CB">
      <w:pPr>
        <w:pStyle w:val="21"/>
        <w:numPr>
          <w:ilvl w:val="0"/>
          <w:numId w:val="1"/>
        </w:numPr>
        <w:adjustRightInd w:val="0"/>
        <w:snapToGrid w:val="0"/>
        <w:ind w:left="0" w:firstLine="560"/>
      </w:pPr>
      <w:r>
        <w:rPr>
          <w:rFonts w:hint="eastAsia"/>
        </w:rPr>
        <w:t>《中华人民共和国防震减灾法》（国家主席令第七号，2009年5月1日实施）</w:t>
      </w:r>
    </w:p>
    <w:p w14:paraId="4A81E634">
      <w:pPr>
        <w:pStyle w:val="21"/>
        <w:numPr>
          <w:ilvl w:val="0"/>
          <w:numId w:val="1"/>
        </w:numPr>
        <w:adjustRightInd w:val="0"/>
        <w:snapToGrid w:val="0"/>
        <w:ind w:left="0" w:firstLine="560"/>
      </w:pPr>
      <w:r>
        <w:rPr>
          <w:rFonts w:hint="eastAsia"/>
        </w:rPr>
        <w:t>《中华人民共和国环境保护法》（国家主席令第九号，2015年1月1日起实施）</w:t>
      </w:r>
    </w:p>
    <w:p w14:paraId="74694276">
      <w:pPr>
        <w:pStyle w:val="21"/>
        <w:numPr>
          <w:ilvl w:val="0"/>
          <w:numId w:val="1"/>
        </w:numPr>
        <w:adjustRightInd w:val="0"/>
        <w:snapToGrid w:val="0"/>
        <w:ind w:left="0" w:firstLine="560"/>
      </w:pPr>
      <w:r>
        <w:rPr>
          <w:rFonts w:hint="eastAsia"/>
        </w:rPr>
        <w:t>《中华人民共和国气象法》（国家主席令第十四号，第十二届全国人民代表大会常务委员会第二十四次会议第三次修正，2016年11月7日起实施）</w:t>
      </w:r>
    </w:p>
    <w:p w14:paraId="0527A673">
      <w:pPr>
        <w:pStyle w:val="21"/>
        <w:numPr>
          <w:ilvl w:val="0"/>
          <w:numId w:val="1"/>
        </w:numPr>
        <w:adjustRightInd w:val="0"/>
        <w:snapToGrid w:val="0"/>
        <w:ind w:left="0" w:firstLine="560"/>
      </w:pPr>
      <w:r>
        <w:rPr>
          <w:rFonts w:hint="eastAsia"/>
        </w:rPr>
        <w:t>《中华人民共和国劳动法》（国家主席令第二十八号，第十三届全国人民代表大会常务委员会第七次会议第二次修正，2018年12月29日实施）</w:t>
      </w:r>
    </w:p>
    <w:p w14:paraId="5D294DBC">
      <w:pPr>
        <w:pStyle w:val="21"/>
        <w:numPr>
          <w:ilvl w:val="0"/>
          <w:numId w:val="1"/>
        </w:numPr>
        <w:adjustRightInd w:val="0"/>
        <w:snapToGrid w:val="0"/>
        <w:ind w:left="0" w:firstLine="560"/>
      </w:pPr>
      <w:r>
        <w:rPr>
          <w:rFonts w:hint="eastAsia"/>
        </w:rPr>
        <w:t>《中华人民共和国大气污染防治法》（国家主席令第三十一号，第十三届全国人民代表大会常务委员会第六次会议第二次修正，2018年10月26日实施）</w:t>
      </w:r>
    </w:p>
    <w:p w14:paraId="14981BD6">
      <w:pPr>
        <w:pStyle w:val="21"/>
        <w:numPr>
          <w:ilvl w:val="0"/>
          <w:numId w:val="1"/>
        </w:numPr>
        <w:adjustRightInd w:val="0"/>
        <w:snapToGrid w:val="0"/>
        <w:ind w:left="0" w:firstLine="560"/>
      </w:pPr>
      <w:r>
        <w:rPr>
          <w:rFonts w:hint="eastAsia"/>
        </w:rPr>
        <w:t>《中华人民共和国突发事件应对法》（国家主席令第二十五号，第十四届全国人民代表大会常务委员会第十次会议修订，2024年11月1日实施）</w:t>
      </w:r>
    </w:p>
    <w:p w14:paraId="00694D46">
      <w:pPr>
        <w:pStyle w:val="21"/>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1.2.2法规</w:t>
      </w:r>
    </w:p>
    <w:p w14:paraId="2A70A1DB">
      <w:pPr>
        <w:pStyle w:val="21"/>
        <w:numPr>
          <w:ilvl w:val="0"/>
          <w:numId w:val="2"/>
        </w:numPr>
        <w:adjustRightInd w:val="0"/>
        <w:snapToGrid w:val="0"/>
        <w:ind w:left="0" w:firstLine="560"/>
      </w:pPr>
      <w:r>
        <w:rPr>
          <w:rFonts w:hint="eastAsia"/>
        </w:rPr>
        <w:t>《国务院关于特大安全事故行政责任追究的规定》（国务院令第302号，2001年4月21日实施）</w:t>
      </w:r>
    </w:p>
    <w:p w14:paraId="3DFE227B">
      <w:pPr>
        <w:pStyle w:val="21"/>
        <w:numPr>
          <w:ilvl w:val="0"/>
          <w:numId w:val="2"/>
        </w:numPr>
        <w:adjustRightInd w:val="0"/>
        <w:snapToGrid w:val="0"/>
        <w:ind w:left="0" w:firstLine="560"/>
      </w:pPr>
      <w:r>
        <w:rPr>
          <w:rFonts w:hint="eastAsia"/>
        </w:rPr>
        <w:t>《生产安全事故报告和调查处理条例》（国务院令第493号，自2007年6月1日起施行）</w:t>
      </w:r>
    </w:p>
    <w:p w14:paraId="44B4D216">
      <w:pPr>
        <w:pStyle w:val="21"/>
        <w:numPr>
          <w:ilvl w:val="0"/>
          <w:numId w:val="2"/>
        </w:numPr>
        <w:adjustRightInd w:val="0"/>
        <w:snapToGrid w:val="0"/>
        <w:ind w:left="0" w:firstLine="560"/>
      </w:pPr>
      <w:r>
        <w:rPr>
          <w:rFonts w:hint="eastAsia"/>
        </w:rPr>
        <w:t>《气象灾害防御条例》（国务院令第687号，2017年10月07日实施）</w:t>
      </w:r>
    </w:p>
    <w:p w14:paraId="4331DDD2">
      <w:pPr>
        <w:pStyle w:val="21"/>
        <w:numPr>
          <w:ilvl w:val="0"/>
          <w:numId w:val="2"/>
        </w:numPr>
        <w:adjustRightInd w:val="0"/>
        <w:snapToGrid w:val="0"/>
        <w:ind w:left="0" w:firstLine="560"/>
      </w:pPr>
      <w:r>
        <w:rPr>
          <w:rFonts w:hint="eastAsia"/>
        </w:rPr>
        <w:t>《危险化学品安全管理条例》（国务院令第591号，国务院令第645号修订，自2013年12月7日起施行）</w:t>
      </w:r>
    </w:p>
    <w:p w14:paraId="6B179DD3">
      <w:pPr>
        <w:pStyle w:val="21"/>
        <w:numPr>
          <w:ilvl w:val="0"/>
          <w:numId w:val="2"/>
        </w:numPr>
        <w:adjustRightInd w:val="0"/>
        <w:snapToGrid w:val="0"/>
        <w:ind w:left="0" w:firstLine="560"/>
      </w:pPr>
      <w:r>
        <w:rPr>
          <w:rFonts w:hint="eastAsia"/>
        </w:rPr>
        <w:t>《生产安全事故应急条例》（国务院令第708号，自2019年4月1日起施行）</w:t>
      </w:r>
    </w:p>
    <w:p w14:paraId="55B5C60E">
      <w:pPr>
        <w:pStyle w:val="21"/>
        <w:numPr>
          <w:ilvl w:val="0"/>
          <w:numId w:val="2"/>
        </w:numPr>
        <w:adjustRightInd w:val="0"/>
        <w:snapToGrid w:val="0"/>
        <w:ind w:left="0" w:firstLine="560"/>
      </w:pPr>
      <w:r>
        <w:rPr>
          <w:rFonts w:hint="eastAsia"/>
        </w:rPr>
        <w:t>《辽宁省安全生产条例》（辽宁省第十四届人民代表大会常务委员会第十六次会议修订，自2025年05月29日实施）</w:t>
      </w:r>
    </w:p>
    <w:p w14:paraId="3D6A9B00">
      <w:pPr>
        <w:pStyle w:val="21"/>
        <w:numPr>
          <w:ilvl w:val="0"/>
          <w:numId w:val="2"/>
        </w:numPr>
        <w:adjustRightInd w:val="0"/>
        <w:snapToGrid w:val="0"/>
        <w:ind w:left="0" w:firstLine="560"/>
      </w:pPr>
      <w:r>
        <w:rPr>
          <w:rFonts w:hint="eastAsia"/>
        </w:rPr>
        <w:t>《辽宁省突发事件应对条例》（辽宁省人民代表大会常务委员会公告〔13届〕第47号，自2020年4月1日起施行）</w:t>
      </w:r>
    </w:p>
    <w:p w14:paraId="5C69BAE3">
      <w:pPr>
        <w:pStyle w:val="21"/>
        <w:numPr>
          <w:ilvl w:val="0"/>
          <w:numId w:val="2"/>
        </w:numPr>
        <w:adjustRightInd w:val="0"/>
        <w:snapToGrid w:val="0"/>
        <w:ind w:left="0" w:firstLine="560"/>
      </w:pPr>
      <w:r>
        <w:rPr>
          <w:rFonts w:hint="eastAsia"/>
        </w:rPr>
        <w:t>《辽宁省消防条例》（辽宁省人民代表大会常务委员会公告〔13届〕第103号，自2022年11月9日施行）</w:t>
      </w:r>
    </w:p>
    <w:p w14:paraId="26E467CE">
      <w:pPr>
        <w:pStyle w:val="21"/>
        <w:numPr>
          <w:ilvl w:val="0"/>
          <w:numId w:val="2"/>
        </w:numPr>
        <w:adjustRightInd w:val="0"/>
        <w:snapToGrid w:val="0"/>
        <w:ind w:left="0" w:firstLine="560"/>
      </w:pPr>
      <w:r>
        <w:rPr>
          <w:rFonts w:hint="eastAsia"/>
        </w:rPr>
        <w:t>《特种作业人员安全技术培训考核管理规定》（中华人民共和国应急管理部令第19号，2026年06月01日实施）</w:t>
      </w:r>
    </w:p>
    <w:p w14:paraId="3CFFE3C7">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w:t>
      </w:r>
      <w:r>
        <w:rPr>
          <w:rFonts w:hint="eastAsia" w:eastAsia="黑体" w:cs="Times New Roman"/>
          <w:b/>
          <w:bCs/>
        </w:rPr>
        <w:t>3</w:t>
      </w:r>
      <w:r>
        <w:rPr>
          <w:rFonts w:hint="eastAsia" w:ascii="黑体" w:hAnsi="黑体" w:eastAsia="黑体"/>
          <w:b/>
          <w:bCs/>
        </w:rPr>
        <w:t>部门规章</w:t>
      </w:r>
    </w:p>
    <w:p w14:paraId="3FD21379">
      <w:pPr>
        <w:pStyle w:val="21"/>
        <w:numPr>
          <w:ilvl w:val="0"/>
          <w:numId w:val="3"/>
        </w:numPr>
        <w:adjustRightInd w:val="0"/>
        <w:snapToGrid w:val="0"/>
        <w:ind w:left="0" w:firstLine="560"/>
      </w:pPr>
      <w:r>
        <w:rPr>
          <w:rFonts w:hint="eastAsia"/>
        </w:rPr>
        <w:t>《危险化学品重大危险源监督管理暂行规定》（原国家安全生产监督管理总局令40号，2015年3月23日国家安全生产监督管理总局令第79号修订，2015年7月1日实施）</w:t>
      </w:r>
    </w:p>
    <w:p w14:paraId="7941DC0D">
      <w:pPr>
        <w:pStyle w:val="21"/>
        <w:numPr>
          <w:ilvl w:val="0"/>
          <w:numId w:val="3"/>
        </w:numPr>
        <w:adjustRightInd w:val="0"/>
        <w:snapToGrid w:val="0"/>
        <w:ind w:left="0" w:firstLine="560"/>
      </w:pPr>
      <w:r>
        <w:rPr>
          <w:rFonts w:hint="eastAsia"/>
        </w:rPr>
        <w:t>《危险化学品目录（2015年版）》（原国家安全生产监督管理总局等十部委公告 2015年第5号，2015年5月1日实施）</w:t>
      </w:r>
    </w:p>
    <w:p w14:paraId="6451CAEF">
      <w:pPr>
        <w:pStyle w:val="21"/>
        <w:numPr>
          <w:ilvl w:val="0"/>
          <w:numId w:val="3"/>
        </w:numPr>
        <w:adjustRightInd w:val="0"/>
        <w:snapToGrid w:val="0"/>
        <w:ind w:left="0" w:firstLine="560"/>
      </w:pPr>
      <w:r>
        <w:rPr>
          <w:rFonts w:hint="eastAsia"/>
        </w:rPr>
        <w:t>《危险化学品目录（2022修正）》（应急管理部等十部门公告[2022]年第8号，2023年01月01日施行）</w:t>
      </w:r>
    </w:p>
    <w:p w14:paraId="19852309">
      <w:pPr>
        <w:pStyle w:val="21"/>
        <w:numPr>
          <w:ilvl w:val="0"/>
          <w:numId w:val="3"/>
        </w:numPr>
        <w:adjustRightInd w:val="0"/>
        <w:snapToGrid w:val="0"/>
        <w:ind w:left="0" w:firstLine="560"/>
      </w:pPr>
      <w:r>
        <w:rPr>
          <w:rFonts w:hint="eastAsia"/>
        </w:rPr>
        <w:t>《</w:t>
      </w:r>
      <w:r>
        <w:rPr>
          <w:rFonts w:hint="eastAsia"/>
          <w:lang w:val="en-US" w:eastAsia="zh-CN"/>
        </w:rPr>
        <w:t>高毒物品目录</w:t>
      </w:r>
      <w:r>
        <w:rPr>
          <w:rFonts w:hint="eastAsia"/>
        </w:rPr>
        <w:t>》（</w:t>
      </w:r>
      <w:r>
        <w:rPr>
          <w:rFonts w:hint="eastAsia"/>
          <w:lang w:val="en-US" w:eastAsia="zh-CN"/>
        </w:rPr>
        <w:t>卫生部</w:t>
      </w:r>
      <w:r>
        <w:rPr>
          <w:rFonts w:hint="eastAsia"/>
        </w:rPr>
        <w:t>卫法监发[2003]</w:t>
      </w:r>
      <w:r>
        <w:rPr>
          <w:rFonts w:hint="eastAsia"/>
          <w:lang w:val="en-US" w:eastAsia="zh-CN"/>
        </w:rPr>
        <w:t>第</w:t>
      </w:r>
      <w:r>
        <w:rPr>
          <w:rFonts w:hint="eastAsia"/>
        </w:rPr>
        <w:t>142号，202</w:t>
      </w:r>
      <w:r>
        <w:rPr>
          <w:rFonts w:hint="eastAsia"/>
          <w:lang w:val="en-US" w:eastAsia="zh-CN"/>
        </w:rPr>
        <w:t>0</w:t>
      </w:r>
      <w:r>
        <w:rPr>
          <w:rFonts w:hint="eastAsia"/>
        </w:rPr>
        <w:t>3年0</w:t>
      </w:r>
      <w:r>
        <w:rPr>
          <w:rFonts w:hint="eastAsia"/>
          <w:lang w:val="en-US" w:eastAsia="zh-CN"/>
        </w:rPr>
        <w:t>6</w:t>
      </w:r>
      <w:r>
        <w:rPr>
          <w:rFonts w:hint="eastAsia"/>
        </w:rPr>
        <w:t>月</w:t>
      </w:r>
      <w:r>
        <w:rPr>
          <w:rFonts w:hint="eastAsia"/>
          <w:lang w:val="en-US" w:eastAsia="zh-CN"/>
        </w:rPr>
        <w:t>10</w:t>
      </w:r>
      <w:r>
        <w:rPr>
          <w:rFonts w:hint="eastAsia"/>
        </w:rPr>
        <w:t>日施行）</w:t>
      </w:r>
    </w:p>
    <w:p w14:paraId="1C7300E3">
      <w:pPr>
        <w:pStyle w:val="21"/>
        <w:numPr>
          <w:ilvl w:val="0"/>
          <w:numId w:val="3"/>
        </w:numPr>
        <w:adjustRightInd w:val="0"/>
        <w:snapToGrid w:val="0"/>
        <w:ind w:left="0" w:firstLine="560"/>
      </w:pPr>
      <w:r>
        <w:rPr>
          <w:rFonts w:hint="eastAsia"/>
        </w:rPr>
        <w:t>《生产经营单位安全培训规定》（原国家安全生产监督管理总局令第3号；国家安全监管总局令第80号修正，2015年7月1日实施）</w:t>
      </w:r>
    </w:p>
    <w:p w14:paraId="02F5D76A">
      <w:pPr>
        <w:pStyle w:val="21"/>
        <w:numPr>
          <w:ilvl w:val="0"/>
          <w:numId w:val="3"/>
        </w:numPr>
        <w:adjustRightInd w:val="0"/>
        <w:snapToGrid w:val="0"/>
        <w:ind w:left="0" w:firstLine="560"/>
      </w:pPr>
      <w:r>
        <w:rPr>
          <w:rFonts w:hint="eastAsia"/>
        </w:rPr>
        <w:t>《安全生产事故隐患排查治理暂行规定》（原国家安全生产监督管理总局令第16号，2008年2月1日实施）</w:t>
      </w:r>
    </w:p>
    <w:p w14:paraId="6EE3A02D">
      <w:pPr>
        <w:pStyle w:val="21"/>
        <w:numPr>
          <w:ilvl w:val="0"/>
          <w:numId w:val="3"/>
        </w:numPr>
        <w:adjustRightInd w:val="0"/>
        <w:snapToGrid w:val="0"/>
        <w:ind w:left="0" w:firstLine="560"/>
      </w:pPr>
      <w:r>
        <w:rPr>
          <w:rFonts w:hint="eastAsia"/>
        </w:rPr>
        <w:t>《生产安全事故应急预案管理办法》（应急管理部令第2号，自2019年7月11日施行）</w:t>
      </w:r>
    </w:p>
    <w:p w14:paraId="2D84C779">
      <w:pPr>
        <w:pStyle w:val="21"/>
        <w:numPr>
          <w:ilvl w:val="0"/>
          <w:numId w:val="3"/>
        </w:numPr>
        <w:adjustRightInd w:val="0"/>
        <w:snapToGrid w:val="0"/>
        <w:ind w:left="0" w:firstLine="560"/>
      </w:pPr>
      <w:r>
        <w:rPr>
          <w:rFonts w:hint="eastAsia"/>
        </w:rPr>
        <w:t>《安全生产培训管理办法》（原国家安全生产监督管理总局令44号；国家安全监管总局令第80号修正，2015年7月1日实施）</w:t>
      </w:r>
    </w:p>
    <w:p w14:paraId="673232E0">
      <w:pPr>
        <w:pStyle w:val="21"/>
        <w:numPr>
          <w:ilvl w:val="0"/>
          <w:numId w:val="3"/>
        </w:numPr>
        <w:adjustRightInd w:val="0"/>
        <w:snapToGrid w:val="0"/>
        <w:ind w:left="0" w:firstLine="560"/>
      </w:pPr>
      <w:r>
        <w:rPr>
          <w:rFonts w:hint="eastAsia"/>
        </w:rPr>
        <w:t>《辽宁省雷电灾害防御管理规定》（辽宁省人民政府令第324号，2018年11月26日实施）</w:t>
      </w:r>
    </w:p>
    <w:p w14:paraId="501D0F81">
      <w:pPr>
        <w:pStyle w:val="21"/>
        <w:numPr>
          <w:ilvl w:val="0"/>
          <w:numId w:val="3"/>
        </w:numPr>
        <w:adjustRightInd w:val="0"/>
        <w:snapToGrid w:val="0"/>
        <w:ind w:left="0" w:firstLine="560"/>
      </w:pPr>
      <w:r>
        <w:rPr>
          <w:rFonts w:hint="eastAsia"/>
        </w:rPr>
        <w:t>《辽宁省企业安全生产主体责任规定》（辽宁省人民政府令[2021]第341号，自2021年05月18日实施）</w:t>
      </w:r>
    </w:p>
    <w:p w14:paraId="6C8056B1">
      <w:pPr>
        <w:pStyle w:val="21"/>
        <w:keepNext/>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1.2.4规范性文件</w:t>
      </w:r>
    </w:p>
    <w:p w14:paraId="57B700BF">
      <w:pPr>
        <w:pStyle w:val="21"/>
        <w:numPr>
          <w:ilvl w:val="0"/>
          <w:numId w:val="4"/>
        </w:numPr>
        <w:adjustRightInd w:val="0"/>
        <w:snapToGrid w:val="0"/>
        <w:ind w:left="0" w:firstLine="560"/>
      </w:pPr>
      <w:r>
        <w:rPr>
          <w:rFonts w:hint="eastAsia"/>
        </w:rPr>
        <w:t>《高毒物品目录（2003年版）》（卫法监发[2003]142号，2003年06月10日施行）</w:t>
      </w:r>
    </w:p>
    <w:p w14:paraId="6FC4A4AA">
      <w:pPr>
        <w:pStyle w:val="21"/>
        <w:numPr>
          <w:ilvl w:val="0"/>
          <w:numId w:val="4"/>
        </w:numPr>
        <w:adjustRightInd w:val="0"/>
        <w:snapToGrid w:val="0"/>
        <w:ind w:left="0" w:firstLine="560"/>
      </w:pPr>
      <w:r>
        <w:rPr>
          <w:rFonts w:hint="eastAsia"/>
        </w:rPr>
        <w:t>《国家安全监管总局关于公布首批重点监管的危险化工工艺目录的通知》（安监总管三〔2009〕第116号，自2009年6月12日施行）</w:t>
      </w:r>
    </w:p>
    <w:p w14:paraId="617D8A2B">
      <w:pPr>
        <w:pStyle w:val="21"/>
        <w:numPr>
          <w:ilvl w:val="0"/>
          <w:numId w:val="4"/>
        </w:numPr>
        <w:adjustRightInd w:val="0"/>
        <w:snapToGrid w:val="0"/>
        <w:ind w:left="0" w:firstLine="560"/>
      </w:pPr>
      <w:r>
        <w:rPr>
          <w:rFonts w:hint="eastAsia"/>
        </w:rPr>
        <w:t>《国家安全监管总局关于公布第二批重点监管危险化工工艺目录和调整首批重点监管危险化工工艺中部分典型工艺的通知》（安监总管三〔2013〕3号，自2013年1月15日起施行）</w:t>
      </w:r>
    </w:p>
    <w:p w14:paraId="1941ED5E">
      <w:pPr>
        <w:pStyle w:val="21"/>
        <w:numPr>
          <w:ilvl w:val="0"/>
          <w:numId w:val="4"/>
        </w:numPr>
        <w:adjustRightInd w:val="0"/>
        <w:snapToGrid w:val="0"/>
        <w:ind w:left="0" w:firstLine="560"/>
      </w:pPr>
      <w:r>
        <w:rPr>
          <w:rFonts w:hint="eastAsia"/>
        </w:rPr>
        <w:t>《国家安全监管总局关于公布首批重点监管的危险化学品名录的通知》（原国家安全生产监督管理总局 安监总管三[2011]95号，2011年6月21日实施）</w:t>
      </w:r>
    </w:p>
    <w:p w14:paraId="0B9DC2E8">
      <w:pPr>
        <w:pStyle w:val="21"/>
        <w:numPr>
          <w:ilvl w:val="0"/>
          <w:numId w:val="4"/>
        </w:numPr>
        <w:adjustRightInd w:val="0"/>
        <w:snapToGrid w:val="0"/>
        <w:ind w:left="0" w:firstLine="560"/>
      </w:pPr>
      <w:r>
        <w:rPr>
          <w:rFonts w:hint="eastAsia"/>
        </w:rPr>
        <w:t>《国家安全监管总局关于公布第二批重点监管危险化学品名录的通知》（安监总管三[2013]12号，自2013年2月5日施行）</w:t>
      </w:r>
    </w:p>
    <w:p w14:paraId="113BE1BA">
      <w:pPr>
        <w:pStyle w:val="21"/>
        <w:numPr>
          <w:ilvl w:val="0"/>
          <w:numId w:val="4"/>
        </w:numPr>
        <w:adjustRightInd w:val="0"/>
        <w:snapToGrid w:val="0"/>
        <w:ind w:left="0" w:firstLine="560"/>
      </w:pPr>
      <w:r>
        <w:rPr>
          <w:rFonts w:hint="eastAsia"/>
        </w:rPr>
        <w:t>《关于印发首批重点监管的危险化学品安全措施和应急处置原则的通知》（原国家安全生产监督管理总局 安监总厅管三[2011]142号，2011年7月1日实施）</w:t>
      </w:r>
    </w:p>
    <w:p w14:paraId="414F6759">
      <w:pPr>
        <w:pStyle w:val="21"/>
        <w:numPr>
          <w:ilvl w:val="0"/>
          <w:numId w:val="4"/>
        </w:numPr>
        <w:adjustRightInd w:val="0"/>
        <w:snapToGrid w:val="0"/>
        <w:ind w:left="0" w:firstLine="560"/>
      </w:pPr>
      <w:r>
        <w:rPr>
          <w:rFonts w:hint="eastAsia"/>
        </w:rPr>
        <w:t>《关于危险化学品企业贯彻落实&lt;国务院关于进一步加强企业安全生产工作的通知&gt;的实施意见》（原国家安全生产监督管理总局 安监总管三[2010]186号，2010年11月3日实施）</w:t>
      </w:r>
    </w:p>
    <w:p w14:paraId="1E3CA5D0">
      <w:pPr>
        <w:pStyle w:val="21"/>
        <w:numPr>
          <w:ilvl w:val="0"/>
          <w:numId w:val="4"/>
        </w:numPr>
        <w:adjustRightInd w:val="0"/>
        <w:snapToGrid w:val="0"/>
        <w:ind w:left="0" w:firstLine="560"/>
      </w:pPr>
      <w:r>
        <w:rPr>
          <w:rFonts w:hint="eastAsia"/>
        </w:rPr>
        <w:t>《辽宁省安全生产监督管理局贯彻落实〈生产安全事故应急预案管理办法〉实施细则》（辽安监应急〔2017〕5号，2017年9月13日发布）</w:t>
      </w:r>
    </w:p>
    <w:p w14:paraId="0B11C1D1">
      <w:pPr>
        <w:pStyle w:val="21"/>
        <w:numPr>
          <w:ilvl w:val="0"/>
          <w:numId w:val="4"/>
        </w:numPr>
        <w:adjustRightInd w:val="0"/>
        <w:snapToGrid w:val="0"/>
        <w:ind w:left="0" w:firstLine="560"/>
      </w:pPr>
      <w:r>
        <w:rPr>
          <w:rFonts w:hint="eastAsia"/>
        </w:rPr>
        <w:t>《国务院关于进一步加强企业安全生产工作的通知》（国发[2010]23号，2010年7月19日发布）</w:t>
      </w:r>
    </w:p>
    <w:p w14:paraId="17B1E64B">
      <w:pPr>
        <w:pStyle w:val="21"/>
        <w:numPr>
          <w:ilvl w:val="0"/>
          <w:numId w:val="4"/>
        </w:numPr>
        <w:adjustRightInd w:val="0"/>
        <w:snapToGrid w:val="0"/>
        <w:ind w:left="0" w:firstLine="560"/>
      </w:pPr>
      <w:r>
        <w:rPr>
          <w:rFonts w:hint="eastAsia"/>
        </w:rPr>
        <w:t>《辽宁省安全生产委员会关于落实企业全员安全生产责任制的实施意见》（辽安委[2017]45号，2017年12月23日发布）</w:t>
      </w:r>
    </w:p>
    <w:p w14:paraId="1EDC9AE6">
      <w:pPr>
        <w:pStyle w:val="21"/>
        <w:numPr>
          <w:ilvl w:val="0"/>
          <w:numId w:val="4"/>
        </w:numPr>
        <w:adjustRightInd w:val="0"/>
        <w:snapToGrid w:val="0"/>
        <w:ind w:left="0" w:firstLine="560"/>
      </w:pPr>
      <w:r>
        <w:rPr>
          <w:rFonts w:hint="eastAsia"/>
        </w:rPr>
        <w:t>《辽宁省安全生产委员会办公室关于印发&lt;企业安全风险分级管控和隐患排查治理工作指南&gt;和&lt;城市安全风险分级管控和隐患排查治理工作指南&gt;的通知》（辽安委办〔2017〕99号，2017年12月28日）</w:t>
      </w:r>
    </w:p>
    <w:p w14:paraId="102F2041">
      <w:pPr>
        <w:pStyle w:val="21"/>
        <w:numPr>
          <w:ilvl w:val="0"/>
          <w:numId w:val="4"/>
        </w:numPr>
        <w:adjustRightInd w:val="0"/>
        <w:snapToGrid w:val="0"/>
        <w:ind w:left="0" w:firstLine="560"/>
      </w:pPr>
      <w:r>
        <w:rPr>
          <w:rFonts w:hint="eastAsia"/>
        </w:rPr>
        <w:t>《关于开展提升危险化学品领域本质安全水平专项行动的通知》（原国家安全生产监督管理总局 安监总管三[2012]87号，2012年7月1日实施）</w:t>
      </w:r>
    </w:p>
    <w:p w14:paraId="7AF52804">
      <w:pPr>
        <w:pStyle w:val="21"/>
        <w:numPr>
          <w:ilvl w:val="0"/>
          <w:numId w:val="4"/>
        </w:numPr>
        <w:adjustRightInd w:val="0"/>
        <w:snapToGrid w:val="0"/>
        <w:ind w:left="0" w:firstLine="560"/>
      </w:pPr>
      <w:r>
        <w:rPr>
          <w:rFonts w:hint="eastAsia"/>
        </w:rPr>
        <w:t>《关于加强化工安全仪表系统管理的指导意见》（原国家安全生产监督管理总局 安监总管三[2014]116号，2014年11月13日实施）</w:t>
      </w:r>
    </w:p>
    <w:p w14:paraId="2A0D0975">
      <w:pPr>
        <w:pStyle w:val="21"/>
        <w:numPr>
          <w:ilvl w:val="0"/>
          <w:numId w:val="4"/>
        </w:numPr>
        <w:adjustRightInd w:val="0"/>
        <w:snapToGrid w:val="0"/>
        <w:ind w:left="0" w:firstLine="560"/>
      </w:pPr>
      <w:r>
        <w:rPr>
          <w:rFonts w:hint="eastAsia"/>
        </w:rPr>
        <w:t>《化工和危险化学品生产经营单位重大生产安全事故隐患判定标准（试行）》（原国家安全生产监督管理总局 安监总管三〔2017〕121号，2017年11月13日发布）</w:t>
      </w:r>
    </w:p>
    <w:p w14:paraId="5EE8F263">
      <w:pPr>
        <w:pStyle w:val="21"/>
        <w:numPr>
          <w:ilvl w:val="0"/>
          <w:numId w:val="4"/>
        </w:numPr>
        <w:adjustRightInd w:val="0"/>
        <w:snapToGrid w:val="0"/>
        <w:ind w:left="0" w:firstLine="560"/>
      </w:pPr>
      <w:r>
        <w:rPr>
          <w:rFonts w:hint="eastAsia"/>
        </w:rPr>
        <w:t>《辽宁省生产安全事故应急预案管理办法实施细则》（辽宁省安全生产监督管理局 辽安监应急[2010]30号，2010年3月30日实施）</w:t>
      </w:r>
    </w:p>
    <w:p w14:paraId="29A7A4AC">
      <w:pPr>
        <w:pStyle w:val="21"/>
        <w:numPr>
          <w:ilvl w:val="0"/>
          <w:numId w:val="4"/>
        </w:numPr>
        <w:adjustRightInd w:val="0"/>
        <w:snapToGrid w:val="0"/>
        <w:ind w:left="0" w:firstLine="560"/>
      </w:pPr>
      <w:r>
        <w:rPr>
          <w:rFonts w:hint="eastAsia"/>
        </w:rPr>
        <w:t>《辽宁省人民政府关于进一步加强企业安全生产工作的实施意见》（辽政发[2010]36号，2010年11月11日实施）</w:t>
      </w:r>
    </w:p>
    <w:p w14:paraId="038D5FC4">
      <w:pPr>
        <w:pStyle w:val="21"/>
        <w:numPr>
          <w:ilvl w:val="0"/>
          <w:numId w:val="4"/>
        </w:numPr>
        <w:adjustRightInd w:val="0"/>
        <w:snapToGrid w:val="0"/>
        <w:ind w:left="0" w:firstLine="560"/>
      </w:pPr>
      <w:r>
        <w:rPr>
          <w:rFonts w:hint="eastAsia"/>
        </w:rPr>
        <w:t>《国家安全监管总局关于印发遏制危险化学品和烟花爆竹重特大事故工作意见的通知》（安监总管三[2016]62号，2016年6月3日实施）</w:t>
      </w:r>
    </w:p>
    <w:p w14:paraId="619F9A06">
      <w:pPr>
        <w:pStyle w:val="21"/>
        <w:numPr>
          <w:ilvl w:val="0"/>
          <w:numId w:val="4"/>
        </w:numPr>
        <w:adjustRightInd w:val="0"/>
        <w:snapToGrid w:val="0"/>
        <w:ind w:left="0" w:firstLine="560"/>
      </w:pPr>
      <w:r>
        <w:rPr>
          <w:rFonts w:hint="eastAsia"/>
        </w:rPr>
        <w:t>《国务院安委会办公室关于进一步加强危险化学品安全生产工作的指导意见》（安委办[2008]26号，2008年9月14日实施）</w:t>
      </w:r>
    </w:p>
    <w:p w14:paraId="42E4BE62">
      <w:pPr>
        <w:pStyle w:val="21"/>
        <w:numPr>
          <w:ilvl w:val="0"/>
          <w:numId w:val="4"/>
        </w:numPr>
        <w:adjustRightInd w:val="0"/>
        <w:snapToGrid w:val="0"/>
        <w:ind w:left="0" w:firstLine="560"/>
      </w:pPr>
      <w:r>
        <w:rPr>
          <w:rFonts w:hint="eastAsia"/>
        </w:rPr>
        <w:t>《国务院安委会办公室关于全面排查整治危险化学品和烟花爆竹企业安全隐患的通知》（安委办[2011]26号，2011年8月11日实施）</w:t>
      </w:r>
    </w:p>
    <w:p w14:paraId="5C688626">
      <w:pPr>
        <w:pStyle w:val="21"/>
        <w:numPr>
          <w:ilvl w:val="0"/>
          <w:numId w:val="4"/>
        </w:numPr>
        <w:adjustRightInd w:val="0"/>
        <w:snapToGrid w:val="0"/>
        <w:ind w:left="0" w:firstLine="560"/>
      </w:pPr>
      <w:r>
        <w:rPr>
          <w:rFonts w:hint="eastAsia"/>
        </w:rPr>
        <w:t>《危险化学品生产、储存装置个人可接受风险标准和社会可接受风险标准（试行）》（原国家安全生产监督管理总局 公告 2014年第13号，2014年5月7日实施）</w:t>
      </w:r>
    </w:p>
    <w:p w14:paraId="66074F27">
      <w:pPr>
        <w:pStyle w:val="21"/>
        <w:numPr>
          <w:ilvl w:val="0"/>
          <w:numId w:val="4"/>
        </w:numPr>
        <w:adjustRightInd w:val="0"/>
        <w:snapToGrid w:val="0"/>
        <w:ind w:left="0" w:firstLine="560"/>
      </w:pPr>
      <w:r>
        <w:rPr>
          <w:rFonts w:hint="eastAsia"/>
        </w:rPr>
        <w:t>《应急管理部办公厅关于印发&lt;危险化学品企业重大危险源安全包保责任制办法（试行）&gt;的通知》（应急厅[2021]12号，2021年2月4日实施）</w:t>
      </w:r>
    </w:p>
    <w:p w14:paraId="31944D81">
      <w:pPr>
        <w:pStyle w:val="21"/>
        <w:numPr>
          <w:ilvl w:val="0"/>
          <w:numId w:val="4"/>
        </w:numPr>
        <w:adjustRightInd w:val="0"/>
        <w:snapToGrid w:val="0"/>
        <w:ind w:left="0" w:firstLine="560"/>
      </w:pPr>
      <w:r>
        <w:rPr>
          <w:rFonts w:hint="eastAsia"/>
        </w:rPr>
        <w:t>《国务院安全生产委员会关于印发&lt;全国危险化学品安全风险集中治理方案&gt;的通知》（安委〔2021〕12号，2022年1月5日实施）</w:t>
      </w:r>
    </w:p>
    <w:p w14:paraId="1C89973D">
      <w:pPr>
        <w:pStyle w:val="21"/>
        <w:numPr>
          <w:ilvl w:val="0"/>
          <w:numId w:val="4"/>
        </w:numPr>
        <w:adjustRightInd w:val="0"/>
        <w:snapToGrid w:val="0"/>
        <w:ind w:left="0" w:firstLine="560"/>
      </w:pPr>
      <w:r>
        <w:rPr>
          <w:rFonts w:hint="eastAsia"/>
        </w:rPr>
        <w:t>《国务院安全生产委员会印发〈关于进一步强化安全生产责任落实坚决防范遏制重特大事故的若干措施〉的通知》（安委〔2022〕6号）</w:t>
      </w:r>
    </w:p>
    <w:p w14:paraId="2B9AEC72">
      <w:pPr>
        <w:pStyle w:val="21"/>
        <w:numPr>
          <w:ilvl w:val="0"/>
          <w:numId w:val="4"/>
        </w:numPr>
        <w:adjustRightInd w:val="0"/>
        <w:snapToGrid w:val="0"/>
        <w:ind w:left="0" w:firstLine="560"/>
      </w:pPr>
      <w:r>
        <w:rPr>
          <w:rFonts w:hint="eastAsia"/>
        </w:rPr>
        <w:t>《国务院安委会办公室关于印发&lt;安全生产治本攻坚三年行动方案（2024-2026年）&gt;子方案的通知》（安委办〔</w:t>
      </w:r>
      <w:r>
        <w:rPr>
          <w:rFonts w:hint="eastAsia" w:cs="Times New Roman"/>
        </w:rPr>
        <w:t>2024</w:t>
      </w:r>
      <w:r>
        <w:rPr>
          <w:rFonts w:hint="eastAsia"/>
        </w:rPr>
        <w:t>〕1号，2024年1月23日实施）</w:t>
      </w:r>
    </w:p>
    <w:p w14:paraId="450613EA">
      <w:pPr>
        <w:pStyle w:val="21"/>
        <w:numPr>
          <w:ilvl w:val="0"/>
          <w:numId w:val="4"/>
        </w:numPr>
        <w:adjustRightInd w:val="0"/>
        <w:snapToGrid w:val="0"/>
        <w:ind w:left="0" w:firstLine="560"/>
      </w:pPr>
      <w:r>
        <w:rPr>
          <w:rFonts w:hint="eastAsia"/>
        </w:rPr>
        <w:t>《国务院安委会办公室关于学好用好重大事故隐患判定标准的通知》（安委办〔2024〕2号，2024年4月15日实施）</w:t>
      </w:r>
    </w:p>
    <w:p w14:paraId="142A878D">
      <w:pPr>
        <w:pStyle w:val="21"/>
        <w:numPr>
          <w:ilvl w:val="0"/>
          <w:numId w:val="4"/>
        </w:numPr>
        <w:adjustRightInd w:val="0"/>
        <w:snapToGrid w:val="0"/>
        <w:ind w:left="0" w:firstLine="560"/>
      </w:pPr>
      <w:r>
        <w:rPr>
          <w:rFonts w:hint="eastAsia"/>
        </w:rPr>
        <w:t>《关于印发&lt;企业安全生产费用提取和使用管理办法&gt;的通知》（财资〔2022〕136号，2022年11月21日实施）</w:t>
      </w:r>
    </w:p>
    <w:p w14:paraId="506D9B93">
      <w:pPr>
        <w:pStyle w:val="21"/>
        <w:numPr>
          <w:ilvl w:val="0"/>
          <w:numId w:val="4"/>
        </w:numPr>
        <w:adjustRightInd w:val="0"/>
        <w:snapToGrid w:val="0"/>
        <w:ind w:left="0" w:firstLine="560"/>
      </w:pPr>
      <w:r>
        <w:rPr>
          <w:rFonts w:hint="eastAsia"/>
        </w:rPr>
        <w:t>《产业结构调整指导目录（2024年本）》（国家发展改革委令[2023]7号，2024年2月1日施行）</w:t>
      </w:r>
    </w:p>
    <w:p w14:paraId="553060DA">
      <w:pPr>
        <w:pStyle w:val="21"/>
        <w:numPr>
          <w:ilvl w:val="0"/>
          <w:numId w:val="4"/>
        </w:numPr>
        <w:adjustRightInd w:val="0"/>
        <w:snapToGrid w:val="0"/>
        <w:ind w:left="0" w:firstLine="560"/>
      </w:pPr>
      <w:r>
        <w:rPr>
          <w:rFonts w:hint="eastAsia"/>
        </w:rPr>
        <w:t>《应急管理部办公厅关于印发&lt;淘汰落后危险化学品安全生产工艺技术设备目录（第一批）&gt;的通知》（应急厅〔2020〕38号，2020年10月23日实施）</w:t>
      </w:r>
    </w:p>
    <w:p w14:paraId="00774753">
      <w:pPr>
        <w:pStyle w:val="21"/>
        <w:numPr>
          <w:ilvl w:val="0"/>
          <w:numId w:val="4"/>
        </w:numPr>
        <w:adjustRightInd w:val="0"/>
        <w:snapToGrid w:val="0"/>
        <w:ind w:left="0" w:firstLine="560"/>
      </w:pPr>
      <w:r>
        <w:rPr>
          <w:rFonts w:hint="eastAsia"/>
        </w:rPr>
        <w:t>《应急管理部办公厅关于印发&lt;淘汰落后危险化学品安全生产工艺技术设备目录（第二批）&gt;的通知》（应急厅〔2024〕86号，2024年3月12日实施）</w:t>
      </w:r>
    </w:p>
    <w:p w14:paraId="612B2577">
      <w:pPr>
        <w:pStyle w:val="21"/>
        <w:numPr>
          <w:ilvl w:val="0"/>
          <w:numId w:val="4"/>
        </w:numPr>
        <w:adjustRightInd w:val="0"/>
        <w:snapToGrid w:val="0"/>
        <w:ind w:left="0" w:firstLine="560"/>
      </w:pPr>
      <w:r>
        <w:rPr>
          <w:rFonts w:hint="eastAsia"/>
        </w:rPr>
        <w:t>《关于氯气安全设施和应急技术的指导意见》（中国氯碱工业协会（2010）协字第070号）</w:t>
      </w:r>
    </w:p>
    <w:p w14:paraId="2E6E9D00">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w:t>
      </w:r>
      <w:r>
        <w:rPr>
          <w:rFonts w:hint="eastAsia" w:eastAsia="黑体" w:cs="Times New Roman"/>
          <w:b/>
          <w:bCs/>
        </w:rPr>
        <w:t>5</w:t>
      </w:r>
      <w:r>
        <w:rPr>
          <w:rFonts w:hint="eastAsia" w:ascii="黑体" w:hAnsi="黑体" w:eastAsia="黑体"/>
          <w:b/>
          <w:bCs/>
        </w:rPr>
        <w:t>标准、规范</w:t>
      </w:r>
    </w:p>
    <w:p w14:paraId="6489C457">
      <w:pPr>
        <w:pStyle w:val="21"/>
        <w:numPr>
          <w:ilvl w:val="0"/>
          <w:numId w:val="5"/>
        </w:numPr>
        <w:adjustRightInd w:val="0"/>
        <w:snapToGrid w:val="0"/>
        <w:ind w:left="0" w:firstLine="560"/>
      </w:pPr>
      <w:r>
        <w:rPr>
          <w:rFonts w:hint="eastAsia"/>
        </w:rPr>
        <w:t>《危险化学品重大危险源辨识》（GB 18218-2018）</w:t>
      </w:r>
    </w:p>
    <w:p w14:paraId="143E386A">
      <w:pPr>
        <w:pStyle w:val="21"/>
        <w:numPr>
          <w:ilvl w:val="0"/>
          <w:numId w:val="5"/>
        </w:numPr>
        <w:adjustRightInd w:val="0"/>
        <w:snapToGrid w:val="0"/>
        <w:ind w:left="0" w:firstLine="560"/>
      </w:pPr>
      <w:r>
        <w:rPr>
          <w:rFonts w:hint="eastAsia"/>
        </w:rPr>
        <w:t>《危险化学品生产装置和储存设施风险基准》（GB 36894-2018）</w:t>
      </w:r>
    </w:p>
    <w:p w14:paraId="52F81F46">
      <w:pPr>
        <w:pStyle w:val="21"/>
        <w:numPr>
          <w:ilvl w:val="0"/>
          <w:numId w:val="5"/>
        </w:numPr>
        <w:adjustRightInd w:val="0"/>
        <w:snapToGrid w:val="0"/>
        <w:ind w:left="0" w:firstLine="560"/>
      </w:pPr>
      <w:r>
        <w:rPr>
          <w:rFonts w:hint="eastAsia"/>
        </w:rPr>
        <w:t>《危险化学品生产装置和储存设施外部安全防护距离确定方法》（GB/T 37243-2019）</w:t>
      </w:r>
    </w:p>
    <w:p w14:paraId="13D49A0C">
      <w:pPr>
        <w:pStyle w:val="21"/>
        <w:numPr>
          <w:ilvl w:val="0"/>
          <w:numId w:val="5"/>
        </w:numPr>
        <w:adjustRightInd w:val="0"/>
        <w:snapToGrid w:val="0"/>
        <w:ind w:left="0" w:firstLine="560"/>
      </w:pPr>
      <w:r>
        <w:rPr>
          <w:rFonts w:hint="eastAsia"/>
        </w:rPr>
        <w:t>《化工企业定量风险评价导则》（AQ/T 3046-2013）</w:t>
      </w:r>
    </w:p>
    <w:p w14:paraId="5E267B20">
      <w:pPr>
        <w:pStyle w:val="21"/>
        <w:numPr>
          <w:ilvl w:val="0"/>
          <w:numId w:val="5"/>
        </w:numPr>
        <w:adjustRightInd w:val="0"/>
        <w:snapToGrid w:val="0"/>
        <w:ind w:left="0" w:firstLine="560"/>
      </w:pPr>
      <w:r>
        <w:rPr>
          <w:rFonts w:hint="eastAsia"/>
        </w:rPr>
        <w:t>《危险化学品重大危险源安全监控通用技术规范》（AQ 3035-2010）</w:t>
      </w:r>
    </w:p>
    <w:p w14:paraId="054E6062">
      <w:pPr>
        <w:pStyle w:val="21"/>
        <w:numPr>
          <w:ilvl w:val="0"/>
          <w:numId w:val="5"/>
        </w:numPr>
        <w:adjustRightInd w:val="0"/>
        <w:snapToGrid w:val="0"/>
        <w:ind w:left="0" w:firstLine="560"/>
      </w:pPr>
      <w:r>
        <w:rPr>
          <w:rFonts w:hint="eastAsia"/>
        </w:rPr>
        <w:t>《危险化学品重大危险源 罐区现场安全监控装备设置规范》（AQ 3036-2010）</w:t>
      </w:r>
    </w:p>
    <w:p w14:paraId="2BE32180">
      <w:pPr>
        <w:pStyle w:val="21"/>
        <w:numPr>
          <w:ilvl w:val="0"/>
          <w:numId w:val="5"/>
        </w:numPr>
        <w:adjustRightInd w:val="0"/>
        <w:snapToGrid w:val="0"/>
        <w:ind w:left="0" w:firstLine="560"/>
        <w:rPr>
          <w:highlight w:val="none"/>
        </w:rPr>
      </w:pPr>
      <w:r>
        <w:rPr>
          <w:rFonts w:hint="eastAsia"/>
          <w:highlight w:val="none"/>
        </w:rPr>
        <w:t>《危险化学品重大危险源安全监控技术规范》（GB 17681-2024）</w:t>
      </w:r>
    </w:p>
    <w:p w14:paraId="67167534">
      <w:pPr>
        <w:pStyle w:val="21"/>
        <w:numPr>
          <w:ilvl w:val="0"/>
          <w:numId w:val="5"/>
        </w:numPr>
        <w:adjustRightInd w:val="0"/>
        <w:snapToGrid w:val="0"/>
        <w:ind w:left="0" w:firstLine="560"/>
        <w:rPr>
          <w:rFonts w:hint="eastAsia"/>
          <w:highlight w:val="none"/>
        </w:rPr>
      </w:pPr>
      <w:r>
        <w:rPr>
          <w:rFonts w:hint="eastAsia"/>
          <w:highlight w:val="none"/>
        </w:rPr>
        <w:t>《</w:t>
      </w:r>
      <w:r>
        <w:rPr>
          <w:rFonts w:hint="eastAsia"/>
          <w:highlight w:val="none"/>
          <w:lang w:val="en-US" w:eastAsia="zh-CN"/>
        </w:rPr>
        <w:t>化工企业氯气安全技术规范</w:t>
      </w:r>
      <w:r>
        <w:rPr>
          <w:rFonts w:hint="eastAsia"/>
          <w:highlight w:val="none"/>
        </w:rPr>
        <w:t>》（GB 11984-20</w:t>
      </w:r>
      <w:r>
        <w:rPr>
          <w:rFonts w:hint="eastAsia"/>
          <w:highlight w:val="none"/>
          <w:lang w:val="en-US" w:eastAsia="zh-CN"/>
        </w:rPr>
        <w:t>24</w:t>
      </w:r>
      <w:r>
        <w:rPr>
          <w:rFonts w:hint="eastAsia"/>
          <w:highlight w:val="none"/>
        </w:rPr>
        <w:t>）</w:t>
      </w:r>
    </w:p>
    <w:p w14:paraId="142C865B">
      <w:pPr>
        <w:pStyle w:val="21"/>
        <w:numPr>
          <w:ilvl w:val="0"/>
          <w:numId w:val="5"/>
        </w:numPr>
        <w:adjustRightInd w:val="0"/>
        <w:snapToGrid w:val="0"/>
        <w:ind w:left="0" w:firstLine="560"/>
        <w:rPr>
          <w:highlight w:val="none"/>
        </w:rPr>
      </w:pPr>
      <w:r>
        <w:rPr>
          <w:rFonts w:hint="eastAsia"/>
          <w:highlight w:val="none"/>
        </w:rPr>
        <w:t>《液氯使用安全技术要求》（AQ 3014-2008）</w:t>
      </w:r>
    </w:p>
    <w:p w14:paraId="4B228BD6">
      <w:pPr>
        <w:pStyle w:val="21"/>
        <w:numPr>
          <w:ilvl w:val="0"/>
          <w:numId w:val="5"/>
        </w:numPr>
        <w:adjustRightInd w:val="0"/>
        <w:snapToGrid w:val="0"/>
        <w:ind w:left="0" w:firstLine="560"/>
        <w:rPr>
          <w:highlight w:val="none"/>
        </w:rPr>
      </w:pPr>
      <w:r>
        <w:rPr>
          <w:rFonts w:hint="eastAsia"/>
          <w:highlight w:val="none"/>
        </w:rPr>
        <w:t>《液氯泄漏的处理处置方法》（HG/T 4684-2014）</w:t>
      </w:r>
    </w:p>
    <w:p w14:paraId="7CAA4044">
      <w:pPr>
        <w:pStyle w:val="21"/>
        <w:numPr>
          <w:ilvl w:val="0"/>
          <w:numId w:val="5"/>
        </w:numPr>
        <w:adjustRightInd w:val="0"/>
        <w:snapToGrid w:val="0"/>
        <w:ind w:left="0" w:firstLine="560"/>
        <w:rPr>
          <w:highlight w:val="none"/>
        </w:rPr>
      </w:pPr>
      <w:r>
        <w:rPr>
          <w:rFonts w:hint="eastAsia"/>
          <w:highlight w:val="none"/>
        </w:rPr>
        <w:t>《工业用液氯》GB/T5138-2021</w:t>
      </w:r>
    </w:p>
    <w:p w14:paraId="2271A1C6">
      <w:pPr>
        <w:pStyle w:val="21"/>
        <w:numPr>
          <w:ilvl w:val="0"/>
          <w:numId w:val="5"/>
        </w:numPr>
        <w:adjustRightInd w:val="0"/>
        <w:snapToGrid w:val="0"/>
        <w:ind w:left="0" w:firstLine="560"/>
        <w:rPr>
          <w:highlight w:val="none"/>
        </w:rPr>
      </w:pPr>
      <w:r>
        <w:rPr>
          <w:rFonts w:hint="eastAsia"/>
          <w:highlight w:val="none"/>
        </w:rPr>
        <w:t>《剧毒化学品、放射源存放场所治安防范要求》（GA 1002-2012）</w:t>
      </w:r>
    </w:p>
    <w:p w14:paraId="2A357DED">
      <w:pPr>
        <w:pStyle w:val="21"/>
        <w:numPr>
          <w:ilvl w:val="0"/>
          <w:numId w:val="5"/>
        </w:numPr>
        <w:adjustRightInd w:val="0"/>
        <w:snapToGrid w:val="0"/>
        <w:ind w:left="0" w:firstLine="560"/>
      </w:pPr>
      <w:r>
        <w:rPr>
          <w:rFonts w:hint="eastAsia"/>
        </w:rPr>
        <w:t>《建筑设计防火规范（2018年版）》（GB 50016-2014）</w:t>
      </w:r>
    </w:p>
    <w:p w14:paraId="644D194B">
      <w:pPr>
        <w:pStyle w:val="21"/>
        <w:numPr>
          <w:ilvl w:val="0"/>
          <w:numId w:val="5"/>
        </w:numPr>
        <w:adjustRightInd w:val="0"/>
        <w:snapToGrid w:val="0"/>
        <w:ind w:left="0" w:firstLine="560"/>
      </w:pPr>
      <w:r>
        <w:rPr>
          <w:rFonts w:hint="eastAsia"/>
        </w:rPr>
        <w:t>《工业企业总平面设计规范》（GB 50187-2012）</w:t>
      </w:r>
    </w:p>
    <w:p w14:paraId="4FDCFAEA">
      <w:pPr>
        <w:pStyle w:val="21"/>
        <w:numPr>
          <w:ilvl w:val="0"/>
          <w:numId w:val="5"/>
        </w:numPr>
        <w:adjustRightInd w:val="0"/>
        <w:snapToGrid w:val="0"/>
        <w:ind w:left="0" w:firstLine="560"/>
      </w:pPr>
      <w:r>
        <w:rPr>
          <w:rFonts w:hint="eastAsia"/>
        </w:rPr>
        <w:t>《建筑物防雷设计规范》（GB 50057-2010）</w:t>
      </w:r>
    </w:p>
    <w:p w14:paraId="79018FE1">
      <w:pPr>
        <w:pStyle w:val="21"/>
        <w:numPr>
          <w:ilvl w:val="0"/>
          <w:numId w:val="5"/>
        </w:numPr>
        <w:adjustRightInd w:val="0"/>
        <w:snapToGrid w:val="0"/>
        <w:ind w:left="0" w:firstLine="560"/>
        <w:rPr>
          <w:highlight w:val="none"/>
        </w:rPr>
      </w:pPr>
      <w:r>
        <w:rPr>
          <w:rFonts w:hint="eastAsia"/>
          <w:highlight w:val="none"/>
        </w:rPr>
        <w:t>《</w:t>
      </w:r>
      <w:r>
        <w:rPr>
          <w:rFonts w:hint="eastAsia"/>
          <w:highlight w:val="none"/>
          <w:lang w:val="en-US" w:eastAsia="zh-CN"/>
        </w:rPr>
        <w:t>安全色和安全标志</w:t>
      </w:r>
      <w:r>
        <w:rPr>
          <w:rFonts w:hint="eastAsia"/>
          <w:highlight w:val="none"/>
        </w:rPr>
        <w:t>》（GB</w:t>
      </w:r>
      <w:r>
        <w:rPr>
          <w:rFonts w:hint="eastAsia"/>
          <w:highlight w:val="none"/>
          <w:lang w:val="en-US" w:eastAsia="zh-CN"/>
        </w:rPr>
        <w:t xml:space="preserve"> 2894</w:t>
      </w:r>
      <w:r>
        <w:rPr>
          <w:rFonts w:hint="eastAsia"/>
          <w:highlight w:val="none"/>
        </w:rPr>
        <w:t>-20</w:t>
      </w:r>
      <w:r>
        <w:rPr>
          <w:rFonts w:hint="eastAsia"/>
          <w:highlight w:val="none"/>
          <w:lang w:val="en-US" w:eastAsia="zh-CN"/>
        </w:rPr>
        <w:t>25</w:t>
      </w:r>
      <w:r>
        <w:rPr>
          <w:rFonts w:hint="eastAsia"/>
          <w:highlight w:val="none"/>
        </w:rPr>
        <w:t>）</w:t>
      </w:r>
    </w:p>
    <w:p w14:paraId="4BF998A8">
      <w:pPr>
        <w:pStyle w:val="21"/>
        <w:numPr>
          <w:ilvl w:val="0"/>
          <w:numId w:val="5"/>
        </w:numPr>
        <w:adjustRightInd w:val="0"/>
        <w:snapToGrid w:val="0"/>
        <w:ind w:left="0" w:firstLine="560"/>
      </w:pPr>
      <w:r>
        <w:rPr>
          <w:rFonts w:hint="eastAsia"/>
        </w:rPr>
        <w:t>《工作场所职业病危害警示标识》（GBZ 158-2003）</w:t>
      </w:r>
    </w:p>
    <w:p w14:paraId="416250DA">
      <w:pPr>
        <w:pStyle w:val="21"/>
        <w:numPr>
          <w:ilvl w:val="0"/>
          <w:numId w:val="5"/>
        </w:numPr>
        <w:adjustRightInd w:val="0"/>
        <w:snapToGrid w:val="0"/>
        <w:ind w:left="0" w:firstLine="560"/>
      </w:pPr>
      <w:r>
        <w:rPr>
          <w:rFonts w:hint="eastAsia"/>
        </w:rPr>
        <w:t>《危险化学品仓库储存通则》（GB 15603-2022）</w:t>
      </w:r>
    </w:p>
    <w:p w14:paraId="73C4A3A4">
      <w:pPr>
        <w:pStyle w:val="21"/>
        <w:numPr>
          <w:ilvl w:val="0"/>
          <w:numId w:val="5"/>
        </w:numPr>
        <w:adjustRightInd w:val="0"/>
        <w:snapToGrid w:val="0"/>
        <w:ind w:left="0" w:firstLine="560"/>
      </w:pPr>
      <w:r>
        <w:rPr>
          <w:rFonts w:hint="eastAsia"/>
        </w:rPr>
        <w:t>《易燃易爆性商品储存养护技术条件》（GB 17914-2013）</w:t>
      </w:r>
    </w:p>
    <w:p w14:paraId="2AF3082D">
      <w:pPr>
        <w:pStyle w:val="21"/>
        <w:numPr>
          <w:ilvl w:val="0"/>
          <w:numId w:val="5"/>
        </w:numPr>
        <w:adjustRightInd w:val="0"/>
        <w:snapToGrid w:val="0"/>
        <w:ind w:left="0" w:firstLine="560"/>
      </w:pPr>
      <w:r>
        <w:rPr>
          <w:rFonts w:hint="eastAsia"/>
        </w:rPr>
        <w:t>《生产安全事故分类与编码》（GB 6441-2025）</w:t>
      </w:r>
    </w:p>
    <w:p w14:paraId="261BD15F">
      <w:pPr>
        <w:pStyle w:val="21"/>
        <w:numPr>
          <w:ilvl w:val="0"/>
          <w:numId w:val="5"/>
        </w:numPr>
        <w:adjustRightInd w:val="0"/>
        <w:snapToGrid w:val="0"/>
        <w:ind w:left="0" w:firstLine="560"/>
      </w:pPr>
      <w:r>
        <w:rPr>
          <w:rFonts w:hint="eastAsia"/>
        </w:rPr>
        <w:t>《生产过程危险和有害因素分类与代码》（GB/T 13861-2022）</w:t>
      </w:r>
    </w:p>
    <w:p w14:paraId="143BFB7C">
      <w:pPr>
        <w:pStyle w:val="21"/>
        <w:numPr>
          <w:ilvl w:val="0"/>
          <w:numId w:val="5"/>
        </w:numPr>
        <w:adjustRightInd w:val="0"/>
        <w:snapToGrid w:val="0"/>
        <w:ind w:left="0" w:firstLine="560"/>
      </w:pPr>
      <w:r>
        <w:rPr>
          <w:rFonts w:hint="eastAsia"/>
        </w:rPr>
        <w:t>《爆炸危险环境电力装置设计规范》（GB 50058-2014）</w:t>
      </w:r>
    </w:p>
    <w:p w14:paraId="7474408B">
      <w:pPr>
        <w:pStyle w:val="21"/>
        <w:numPr>
          <w:ilvl w:val="0"/>
          <w:numId w:val="5"/>
        </w:numPr>
        <w:adjustRightInd w:val="0"/>
        <w:snapToGrid w:val="0"/>
        <w:ind w:left="0" w:firstLine="560"/>
        <w:rPr>
          <w:rFonts w:hint="eastAsia"/>
        </w:rPr>
      </w:pPr>
      <w:r>
        <w:rPr>
          <w:rFonts w:hint="eastAsia"/>
        </w:rPr>
        <w:t>《危险货物品名表》（GB 12268-2025）</w:t>
      </w:r>
    </w:p>
    <w:p w14:paraId="7899853F">
      <w:pPr>
        <w:pStyle w:val="21"/>
        <w:numPr>
          <w:ilvl w:val="0"/>
          <w:numId w:val="5"/>
        </w:numPr>
        <w:adjustRightInd w:val="0"/>
        <w:snapToGrid w:val="0"/>
        <w:ind w:left="0" w:firstLine="560"/>
      </w:pPr>
      <w:r>
        <w:rPr>
          <w:rFonts w:hint="eastAsia"/>
        </w:rPr>
        <w:t>《危险货物分类和品名编号》（GB 6944-2025）</w:t>
      </w:r>
    </w:p>
    <w:p w14:paraId="1AF3EB6F">
      <w:pPr>
        <w:pStyle w:val="21"/>
        <w:numPr>
          <w:ilvl w:val="0"/>
          <w:numId w:val="5"/>
        </w:numPr>
        <w:adjustRightInd w:val="0"/>
        <w:snapToGrid w:val="0"/>
        <w:ind w:left="0" w:firstLine="560"/>
      </w:pPr>
      <w:r>
        <w:rPr>
          <w:rFonts w:hint="eastAsia"/>
        </w:rPr>
        <w:t>《化学品安全标签编写规定》（GB 15258-2009）</w:t>
      </w:r>
    </w:p>
    <w:p w14:paraId="1A9BB627">
      <w:pPr>
        <w:pStyle w:val="21"/>
        <w:numPr>
          <w:ilvl w:val="0"/>
          <w:numId w:val="5"/>
        </w:numPr>
        <w:adjustRightInd w:val="0"/>
        <w:snapToGrid w:val="0"/>
        <w:ind w:left="0" w:firstLine="560"/>
      </w:pPr>
      <w:r>
        <w:rPr>
          <w:rFonts w:hint="eastAsia"/>
        </w:rPr>
        <w:t>《化学品安全技术说明书 内容和项目顺序》（GB/T 16483-2008）</w:t>
      </w:r>
    </w:p>
    <w:p w14:paraId="62A7ABD1">
      <w:pPr>
        <w:pStyle w:val="21"/>
        <w:numPr>
          <w:ilvl w:val="0"/>
          <w:numId w:val="5"/>
        </w:numPr>
        <w:adjustRightInd w:val="0"/>
        <w:snapToGrid w:val="0"/>
        <w:ind w:left="0" w:firstLine="560"/>
      </w:pPr>
      <w:r>
        <w:rPr>
          <w:rFonts w:hint="eastAsia"/>
        </w:rPr>
        <w:t>《机械安全 防护装置 固定式和活动式防护装置的设计与制造一般要求》（GB/T 8196-2018）</w:t>
      </w:r>
    </w:p>
    <w:p w14:paraId="3B04998D">
      <w:pPr>
        <w:pStyle w:val="21"/>
        <w:numPr>
          <w:ilvl w:val="0"/>
          <w:numId w:val="5"/>
        </w:numPr>
        <w:adjustRightInd w:val="0"/>
        <w:snapToGrid w:val="0"/>
        <w:ind w:left="0" w:firstLine="560"/>
      </w:pPr>
      <w:r>
        <w:rPr>
          <w:rFonts w:hint="eastAsia"/>
        </w:rPr>
        <w:t>《工业管道安全技术规程》（TSG 31-2025）</w:t>
      </w:r>
    </w:p>
    <w:p w14:paraId="2BCC083D">
      <w:pPr>
        <w:pStyle w:val="21"/>
        <w:numPr>
          <w:ilvl w:val="0"/>
          <w:numId w:val="5"/>
        </w:numPr>
        <w:adjustRightInd w:val="0"/>
        <w:snapToGrid w:val="0"/>
        <w:ind w:left="0" w:firstLine="560"/>
      </w:pPr>
      <w:r>
        <w:rPr>
          <w:rFonts w:hint="eastAsia"/>
        </w:rPr>
        <w:t>《工作场所毒物危害程度分级标准》（GBZ/T 230-2025）</w:t>
      </w:r>
    </w:p>
    <w:p w14:paraId="33E2A3E9">
      <w:pPr>
        <w:pStyle w:val="21"/>
        <w:numPr>
          <w:ilvl w:val="0"/>
          <w:numId w:val="5"/>
        </w:numPr>
        <w:adjustRightInd w:val="0"/>
        <w:snapToGrid w:val="0"/>
        <w:ind w:left="0" w:firstLine="560"/>
      </w:pPr>
      <w:r>
        <w:rPr>
          <w:rFonts w:hint="eastAsia"/>
        </w:rPr>
        <w:t>《高处作业分级》（GB 3608-2025）</w:t>
      </w:r>
    </w:p>
    <w:p w14:paraId="2EA089B4">
      <w:pPr>
        <w:pStyle w:val="21"/>
        <w:numPr>
          <w:ilvl w:val="0"/>
          <w:numId w:val="5"/>
        </w:numPr>
        <w:adjustRightInd w:val="0"/>
        <w:snapToGrid w:val="0"/>
        <w:ind w:left="0" w:firstLine="560"/>
      </w:pPr>
      <w:r>
        <w:rPr>
          <w:rFonts w:hint="eastAsia"/>
        </w:rPr>
        <w:t>《工业企业设计卫生标准》（GBZ 1-2010）</w:t>
      </w:r>
    </w:p>
    <w:p w14:paraId="32D9B625">
      <w:pPr>
        <w:pStyle w:val="21"/>
        <w:numPr>
          <w:ilvl w:val="0"/>
          <w:numId w:val="5"/>
        </w:numPr>
        <w:adjustRightInd w:val="0"/>
        <w:snapToGrid w:val="0"/>
        <w:ind w:left="0" w:firstLine="560"/>
        <w:rPr>
          <w:rFonts w:hint="eastAsia"/>
        </w:rPr>
      </w:pPr>
      <w:r>
        <w:rPr>
          <w:rFonts w:hint="eastAsia"/>
        </w:rPr>
        <w:t>《工作场所有害因素职业接触限值第1部分：化学有害因素》 （第2号修改单GBZ 2.1-2019/XG2-2024）</w:t>
      </w:r>
    </w:p>
    <w:p w14:paraId="39E4C30C">
      <w:pPr>
        <w:pStyle w:val="21"/>
        <w:numPr>
          <w:ilvl w:val="0"/>
          <w:numId w:val="5"/>
        </w:numPr>
        <w:adjustRightInd w:val="0"/>
        <w:snapToGrid w:val="0"/>
        <w:ind w:left="0" w:firstLine="560"/>
      </w:pPr>
      <w:r>
        <w:rPr>
          <w:rFonts w:hint="eastAsia"/>
        </w:rPr>
        <w:t>《工作场所有害因素职业接触限值 第2部分：物理因素》（GBZ2.2-2007）</w:t>
      </w:r>
    </w:p>
    <w:p w14:paraId="173893B1">
      <w:pPr>
        <w:pStyle w:val="21"/>
        <w:numPr>
          <w:ilvl w:val="0"/>
          <w:numId w:val="5"/>
        </w:numPr>
        <w:adjustRightInd w:val="0"/>
        <w:snapToGrid w:val="0"/>
        <w:ind w:left="0" w:firstLine="560"/>
      </w:pPr>
      <w:r>
        <w:rPr>
          <w:rFonts w:hint="eastAsia"/>
        </w:rPr>
        <w:t>《生产过程安全卫生要求总则》（GB/T 12801-2008）</w:t>
      </w:r>
    </w:p>
    <w:p w14:paraId="7086BD66">
      <w:pPr>
        <w:pStyle w:val="21"/>
        <w:numPr>
          <w:ilvl w:val="0"/>
          <w:numId w:val="5"/>
        </w:numPr>
        <w:adjustRightInd w:val="0"/>
        <w:snapToGrid w:val="0"/>
        <w:ind w:left="0" w:firstLine="560"/>
      </w:pPr>
      <w:r>
        <w:rPr>
          <w:rFonts w:hint="eastAsia"/>
        </w:rPr>
        <w:t>《生产设备安全卫生设计总则》（GB 5083-2023）</w:t>
      </w:r>
    </w:p>
    <w:p w14:paraId="7C1CD28F">
      <w:pPr>
        <w:pStyle w:val="21"/>
        <w:numPr>
          <w:ilvl w:val="0"/>
          <w:numId w:val="5"/>
        </w:numPr>
        <w:adjustRightInd w:val="0"/>
        <w:snapToGrid w:val="0"/>
        <w:ind w:left="0" w:firstLine="560"/>
      </w:pPr>
      <w:r>
        <w:rPr>
          <w:rFonts w:hint="eastAsia"/>
        </w:rPr>
        <w:t>《建筑灭火器配置设计规范》（GB 50140-2005）</w:t>
      </w:r>
    </w:p>
    <w:p w14:paraId="78C6B65A">
      <w:pPr>
        <w:pStyle w:val="21"/>
        <w:numPr>
          <w:ilvl w:val="0"/>
          <w:numId w:val="5"/>
        </w:numPr>
        <w:adjustRightInd w:val="0"/>
        <w:snapToGrid w:val="0"/>
        <w:ind w:left="0" w:firstLine="560"/>
      </w:pPr>
      <w:r>
        <w:rPr>
          <w:rFonts w:hint="eastAsia"/>
        </w:rPr>
        <w:t>《消防应急照明和疏散指示系统》（GB 17945-2024）</w:t>
      </w:r>
    </w:p>
    <w:p w14:paraId="2D341155">
      <w:pPr>
        <w:pStyle w:val="21"/>
        <w:numPr>
          <w:ilvl w:val="0"/>
          <w:numId w:val="5"/>
        </w:numPr>
        <w:adjustRightInd w:val="0"/>
        <w:snapToGrid w:val="0"/>
        <w:ind w:left="0" w:firstLine="560"/>
      </w:pPr>
      <w:r>
        <w:rPr>
          <w:rFonts w:hint="eastAsia"/>
        </w:rPr>
        <w:t>《固定式钢梯及平台安全要求 第1部分：钢直梯》（GB 4053.1-2009）</w:t>
      </w:r>
    </w:p>
    <w:p w14:paraId="4189C0A5">
      <w:pPr>
        <w:pStyle w:val="21"/>
        <w:numPr>
          <w:ilvl w:val="0"/>
          <w:numId w:val="5"/>
        </w:numPr>
        <w:adjustRightInd w:val="0"/>
        <w:snapToGrid w:val="0"/>
        <w:ind w:left="0" w:firstLine="560"/>
      </w:pPr>
      <w:r>
        <w:rPr>
          <w:rFonts w:hint="eastAsia"/>
        </w:rPr>
        <w:t>《固定式钢梯及平台安全要求 第2部分：钢斜梯》（GB 4053.2-2009）</w:t>
      </w:r>
    </w:p>
    <w:p w14:paraId="5CB060D1">
      <w:pPr>
        <w:pStyle w:val="21"/>
        <w:numPr>
          <w:ilvl w:val="0"/>
          <w:numId w:val="5"/>
        </w:numPr>
        <w:adjustRightInd w:val="0"/>
        <w:snapToGrid w:val="0"/>
        <w:ind w:left="0" w:firstLine="560"/>
      </w:pPr>
      <w:r>
        <w:rPr>
          <w:rFonts w:hint="eastAsia"/>
        </w:rPr>
        <w:t>《固定式钢梯及平台安全要求 第3部分：工业防护栏杆及钢平台》（GB 4053.3-2009）</w:t>
      </w:r>
    </w:p>
    <w:p w14:paraId="757F1AD3">
      <w:pPr>
        <w:pStyle w:val="21"/>
        <w:numPr>
          <w:ilvl w:val="0"/>
          <w:numId w:val="5"/>
        </w:numPr>
        <w:adjustRightInd w:val="0"/>
        <w:snapToGrid w:val="0"/>
        <w:ind w:left="0" w:firstLine="560"/>
      </w:pPr>
      <w:r>
        <w:rPr>
          <w:rFonts w:hint="eastAsia"/>
        </w:rPr>
        <w:t>《电力装置的继电保护和自动装置设计规范》（GB/T 50062-2008）</w:t>
      </w:r>
    </w:p>
    <w:p w14:paraId="2834F5E2">
      <w:pPr>
        <w:pStyle w:val="21"/>
        <w:numPr>
          <w:ilvl w:val="0"/>
          <w:numId w:val="5"/>
        </w:numPr>
        <w:adjustRightInd w:val="0"/>
        <w:snapToGrid w:val="0"/>
        <w:ind w:left="0" w:firstLine="560"/>
      </w:pPr>
      <w:r>
        <w:rPr>
          <w:rFonts w:hint="eastAsia"/>
        </w:rPr>
        <w:t>《供配电系统设计规范》（GB 50052-2009）</w:t>
      </w:r>
    </w:p>
    <w:p w14:paraId="12C9A1DE">
      <w:pPr>
        <w:pStyle w:val="21"/>
        <w:numPr>
          <w:ilvl w:val="0"/>
          <w:numId w:val="5"/>
        </w:numPr>
        <w:adjustRightInd w:val="0"/>
        <w:snapToGrid w:val="0"/>
        <w:ind w:left="0" w:firstLine="560"/>
      </w:pPr>
      <w:r>
        <w:rPr>
          <w:rFonts w:hint="eastAsia"/>
        </w:rPr>
        <w:t>《低压配电设计规范》（GB 50054-2011）</w:t>
      </w:r>
    </w:p>
    <w:p w14:paraId="5C536F0E">
      <w:pPr>
        <w:pStyle w:val="21"/>
        <w:numPr>
          <w:ilvl w:val="0"/>
          <w:numId w:val="5"/>
        </w:numPr>
        <w:adjustRightInd w:val="0"/>
        <w:snapToGrid w:val="0"/>
        <w:ind w:left="0" w:firstLine="560"/>
      </w:pPr>
      <w:r>
        <w:rPr>
          <w:rFonts w:hint="eastAsia"/>
        </w:rPr>
        <w:t>《20kV及以下变电所设计规范》（GB 50053-2013）</w:t>
      </w:r>
    </w:p>
    <w:p w14:paraId="0F6CA1DC">
      <w:pPr>
        <w:pStyle w:val="21"/>
        <w:numPr>
          <w:ilvl w:val="0"/>
          <w:numId w:val="5"/>
        </w:numPr>
        <w:adjustRightInd w:val="0"/>
        <w:snapToGrid w:val="0"/>
        <w:ind w:left="0" w:firstLine="560"/>
      </w:pPr>
      <w:r>
        <w:rPr>
          <w:rFonts w:hint="eastAsia"/>
        </w:rPr>
        <w:t>《危险场所电气防爆安全规范》（AQ 3009-2007）</w:t>
      </w:r>
    </w:p>
    <w:p w14:paraId="558A24CD">
      <w:pPr>
        <w:pStyle w:val="21"/>
        <w:numPr>
          <w:ilvl w:val="0"/>
          <w:numId w:val="5"/>
        </w:numPr>
        <w:adjustRightInd w:val="0"/>
        <w:snapToGrid w:val="0"/>
        <w:ind w:left="0" w:firstLine="560"/>
      </w:pPr>
      <w:r>
        <w:rPr>
          <w:rFonts w:hint="eastAsia"/>
        </w:rPr>
        <w:t>《通用用电设备配电设计规范》（GB 50055-2011）</w:t>
      </w:r>
    </w:p>
    <w:p w14:paraId="2FB2A8EF">
      <w:pPr>
        <w:pStyle w:val="21"/>
        <w:numPr>
          <w:ilvl w:val="0"/>
          <w:numId w:val="5"/>
        </w:numPr>
        <w:adjustRightInd w:val="0"/>
        <w:snapToGrid w:val="0"/>
        <w:ind w:left="0" w:firstLine="560"/>
      </w:pPr>
      <w:r>
        <w:rPr>
          <w:rFonts w:hint="eastAsia"/>
        </w:rPr>
        <w:t>《工业电视系统工程设计标准》（GB/T 50115-2019）</w:t>
      </w:r>
    </w:p>
    <w:p w14:paraId="7407B835">
      <w:pPr>
        <w:pStyle w:val="21"/>
        <w:numPr>
          <w:ilvl w:val="0"/>
          <w:numId w:val="5"/>
        </w:numPr>
        <w:adjustRightInd w:val="0"/>
        <w:snapToGrid w:val="0"/>
        <w:ind w:left="0" w:firstLine="560"/>
      </w:pPr>
      <w:r>
        <w:rPr>
          <w:rFonts w:hint="eastAsia"/>
        </w:rPr>
        <w:t>《中华人民共和国劳动部噪声作业分级》（LD 80-1995）</w:t>
      </w:r>
    </w:p>
    <w:p w14:paraId="71C831E2">
      <w:pPr>
        <w:pStyle w:val="21"/>
        <w:numPr>
          <w:ilvl w:val="0"/>
          <w:numId w:val="5"/>
        </w:numPr>
        <w:adjustRightInd w:val="0"/>
        <w:snapToGrid w:val="0"/>
        <w:ind w:left="0" w:firstLine="560"/>
      </w:pPr>
      <w:r>
        <w:rPr>
          <w:rFonts w:hint="eastAsia"/>
        </w:rPr>
        <w:t>《防止静电事故通用要求》（GB 12158-2024）</w:t>
      </w:r>
    </w:p>
    <w:p w14:paraId="76CC8B76">
      <w:pPr>
        <w:pStyle w:val="21"/>
        <w:numPr>
          <w:ilvl w:val="0"/>
          <w:numId w:val="5"/>
        </w:numPr>
        <w:adjustRightInd w:val="0"/>
        <w:snapToGrid w:val="0"/>
        <w:ind w:left="0" w:firstLine="560"/>
      </w:pPr>
      <w:r>
        <w:rPr>
          <w:rFonts w:hint="eastAsia"/>
        </w:rPr>
        <w:t>《工业建筑供暖通风与空气调节设计规范》（GB 50019-2015）</w:t>
      </w:r>
    </w:p>
    <w:p w14:paraId="003C47BD">
      <w:pPr>
        <w:pStyle w:val="21"/>
        <w:numPr>
          <w:ilvl w:val="0"/>
          <w:numId w:val="5"/>
        </w:numPr>
        <w:adjustRightInd w:val="0"/>
        <w:snapToGrid w:val="0"/>
        <w:ind w:left="0" w:firstLine="560"/>
      </w:pPr>
      <w:r>
        <w:rPr>
          <w:rFonts w:hint="eastAsia"/>
        </w:rPr>
        <w:t>《建筑抗震设计标准（2024年版）》（GB/T 50011-2010）</w:t>
      </w:r>
    </w:p>
    <w:p w14:paraId="3CAF9312">
      <w:pPr>
        <w:pStyle w:val="21"/>
        <w:numPr>
          <w:ilvl w:val="0"/>
          <w:numId w:val="5"/>
        </w:numPr>
        <w:adjustRightInd w:val="0"/>
        <w:snapToGrid w:val="0"/>
        <w:ind w:left="0" w:firstLine="560"/>
      </w:pPr>
      <w:r>
        <w:rPr>
          <w:rFonts w:hint="eastAsia"/>
        </w:rPr>
        <w:t>《重大火灾隐患判定方法》（GB 35181-2017）</w:t>
      </w:r>
    </w:p>
    <w:p w14:paraId="36A9E657">
      <w:pPr>
        <w:pStyle w:val="21"/>
        <w:numPr>
          <w:ilvl w:val="0"/>
          <w:numId w:val="5"/>
        </w:numPr>
        <w:adjustRightInd w:val="0"/>
        <w:snapToGrid w:val="0"/>
        <w:ind w:left="0" w:firstLine="560"/>
      </w:pPr>
      <w:r>
        <w:rPr>
          <w:rFonts w:hint="eastAsia"/>
        </w:rPr>
        <w:t>《危险化学品企业特殊作业安全规范》（GB 30871-2022）</w:t>
      </w:r>
    </w:p>
    <w:p w14:paraId="14B74137">
      <w:pPr>
        <w:pStyle w:val="21"/>
        <w:numPr>
          <w:ilvl w:val="0"/>
          <w:numId w:val="5"/>
        </w:numPr>
        <w:adjustRightInd w:val="0"/>
        <w:snapToGrid w:val="0"/>
        <w:ind w:left="0" w:firstLine="560"/>
      </w:pPr>
      <w:r>
        <w:rPr>
          <w:rFonts w:hint="eastAsia"/>
        </w:rPr>
        <w:t>《生产经营单位生产安全事故应急预案编制导则》（GB/T 29639-2020）</w:t>
      </w:r>
    </w:p>
    <w:p w14:paraId="6E63B4FE">
      <w:pPr>
        <w:pStyle w:val="21"/>
        <w:numPr>
          <w:ilvl w:val="0"/>
          <w:numId w:val="5"/>
        </w:numPr>
        <w:adjustRightInd w:val="0"/>
        <w:snapToGrid w:val="0"/>
        <w:ind w:left="0" w:firstLine="560"/>
      </w:pPr>
      <w:r>
        <w:rPr>
          <w:rFonts w:hint="eastAsia"/>
        </w:rPr>
        <w:t>《安全评价通则》（AQ 8001-2007）</w:t>
      </w:r>
    </w:p>
    <w:p w14:paraId="71A007C6">
      <w:pPr>
        <w:pStyle w:val="21"/>
        <w:numPr>
          <w:ilvl w:val="0"/>
          <w:numId w:val="5"/>
        </w:numPr>
        <w:adjustRightInd w:val="0"/>
        <w:snapToGrid w:val="0"/>
        <w:ind w:left="0" w:firstLine="560"/>
      </w:pPr>
      <w:r>
        <w:rPr>
          <w:rFonts w:hint="eastAsia"/>
        </w:rPr>
        <w:t>《建筑防火通用规范》（GB 55037-2022）</w:t>
      </w:r>
    </w:p>
    <w:p w14:paraId="626B4CFC">
      <w:pPr>
        <w:pStyle w:val="21"/>
        <w:numPr>
          <w:ilvl w:val="0"/>
          <w:numId w:val="5"/>
        </w:numPr>
        <w:adjustRightInd w:val="0"/>
        <w:snapToGrid w:val="0"/>
        <w:ind w:left="0" w:firstLine="560"/>
      </w:pPr>
      <w:r>
        <w:rPr>
          <w:rFonts w:hint="eastAsia"/>
        </w:rPr>
        <w:t>《消防设施通用规范》（GB 55036-2022）</w:t>
      </w:r>
    </w:p>
    <w:p w14:paraId="455D01BE">
      <w:pPr>
        <w:pStyle w:val="21"/>
        <w:numPr>
          <w:ilvl w:val="0"/>
          <w:numId w:val="5"/>
        </w:numPr>
        <w:adjustRightInd w:val="0"/>
        <w:snapToGrid w:val="0"/>
        <w:ind w:left="0" w:firstLine="560"/>
      </w:pPr>
      <w:r>
        <w:rPr>
          <w:rFonts w:hint="eastAsia"/>
        </w:rPr>
        <w:t>《危险化学品单位应急救援物资配备要求》（GB 30077-2023）</w:t>
      </w:r>
    </w:p>
    <w:p w14:paraId="2D7501D8">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2" w:name="_Toc7139"/>
      <w:r>
        <w:rPr>
          <w:rFonts w:eastAsia="楷体" w:cs="Times New Roman"/>
          <w:b/>
          <w:bCs/>
          <w:sz w:val="32"/>
          <w:szCs w:val="32"/>
        </w:rPr>
        <w:t>1.3</w:t>
      </w:r>
      <w:r>
        <w:rPr>
          <w:rFonts w:hint="eastAsia" w:ascii="楷体" w:hAnsi="楷体" w:eastAsia="楷体"/>
          <w:b/>
          <w:bCs/>
          <w:sz w:val="32"/>
          <w:szCs w:val="32"/>
        </w:rPr>
        <w:t>安全评估范围</w:t>
      </w:r>
      <w:bookmarkEnd w:id="12"/>
    </w:p>
    <w:p w14:paraId="04565D75">
      <w:pPr>
        <w:pStyle w:val="21"/>
        <w:adjustRightInd w:val="0"/>
        <w:snapToGrid w:val="0"/>
        <w:ind w:left="0" w:leftChars="0" w:firstLine="560" w:firstLineChars="200"/>
        <w:jc w:val="both"/>
        <w:rPr>
          <w:rFonts w:hint="eastAsia"/>
          <w:spacing w:val="-10"/>
          <w:lang w:eastAsia="zh-CN"/>
        </w:rPr>
      </w:pPr>
      <w:r>
        <w:rPr>
          <w:rFonts w:hint="eastAsia"/>
        </w:rPr>
        <w:t>评估对象</w:t>
      </w:r>
      <w:r>
        <w:rPr>
          <w:rFonts w:hint="eastAsia"/>
          <w:lang w:eastAsia="zh-CN"/>
        </w:rPr>
        <w:t>：</w:t>
      </w:r>
      <w:r>
        <w:rPr>
          <w:rFonts w:hint="eastAsia"/>
          <w:spacing w:val="-10"/>
          <w:lang w:eastAsia="zh-CN"/>
        </w:rPr>
        <w:t>朝阳金达钛业股份有限公司</w:t>
      </w:r>
    </w:p>
    <w:p w14:paraId="4A28C423">
      <w:pPr>
        <w:pStyle w:val="21"/>
        <w:adjustRightInd w:val="0"/>
        <w:snapToGrid w:val="0"/>
        <w:ind w:left="0" w:leftChars="0" w:firstLine="520" w:firstLineChars="200"/>
        <w:jc w:val="both"/>
        <w:rPr>
          <w:rFonts w:hint="default"/>
          <w:spacing w:val="-10"/>
          <w:lang w:val="en-US" w:eastAsia="zh-CN"/>
        </w:rPr>
      </w:pPr>
      <w:r>
        <w:rPr>
          <w:rFonts w:hint="eastAsia"/>
          <w:spacing w:val="-10"/>
          <w:lang w:val="en-US" w:eastAsia="zh-CN"/>
        </w:rPr>
        <w:t>辨识范围：1#液氯库</w:t>
      </w:r>
    </w:p>
    <w:p w14:paraId="246210BE">
      <w:pPr>
        <w:pStyle w:val="21"/>
        <w:adjustRightInd w:val="0"/>
        <w:snapToGrid w:val="0"/>
        <w:ind w:firstLine="520"/>
        <w:jc w:val="both"/>
        <w:rPr>
          <w:spacing w:val="-10"/>
        </w:rPr>
      </w:pPr>
      <w:r>
        <w:rPr>
          <w:rFonts w:hint="eastAsia"/>
          <w:spacing w:val="-10"/>
          <w:lang w:val="en-US" w:eastAsia="zh-CN"/>
        </w:rPr>
        <w:t>评估</w:t>
      </w:r>
      <w:r>
        <w:rPr>
          <w:rFonts w:hint="eastAsia"/>
          <w:spacing w:val="-10"/>
        </w:rPr>
        <w:t>范围</w:t>
      </w:r>
      <w:r>
        <w:rPr>
          <w:rFonts w:hint="eastAsia"/>
          <w:spacing w:val="-10"/>
          <w:lang w:eastAsia="zh-CN"/>
        </w:rPr>
        <w:t>：朝阳金达钛业股份有限公司</w:t>
      </w:r>
      <w:r>
        <w:rPr>
          <w:rFonts w:hint="eastAsia"/>
          <w:spacing w:val="-10"/>
          <w:lang w:val="en-US" w:eastAsia="zh-CN"/>
        </w:rPr>
        <w:t>1#液氯库内构成</w:t>
      </w:r>
      <w:r>
        <w:rPr>
          <w:rFonts w:hint="eastAsia"/>
          <w:spacing w:val="-10"/>
        </w:rPr>
        <w:t>危险化学品重大危险源的生产装置</w:t>
      </w:r>
      <w:r>
        <w:rPr>
          <w:rFonts w:hint="eastAsia"/>
          <w:spacing w:val="-10"/>
          <w:lang w:eastAsia="zh-CN"/>
        </w:rPr>
        <w:t>、</w:t>
      </w:r>
      <w:r>
        <w:rPr>
          <w:rFonts w:hint="eastAsia"/>
          <w:spacing w:val="-10"/>
        </w:rPr>
        <w:t>储存场所</w:t>
      </w:r>
      <w:r>
        <w:rPr>
          <w:rFonts w:hint="eastAsia"/>
          <w:spacing w:val="-10"/>
          <w:lang w:eastAsia="zh-CN"/>
        </w:rPr>
        <w:t>、</w:t>
      </w:r>
      <w:r>
        <w:rPr>
          <w:rFonts w:hint="eastAsia"/>
          <w:spacing w:val="-10"/>
        </w:rPr>
        <w:t>与其配套的辅助设施</w:t>
      </w:r>
      <w:r>
        <w:rPr>
          <w:rFonts w:hint="eastAsia"/>
          <w:lang w:eastAsia="zh-CN"/>
        </w:rPr>
        <w:t>及重大危险源安全管理等</w:t>
      </w:r>
      <w:r>
        <w:rPr>
          <w:rFonts w:hint="eastAsia"/>
          <w:spacing w:val="-10"/>
        </w:rPr>
        <w:t>。</w:t>
      </w:r>
    </w:p>
    <w:p w14:paraId="440DD7A1">
      <w:pPr>
        <w:pStyle w:val="21"/>
        <w:adjustRightInd w:val="0"/>
        <w:snapToGrid w:val="0"/>
        <w:ind w:firstLine="560"/>
        <w:jc w:val="both"/>
        <w:rPr>
          <w:rFonts w:hint="eastAsia"/>
          <w:highlight w:val="none"/>
          <w:lang w:eastAsia="zh-CN"/>
        </w:rPr>
      </w:pPr>
      <w:r>
        <w:rPr>
          <w:rFonts w:hint="eastAsia"/>
          <w:highlight w:val="none"/>
        </w:rPr>
        <w:t>评估</w:t>
      </w:r>
      <w:r>
        <w:rPr>
          <w:rFonts w:hint="eastAsia"/>
          <w:highlight w:val="none"/>
          <w:lang w:val="en-US" w:eastAsia="zh-CN"/>
        </w:rPr>
        <w:t>内容</w:t>
      </w:r>
      <w:r>
        <w:rPr>
          <w:rFonts w:hint="eastAsia"/>
          <w:highlight w:val="none"/>
        </w:rPr>
        <w:t>：</w:t>
      </w:r>
      <w:r>
        <w:rPr>
          <w:rFonts w:hint="eastAsia"/>
          <w:highlight w:val="none"/>
          <w:lang w:val="en-US" w:eastAsia="zh-CN"/>
        </w:rPr>
        <w:t>液氯储罐、卸车设备等</w:t>
      </w:r>
      <w:r>
        <w:rPr>
          <w:rFonts w:hint="eastAsia"/>
          <w:highlight w:val="none"/>
          <w:lang w:eastAsia="zh-CN"/>
        </w:rPr>
        <w:t>。</w:t>
      </w:r>
    </w:p>
    <w:p w14:paraId="79824AEB">
      <w:pPr>
        <w:pStyle w:val="21"/>
        <w:adjustRightInd w:val="0"/>
        <w:snapToGrid w:val="0"/>
        <w:ind w:firstLine="560"/>
        <w:jc w:val="both"/>
        <w:rPr>
          <w:rFonts w:hint="eastAsia"/>
          <w:highlight w:val="none"/>
          <w:lang w:eastAsia="zh-CN"/>
        </w:rPr>
      </w:pPr>
      <w:r>
        <w:rPr>
          <w:rFonts w:hint="eastAsia"/>
          <w:highlight w:val="none"/>
          <w:lang w:eastAsia="zh-CN"/>
        </w:rPr>
        <w:t>本次评价只评价</w:t>
      </w:r>
      <w:r>
        <w:rPr>
          <w:rFonts w:hint="eastAsia"/>
          <w:spacing w:val="-10"/>
          <w:lang w:val="en-US" w:eastAsia="zh-CN"/>
        </w:rPr>
        <w:t>1#液氯库内</w:t>
      </w:r>
      <w:r>
        <w:rPr>
          <w:rFonts w:hint="eastAsia"/>
          <w:highlight w:val="none"/>
          <w:lang w:val="en-US" w:eastAsia="zh-CN"/>
        </w:rPr>
        <w:t>构成重大危险源的</w:t>
      </w:r>
      <w:r>
        <w:rPr>
          <w:rFonts w:hint="eastAsia"/>
          <w:highlight w:val="none"/>
          <w:lang w:eastAsia="zh-CN"/>
        </w:rPr>
        <w:t>储存设施，生产四氯化钛以及原料的工艺流程及其他原辅料不在本次评价范围内。</w:t>
      </w:r>
    </w:p>
    <w:p w14:paraId="1DEDD2D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3" w:name="_Toc15678"/>
      <w:r>
        <w:rPr>
          <w:rFonts w:eastAsia="楷体" w:cs="Times New Roman"/>
          <w:b/>
          <w:bCs/>
          <w:sz w:val="32"/>
          <w:szCs w:val="32"/>
        </w:rPr>
        <w:t>1.4</w:t>
      </w:r>
      <w:r>
        <w:rPr>
          <w:rFonts w:hint="eastAsia" w:ascii="楷体" w:hAnsi="楷体" w:eastAsia="楷体"/>
          <w:b/>
          <w:bCs/>
          <w:sz w:val="32"/>
          <w:szCs w:val="32"/>
        </w:rPr>
        <w:t>安全评估程序</w:t>
      </w:r>
      <w:bookmarkEnd w:id="13"/>
    </w:p>
    <w:p w14:paraId="79586C2B">
      <w:pPr>
        <w:pStyle w:val="21"/>
        <w:adjustRightInd w:val="0"/>
        <w:snapToGrid w:val="0"/>
        <w:ind w:firstLine="560"/>
      </w:pPr>
      <w:r>
        <w:rPr>
          <w:rFonts w:hint="eastAsia"/>
        </w:rPr>
        <w:t>辽宁诺诚安全科技有限公司在与</w:t>
      </w:r>
      <w:r>
        <w:rPr>
          <w:rFonts w:hint="eastAsia"/>
          <w:spacing w:val="-10"/>
          <w:lang w:eastAsia="zh-CN"/>
        </w:rPr>
        <w:t>朝阳金达钛业股份有限公司</w:t>
      </w:r>
      <w:r>
        <w:rPr>
          <w:rFonts w:hint="eastAsia"/>
        </w:rPr>
        <w:t>签署技术服务合同后，立即组织专业人员对其厂区及相关证照等法律文书等资料进行调查核实，并对其危险化学品重大危险源进行辨析，明确危险化学品重大危险源等级，对可能出现的主要事故类型和事故等级进行确认，提出安全对策措施，并编制安全评估报告。具体评估程序，见图1.4-1。</w:t>
      </w:r>
    </w:p>
    <w:p w14:paraId="3126490B">
      <w:pPr>
        <w:pStyle w:val="21"/>
        <w:ind w:firstLine="0" w:firstLineChars="0"/>
      </w:pPr>
      <w:r>
        <w:rPr>
          <w:rFonts w:hint="eastAsia"/>
        </w:rPr>
        <mc:AlternateContent>
          <mc:Choice Requires="wpc">
            <w:drawing>
              <wp:inline distT="0" distB="0" distL="0" distR="0">
                <wp:extent cx="5151120" cy="6214110"/>
                <wp:effectExtent l="0" t="0" r="49530" b="15240"/>
                <wp:docPr id="1075532669" name="画布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79837839" name="文本框 1679837839"/>
                        <wps:cNvSpPr txBox="1"/>
                        <wps:spPr>
                          <a:xfrm>
                            <a:off x="1676400" y="114300"/>
                            <a:ext cx="1943100" cy="352425"/>
                          </a:xfrm>
                          <a:prstGeom prst="rect">
                            <a:avLst/>
                          </a:prstGeom>
                          <a:solidFill>
                            <a:schemeClr val="lt1"/>
                          </a:solidFill>
                          <a:ln w="6350">
                            <a:solidFill>
                              <a:prstClr val="black"/>
                            </a:solidFill>
                          </a:ln>
                        </wps:spPr>
                        <wps:txbx>
                          <w:txbxContent>
                            <w:p w14:paraId="572E1DDC">
                              <w:pPr>
                                <w:jc w:val="center"/>
                                <w:rPr>
                                  <w:rFonts w:hint="eastAsia" w:ascii="宋体" w:hAnsi="宋体" w:eastAsia="宋体"/>
                                  <w:sz w:val="21"/>
                                  <w:szCs w:val="21"/>
                                </w:rPr>
                              </w:pPr>
                              <w:r>
                                <w:rPr>
                                  <w:rFonts w:hint="eastAsia" w:ascii="宋体" w:hAnsi="宋体" w:eastAsia="宋体"/>
                                  <w:sz w:val="21"/>
                                  <w:szCs w:val="21"/>
                                </w:rPr>
                                <w:t>重大危险源基本情况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37012249" name="文本框 1"/>
                        <wps:cNvSpPr txBox="1"/>
                        <wps:spPr>
                          <a:xfrm>
                            <a:off x="1676400" y="761025"/>
                            <a:ext cx="1943100" cy="352425"/>
                          </a:xfrm>
                          <a:prstGeom prst="rect">
                            <a:avLst/>
                          </a:prstGeom>
                          <a:solidFill>
                            <a:schemeClr val="lt1"/>
                          </a:solidFill>
                          <a:ln w="6350">
                            <a:solidFill>
                              <a:prstClr val="black"/>
                            </a:solidFill>
                          </a:ln>
                        </wps:spPr>
                        <wps:txbx>
                          <w:txbxContent>
                            <w:p w14:paraId="45F5F6A3">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事故发生的可能性及危害程度</w:t>
                              </w:r>
                            </w:p>
                          </w:txbxContent>
                        </wps:txbx>
                        <wps:bodyPr rot="0" spcFirstLastPara="0" vert="horz" wrap="square" lIns="91440" tIns="45720" rIns="91440" bIns="45720" numCol="1" spcCol="0" rtlCol="0" fromWordArt="0" anchor="t" anchorCtr="0" forceAA="0" compatLnSpc="1">
                          <a:noAutofit/>
                        </wps:bodyPr>
                      </wps:wsp>
                      <wps:wsp>
                        <wps:cNvPr id="1482943789" name="文本框 1"/>
                        <wps:cNvSpPr txBox="1"/>
                        <wps:spPr>
                          <a:xfrm>
                            <a:off x="1676399" y="4323375"/>
                            <a:ext cx="1943100" cy="562950"/>
                          </a:xfrm>
                          <a:prstGeom prst="rect">
                            <a:avLst/>
                          </a:prstGeom>
                          <a:solidFill>
                            <a:schemeClr val="lt1"/>
                          </a:solidFill>
                          <a:ln w="6350">
                            <a:solidFill>
                              <a:prstClr val="black"/>
                            </a:solidFill>
                          </a:ln>
                        </wps:spPr>
                        <wps:txbx>
                          <w:txbxContent>
                            <w:p w14:paraId="0AB559E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重大危险源辨识、分级的符合性分析</w:t>
                              </w:r>
                            </w:p>
                          </w:txbxContent>
                        </wps:txbx>
                        <wps:bodyPr rot="0" spcFirstLastPara="0" vert="horz" wrap="square" lIns="91440" tIns="45720" rIns="91440" bIns="45720" numCol="1" spcCol="0" rtlCol="0" fromWordArt="0" anchor="t" anchorCtr="0" forceAA="0" compatLnSpc="1">
                          <a:noAutofit/>
                        </wps:bodyPr>
                      </wps:wsp>
                      <wps:wsp>
                        <wps:cNvPr id="1053491118" name="文本框 1"/>
                        <wps:cNvSpPr txBox="1"/>
                        <wps:spPr>
                          <a:xfrm>
                            <a:off x="1676399" y="3342300"/>
                            <a:ext cx="1943100" cy="591525"/>
                          </a:xfrm>
                          <a:prstGeom prst="rect">
                            <a:avLst/>
                          </a:prstGeom>
                          <a:solidFill>
                            <a:schemeClr val="lt1"/>
                          </a:solidFill>
                          <a:ln w="6350">
                            <a:solidFill>
                              <a:prstClr val="black"/>
                            </a:solidFill>
                          </a:ln>
                        </wps:spPr>
                        <wps:txbx>
                          <w:txbxContent>
                            <w:p w14:paraId="1CD9A8D1">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定性、定量分析事故发生的可能性及危害程度</w:t>
                              </w:r>
                            </w:p>
                          </w:txbxContent>
                        </wps:txbx>
                        <wps:bodyPr rot="0" spcFirstLastPara="0" vert="horz" wrap="square" lIns="91440" tIns="45720" rIns="91440" bIns="45720" numCol="1" spcCol="0" rtlCol="0" fromWordArt="0" anchor="t" anchorCtr="0" forceAA="0" compatLnSpc="1">
                          <a:noAutofit/>
                        </wps:bodyPr>
                      </wps:wsp>
                      <wps:wsp>
                        <wps:cNvPr id="358847338" name="文本框 1"/>
                        <wps:cNvSpPr txBox="1"/>
                        <wps:spPr>
                          <a:xfrm>
                            <a:off x="1676399" y="1999275"/>
                            <a:ext cx="1943100" cy="1039200"/>
                          </a:xfrm>
                          <a:prstGeom prst="rect">
                            <a:avLst/>
                          </a:prstGeom>
                          <a:solidFill>
                            <a:schemeClr val="lt1"/>
                          </a:solidFill>
                          <a:ln w="6350">
                            <a:solidFill>
                              <a:prstClr val="black"/>
                            </a:solidFill>
                          </a:ln>
                        </wps:spPr>
                        <wps:txbx>
                          <w:txbxContent>
                            <w:p w14:paraId="19347AF7">
                              <w:pPr>
                                <w:spacing w:line="300" w:lineRule="exact"/>
                                <w:jc w:val="center"/>
                                <w:rPr>
                                  <w:rFonts w:ascii="Times New Roman" w:hAnsi="Times New Roman" w:eastAsia="宋体"/>
                                  <w:sz w:val="21"/>
                                  <w:szCs w:val="21"/>
                                </w:rPr>
                              </w:pPr>
                              <w:r>
                                <w:rPr>
                                  <w:rFonts w:hint="eastAsia" w:ascii="Times New Roman" w:hAnsi="Times New Roman" w:eastAsia="宋体"/>
                                  <w:sz w:val="21"/>
                                  <w:szCs w:val="21"/>
                                </w:rPr>
                                <w:t>是否属于一、二级重大危险源且毒性气体、爆炸品或液化易燃气体实际存在（在线）量与临界量比值之和大于或等于1的</w:t>
                              </w:r>
                            </w:p>
                            <w:p w14:paraId="0E2C433D">
                              <w:pPr>
                                <w:spacing w:line="276" w:lineRule="auto"/>
                                <w:jc w:val="center"/>
                                <w:rPr>
                                  <w:rFonts w:hint="eastAsia" w:ascii="等线" w:cs="Times New Roman"/>
                                  <w:sz w:val="21"/>
                                  <w:szCs w:val="21"/>
                                  <w14:ligatures w14:val="none"/>
                                </w:rPr>
                              </w:pPr>
                            </w:p>
                          </w:txbxContent>
                        </wps:txbx>
                        <wps:bodyPr rot="0" spcFirstLastPara="0" vert="horz" wrap="square" lIns="91440" tIns="45720" rIns="91440" bIns="45720" numCol="1" spcCol="0" rtlCol="0" fromWordArt="0" anchor="t" anchorCtr="0" forceAA="0" compatLnSpc="1">
                          <a:noAutofit/>
                        </wps:bodyPr>
                      </wps:wsp>
                      <wps:wsp>
                        <wps:cNvPr id="1856416078" name="文本框 1"/>
                        <wps:cNvSpPr txBox="1"/>
                        <wps:spPr>
                          <a:xfrm>
                            <a:off x="1676399" y="1418250"/>
                            <a:ext cx="1943100" cy="352425"/>
                          </a:xfrm>
                          <a:prstGeom prst="rect">
                            <a:avLst/>
                          </a:prstGeom>
                          <a:solidFill>
                            <a:schemeClr val="lt1"/>
                          </a:solidFill>
                          <a:ln w="6350">
                            <a:solidFill>
                              <a:prstClr val="black"/>
                            </a:solidFill>
                          </a:ln>
                        </wps:spPr>
                        <wps:txbx>
                          <w:txbxContent>
                            <w:p w14:paraId="0A6D54CF">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重大危险源辨识与等级划分</w:t>
                              </w:r>
                            </w:p>
                          </w:txbxContent>
                        </wps:txbx>
                        <wps:bodyPr rot="0" spcFirstLastPara="0" vert="horz" wrap="square" lIns="91440" tIns="45720" rIns="91440" bIns="45720" numCol="1" spcCol="0" rtlCol="0" fromWordArt="0" anchor="t" anchorCtr="0" forceAA="0" compatLnSpc="1">
                          <a:noAutofit/>
                        </wps:bodyPr>
                      </wps:wsp>
                      <wps:wsp>
                        <wps:cNvPr id="1829095282" name="文本框 1"/>
                        <wps:cNvSpPr txBox="1"/>
                        <wps:spPr>
                          <a:xfrm>
                            <a:off x="1676399" y="5809275"/>
                            <a:ext cx="1943100" cy="352425"/>
                          </a:xfrm>
                          <a:prstGeom prst="rect">
                            <a:avLst/>
                          </a:prstGeom>
                          <a:solidFill>
                            <a:schemeClr val="lt1"/>
                          </a:solidFill>
                          <a:ln w="6350">
                            <a:solidFill>
                              <a:prstClr val="black"/>
                            </a:solidFill>
                          </a:ln>
                        </wps:spPr>
                        <wps:txbx>
                          <w:txbxContent>
                            <w:p w14:paraId="35DD4D7C">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评估结论</w:t>
                              </w:r>
                            </w:p>
                          </w:txbxContent>
                        </wps:txbx>
                        <wps:bodyPr rot="0" spcFirstLastPara="0" vert="horz" wrap="square" lIns="91440" tIns="45720" rIns="91440" bIns="45720" numCol="1" spcCol="0" rtlCol="0" fromWordArt="0" anchor="t" anchorCtr="0" forceAA="0" compatLnSpc="1">
                          <a:noAutofit/>
                        </wps:bodyPr>
                      </wps:wsp>
                      <wps:wsp>
                        <wps:cNvPr id="1617929733" name="文本框 1"/>
                        <wps:cNvSpPr txBox="1"/>
                        <wps:spPr>
                          <a:xfrm>
                            <a:off x="1676399" y="5161575"/>
                            <a:ext cx="1943100" cy="352425"/>
                          </a:xfrm>
                          <a:prstGeom prst="rect">
                            <a:avLst/>
                          </a:prstGeom>
                          <a:solidFill>
                            <a:schemeClr val="lt1"/>
                          </a:solidFill>
                          <a:ln w="6350">
                            <a:solidFill>
                              <a:prstClr val="black"/>
                            </a:solidFill>
                          </a:ln>
                        </wps:spPr>
                        <wps:txbx>
                          <w:txbxContent>
                            <w:p w14:paraId="167AB9A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安全对策措施及应急措施</w:t>
                              </w:r>
                            </w:p>
                          </w:txbxContent>
                        </wps:txbx>
                        <wps:bodyPr rot="0" spcFirstLastPara="0" vert="horz" wrap="square" lIns="91440" tIns="45720" rIns="91440" bIns="45720" numCol="1" spcCol="0" rtlCol="0" fromWordArt="0" anchor="t" anchorCtr="0" forceAA="0" compatLnSpc="1">
                          <a:noAutofit/>
                        </wps:bodyPr>
                      </wps:wsp>
                      <wps:wsp>
                        <wps:cNvPr id="389541499" name="文本框 389541499"/>
                        <wps:cNvSpPr txBox="1"/>
                        <wps:spPr>
                          <a:xfrm>
                            <a:off x="4076701" y="2809875"/>
                            <a:ext cx="1104900" cy="1228726"/>
                          </a:xfrm>
                          <a:prstGeom prst="rect">
                            <a:avLst/>
                          </a:prstGeom>
                          <a:solidFill>
                            <a:schemeClr val="lt1"/>
                          </a:solidFill>
                          <a:ln w="6350">
                            <a:solidFill>
                              <a:prstClr val="black"/>
                            </a:solidFill>
                          </a:ln>
                        </wps:spPr>
                        <wps:txbx>
                          <w:txbxContent>
                            <w:p w14:paraId="54973971">
                              <w:pPr>
                                <w:rPr>
                                  <w:rFonts w:hint="eastAsia" w:ascii="宋体" w:hAnsi="宋体" w:eastAsia="宋体"/>
                                  <w:sz w:val="21"/>
                                  <w:szCs w:val="21"/>
                                </w:rPr>
                              </w:pPr>
                              <w:r>
                                <w:rPr>
                                  <w:rFonts w:hint="eastAsia" w:ascii="宋体" w:hAnsi="宋体" w:eastAsia="宋体"/>
                                  <w:sz w:val="21"/>
                                  <w:szCs w:val="21"/>
                                </w:rPr>
                                <w:t>采用定量风险评价方法进行安全评估，确定个人和社会风险值</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09118276" name="直接箭头连接符 1609118276"/>
                        <wps:cNvCnPr>
                          <a:stCxn id="1679837839" idx="2"/>
                        </wps:cNvCnPr>
                        <wps:spPr>
                          <a:xfrm>
                            <a:off x="2647950" y="466725"/>
                            <a:ext cx="0" cy="294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31438633" name="直接箭头连接符 1831438633"/>
                        <wps:cNvCnPr>
                          <a:stCxn id="437012249" idx="2"/>
                          <a:endCxn id="1856416078" idx="0"/>
                        </wps:cNvCnPr>
                        <wps:spPr>
                          <a:xfrm flipH="1">
                            <a:off x="2647949" y="1113450"/>
                            <a:ext cx="1"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8364575" name="直接箭头连接符 1618364575"/>
                        <wps:cNvCnPr>
                          <a:stCxn id="1856416078" idx="2"/>
                          <a:endCxn id="358847338" idx="0"/>
                        </wps:cNvCnPr>
                        <wps:spPr>
                          <a:xfrm>
                            <a:off x="2647949" y="1770675"/>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5045045" name="直接箭头连接符 1205045045"/>
                        <wps:cNvCnPr>
                          <a:stCxn id="358847338" idx="2"/>
                          <a:endCxn id="1053491118" idx="0"/>
                        </wps:cNvCnPr>
                        <wps:spPr>
                          <a:xfrm>
                            <a:off x="2647949" y="3038475"/>
                            <a:ext cx="0" cy="303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5094617" name="直接箭头连接符 1675094617"/>
                        <wps:cNvCnPr>
                          <a:stCxn id="1053491118" idx="2"/>
                        </wps:cNvCnPr>
                        <wps:spPr>
                          <a:xfrm>
                            <a:off x="2647949" y="3933825"/>
                            <a:ext cx="0" cy="38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63159410" name="直接箭头连接符 1563159410"/>
                        <wps:cNvCnPr>
                          <a:endCxn id="1617929733" idx="0"/>
                        </wps:cNvCnPr>
                        <wps:spPr>
                          <a:xfrm flipH="1">
                            <a:off x="2647949" y="4886325"/>
                            <a:ext cx="1" cy="27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68121599" name="直接箭头连接符 968121599"/>
                        <wps:cNvCnPr>
                          <a:endCxn id="1829095282" idx="0"/>
                        </wps:cNvCnPr>
                        <wps:spPr>
                          <a:xfrm flipH="1">
                            <a:off x="2647949" y="5514000"/>
                            <a:ext cx="1"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72204445" name="连接符: 肘形 1872204445"/>
                        <wps:cNvCnPr>
                          <a:endCxn id="389541499" idx="0"/>
                        </wps:cNvCnPr>
                        <wps:spPr>
                          <a:xfrm>
                            <a:off x="3619500" y="2514600"/>
                            <a:ext cx="1009651" cy="295275"/>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370295756" name="连接符: 肘形 370295756"/>
                        <wps:cNvCnPr>
                          <a:stCxn id="389541499" idx="2"/>
                          <a:endCxn id="1617929733" idx="3"/>
                        </wps:cNvCnPr>
                        <wps:spPr>
                          <a:xfrm rot="5400000">
                            <a:off x="3474732" y="4183368"/>
                            <a:ext cx="1299187" cy="1009652"/>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123022369" name="文本框 1123022369"/>
                        <wps:cNvSpPr txBox="1"/>
                        <wps:spPr>
                          <a:xfrm>
                            <a:off x="3895726" y="2247900"/>
                            <a:ext cx="371474"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A7BEA8">
                              <w:pPr>
                                <w:rPr>
                                  <w:rFonts w:hint="eastAsia" w:ascii="宋体" w:hAnsi="宋体" w:eastAsia="宋体"/>
                                  <w:sz w:val="21"/>
                                  <w:szCs w:val="21"/>
                                </w:rPr>
                              </w:pPr>
                              <w:r>
                                <w:rPr>
                                  <w:rFonts w:hint="eastAsia" w:ascii="宋体" w:hAnsi="宋体" w:eastAsia="宋体"/>
                                  <w:sz w:val="21"/>
                                  <w:szCs w:val="21"/>
                                </w:rPr>
                                <w:t>是</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7793797" name="文本框 1"/>
                        <wps:cNvSpPr txBox="1"/>
                        <wps:spPr>
                          <a:xfrm>
                            <a:off x="2370750" y="3008925"/>
                            <a:ext cx="37084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B7DFD7C">
                              <w:pPr>
                                <w:spacing w:line="276" w:lineRule="auto"/>
                                <w:rPr>
                                  <w:rFonts w:hint="eastAsia" w:ascii="宋体" w:hAnsi="宋体" w:eastAsia="宋体" w:cs="Times New Roman"/>
                                  <w:sz w:val="21"/>
                                  <w:szCs w:val="21"/>
                                  <w14:ligatures w14:val="none"/>
                                </w:rPr>
                              </w:pPr>
                              <w:r>
                                <w:rPr>
                                  <w:rFonts w:hint="eastAsia" w:ascii="宋体" w:hAnsi="宋体" w:eastAsia="宋体" w:cs="Times New Roman"/>
                                  <w:sz w:val="21"/>
                                  <w:szCs w:val="21"/>
                                </w:rPr>
                                <w:t>否</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id="画布 1" o:spid="_x0000_s1026" o:spt="203" style="height:489.3pt;width:405.6pt;" coordsize="5151120,6214110" editas="canvas" o:gfxdata="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">
                <o:lock v:ext="edit" aspectratio="f"/>
                <v:shape id="画布 1" o:spid="_x0000_s1026" style="position:absolute;left:0;top:0;height:6214110;width:5151120;" fillcolor="#FFFFFF" filled="t" stroked="f" coordsize="21600,21600" o:gfxdata="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">
                  <v:fill on="t" focussize="0,0"/>
                  <v:stroke on="f"/>
                  <v:imagedata o:title=""/>
                  <o:lock v:ext="edit" aspectratio="t"/>
                </v:shape>
                <v:shape id="_x0000_s1026" o:spid="_x0000_s1026" o:spt="202" type="#_x0000_t202" style="position:absolute;left:1676400;top:114300;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BO/Udt0wAAAAUBAAAPAAAAAAAAAAEAIAAAACIAAABkcnMvZG93bnJldi54bWxQSwEC&#10;FAAUAAAACACHTuJAC6DgpWsCAADUBAAADgAAAAAAAAABACAAAAAiAQAAZHJzL2Uyb0RvYy54bWxQ&#10;SwUGAAAAAAYABgBZAQAA/wUAAAAA&#10;">
                  <v:fill on="t" focussize="0,0"/>
                  <v:stroke weight="0.5pt" color="#000000" joinstyle="round"/>
                  <v:imagedata o:title=""/>
                  <o:lock v:ext="edit" aspectratio="f"/>
                  <v:textbox>
                    <w:txbxContent>
                      <w:p w14:paraId="572E1DDC">
                        <w:pPr>
                          <w:jc w:val="center"/>
                          <w:rPr>
                            <w:rFonts w:hint="eastAsia" w:ascii="宋体" w:hAnsi="宋体" w:eastAsia="宋体"/>
                            <w:sz w:val="21"/>
                            <w:szCs w:val="21"/>
                          </w:rPr>
                        </w:pPr>
                        <w:r>
                          <w:rPr>
                            <w:rFonts w:hint="eastAsia" w:ascii="宋体" w:hAnsi="宋体" w:eastAsia="宋体"/>
                            <w:sz w:val="21"/>
                            <w:szCs w:val="21"/>
                          </w:rPr>
                          <w:t>重大危险源基本情况</w:t>
                        </w:r>
                      </w:p>
                    </w:txbxContent>
                  </v:textbox>
                </v:shape>
                <v:shape id="文本框 1" o:spid="_x0000_s1026" o:spt="202" type="#_x0000_t202" style="position:absolute;left:1676400;top:761025;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Tv1HbdMAAAAFAQAA&#10;DwAAAAAAAAABACAAAAAiAAAAZHJzL2Rvd25yZXYueG1sUEsBAhQAFAAAAAgAh07iQMcwf7VXAgAA&#10;mgQAAA4AAAAAAAAAAQAgAAAAIgEAAGRycy9lMm9Eb2MueG1sUEsFBgAAAAAGAAYAWQEAAOsFAAAA&#10;AA==&#10;">
                  <v:fill on="t" focussize="0,0"/>
                  <v:stroke weight="0.5pt" color="#000000" joinstyle="round"/>
                  <v:imagedata o:title=""/>
                  <o:lock v:ext="edit" aspectratio="f"/>
                  <v:textbox>
                    <w:txbxContent>
                      <w:p w14:paraId="45F5F6A3">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事故发生的可能性及危害程度</w:t>
                        </w:r>
                      </w:p>
                    </w:txbxContent>
                  </v:textbox>
                </v:shape>
                <v:shape id="文本框 1" o:spid="_x0000_s1026" o:spt="202" type="#_x0000_t202" style="position:absolute;left:1676399;top:4323375;height:562950;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O/Udt0wAAAAUB&#10;AAAPAAAAAAAAAAEAIAAAACIAAABkcnMvZG93bnJldi54bWxQSwECFAAUAAAACACHTuJAEyR+K1kC&#10;AACcBAAADgAAAAAAAAABACAAAAAiAQAAZHJzL2Uyb0RvYy54bWxQSwUGAAAAAAYABgBZAQAA7QUA&#10;AAAA&#10;">
                  <v:fill on="t" focussize="0,0"/>
                  <v:stroke weight="0.5pt" color="#000000" joinstyle="round"/>
                  <v:imagedata o:title=""/>
                  <o:lock v:ext="edit" aspectratio="f"/>
                  <v:textbox>
                    <w:txbxContent>
                      <w:p w14:paraId="0AB559E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重大危险源辨识、分级的符合性分析</w:t>
                        </w:r>
                      </w:p>
                    </w:txbxContent>
                  </v:textbox>
                </v:shape>
                <v:shape id="文本框 1" o:spid="_x0000_s1026" o:spt="202" type="#_x0000_t202" style="position:absolute;left:1676399;top:3342300;height:5915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O/Udt0wAAAAUB&#10;AAAPAAAAAAAAAAEAIAAAACIAAABkcnMvZG93bnJldi54bWxQSwECFAAUAAAACACHTuJAiVWwqlkC&#10;AACcBAAADgAAAAAAAAABACAAAAAiAQAAZHJzL2Uyb0RvYy54bWxQSwUGAAAAAAYABgBZAQAA7QUA&#10;AAAA&#10;">
                  <v:fill on="t" focussize="0,0"/>
                  <v:stroke weight="0.5pt" color="#000000" joinstyle="round"/>
                  <v:imagedata o:title=""/>
                  <o:lock v:ext="edit" aspectratio="f"/>
                  <v:textbox>
                    <w:txbxContent>
                      <w:p w14:paraId="1CD9A8D1">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定性、定量分析事故发生的可能性及危害程度</w:t>
                        </w:r>
                      </w:p>
                    </w:txbxContent>
                  </v:textbox>
                </v:shape>
                <v:shape id="文本框 1" o:spid="_x0000_s1026" o:spt="202" type="#_x0000_t202" style="position:absolute;left:1676399;top:1999275;height:1039200;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Tv1HbdMAAAAFAQAA&#10;DwAAAAAAAAABACAAAAAiAAAAZHJzL2Rvd25yZXYueG1sUEsBAhQAFAAAAAgAh07iQEV5wKRXAgAA&#10;nAQAAA4AAAAAAAAAAQAgAAAAIgEAAGRycy9lMm9Eb2MueG1sUEsFBgAAAAAGAAYAWQEAAOsFAAAA&#10;AA==&#10;">
                  <v:fill on="t" focussize="0,0"/>
                  <v:stroke weight="0.5pt" color="#000000" joinstyle="round"/>
                  <v:imagedata o:title=""/>
                  <o:lock v:ext="edit" aspectratio="f"/>
                  <v:textbox>
                    <w:txbxContent>
                      <w:p w14:paraId="19347AF7">
                        <w:pPr>
                          <w:spacing w:line="300" w:lineRule="exact"/>
                          <w:jc w:val="center"/>
                          <w:rPr>
                            <w:rFonts w:ascii="Times New Roman" w:hAnsi="Times New Roman" w:eastAsia="宋体"/>
                            <w:sz w:val="21"/>
                            <w:szCs w:val="21"/>
                          </w:rPr>
                        </w:pPr>
                        <w:r>
                          <w:rPr>
                            <w:rFonts w:hint="eastAsia" w:ascii="Times New Roman" w:hAnsi="Times New Roman" w:eastAsia="宋体"/>
                            <w:sz w:val="21"/>
                            <w:szCs w:val="21"/>
                          </w:rPr>
                          <w:t>是否属于一、二级重大危险源且毒性气体、爆炸品或液化易燃气体实际存在（在线）量与临界量比值之和大于或等于1的</w:t>
                        </w:r>
                      </w:p>
                      <w:p w14:paraId="0E2C433D">
                        <w:pPr>
                          <w:spacing w:line="276" w:lineRule="auto"/>
                          <w:jc w:val="center"/>
                          <w:rPr>
                            <w:rFonts w:hint="eastAsia" w:ascii="等线" w:cs="Times New Roman"/>
                            <w:sz w:val="21"/>
                            <w:szCs w:val="21"/>
                            <w14:ligatures w14:val="none"/>
                          </w:rPr>
                        </w:pPr>
                      </w:p>
                    </w:txbxContent>
                  </v:textbox>
                </v:shape>
                <v:shape id="文本框 1" o:spid="_x0000_s1026" o:spt="202" type="#_x0000_t202" style="position:absolute;left:1676399;top:1418250;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E79R23TAAAABQEA&#10;AA8AAAAAAAAAAQAgAAAAIgAAAGRycy9kb3ducmV2LnhtbFBLAQIUABQAAAAIAIdO4kA/umTFWAIA&#10;AJwEAAAOAAAAAAAAAAEAIAAAACIBAABkcnMvZTJvRG9jLnhtbFBLBQYAAAAABgAGAFkBAADsBQAA&#10;AAA=&#10;">
                  <v:fill on="t" focussize="0,0"/>
                  <v:stroke weight="0.5pt" color="#000000" joinstyle="round"/>
                  <v:imagedata o:title=""/>
                  <o:lock v:ext="edit" aspectratio="f"/>
                  <v:textbox>
                    <w:txbxContent>
                      <w:p w14:paraId="0A6D54CF">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重大危险源辨识与等级划分</w:t>
                        </w:r>
                      </w:p>
                    </w:txbxContent>
                  </v:textbox>
                </v:shape>
                <v:shape id="文本框 1" o:spid="_x0000_s1026" o:spt="202" type="#_x0000_t202" style="position:absolute;left:1676399;top:5809275;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O/Udt0wAA&#10;AAUBAAAPAAAAAAAAAAEAIAAAACIAAABkcnMvZG93bnJldi54bWxQSwECFAAUAAAACACHTuJA+GjL&#10;JFwCAACcBAAADgAAAAAAAAABACAAAAAiAQAAZHJzL2Uyb0RvYy54bWxQSwUGAAAAAAYABgBZAQAA&#10;8AUAAAAA&#10;">
                  <v:fill on="t" focussize="0,0"/>
                  <v:stroke weight="0.5pt" color="#000000" joinstyle="round"/>
                  <v:imagedata o:title=""/>
                  <o:lock v:ext="edit" aspectratio="f"/>
                  <v:textbox>
                    <w:txbxContent>
                      <w:p w14:paraId="35DD4D7C">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评估结论</w:t>
                        </w:r>
                      </w:p>
                    </w:txbxContent>
                  </v:textbox>
                </v:shape>
                <v:shape id="文本框 1" o:spid="_x0000_s1026" o:spt="202" type="#_x0000_t202" style="position:absolute;left:1676399;top:5161575;height:352425;width:19431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E79R23TAAAA&#10;BQEAAA8AAAAAAAAAAQAgAAAAIgAAAGRycy9kb3ducmV2LnhtbFBLAQIUABQAAAAIAIdO4kDX/jLx&#10;WwIAAJwEAAAOAAAAAAAAAAEAIAAAACIBAABkcnMvZTJvRG9jLnhtbFBLBQYAAAAABgAGAFkBAADv&#10;BQAAAAA=&#10;">
                  <v:fill on="t" focussize="0,0"/>
                  <v:stroke weight="0.5pt" color="#000000" joinstyle="round"/>
                  <v:imagedata o:title=""/>
                  <o:lock v:ext="edit" aspectratio="f"/>
                  <v:textbox>
                    <w:txbxContent>
                      <w:p w14:paraId="167AB9A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安全对策措施及应急措施</w:t>
                        </w:r>
                      </w:p>
                    </w:txbxContent>
                  </v:textbox>
                </v:shape>
                <v:shape id="_x0000_s1026" o:spid="_x0000_s1026" o:spt="202" type="#_x0000_t202" style="position:absolute;left:4076701;top:2809875;height:1228726;width:1104900;" fillcolor="#FFFFFF [3201]" filled="t" stroked="t" coordsize="21600,21600" o:gfxdata="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E79R23TAAAABQEAAA8AAAAAAAAAAQAgAAAAIgAAAGRycy9kb3ducmV2LnhtbFBL&#10;AQIUABQAAAAIAIdO4kB4eCiobQIAANQEAAAOAAAAAAAAAAEAIAAAACIBAABkcnMvZTJvRG9jLnht&#10;bFBLBQYAAAAABgAGAFkBAAABBgAAAAA=&#10;">
                  <v:fill on="t" focussize="0,0"/>
                  <v:stroke weight="0.5pt" color="#000000" joinstyle="round"/>
                  <v:imagedata o:title=""/>
                  <o:lock v:ext="edit" aspectratio="f"/>
                  <v:textbox>
                    <w:txbxContent>
                      <w:p w14:paraId="54973971">
                        <w:pPr>
                          <w:rPr>
                            <w:rFonts w:hint="eastAsia" w:ascii="宋体" w:hAnsi="宋体" w:eastAsia="宋体"/>
                            <w:sz w:val="21"/>
                            <w:szCs w:val="21"/>
                          </w:rPr>
                        </w:pPr>
                        <w:r>
                          <w:rPr>
                            <w:rFonts w:hint="eastAsia" w:ascii="宋体" w:hAnsi="宋体" w:eastAsia="宋体"/>
                            <w:sz w:val="21"/>
                            <w:szCs w:val="21"/>
                          </w:rPr>
                          <w:t>采用定量风险评价方法进行安全评估，确定个人和社会风险值</w:t>
                        </w:r>
                      </w:p>
                    </w:txbxContent>
                  </v:textbox>
                </v:shape>
                <v:shape id="_x0000_s1026" o:spid="_x0000_s1026" o:spt="32" type="#_x0000_t32" style="position:absolute;left:2647950;top:466725;height:294300;width:0;" filled="f" stroked="t" coordsize="21600,21600" o:gfxdata="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BRfEgH1AAAAAUBAAAPAAAAAAAAAAEAIAAAACIAAABkcnMvZG93bnJldi54bWxQSwEC&#10;FAAUAAAACACHTuJAOuE7UzECAAAsBAAADgAAAAAAAAABACAAAAAjAQAAZHJzL2Uyb0RvYy54bWxQ&#10;SwUGAAAAAAYABgBZAQAAxgUAAAAA&#10;">
                  <v:fill on="f" focussize="0,0"/>
                  <v:stroke weight="0.5pt" color="#000000 [3200]" miterlimit="8" joinstyle="miter" endarrow="block"/>
                  <v:imagedata o:title=""/>
                  <o:lock v:ext="edit" aspectratio="f"/>
                </v:shape>
                <v:shape id="_x0000_s1026" o:spid="_x0000_s1026" o:spt="32" type="#_x0000_t32" style="position:absolute;left:2647949;top:1113450;flip:x;height:304800;width:1;" filled="f" stroked="t" coordsize="21600,21600" o:gfxdata="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HmJEc1gAAAAUBAAAPAAAAAAAAAAEA&#10;IAAAACIAAABkcnMvZG93bnJldi54bWxQSwECFAAUAAAACACHTuJA+e8nYkoCAABZBAAADgAAAAAA&#10;AAABACAAAAAlAQAAZHJzL2Uyb0RvYy54bWxQSwUGAAAAAAYABgBZAQAA4QUAAAAA&#10;">
                  <v:fill on="f" focussize="0,0"/>
                  <v:stroke weight="0.5pt" color="#000000 [3200]" miterlimit="8" joinstyle="miter" endarrow="block"/>
                  <v:imagedata o:title=""/>
                  <o:lock v:ext="edit" aspectratio="f"/>
                </v:shape>
                <v:shape id="_x0000_s1026" o:spid="_x0000_s1026" o:spt="32" type="#_x0000_t32" style="position:absolute;left:2647949;top:1770675;height:228600;width:0;" filled="f" stroked="t" coordsize="21600,21600" o:gfxdata="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&#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FF8SAfUAAAABQEAAA8AAAAAAAAAAQAgAAAAIgAAAGRy&#10;cy9kb3ducmV2LnhtbFBLAQIUABQAAAAIAIdO4kDJ0qzgQgIAAE8EAAAOAAAAAAAAAAEAIAAAACMB&#10;AABkcnMvZTJvRG9jLnhtbFBLBQYAAAAABgAGAFkBAADXBQAAAAA=&#10;">
                  <v:fill on="f" focussize="0,0"/>
                  <v:stroke weight="0.5pt" color="#000000 [3200]" miterlimit="8" joinstyle="miter" endarrow="block"/>
                  <v:imagedata o:title=""/>
                  <o:lock v:ext="edit" aspectratio="f"/>
                </v:shape>
                <v:shape id="_x0000_s1026" o:spid="_x0000_s1026" o:spt="32" type="#_x0000_t32" style="position:absolute;left:2647949;top:3038475;height:303825;width:0;" filled="f" stroked="t" coordsize="21600,21600" o:gfxdata="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FF8SAfUAAAABQEAAA8AAAAAAAAAAQAgAAAAIgAAAGRycy9k&#10;b3ducmV2LnhtbFBLAQIUABQAAAAIAIdO4kDFWnLvPwIAAE8EAAAOAAAAAAAAAAEAIAAAACMBAABk&#10;cnMvZTJvRG9jLnhtbFBLBQYAAAAABgAGAFkBAADUBQAAAAA=&#10;">
                  <v:fill on="f" focussize="0,0"/>
                  <v:stroke weight="0.5pt" color="#000000 [3200]" miterlimit="8" joinstyle="miter" endarrow="block"/>
                  <v:imagedata o:title=""/>
                  <o:lock v:ext="edit" aspectratio="f"/>
                </v:shape>
                <v:shape id="_x0000_s1026" o:spid="_x0000_s1026" o:spt="32" type="#_x0000_t32" style="position:absolute;left:2647949;top:3933825;height:389550;width:0;" filled="f" stroked="t" coordsize="21600,21600" o:gfxdata="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FF8SAfUAAAABQEAAA8AAAAAAAAAAQAgAAAAIgAAAGRycy9kb3ducmV2LnhtbFBL&#10;AQIUABQAAAAIAIdO4kBfEWFmMwIAAC0EAAAOAAAAAAAAAAEAIAAAACMBAABkcnMvZTJvRG9jLnht&#10;bFBLBQYAAAAABgAGAFkBAADIBQAAAAA=&#10;">
                  <v:fill on="f" focussize="0,0"/>
                  <v:stroke weight="0.5pt" color="#000000 [3200]" miterlimit="8" joinstyle="miter" endarrow="block"/>
                  <v:imagedata o:title=""/>
                  <o:lock v:ext="edit" aspectratio="f"/>
                </v:shape>
                <v:shape id="_x0000_s1026" o:spid="_x0000_s1026" o:spt="32" type="#_x0000_t32" style="position:absolute;left:2647949;top:4886325;flip:x;height:275250;width:1;" filled="f" stroked="t" coordsize="21600,21600" o:gfxdata="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R5iRHNYAAAAFAQAADwAAAAAAAAABACAAAAAiAAAAZHJzL2Rv&#10;d25yZXYueG1sUEsBAhQAFAAAAAgAh07iQP0qfbE8AgAAOAQAAA4AAAAAAAAAAQAgAAAAJQEAAGRy&#10;cy9lMm9Eb2MueG1sUEsFBgAAAAAGAAYAWQEAANMFAAAAAA==&#10;">
                  <v:fill on="f" focussize="0,0"/>
                  <v:stroke weight="0.5pt" color="#000000 [3200]" miterlimit="8" joinstyle="miter" endarrow="block"/>
                  <v:imagedata o:title=""/>
                  <o:lock v:ext="edit" aspectratio="f"/>
                </v:shape>
                <v:shape id="_x0000_s1026" o:spid="_x0000_s1026" o:spt="32" type="#_x0000_t32" style="position:absolute;left:2647949;top:5514000;flip:x;height:295275;width:1;" filled="f" stroked="t" coordsize="21600,21600" o:gfxdata="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BHmJEc1gAAAAUBAAAPAAAAAAAAAAEAIAAAACIAAABkcnMvZG93bnJl&#10;di54bWxQSwECFAAUAAAACACHTuJAdXpNtDgCAAA2BAAADgAAAAAAAAABACAAAAAlAQAAZHJzL2Uy&#10;b0RvYy54bWxQSwUGAAAAAAYABgBZAQAAzwUAAAAA&#10;">
                  <v:fill on="f" focussize="0,0"/>
                  <v:stroke weight="0.5pt" color="#000000 [3200]" miterlimit="8" joinstyle="miter" endarrow="block"/>
                  <v:imagedata o:title=""/>
                  <o:lock v:ext="edit" aspectratio="f"/>
                </v:shape>
                <v:shape id="连接符: 肘形 1872204445" o:spid="_x0000_s1026" o:spt="33" type="#_x0000_t33" style="position:absolute;left:3619500;top:2514600;height:295275;width:1009651;" filled="f" stroked="t" coordsize="21600,21600" o:gfxdata="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UXQRtNQAAAAFAQAADwAAAAAAAAABACAAAAAiAAAAZHJzL2Rvd25yZXYueG1sUEsB&#10;AhQAFAAAAAgAh07iQPPn6YUyAgAAKwQAAA4AAAAAAAAAAQAgAAAAIwEAAGRycy9lMm9Eb2MueG1s&#10;UEsFBgAAAAAGAAYAWQEAAMcFAAAAAA==&#10;">
                  <v:fill on="f" focussize="0,0"/>
                  <v:stroke weight="0.5pt" color="#000000 [3200]" miterlimit="8" joinstyle="miter" endarrow="block"/>
                  <v:imagedata o:title=""/>
                  <o:lock v:ext="edit" aspectratio="f"/>
                </v:shape>
                <v:shape id="连接符: 肘形 370295756" o:spid="_x0000_s1026" o:spt="33" type="#_x0000_t33" style="position:absolute;left:3474732;top:4183368;height:1009652;width:1299187;rotation:5898240f;" filled="f" stroked="t" coordsize="21600,21600" o:gfxdata="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K7dtdHXAAAABQEAAA8AAAAA&#10;AAAAAQAgAAAAIgAAAGRycy9kb3ducmV2LnhtbFBLAQIUABQAAAAIAIdO4kCUca7qTgIAAFoEAAAO&#10;AAAAAAAAAAEAIAAAACYBAABkcnMvZTJvRG9jLnhtbFBLBQYAAAAABgAGAFkBAADmBQAAAAA=&#10;">
                  <v:fill on="f" focussize="0,0"/>
                  <v:stroke weight="0.5pt" color="#000000 [3200]" miterlimit="8" joinstyle="miter" endarrow="block"/>
                  <v:imagedata o:title=""/>
                  <o:lock v:ext="edit" aspectratio="f"/>
                </v:shape>
                <v:shape id="_x0000_s1026" o:spid="_x0000_s1026" o:spt="202" type="#_x0000_t202" style="position:absolute;left:3895726;top:2247900;height:333375;width:371474;" filled="f" stroked="f" coordsize="21600,21600" o:gfxdata="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aaEjfUAAAABQEAAA8AAAAAAAAAAQAgAAAA&#10;IgAAAGRycy9kb3ducmV2LnhtbFBLAQIUABQAAAAIAIdO4kDR+a9DSAIAAHoEAAAOAAAAAAAAAAEA&#10;IAAAACMBAABkcnMvZTJvRG9jLnhtbFBLBQYAAAAABgAGAFkBAADdBQAAAAA=&#10;">
                  <v:fill on="f" focussize="0,0"/>
                  <v:stroke on="f"/>
                  <v:imagedata o:title=""/>
                  <o:lock v:ext="edit" aspectratio="f"/>
                  <v:textbox>
                    <w:txbxContent>
                      <w:p w14:paraId="51A7BEA8">
                        <w:pPr>
                          <w:rPr>
                            <w:rFonts w:hint="eastAsia" w:ascii="宋体" w:hAnsi="宋体" w:eastAsia="宋体"/>
                            <w:sz w:val="21"/>
                            <w:szCs w:val="21"/>
                          </w:rPr>
                        </w:pPr>
                        <w:r>
                          <w:rPr>
                            <w:rFonts w:hint="eastAsia" w:ascii="宋体" w:hAnsi="宋体" w:eastAsia="宋体"/>
                            <w:sz w:val="21"/>
                            <w:szCs w:val="21"/>
                          </w:rPr>
                          <w:t>是</w:t>
                        </w:r>
                      </w:p>
                    </w:txbxContent>
                  </v:textbox>
                </v:shape>
                <v:shape id="文本框 1" o:spid="_x0000_s1026" o:spt="202" type="#_x0000_t202" style="position:absolute;left:2370750;top:3008925;height:333375;width:370840;" filled="f" stroked="f" coordsize="21600,21600" o:gfxdata="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WmhI31AAAAAUBAAAPAAAAAAAAAAEAIAAAACIAAABkcnMvZG93bnJldi54bWxQSwEC&#10;FAAUAAAACACHTuJAhVA+ajECAABABAAADgAAAAAAAAABACAAAAAjAQAAZHJzL2Uyb0RvYy54bWxQ&#10;SwUGAAAAAAYABgBZAQAAxgUAAAAA&#10;">
                  <v:fill on="f" focussize="0,0"/>
                  <v:stroke on="f"/>
                  <v:imagedata o:title=""/>
                  <o:lock v:ext="edit" aspectratio="f"/>
                  <v:textbox>
                    <w:txbxContent>
                      <w:p w14:paraId="0B7DFD7C">
                        <w:pPr>
                          <w:spacing w:line="276" w:lineRule="auto"/>
                          <w:rPr>
                            <w:rFonts w:hint="eastAsia" w:ascii="宋体" w:hAnsi="宋体" w:eastAsia="宋体" w:cs="Times New Roman"/>
                            <w:sz w:val="21"/>
                            <w:szCs w:val="21"/>
                            <w14:ligatures w14:val="none"/>
                          </w:rPr>
                        </w:pPr>
                        <w:r>
                          <w:rPr>
                            <w:rFonts w:hint="eastAsia" w:ascii="宋体" w:hAnsi="宋体" w:eastAsia="宋体" w:cs="Times New Roman"/>
                            <w:sz w:val="21"/>
                            <w:szCs w:val="21"/>
                          </w:rPr>
                          <w:t>否</w:t>
                        </w:r>
                      </w:p>
                    </w:txbxContent>
                  </v:textbox>
                </v:shape>
                <w10:wrap type="none"/>
                <w10:anchorlock/>
              </v:group>
            </w:pict>
          </mc:Fallback>
        </mc:AlternateContent>
      </w:r>
    </w:p>
    <w:p w14:paraId="1F121562">
      <w:pPr>
        <w:pStyle w:val="21"/>
        <w:spacing w:before="156" w:beforeLines="50" w:after="156" w:afterLines="50" w:line="240" w:lineRule="auto"/>
        <w:ind w:firstLine="0" w:firstLineChars="0"/>
        <w:jc w:val="center"/>
        <w:rPr>
          <w:rFonts w:hint="eastAsia" w:ascii="黑体" w:hAnsi="黑体" w:eastAsia="黑体"/>
          <w:sz w:val="24"/>
        </w:rPr>
        <w:sectPr>
          <w:headerReference r:id="rId6" w:type="default"/>
          <w:footerReference r:id="rId7" w:type="default"/>
          <w:pgSz w:w="11906" w:h="16838"/>
          <w:pgMar w:top="1418" w:right="1134" w:bottom="1134" w:left="1588" w:header="851" w:footer="992" w:gutter="0"/>
          <w:pgBorders>
            <w:top w:val="none" w:sz="0" w:space="0"/>
            <w:left w:val="none" w:sz="0" w:space="0"/>
            <w:bottom w:val="none" w:sz="0" w:space="0"/>
            <w:right w:val="none" w:sz="0" w:space="0"/>
          </w:pgBorders>
          <w:pgNumType w:fmt="decimal" w:start="1"/>
          <w:cols w:space="425" w:num="1"/>
          <w:docGrid w:type="linesAndChars" w:linePitch="312" w:charSpace="0"/>
        </w:sectPr>
      </w:pPr>
      <w:r>
        <w:rPr>
          <w:rFonts w:hint="eastAsia" w:ascii="黑体" w:hAnsi="黑体" w:eastAsia="黑体"/>
          <w:sz w:val="24"/>
        </w:rPr>
        <w:t>图</w:t>
      </w:r>
      <w:r>
        <w:rPr>
          <w:rFonts w:eastAsia="黑体" w:cs="Times New Roman"/>
          <w:sz w:val="24"/>
        </w:rPr>
        <w:t>1.4-1</w:t>
      </w:r>
      <w:r>
        <w:rPr>
          <w:rFonts w:hint="eastAsia" w:ascii="黑体" w:hAnsi="黑体" w:eastAsia="黑体"/>
          <w:sz w:val="24"/>
        </w:rPr>
        <w:t xml:space="preserve">  危险化学品重大危险源评估程序</w:t>
      </w:r>
    </w:p>
    <w:p w14:paraId="4E070ACB">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14" w:name="_Toc28902"/>
      <w:r>
        <w:rPr>
          <w:rFonts w:eastAsia="黑体" w:cs="Times New Roman"/>
          <w:b/>
          <w:bCs/>
          <w:sz w:val="32"/>
          <w:szCs w:val="32"/>
        </w:rPr>
        <w:t>2</w:t>
      </w:r>
      <w:r>
        <w:rPr>
          <w:rFonts w:hint="eastAsia" w:ascii="黑体" w:hAnsi="黑体" w:eastAsia="黑体"/>
          <w:b/>
          <w:bCs/>
          <w:sz w:val="32"/>
          <w:szCs w:val="32"/>
        </w:rPr>
        <w:t>重大危险源基本情况</w:t>
      </w:r>
      <w:bookmarkEnd w:id="14"/>
    </w:p>
    <w:p w14:paraId="7F35F16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5" w:name="_Toc18355"/>
      <w:r>
        <w:rPr>
          <w:rFonts w:eastAsia="楷体" w:cs="Times New Roman"/>
          <w:b/>
          <w:bCs/>
          <w:sz w:val="32"/>
          <w:szCs w:val="32"/>
        </w:rPr>
        <w:t>2.1</w:t>
      </w:r>
      <w:r>
        <w:rPr>
          <w:rFonts w:hint="eastAsia" w:ascii="楷体" w:hAnsi="楷体" w:eastAsia="楷体"/>
          <w:b/>
          <w:bCs/>
          <w:sz w:val="32"/>
          <w:szCs w:val="32"/>
        </w:rPr>
        <w:t>单位概况</w:t>
      </w:r>
      <w:bookmarkEnd w:id="15"/>
    </w:p>
    <w:p w14:paraId="4D092B1C">
      <w:pPr>
        <w:adjustRightInd w:val="0"/>
        <w:snapToGrid w:val="0"/>
        <w:spacing w:after="0" w:line="360" w:lineRule="auto"/>
        <w:ind w:firstLine="560" w:firstLineChars="200"/>
        <w:jc w:val="both"/>
        <w:rPr>
          <w:rFonts w:hint="eastAsia" w:ascii="Times New Roman" w:hAnsi="Times New Roman" w:eastAsia="宋体" w:cs="Times New Roman"/>
          <w:sz w:val="28"/>
          <w:szCs w:val="28"/>
          <w:highlight w:val="none"/>
          <w:lang w:eastAsia="zh-CN"/>
          <w14:ligatures w14:val="none"/>
        </w:rPr>
      </w:pPr>
      <w:r>
        <w:rPr>
          <w:rFonts w:hint="eastAsia" w:ascii="Times New Roman" w:hAnsi="Times New Roman" w:eastAsia="宋体" w:cs="Times New Roman"/>
          <w:sz w:val="28"/>
          <w:szCs w:val="28"/>
          <w:highlight w:val="none"/>
          <w:lang w:val="en-US" w:eastAsia="zh-CN"/>
          <w14:ligatures w14:val="none"/>
        </w:rPr>
        <w:t>朝阳金达钛业股份有限公司（以下称“金达钛业”）住</w:t>
      </w:r>
      <w:r>
        <w:rPr>
          <w:rFonts w:hint="eastAsia" w:ascii="Times New Roman" w:hAnsi="Times New Roman" w:eastAsia="宋体" w:cs="Times New Roman"/>
          <w:sz w:val="28"/>
          <w:szCs w:val="28"/>
          <w:highlight w:val="none"/>
          <w14:ligatures w14:val="none"/>
        </w:rPr>
        <w:t>所位于朝阳市双塔区龙山街四段788号</w:t>
      </w:r>
      <w:r>
        <w:rPr>
          <w:rFonts w:hint="eastAsia" w:ascii="Times New Roman" w:hAnsi="Times New Roman" w:eastAsia="宋体" w:cs="Times New Roman"/>
          <w:sz w:val="28"/>
          <w:szCs w:val="28"/>
          <w:highlight w:val="none"/>
          <w:lang w:eastAsia="zh-CN"/>
          <w14:ligatures w14:val="none"/>
        </w:rPr>
        <w:t>，</w:t>
      </w:r>
      <w:r>
        <w:rPr>
          <w:rFonts w:hint="eastAsia" w:ascii="Times New Roman" w:hAnsi="Times New Roman" w:eastAsia="宋体" w:cs="Times New Roman"/>
          <w:sz w:val="28"/>
          <w:szCs w:val="28"/>
          <w:highlight w:val="none"/>
          <w14:ligatures w14:val="none"/>
        </w:rPr>
        <w:t>类型为</w:t>
      </w:r>
      <w:r>
        <w:rPr>
          <w:rFonts w:hint="eastAsia" w:ascii="Times New Roman" w:hAnsi="Times New Roman" w:eastAsia="宋体" w:cs="Times New Roman"/>
          <w:sz w:val="28"/>
          <w:szCs w:val="28"/>
          <w:highlight w:val="none"/>
          <w:lang w:val="en-US" w:eastAsia="zh-CN"/>
          <w14:ligatures w14:val="none"/>
        </w:rPr>
        <w:t>股份</w:t>
      </w:r>
      <w:r>
        <w:rPr>
          <w:rFonts w:hint="eastAsia" w:ascii="Times New Roman" w:hAnsi="Times New Roman" w:eastAsia="宋体" w:cs="Times New Roman"/>
          <w:sz w:val="28"/>
          <w:szCs w:val="28"/>
          <w:highlight w:val="none"/>
          <w14:ligatures w14:val="none"/>
        </w:rPr>
        <w:t>有限公司，</w:t>
      </w:r>
      <w:r>
        <w:rPr>
          <w:rFonts w:hint="eastAsia" w:ascii="Times New Roman" w:hAnsi="Times New Roman" w:eastAsia="宋体" w:cs="Times New Roman"/>
          <w:sz w:val="28"/>
          <w:szCs w:val="28"/>
          <w:highlight w:val="none"/>
          <w:lang w:val="en-US" w:eastAsia="zh-CN"/>
          <w14:ligatures w14:val="none"/>
        </w:rPr>
        <w:t>成立于2006年08月28日，</w:t>
      </w:r>
      <w:r>
        <w:rPr>
          <w:rFonts w:hint="eastAsia" w:ascii="Times New Roman" w:hAnsi="Times New Roman" w:eastAsia="宋体" w:cs="Times New Roman"/>
          <w:sz w:val="28"/>
          <w:szCs w:val="28"/>
          <w:highlight w:val="none"/>
          <w14:ligatures w14:val="none"/>
        </w:rPr>
        <w:t>法定代表人</w:t>
      </w:r>
      <w:r>
        <w:rPr>
          <w:rFonts w:hint="eastAsia" w:ascii="Times New Roman" w:hAnsi="Times New Roman" w:eastAsia="宋体" w:cs="Times New Roman"/>
          <w:sz w:val="28"/>
          <w:szCs w:val="28"/>
          <w:highlight w:val="none"/>
          <w:lang w:val="en-US" w:eastAsia="zh-CN"/>
          <w14:ligatures w14:val="none"/>
        </w:rPr>
        <w:t>为赵春雷</w:t>
      </w:r>
      <w:r>
        <w:rPr>
          <w:rFonts w:hint="eastAsia" w:ascii="Times New Roman" w:hAnsi="Times New Roman" w:eastAsia="宋体" w:cs="Times New Roman"/>
          <w:sz w:val="28"/>
          <w:szCs w:val="28"/>
          <w:highlight w:val="none"/>
          <w:lang w:eastAsia="zh-CN"/>
          <w14:ligatures w14:val="none"/>
        </w:rPr>
        <w:t>。</w:t>
      </w:r>
    </w:p>
    <w:p w14:paraId="7FD030E7">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朝阳金达钛业股份有限公司于2023年05月19日取得了危险化学品重</w:t>
      </w:r>
      <w:r>
        <w:rPr>
          <w:rFonts w:hint="eastAsia" w:ascii="Times New Roman" w:hAnsi="Times New Roman" w:eastAsia="宋体" w:cstheme="minorBidi"/>
          <w:kern w:val="2"/>
          <w:sz w:val="28"/>
          <w:szCs w:val="24"/>
          <w:highlight w:val="none"/>
          <w:lang w:val="en-US" w:eastAsia="zh-CN" w:bidi="ar-SA"/>
          <w14:ligatures w14:val="standardContextual"/>
        </w:rPr>
        <w:t>大危险源备案登记表。有效期：2023年05月19日到2026年05月18日。</w:t>
      </w:r>
    </w:p>
    <w:p w14:paraId="303ED942">
      <w:pPr>
        <w:widowControl w:val="0"/>
        <w:adjustRightInd w:val="0"/>
        <w:snapToGrid w:val="0"/>
        <w:spacing w:after="0" w:line="360" w:lineRule="auto"/>
        <w:ind w:firstLine="560" w:firstLineChars="200"/>
        <w:jc w:val="both"/>
        <w:rPr>
          <w:rFonts w:hint="eastAsia" w:ascii="Times New Roman" w:hAnsi="Times New Roman" w:eastAsia="宋体" w:cstheme="minorBidi"/>
          <w:w w:val="100"/>
          <w:kern w:val="2"/>
          <w:sz w:val="28"/>
          <w:szCs w:val="24"/>
          <w:highlight w:val="none"/>
          <w:lang w:val="en-US" w:eastAsia="zh-CN" w:bidi="ar-SA"/>
          <w14:ligatures w14:val="standardContextual"/>
        </w:rPr>
      </w:pPr>
      <w:r>
        <w:rPr>
          <w:rFonts w:hint="eastAsia" w:ascii="Times New Roman" w:hAnsi="Times New Roman" w:eastAsia="宋体" w:cstheme="minorBidi"/>
          <w:w w:val="100"/>
          <w:kern w:val="2"/>
          <w:sz w:val="28"/>
          <w:szCs w:val="24"/>
          <w:highlight w:val="none"/>
          <w:lang w:val="en-US" w:eastAsia="zh-CN" w:bidi="ar-SA"/>
          <w14:ligatures w14:val="standardContextual"/>
        </w:rPr>
        <w:t>近三年情况：</w:t>
      </w:r>
    </w:p>
    <w:p w14:paraId="4F4BE232">
      <w:pPr>
        <w:widowControl w:val="0"/>
        <w:numPr>
          <w:ilvl w:val="0"/>
          <w:numId w:val="6"/>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近三年</w:t>
      </w:r>
      <w:r>
        <w:rPr>
          <w:rFonts w:hint="default" w:ascii="Times New Roman" w:hAnsi="Times New Roman" w:eastAsia="宋体" w:cstheme="minorBidi"/>
          <w:kern w:val="2"/>
          <w:sz w:val="28"/>
          <w:szCs w:val="24"/>
          <w:highlight w:val="none"/>
          <w:lang w:val="en-US" w:eastAsia="zh-CN" w:bidi="ar-SA"/>
          <w14:ligatures w14:val="standardContextual"/>
        </w:rPr>
        <w:t>周边环境</w:t>
      </w:r>
      <w:r>
        <w:rPr>
          <w:rFonts w:hint="eastAsia" w:ascii="Times New Roman" w:hAnsi="Times New Roman" w:eastAsia="宋体" w:cstheme="minorBidi"/>
          <w:kern w:val="2"/>
          <w:sz w:val="28"/>
          <w:szCs w:val="24"/>
          <w:highlight w:val="none"/>
          <w:lang w:val="en-US" w:eastAsia="zh-CN" w:bidi="ar-SA"/>
          <w14:ligatures w14:val="standardContextual"/>
        </w:rPr>
        <w:t>变化为公司厂外东北侧的小白腰村已拆迁，变为空地。</w:t>
      </w:r>
    </w:p>
    <w:p w14:paraId="7BAC6C6C">
      <w:pPr>
        <w:widowControl w:val="0"/>
        <w:numPr>
          <w:ilvl w:val="0"/>
          <w:numId w:val="6"/>
        </w:numPr>
        <w:adjustRightInd w:val="0"/>
        <w:snapToGrid w:val="0"/>
        <w:spacing w:after="0" w:line="360" w:lineRule="auto"/>
        <w:ind w:firstLine="560" w:firstLineChars="200"/>
        <w:jc w:val="both"/>
        <w:rPr>
          <w:rFonts w:hint="eastAsia"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1#液氯库四周变化为北侧新建2#液氯库。</w:t>
      </w:r>
    </w:p>
    <w:p w14:paraId="50D76524">
      <w:pPr>
        <w:widowControl w:val="0"/>
        <w:numPr>
          <w:ilvl w:val="0"/>
          <w:numId w:val="6"/>
        </w:numPr>
        <w:adjustRightInd w:val="0"/>
        <w:snapToGrid w:val="0"/>
        <w:spacing w:after="0" w:line="360" w:lineRule="auto"/>
        <w:ind w:firstLine="560" w:firstLineChars="200"/>
        <w:jc w:val="both"/>
        <w:rPr>
          <w:rFonts w:hint="default"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1#液氯库内的</w:t>
      </w:r>
      <w:r>
        <w:rPr>
          <w:rFonts w:hint="default" w:ascii="Times New Roman" w:hAnsi="Times New Roman" w:eastAsia="宋体" w:cstheme="minorBidi"/>
          <w:kern w:val="2"/>
          <w:sz w:val="28"/>
          <w:szCs w:val="24"/>
          <w:highlight w:val="none"/>
          <w:lang w:val="en-US" w:eastAsia="zh-CN" w:bidi="ar-SA"/>
          <w14:ligatures w14:val="standardContextual"/>
        </w:rPr>
        <w:t>总平面布置</w:t>
      </w:r>
      <w:r>
        <w:rPr>
          <w:rFonts w:hint="eastAsia" w:ascii="Times New Roman" w:hAnsi="Times New Roman" w:eastAsia="宋体" w:cstheme="minorBidi"/>
          <w:kern w:val="2"/>
          <w:sz w:val="28"/>
          <w:szCs w:val="24"/>
          <w:highlight w:val="none"/>
          <w:lang w:val="en-US" w:eastAsia="zh-CN" w:bidi="ar-SA"/>
          <w14:ligatures w14:val="standardContextual"/>
        </w:rPr>
        <w:t>、储存规模</w:t>
      </w:r>
      <w:r>
        <w:rPr>
          <w:rFonts w:hint="default" w:ascii="Times New Roman" w:hAnsi="Times New Roman" w:eastAsia="宋体" w:cstheme="minorBidi"/>
          <w:kern w:val="2"/>
          <w:sz w:val="28"/>
          <w:szCs w:val="24"/>
          <w:highlight w:val="none"/>
          <w:lang w:val="en-US" w:eastAsia="zh-CN" w:bidi="ar-SA"/>
          <w14:ligatures w14:val="standardContextual"/>
        </w:rPr>
        <w:t>、主要设备设施</w:t>
      </w:r>
      <w:r>
        <w:rPr>
          <w:rFonts w:hint="eastAsia" w:ascii="Times New Roman" w:hAnsi="Times New Roman" w:eastAsia="宋体" w:cstheme="minorBidi"/>
          <w:kern w:val="2"/>
          <w:sz w:val="28"/>
          <w:szCs w:val="24"/>
          <w:highlight w:val="none"/>
          <w:lang w:val="en-US" w:eastAsia="zh-CN" w:bidi="ar-SA"/>
          <w14:ligatures w14:val="standardContextual"/>
        </w:rPr>
        <w:t>无变化。</w:t>
      </w:r>
    </w:p>
    <w:p w14:paraId="2A124136">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highlight w:val="none"/>
          <w:lang w:val="en-US" w:eastAsia="zh-CN" w:bidi="ar-SA"/>
          <w14:ligatures w14:val="standardContextual"/>
        </w:rPr>
      </w:pPr>
      <w:r>
        <w:rPr>
          <w:rFonts w:hint="eastAsia" w:ascii="Times New Roman" w:hAnsi="Times New Roman" w:eastAsia="宋体" w:cstheme="minorBidi"/>
          <w:kern w:val="2"/>
          <w:sz w:val="28"/>
          <w:szCs w:val="24"/>
          <w:highlight w:val="none"/>
          <w:lang w:val="en-US" w:eastAsia="zh-CN" w:bidi="ar-SA"/>
          <w14:ligatures w14:val="standardContextual"/>
        </w:rPr>
        <w:t>（4）朝阳金达钛业股份有限公司非常重视安全生产工作，强化安全管理，保证安全生产资金的投入，每年按规定比例投入安全资金用于购置、维护、检测、检验安全设施、设备；加强安全设施维护与更新；人员的安全培训；劳动保护用品的发放等。</w:t>
      </w:r>
    </w:p>
    <w:p w14:paraId="109C3C58">
      <w:pPr>
        <w:widowControl w:val="0"/>
        <w:adjustRightInd w:val="0"/>
        <w:snapToGrid w:val="0"/>
        <w:spacing w:after="0" w:line="360" w:lineRule="auto"/>
        <w:ind w:firstLine="560" w:firstLineChars="200"/>
        <w:jc w:val="both"/>
        <w:rPr>
          <w:rFonts w:hint="eastAsia"/>
          <w:highlight w:val="none"/>
          <w:lang w:eastAsia="zh-CN"/>
        </w:rPr>
      </w:pPr>
      <w:r>
        <w:rPr>
          <w:rFonts w:hint="eastAsia" w:ascii="Times New Roman" w:hAnsi="Times New Roman" w:eastAsia="宋体" w:cstheme="minorBidi"/>
          <w:kern w:val="2"/>
          <w:sz w:val="28"/>
          <w:szCs w:val="24"/>
          <w:highlight w:val="none"/>
          <w:lang w:val="en-US" w:eastAsia="zh-CN" w:bidi="ar-SA"/>
          <w14:ligatures w14:val="standardContextual"/>
        </w:rPr>
        <w:t>（6）朝阳金达钛业股份有限公司非常重视日常生产中的隐患排查和治理工作，近三年共排查出多项治理隐患项目，并已列入整改计划。</w:t>
      </w:r>
    </w:p>
    <w:p w14:paraId="5D278D03">
      <w:pPr>
        <w:pStyle w:val="21"/>
        <w:keepNext/>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6" w:name="_Toc818"/>
      <w:r>
        <w:rPr>
          <w:rFonts w:eastAsia="楷体" w:cs="Times New Roman"/>
          <w:b/>
          <w:bCs/>
          <w:sz w:val="32"/>
          <w:szCs w:val="32"/>
        </w:rPr>
        <w:t>2.</w:t>
      </w:r>
      <w:r>
        <w:rPr>
          <w:rFonts w:hint="eastAsia" w:eastAsia="楷体" w:cs="Times New Roman"/>
          <w:b/>
          <w:bCs/>
          <w:sz w:val="32"/>
          <w:szCs w:val="32"/>
        </w:rPr>
        <w:t>2</w:t>
      </w:r>
      <w:r>
        <w:rPr>
          <w:rFonts w:hint="eastAsia" w:ascii="楷体" w:hAnsi="楷体" w:eastAsia="楷体"/>
          <w:b/>
          <w:bCs/>
          <w:sz w:val="32"/>
          <w:szCs w:val="32"/>
        </w:rPr>
        <w:t>危险化学品重大危险源辨识与分级</w:t>
      </w:r>
      <w:bookmarkEnd w:id="16"/>
    </w:p>
    <w:p w14:paraId="51598687">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.1</w:t>
      </w:r>
      <w:r>
        <w:rPr>
          <w:rFonts w:hint="eastAsia" w:ascii="黑体" w:hAnsi="黑体" w:eastAsia="黑体"/>
          <w:b/>
          <w:bCs/>
        </w:rPr>
        <w:t>辨识依据</w:t>
      </w:r>
    </w:p>
    <w:p w14:paraId="728ACC18">
      <w:pPr>
        <w:pStyle w:val="21"/>
        <w:adjustRightInd w:val="0"/>
        <w:snapToGrid w:val="0"/>
        <w:ind w:firstLine="560"/>
      </w:pPr>
      <w:r>
        <w:rPr>
          <w:rFonts w:hint="eastAsia"/>
        </w:rPr>
        <w:t>对重大危险源的辨识主要是依据《危险化学品重大危险源辨识》（GB 18218-2018）。</w:t>
      </w:r>
    </w:p>
    <w:p w14:paraId="51C4B9DE">
      <w:pPr>
        <w:pStyle w:val="21"/>
        <w:adjustRightInd w:val="0"/>
        <w:snapToGrid w:val="0"/>
        <w:ind w:firstLine="560"/>
      </w:pPr>
      <w:r>
        <w:rPr>
          <w:rFonts w:hint="eastAsia"/>
        </w:rPr>
        <w:t>危险化学品重大危险源是长期地或临时地生产、储存、使用和经营危险化学品，且危险化学品的数量等于或超过临界量的单元。</w:t>
      </w:r>
    </w:p>
    <w:p w14:paraId="031B4AF3">
      <w:pPr>
        <w:pStyle w:val="21"/>
        <w:adjustRightInd w:val="0"/>
        <w:snapToGrid w:val="0"/>
        <w:ind w:firstLine="560"/>
      </w:pPr>
      <w:r>
        <w:rPr>
          <w:rFonts w:hint="eastAsia"/>
        </w:rPr>
        <w:t>危险化学品重大危险源的辨识依据是危险化学品的危险特性及其数量。</w:t>
      </w:r>
    </w:p>
    <w:p w14:paraId="491702D3">
      <w:pPr>
        <w:pStyle w:val="21"/>
        <w:adjustRightInd w:val="0"/>
        <w:snapToGrid w:val="0"/>
        <w:ind w:firstLine="560"/>
      </w:pPr>
      <w:r>
        <w:rPr>
          <w:rFonts w:hint="eastAsia"/>
        </w:rPr>
        <w:t>重大危险源的辨识指标有两种情况：</w:t>
      </w:r>
    </w:p>
    <w:p w14:paraId="12D43B7D">
      <w:pPr>
        <w:pStyle w:val="21"/>
        <w:adjustRightInd w:val="0"/>
        <w:snapToGrid w:val="0"/>
        <w:ind w:firstLine="560"/>
      </w:pPr>
      <w:r>
        <w:rPr>
          <w:rFonts w:hint="eastAsia"/>
        </w:rPr>
        <w:t>（1）单元内存在的危险物质为单一品种，则该物质的数量即为单元内危险物质的总量，若等于或超过相应的临界量，则定为重大危险源。</w:t>
      </w:r>
    </w:p>
    <w:p w14:paraId="72FAE4ED">
      <w:pPr>
        <w:pStyle w:val="21"/>
        <w:adjustRightInd w:val="0"/>
        <w:snapToGrid w:val="0"/>
        <w:ind w:firstLine="560"/>
      </w:pPr>
      <w:r>
        <w:rPr>
          <w:rFonts w:hint="eastAsia"/>
        </w:rPr>
        <w:t>（2）单元内存在的危险物质为多品种时，则按下式计算，若满足下式，则定为重大危险源。</w:t>
      </w:r>
    </w:p>
    <w:p w14:paraId="1E2D52FC">
      <w:pPr>
        <w:pStyle w:val="21"/>
        <w:adjustRightInd w:val="0"/>
        <w:snapToGrid w:val="0"/>
        <w:ind w:firstLine="560"/>
      </w:pPr>
      <w:r>
        <w:rPr>
          <w:rFonts w:hint="eastAsia"/>
        </w:rPr>
        <w:t>S=q</w:t>
      </w:r>
      <w:r>
        <w:rPr>
          <w:rFonts w:hint="eastAsia"/>
          <w:vertAlign w:val="subscript"/>
        </w:rPr>
        <w:t>1</w:t>
      </w: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2</w:t>
      </w:r>
      <w:r>
        <w:rPr>
          <w:rFonts w:hint="eastAsia"/>
        </w:rPr>
        <w:t>+…+q</w:t>
      </w:r>
      <w:r>
        <w:rPr>
          <w:rFonts w:hint="eastAsia"/>
          <w:vertAlign w:val="subscript"/>
        </w:rPr>
        <w:t>n</w:t>
      </w:r>
      <w:r>
        <w:rPr>
          <w:rFonts w:hint="eastAsia"/>
        </w:rPr>
        <w:t>/Q</w:t>
      </w:r>
      <w:r>
        <w:rPr>
          <w:rFonts w:hint="eastAsia"/>
          <w:vertAlign w:val="subscript"/>
        </w:rPr>
        <w:t>n</w:t>
      </w:r>
      <w:r>
        <w:rPr>
          <w:rFonts w:hint="eastAsia"/>
        </w:rPr>
        <w:t>，若计算结果≥1则构成危险化学品重大危险源。</w:t>
      </w:r>
    </w:p>
    <w:p w14:paraId="4BD53CD4">
      <w:pPr>
        <w:pStyle w:val="21"/>
        <w:adjustRightInd w:val="0"/>
        <w:snapToGrid w:val="0"/>
        <w:ind w:firstLine="560"/>
      </w:pPr>
      <w:r>
        <w:rPr>
          <w:rFonts w:hint="eastAsia"/>
        </w:rPr>
        <w:t>式中q</w:t>
      </w:r>
      <w:r>
        <w:rPr>
          <w:rFonts w:hint="eastAsia"/>
          <w:vertAlign w:val="subscript"/>
        </w:rPr>
        <w:t>1</w:t>
      </w:r>
      <w:r>
        <w:rPr>
          <w:rFonts w:hint="eastAsia"/>
        </w:rPr>
        <w:t>、q</w:t>
      </w:r>
      <w:r>
        <w:rPr>
          <w:rFonts w:hint="eastAsia"/>
          <w:vertAlign w:val="subscript"/>
        </w:rPr>
        <w:t>2</w:t>
      </w:r>
      <w:r>
        <w:rPr>
          <w:rFonts w:hint="eastAsia"/>
        </w:rPr>
        <w:t>，…，qn为每种危险物质实际存在量，t。</w:t>
      </w:r>
    </w:p>
    <w:p w14:paraId="4E8B5C18">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，…，Qn为与各危险物质相对应的临界量，t。</w:t>
      </w:r>
    </w:p>
    <w:p w14:paraId="5358DEB5">
      <w:pPr>
        <w:pStyle w:val="21"/>
        <w:adjustRightInd w:val="0"/>
        <w:snapToGrid w:val="0"/>
        <w:ind w:firstLine="560"/>
      </w:pPr>
      <w:r>
        <w:rPr>
          <w:rFonts w:hint="eastAsia"/>
        </w:rPr>
        <w:t>其中，物质临界量的确定依据为《危险化学品重大危险源辨识》的表1，而未在表1中的危险化学品，依据其危险特性，根据《危险化学品重大危险源辨识》的表2确定其临界量。</w:t>
      </w:r>
    </w:p>
    <w:p w14:paraId="1364A55E">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.2</w:t>
      </w:r>
      <w:r>
        <w:rPr>
          <w:rFonts w:hint="eastAsia" w:ascii="黑体" w:hAnsi="黑体" w:eastAsia="黑体"/>
          <w:b/>
          <w:bCs/>
        </w:rPr>
        <w:t>危险化学品重大危险源辨识</w:t>
      </w:r>
    </w:p>
    <w:p w14:paraId="1728B1EF">
      <w:pPr>
        <w:pStyle w:val="21"/>
        <w:adjustRightInd w:val="0"/>
        <w:snapToGrid w:val="0"/>
        <w:ind w:firstLine="560"/>
      </w:pPr>
      <w:r>
        <w:rPr>
          <w:rFonts w:hint="eastAsia"/>
        </w:rPr>
        <w:t>（1）危险化学品重大危险源单元划分</w:t>
      </w:r>
    </w:p>
    <w:p w14:paraId="0F3EECCD">
      <w:pPr>
        <w:pStyle w:val="21"/>
        <w:adjustRightInd w:val="0"/>
        <w:snapToGrid w:val="0"/>
        <w:ind w:firstLine="560"/>
      </w:pPr>
      <w:r>
        <w:rPr>
          <w:rFonts w:hint="eastAsia"/>
        </w:rPr>
        <w:t>根据《危险化学品重大危险源辨识》（GB 18218-2018）的规定，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6B3D5DA9">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因此，划分为1个单元，为液氯储罐及液氯气化区单元。</w:t>
      </w:r>
    </w:p>
    <w:p w14:paraId="73267550">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（2）危险化学品重大危险源辨识</w:t>
      </w:r>
    </w:p>
    <w:p w14:paraId="1C80C2BA">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液氯储罐及液氯气化区单元涉及的危险化学品为液氯。</w:t>
      </w:r>
    </w:p>
    <w:p w14:paraId="7FEE7912">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14:ligatures w14:val="none"/>
        </w:rPr>
      </w:pPr>
      <w:r>
        <w:rPr>
          <w:rFonts w:hint="default" w:ascii="Times New Roman" w:hAnsi="Times New Roman" w:eastAsia="黑体" w:cs="Times New Roman"/>
          <w:color w:val="auto"/>
          <w:kern w:val="28"/>
          <w:sz w:val="24"/>
          <w14:ligatures w14:val="none"/>
        </w:rPr>
        <w:t>表</w:t>
      </w:r>
      <w:r>
        <w:rPr>
          <w:rFonts w:hint="eastAsia" w:ascii="Times New Roman" w:hAnsi="Times New Roman" w:eastAsia="黑体" w:cs="Times New Roman"/>
          <w:color w:val="auto"/>
          <w:kern w:val="28"/>
          <w:sz w:val="24"/>
          <w:lang w:val="en-US" w:eastAsia="zh-CN"/>
          <w14:ligatures w14:val="none"/>
        </w:rPr>
        <w:t xml:space="preserve">2.2-1  </w:t>
      </w:r>
      <w:r>
        <w:rPr>
          <w:rFonts w:hint="default" w:ascii="Times New Roman" w:hAnsi="Times New Roman" w:eastAsia="黑体" w:cs="Times New Roman"/>
          <w:color w:val="auto"/>
          <w:kern w:val="28"/>
          <w:sz w:val="24"/>
          <w14:ligatures w14:val="none"/>
        </w:rPr>
        <w:t>重大危险源设计存储量表</w:t>
      </w:r>
    </w:p>
    <w:tbl>
      <w:tblPr>
        <w:tblStyle w:val="25"/>
        <w:tblW w:w="5048"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8"/>
        <w:gridCol w:w="1626"/>
        <w:gridCol w:w="1332"/>
        <w:gridCol w:w="5562"/>
      </w:tblGrid>
      <w:tr w14:paraId="5D12BA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tcBorders>
              <w:bottom w:val="single" w:color="auto" w:sz="4" w:space="0"/>
            </w:tcBorders>
            <w:vAlign w:val="center"/>
          </w:tcPr>
          <w:p w14:paraId="5CD24E5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序号</w:t>
            </w:r>
          </w:p>
        </w:tc>
        <w:tc>
          <w:tcPr>
            <w:tcW w:w="1627" w:type="dxa"/>
            <w:tcBorders>
              <w:bottom w:val="single" w:color="auto" w:sz="4" w:space="0"/>
            </w:tcBorders>
            <w:vAlign w:val="center"/>
          </w:tcPr>
          <w:p w14:paraId="74D9617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辨识单元</w:t>
            </w:r>
          </w:p>
        </w:tc>
        <w:tc>
          <w:tcPr>
            <w:tcW w:w="1332" w:type="dxa"/>
            <w:tcBorders>
              <w:bottom w:val="single" w:color="auto" w:sz="4" w:space="0"/>
            </w:tcBorders>
            <w:vAlign w:val="center"/>
          </w:tcPr>
          <w:p w14:paraId="120A8C3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5"/>
                <w:kern w:val="2"/>
                <w:sz w:val="21"/>
                <w:szCs w:val="21"/>
                <w:lang w:val="en-US" w:eastAsia="en-US" w:bidi="ar-SA"/>
                <w14:ligatures w14:val="standardContextual"/>
              </w:rPr>
              <w:t>名称</w:t>
            </w:r>
          </w:p>
        </w:tc>
        <w:tc>
          <w:tcPr>
            <w:tcW w:w="5565" w:type="dxa"/>
            <w:tcBorders>
              <w:bottom w:val="single" w:color="auto" w:sz="4" w:space="0"/>
            </w:tcBorders>
            <w:vAlign w:val="center"/>
          </w:tcPr>
          <w:p w14:paraId="0AEAB13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default" w:ascii="Times New Roman" w:hAnsi="Times New Roman" w:eastAsia="宋体" w:cs="Times New Roman"/>
                <w:spacing w:val="-2"/>
                <w:kern w:val="2"/>
                <w:sz w:val="21"/>
                <w:szCs w:val="21"/>
                <w:lang w:val="en-US" w:eastAsia="en-US" w:bidi="ar-SA"/>
                <w14:ligatures w14:val="standardContextual"/>
              </w:rPr>
              <w:t>设计存储量（t）</w:t>
            </w:r>
          </w:p>
        </w:tc>
      </w:tr>
      <w:tr w14:paraId="01ECA1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Merge w:val="restart"/>
            <w:vAlign w:val="center"/>
          </w:tcPr>
          <w:p w14:paraId="339A437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SA"/>
                <w14:ligatures w14:val="standardContextual"/>
              </w:rPr>
              <w:t>1</w:t>
            </w:r>
          </w:p>
        </w:tc>
        <w:tc>
          <w:tcPr>
            <w:tcW w:w="1627" w:type="dxa"/>
            <w:vMerge w:val="restart"/>
            <w:vAlign w:val="center"/>
          </w:tcPr>
          <w:p w14:paraId="21448CD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sz w:val="21"/>
                <w:szCs w:val="21"/>
                <w:lang w:val="en-US" w:eastAsia="zh-CN"/>
              </w:rPr>
              <w:t>液氯储罐及液氯气化区单元</w:t>
            </w:r>
          </w:p>
        </w:tc>
        <w:tc>
          <w:tcPr>
            <w:tcW w:w="1332" w:type="dxa"/>
            <w:vAlign w:val="center"/>
          </w:tcPr>
          <w:p w14:paraId="1152F96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sz w:val="21"/>
                <w:szCs w:val="21"/>
                <w:lang w:val="en-US" w:eastAsia="zh-CN"/>
              </w:rPr>
              <w:t>液氯</w:t>
            </w:r>
          </w:p>
        </w:tc>
        <w:tc>
          <w:tcPr>
            <w:tcW w:w="5565" w:type="dxa"/>
            <w:vAlign w:val="center"/>
          </w:tcPr>
          <w:p w14:paraId="5D9CD57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color w:val="auto"/>
                <w:kern w:val="2"/>
                <w:sz w:val="21"/>
                <w:szCs w:val="21"/>
                <w:lang w:val="en-US" w:eastAsia="zh-CN" w:bidi="ar-SA"/>
                <w14:ligatures w14:val="standardContextual"/>
              </w:rPr>
            </w:pPr>
            <w:r>
              <w:rPr>
                <w:rFonts w:hint="eastAsia" w:ascii="Times New Roman" w:hAnsi="Times New Roman" w:cs="Times New Roman"/>
                <w:color w:val="auto"/>
                <w:kern w:val="2"/>
                <w:sz w:val="21"/>
                <w:szCs w:val="21"/>
                <w:lang w:val="en-US" w:eastAsia="zh-CN"/>
              </w:rPr>
              <w:t>380.7</w:t>
            </w:r>
          </w:p>
        </w:tc>
      </w:tr>
      <w:tr w14:paraId="06BFC2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Merge w:val="continue"/>
            <w:vAlign w:val="center"/>
          </w:tcPr>
          <w:p w14:paraId="4C9F421C">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kern w:val="2"/>
                <w:sz w:val="21"/>
                <w:szCs w:val="21"/>
                <w:lang w:val="en-US" w:eastAsia="zh-CN" w:bidi="ar-SA"/>
                <w14:ligatures w14:val="standardContextual"/>
              </w:rPr>
            </w:pPr>
          </w:p>
        </w:tc>
        <w:tc>
          <w:tcPr>
            <w:tcW w:w="1627" w:type="dxa"/>
            <w:vMerge w:val="continue"/>
            <w:vAlign w:val="center"/>
          </w:tcPr>
          <w:p w14:paraId="0A0661D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p>
        </w:tc>
        <w:tc>
          <w:tcPr>
            <w:tcW w:w="1332" w:type="dxa"/>
            <w:vAlign w:val="center"/>
          </w:tcPr>
          <w:p w14:paraId="23CB5C9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sz w:val="21"/>
                <w:szCs w:val="21"/>
                <w:lang w:val="en-US" w:eastAsia="zh-CN"/>
              </w:rPr>
              <w:t>氯气</w:t>
            </w:r>
          </w:p>
        </w:tc>
        <w:tc>
          <w:tcPr>
            <w:tcW w:w="5565" w:type="dxa"/>
            <w:vAlign w:val="center"/>
          </w:tcPr>
          <w:p w14:paraId="2897094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color w:val="auto"/>
                <w:kern w:val="2"/>
                <w:sz w:val="21"/>
                <w:szCs w:val="21"/>
                <w:lang w:val="en-US" w:eastAsia="zh-CN" w:bidi="ar-SA"/>
                <w14:ligatures w14:val="standardContextual"/>
              </w:rPr>
            </w:pPr>
            <w:r>
              <w:rPr>
                <w:rFonts w:hint="eastAsia" w:ascii="Times New Roman" w:hAnsi="Times New Roman" w:cs="Times New Roman"/>
                <w:color w:val="auto"/>
                <w:kern w:val="2"/>
                <w:sz w:val="21"/>
                <w:szCs w:val="21"/>
                <w:lang w:val="en-US" w:eastAsia="zh-CN"/>
              </w:rPr>
              <w:t>0.52</w:t>
            </w:r>
          </w:p>
        </w:tc>
      </w:tr>
      <w:tr w14:paraId="454B71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273" w:type="dxa"/>
            <w:gridSpan w:val="4"/>
            <w:vAlign w:val="center"/>
          </w:tcPr>
          <w:p w14:paraId="65B5B54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cs="Times New Roman"/>
                <w:color w:val="auto"/>
                <w:kern w:val="2"/>
                <w:sz w:val="21"/>
                <w:szCs w:val="21"/>
                <w:lang w:val="en-US" w:eastAsia="zh-CN"/>
              </w:rPr>
            </w:pPr>
            <w:r>
              <w:rPr>
                <w:rFonts w:hint="default" w:ascii="Times New Roman" w:hAnsi="Times New Roman" w:cs="Times New Roman"/>
                <w:sz w:val="21"/>
                <w:szCs w:val="21"/>
              </w:rPr>
              <w:t>注：</w:t>
            </w:r>
            <w:r>
              <w:rPr>
                <w:rFonts w:hint="eastAsia" w:ascii="Times New Roman" w:hAnsi="Times New Roman" w:cs="Times New Roman"/>
                <w:sz w:val="21"/>
                <w:szCs w:val="21"/>
                <w:lang w:val="en-US" w:eastAsia="zh-CN"/>
              </w:rPr>
              <w:t>1</w:t>
            </w:r>
            <w:r>
              <w:rPr>
                <w:rFonts w:hint="default" w:ascii="Times New Roman" w:hAnsi="Times New Roman" w:cs="Times New Roman"/>
                <w:sz w:val="21"/>
                <w:szCs w:val="21"/>
              </w:rPr>
              <w:t>#液氯储罐及液氯气化区</w:t>
            </w:r>
            <w:r>
              <w:rPr>
                <w:rFonts w:hint="eastAsia" w:ascii="Times New Roman" w:hAnsi="Times New Roman" w:cs="Times New Roman"/>
                <w:sz w:val="21"/>
                <w:szCs w:val="21"/>
                <w:lang w:val="en-US" w:eastAsia="zh-CN"/>
              </w:rPr>
              <w:t>单元</w:t>
            </w:r>
            <w:r>
              <w:rPr>
                <w:rFonts w:hint="default" w:ascii="Times New Roman" w:hAnsi="Times New Roman" w:cs="Times New Roman"/>
                <w:sz w:val="21"/>
                <w:szCs w:val="21"/>
              </w:rPr>
              <w:t>共设置</w:t>
            </w:r>
            <w:r>
              <w:rPr>
                <w:rFonts w:hint="eastAsia" w:ascii="Times New Roman" w:hAnsi="Times New Roman" w:cs="Times New Roman"/>
                <w:sz w:val="21"/>
                <w:szCs w:val="21"/>
                <w:lang w:val="en-US" w:eastAsia="zh-CN"/>
              </w:rPr>
              <w:t>7</w:t>
            </w:r>
            <w:r>
              <w:rPr>
                <w:rFonts w:hint="default" w:ascii="Times New Roman" w:hAnsi="Times New Roman" w:cs="Times New Roman"/>
                <w:sz w:val="21"/>
                <w:szCs w:val="21"/>
              </w:rPr>
              <w:t>台4</w:t>
            </w:r>
            <w:r>
              <w:rPr>
                <w:rFonts w:hint="eastAsia" w:ascii="Times New Roman" w:hAnsi="Times New Roman" w:cs="Times New Roman"/>
                <w:sz w:val="21"/>
                <w:szCs w:val="21"/>
                <w:lang w:val="en-US" w:eastAsia="zh-CN"/>
              </w:rPr>
              <w:t>5</w:t>
            </w:r>
            <w:r>
              <w:rPr>
                <w:rFonts w:hint="default" w:ascii="Times New Roman" w:hAnsi="Times New Roman" w:cs="Times New Roman"/>
                <w:sz w:val="21"/>
                <w:szCs w:val="21"/>
              </w:rPr>
              <w:t>m</w:t>
            </w:r>
            <w:r>
              <w:rPr>
                <w:rFonts w:hint="default" w:ascii="Times New Roman" w:hAnsi="Times New Roman" w:cs="Times New Roman"/>
                <w:sz w:val="21"/>
                <w:szCs w:val="21"/>
                <w:vertAlign w:val="superscript"/>
              </w:rPr>
              <w:t>3</w:t>
            </w:r>
            <w:r>
              <w:rPr>
                <w:rFonts w:hint="default" w:ascii="Times New Roman" w:hAnsi="Times New Roman" w:cs="Times New Roman"/>
                <w:sz w:val="21"/>
                <w:szCs w:val="21"/>
              </w:rPr>
              <w:t>液氯储罐，最大储量按</w:t>
            </w:r>
            <w:r>
              <w:rPr>
                <w:rFonts w:hint="eastAsia" w:ascii="Times New Roman" w:hAnsi="Times New Roman" w:cs="Times New Roman"/>
                <w:sz w:val="21"/>
                <w:szCs w:val="21"/>
                <w:lang w:val="en-US" w:eastAsia="zh-CN"/>
              </w:rPr>
              <w:t>100</w:t>
            </w:r>
            <w:r>
              <w:rPr>
                <w:rFonts w:hint="default" w:ascii="Times New Roman" w:hAnsi="Times New Roman" w:cs="Times New Roman"/>
                <w:sz w:val="21"/>
                <w:szCs w:val="21"/>
              </w:rPr>
              <w:t>%，</w:t>
            </w:r>
            <w:r>
              <w:rPr>
                <w:rFonts w:hint="eastAsia" w:ascii="Times New Roman" w:hAnsi="Times New Roman" w:cs="Times New Roman"/>
                <w:sz w:val="21"/>
                <w:szCs w:val="21"/>
                <w:lang w:val="en-US" w:eastAsia="zh-CN"/>
              </w:rPr>
              <w:t>6</w:t>
            </w:r>
            <w:r>
              <w:rPr>
                <w:rFonts w:hint="default" w:ascii="Times New Roman" w:hAnsi="Times New Roman" w:cs="Times New Roman"/>
                <w:sz w:val="21"/>
                <w:szCs w:val="21"/>
              </w:rPr>
              <w:t>用</w:t>
            </w:r>
            <w:r>
              <w:rPr>
                <w:rFonts w:hint="eastAsia" w:ascii="Times New Roman" w:hAnsi="Times New Roman" w:cs="Times New Roman"/>
                <w:sz w:val="21"/>
                <w:szCs w:val="21"/>
                <w:lang w:val="en-US" w:eastAsia="zh-CN"/>
              </w:rPr>
              <w:t>1</w:t>
            </w:r>
            <w:r>
              <w:rPr>
                <w:rFonts w:hint="default" w:ascii="Times New Roman" w:hAnsi="Times New Roman" w:cs="Times New Roman"/>
                <w:sz w:val="21"/>
                <w:szCs w:val="21"/>
              </w:rPr>
              <w:t>备，液氯密度1.41t/m</w:t>
            </w:r>
            <w:r>
              <w:rPr>
                <w:rFonts w:hint="default" w:ascii="Times New Roman" w:hAnsi="Times New Roman" w:cs="Times New Roman"/>
                <w:sz w:val="21"/>
                <w:szCs w:val="21"/>
                <w:vertAlign w:val="superscript"/>
              </w:rPr>
              <w:t>3</w:t>
            </w:r>
            <w:r>
              <w:rPr>
                <w:rFonts w:hint="eastAsia" w:ascii="Times New Roman" w:hAnsi="Times New Roman" w:cs="Times New Roman"/>
                <w:sz w:val="21"/>
                <w:szCs w:val="21"/>
                <w:lang w:eastAsia="zh-CN"/>
              </w:rPr>
              <w:t>，</w:t>
            </w:r>
            <w:r>
              <w:rPr>
                <w:rFonts w:hint="default" w:ascii="Times New Roman" w:hAnsi="Times New Roman" w:cs="Times New Roman"/>
                <w:sz w:val="21"/>
                <w:szCs w:val="21"/>
              </w:rPr>
              <w:t>所以液氯最大存在量=</w:t>
            </w:r>
            <w:r>
              <w:rPr>
                <w:rFonts w:hint="eastAsia" w:ascii="Times New Roman" w:hAnsi="Times New Roman" w:cs="Times New Roman"/>
                <w:sz w:val="21"/>
                <w:szCs w:val="21"/>
                <w:lang w:val="en-US" w:eastAsia="zh-CN"/>
              </w:rPr>
              <w:t>380.7</w:t>
            </w:r>
            <w:r>
              <w:rPr>
                <w:rFonts w:hint="default" w:ascii="Times New Roman" w:hAnsi="Times New Roman" w:cs="Times New Roman"/>
                <w:sz w:val="21"/>
                <w:szCs w:val="21"/>
              </w:rPr>
              <w:t>t。</w:t>
            </w:r>
          </w:p>
        </w:tc>
      </w:tr>
    </w:tbl>
    <w:p w14:paraId="11768E7E">
      <w:pPr>
        <w:spacing w:line="41" w:lineRule="exact"/>
      </w:pPr>
    </w:p>
    <w:p w14:paraId="57A65F54">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lang w:val="en-US" w:eastAsia="zh-CN"/>
          <w14:ligatures w14:val="none"/>
        </w:rPr>
      </w:pPr>
      <w:r>
        <w:rPr>
          <w:rFonts w:hint="default" w:ascii="Times New Roman" w:hAnsi="Times New Roman" w:eastAsia="黑体" w:cs="Times New Roman"/>
          <w:color w:val="auto"/>
          <w:kern w:val="28"/>
          <w:sz w:val="24"/>
          <w:lang w:val="en-US" w:eastAsia="zh-CN"/>
          <w14:ligatures w14:val="none"/>
        </w:rPr>
        <w:t>表</w:t>
      </w:r>
      <w:r>
        <w:rPr>
          <w:rFonts w:hint="eastAsia" w:ascii="Times New Roman" w:hAnsi="Times New Roman" w:eastAsia="黑体" w:cs="Times New Roman"/>
          <w:color w:val="auto"/>
          <w:kern w:val="28"/>
          <w:sz w:val="24"/>
          <w:lang w:val="en-US" w:eastAsia="zh-CN"/>
          <w14:ligatures w14:val="none"/>
        </w:rPr>
        <w:t xml:space="preserve">2.2-2  </w:t>
      </w:r>
      <w:r>
        <w:rPr>
          <w:rFonts w:hint="default" w:ascii="Times New Roman" w:hAnsi="Times New Roman" w:eastAsia="黑体" w:cs="Times New Roman"/>
          <w:color w:val="auto"/>
          <w:kern w:val="28"/>
          <w:sz w:val="24"/>
          <w:lang w:val="en-US" w:eastAsia="zh-CN"/>
          <w14:ligatures w14:val="none"/>
        </w:rPr>
        <w:t>重大危险源辨识物质名称及临界量表</w:t>
      </w:r>
    </w:p>
    <w:tbl>
      <w:tblPr>
        <w:tblStyle w:val="25"/>
        <w:tblW w:w="5023"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9"/>
        <w:gridCol w:w="970"/>
        <w:gridCol w:w="975"/>
        <w:gridCol w:w="973"/>
        <w:gridCol w:w="664"/>
        <w:gridCol w:w="2500"/>
        <w:gridCol w:w="2500"/>
      </w:tblGrid>
      <w:tr w14:paraId="1F4D44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640" w:type="dxa"/>
            <w:vAlign w:val="center"/>
          </w:tcPr>
          <w:p w14:paraId="29017B5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序号</w:t>
            </w:r>
          </w:p>
        </w:tc>
        <w:tc>
          <w:tcPr>
            <w:tcW w:w="971" w:type="dxa"/>
            <w:vAlign w:val="center"/>
          </w:tcPr>
          <w:p w14:paraId="7788B62A">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辨识单元</w:t>
            </w:r>
          </w:p>
        </w:tc>
        <w:tc>
          <w:tcPr>
            <w:tcW w:w="976" w:type="dxa"/>
            <w:vAlign w:val="center"/>
          </w:tcPr>
          <w:p w14:paraId="0A280448">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名称</w:t>
            </w:r>
          </w:p>
        </w:tc>
        <w:tc>
          <w:tcPr>
            <w:tcW w:w="974" w:type="dxa"/>
            <w:vAlign w:val="center"/>
          </w:tcPr>
          <w:p w14:paraId="6935558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设计存储</w:t>
            </w:r>
          </w:p>
          <w:p w14:paraId="4098102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量（t）</w:t>
            </w:r>
          </w:p>
        </w:tc>
        <w:tc>
          <w:tcPr>
            <w:tcW w:w="665" w:type="dxa"/>
            <w:vAlign w:val="center"/>
          </w:tcPr>
          <w:p w14:paraId="27BFD11E">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临界量</w:t>
            </w:r>
          </w:p>
          <w:p w14:paraId="534514CB">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（t）</w:t>
            </w:r>
          </w:p>
        </w:tc>
        <w:tc>
          <w:tcPr>
            <w:tcW w:w="2501" w:type="dxa"/>
            <w:vAlign w:val="center"/>
          </w:tcPr>
          <w:p w14:paraId="1E86C2D0">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qn/Qn</w:t>
            </w:r>
          </w:p>
        </w:tc>
        <w:tc>
          <w:tcPr>
            <w:tcW w:w="2501" w:type="dxa"/>
            <w:vAlign w:val="center"/>
          </w:tcPr>
          <w:p w14:paraId="2C22C2E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en-US" w:bidi="ar-SA"/>
                <w14:ligatures w14:val="standardContextual"/>
              </w:rPr>
            </w:pPr>
            <w:r>
              <w:rPr>
                <w:rFonts w:hint="default" w:ascii="Times New Roman" w:hAnsi="Times New Roman" w:eastAsia="宋体" w:cs="Times New Roman"/>
                <w:spacing w:val="-3"/>
                <w:kern w:val="2"/>
                <w:sz w:val="21"/>
                <w:szCs w:val="21"/>
                <w:lang w:val="en-US" w:eastAsia="en-US" w:bidi="ar-SA"/>
                <w14:ligatures w14:val="standardContextual"/>
              </w:rPr>
              <w:t>辨识结果</w:t>
            </w:r>
          </w:p>
        </w:tc>
      </w:tr>
      <w:tr w14:paraId="08EE4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640" w:type="dxa"/>
            <w:vMerge w:val="restart"/>
            <w:vAlign w:val="center"/>
          </w:tcPr>
          <w:p w14:paraId="6790D84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kern w:val="2"/>
                <w:sz w:val="21"/>
                <w:szCs w:val="21"/>
                <w:lang w:val="en-US" w:eastAsia="zh-CN" w:bidi="ar-SA"/>
                <w14:ligatures w14:val="standardContextual"/>
              </w:rPr>
              <w:t>1</w:t>
            </w:r>
          </w:p>
        </w:tc>
        <w:tc>
          <w:tcPr>
            <w:tcW w:w="971" w:type="dxa"/>
            <w:vMerge w:val="restart"/>
            <w:vAlign w:val="center"/>
          </w:tcPr>
          <w:p w14:paraId="059532D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液氯储罐</w:t>
            </w:r>
            <w:r>
              <w:rPr>
                <w:rFonts w:hint="eastAsia" w:ascii="Times New Roman" w:hAnsi="Times New Roman" w:eastAsia="宋体" w:cs="Times New Roman"/>
                <w:spacing w:val="-2"/>
                <w:sz w:val="21"/>
                <w:szCs w:val="21"/>
                <w:lang w:val="en-US" w:eastAsia="zh-CN"/>
              </w:rPr>
              <w:t>及液氯气化区单元</w:t>
            </w:r>
          </w:p>
        </w:tc>
        <w:tc>
          <w:tcPr>
            <w:tcW w:w="976" w:type="dxa"/>
            <w:vAlign w:val="center"/>
          </w:tcPr>
          <w:p w14:paraId="48035F6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液氯</w:t>
            </w:r>
          </w:p>
        </w:tc>
        <w:tc>
          <w:tcPr>
            <w:tcW w:w="974" w:type="dxa"/>
            <w:vAlign w:val="center"/>
          </w:tcPr>
          <w:p w14:paraId="7BDF979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color w:val="auto"/>
                <w:kern w:val="2"/>
                <w:sz w:val="21"/>
                <w:szCs w:val="21"/>
                <w:lang w:val="en-US" w:eastAsia="zh-CN" w:bidi="ar-SA"/>
                <w14:ligatures w14:val="standardContextual"/>
              </w:rPr>
              <w:t>380.7</w:t>
            </w:r>
          </w:p>
        </w:tc>
        <w:tc>
          <w:tcPr>
            <w:tcW w:w="665" w:type="dxa"/>
            <w:vAlign w:val="center"/>
          </w:tcPr>
          <w:p w14:paraId="290D5566">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5</w:t>
            </w:r>
          </w:p>
        </w:tc>
        <w:tc>
          <w:tcPr>
            <w:tcW w:w="2501" w:type="dxa"/>
            <w:vAlign w:val="center"/>
          </w:tcPr>
          <w:p w14:paraId="7D72C9D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eastAsia" w:ascii="Times New Roman" w:hAnsi="Times New Roman" w:cs="Times New Roman"/>
                <w:spacing w:val="-3"/>
                <w:sz w:val="21"/>
                <w:szCs w:val="21"/>
                <w:lang w:val="en-US" w:eastAsia="zh-CN"/>
              </w:rPr>
              <w:t>76.14</w:t>
            </w:r>
          </w:p>
        </w:tc>
        <w:tc>
          <w:tcPr>
            <w:tcW w:w="2501" w:type="dxa"/>
            <w:vMerge w:val="restart"/>
            <w:vAlign w:val="center"/>
          </w:tcPr>
          <w:p w14:paraId="01F2FA3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cs="Times New Roman"/>
                <w:spacing w:val="-3"/>
                <w:sz w:val="21"/>
                <w:szCs w:val="21"/>
                <w:lang w:eastAsia="zh-CN"/>
              </w:rPr>
            </w:pPr>
            <w:r>
              <w:rPr>
                <w:rFonts w:hint="eastAsia" w:ascii="Times New Roman" w:hAnsi="Times New Roman" w:cs="Times New Roman"/>
                <w:spacing w:val="-3"/>
                <w:sz w:val="21"/>
                <w:szCs w:val="21"/>
                <w:lang w:val="en-US" w:eastAsia="zh-CN"/>
              </w:rPr>
              <w:t>S＝</w:t>
            </w:r>
            <w:r>
              <w:rPr>
                <w:rFonts w:hint="default" w:ascii="Times New Roman" w:hAnsi="Times New Roman" w:eastAsia="宋体" w:cs="Times New Roman"/>
                <w:spacing w:val="-3"/>
                <w:sz w:val="21"/>
                <w:szCs w:val="21"/>
              </w:rPr>
              <w:t>∑qn/Qn=</w:t>
            </w:r>
            <w:r>
              <w:rPr>
                <w:rFonts w:hint="eastAsia" w:ascii="Times New Roman" w:hAnsi="Times New Roman" w:cs="Times New Roman"/>
                <w:spacing w:val="-3"/>
                <w:sz w:val="21"/>
                <w:szCs w:val="21"/>
                <w:lang w:val="en-US" w:eastAsia="zh-CN"/>
              </w:rPr>
              <w:t>76.244＞</w:t>
            </w:r>
            <w:r>
              <w:rPr>
                <w:rFonts w:hint="default" w:ascii="Times New Roman" w:hAnsi="Times New Roman" w:eastAsia="宋体" w:cs="Times New Roman"/>
                <w:spacing w:val="-3"/>
                <w:sz w:val="21"/>
                <w:szCs w:val="21"/>
              </w:rPr>
              <w:t>1</w:t>
            </w:r>
          </w:p>
          <w:p w14:paraId="30423265">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 xml:space="preserve"> 构成重大危险源</w:t>
            </w:r>
          </w:p>
        </w:tc>
      </w:tr>
      <w:tr w14:paraId="0E11BB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640" w:type="dxa"/>
            <w:vMerge w:val="continue"/>
            <w:vAlign w:val="center"/>
          </w:tcPr>
          <w:p w14:paraId="2C3FD99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kern w:val="2"/>
                <w:sz w:val="21"/>
                <w:szCs w:val="21"/>
                <w:lang w:val="en-US" w:eastAsia="zh-CN" w:bidi="ar-SA"/>
                <w14:ligatures w14:val="standardContextual"/>
              </w:rPr>
            </w:pPr>
          </w:p>
        </w:tc>
        <w:tc>
          <w:tcPr>
            <w:tcW w:w="971" w:type="dxa"/>
            <w:vMerge w:val="continue"/>
            <w:vAlign w:val="center"/>
          </w:tcPr>
          <w:p w14:paraId="60C39C7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p>
        </w:tc>
        <w:tc>
          <w:tcPr>
            <w:tcW w:w="976" w:type="dxa"/>
            <w:vAlign w:val="center"/>
          </w:tcPr>
          <w:p w14:paraId="589AAD6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sz w:val="21"/>
                <w:szCs w:val="21"/>
                <w:lang w:val="en-US" w:eastAsia="zh-CN"/>
              </w:rPr>
              <w:t>氯气</w:t>
            </w:r>
          </w:p>
        </w:tc>
        <w:tc>
          <w:tcPr>
            <w:tcW w:w="974" w:type="dxa"/>
            <w:vAlign w:val="center"/>
          </w:tcPr>
          <w:p w14:paraId="72C57D3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color w:val="auto"/>
                <w:kern w:val="2"/>
                <w:sz w:val="21"/>
                <w:szCs w:val="21"/>
                <w:lang w:val="en-US" w:eastAsia="zh-CN" w:bidi="ar-SA"/>
                <w14:ligatures w14:val="standardContextual"/>
              </w:rPr>
            </w:pPr>
            <w:r>
              <w:rPr>
                <w:rFonts w:hint="eastAsia" w:ascii="Times New Roman" w:hAnsi="Times New Roman" w:cs="Times New Roman"/>
                <w:color w:val="auto"/>
                <w:kern w:val="2"/>
                <w:sz w:val="21"/>
                <w:szCs w:val="21"/>
                <w:lang w:val="en-US" w:eastAsia="zh-CN"/>
              </w:rPr>
              <w:t>0.52</w:t>
            </w:r>
          </w:p>
        </w:tc>
        <w:tc>
          <w:tcPr>
            <w:tcW w:w="665" w:type="dxa"/>
            <w:vAlign w:val="center"/>
          </w:tcPr>
          <w:p w14:paraId="642DE36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cs="Times New Roman"/>
                <w:spacing w:val="-3"/>
                <w:sz w:val="21"/>
                <w:szCs w:val="21"/>
                <w:lang w:val="en-US" w:eastAsia="zh-CN"/>
              </w:rPr>
              <w:t>5</w:t>
            </w:r>
          </w:p>
        </w:tc>
        <w:tc>
          <w:tcPr>
            <w:tcW w:w="2501" w:type="dxa"/>
            <w:vAlign w:val="center"/>
          </w:tcPr>
          <w:p w14:paraId="0D62A9D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0.104</w:t>
            </w:r>
          </w:p>
        </w:tc>
        <w:tc>
          <w:tcPr>
            <w:tcW w:w="2501" w:type="dxa"/>
            <w:vMerge w:val="continue"/>
            <w:vAlign w:val="center"/>
          </w:tcPr>
          <w:p w14:paraId="194F1191">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p>
        </w:tc>
      </w:tr>
    </w:tbl>
    <w:p w14:paraId="4AEDE449">
      <w:pPr>
        <w:spacing w:line="39" w:lineRule="exact"/>
      </w:pPr>
    </w:p>
    <w:p w14:paraId="2A85814D">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根据上表可知，液氯储罐及液氯气化区单元已构成危险化学品重大危险源。</w:t>
      </w:r>
    </w:p>
    <w:p w14:paraId="69108826">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.3</w:t>
      </w:r>
      <w:r>
        <w:rPr>
          <w:rFonts w:hint="eastAsia" w:ascii="黑体" w:hAnsi="黑体" w:eastAsia="黑体"/>
          <w:b/>
          <w:bCs/>
        </w:rPr>
        <w:t>危险化学品重大危险源分级</w:t>
      </w:r>
    </w:p>
    <w:p w14:paraId="3A43FD9C">
      <w:pPr>
        <w:pStyle w:val="21"/>
        <w:adjustRightInd w:val="0"/>
        <w:snapToGrid w:val="0"/>
        <w:ind w:firstLine="560"/>
      </w:pPr>
      <w:r>
        <w:rPr>
          <w:rFonts w:hint="eastAsia"/>
        </w:rPr>
        <w:t>根据《危险化学品重大危险源监督管理暂行规定》和《危险化学品重大危险源辨识》（GB 18218-2018）的要求，对危险化学品重大危险源进行分级。</w:t>
      </w:r>
    </w:p>
    <w:p w14:paraId="5D652169">
      <w:pPr>
        <w:pStyle w:val="21"/>
        <w:adjustRightInd w:val="0"/>
        <w:snapToGrid w:val="0"/>
        <w:ind w:firstLine="560"/>
      </w:pPr>
      <w:r>
        <w:rPr>
          <w:rFonts w:hint="eastAsia"/>
        </w:rPr>
        <w:t>（1）分级指标</w:t>
      </w:r>
    </w:p>
    <w:p w14:paraId="0BBFADE3">
      <w:pPr>
        <w:pStyle w:val="21"/>
        <w:adjustRightInd w:val="0"/>
        <w:snapToGrid w:val="0"/>
        <w:ind w:firstLine="560"/>
      </w:pPr>
      <w:r>
        <w:rPr>
          <w:rFonts w:hint="eastAsia"/>
        </w:rPr>
        <w:t>采用单元内各种危险化学品实际存在量与其相对应的临界量比值，经校正系数校正后的比值之和R作为分级指标。</w:t>
      </w:r>
    </w:p>
    <w:p w14:paraId="537E90CA">
      <w:pPr>
        <w:pStyle w:val="21"/>
        <w:adjustRightInd w:val="0"/>
        <w:snapToGrid w:val="0"/>
        <w:ind w:firstLine="560"/>
      </w:pPr>
      <w:r>
        <w:rPr>
          <w:rFonts w:hint="eastAsia"/>
        </w:rPr>
        <w:t>（2）R的计算方法</w:t>
      </w:r>
    </w:p>
    <w:p w14:paraId="39857F7B">
      <w:pPr>
        <w:pStyle w:val="21"/>
        <w:adjustRightInd w:val="0"/>
        <w:snapToGrid w:val="0"/>
        <w:ind w:firstLine="560"/>
      </w:pPr>
      <w:r>
        <w:drawing>
          <wp:inline distT="0" distB="0" distL="0" distR="0">
            <wp:extent cx="2749550" cy="579120"/>
            <wp:effectExtent l="0" t="0" r="0" b="0"/>
            <wp:docPr id="101109197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091976" name="图片 2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749550" cy="579120"/>
                    </a:xfrm>
                    <a:prstGeom prst="rect">
                      <a:avLst/>
                    </a:prstGeom>
                    <a:noFill/>
                  </pic:spPr>
                </pic:pic>
              </a:graphicData>
            </a:graphic>
          </wp:inline>
        </w:drawing>
      </w:r>
    </w:p>
    <w:p w14:paraId="51787350">
      <w:pPr>
        <w:pStyle w:val="21"/>
        <w:adjustRightInd w:val="0"/>
        <w:snapToGrid w:val="0"/>
        <w:ind w:firstLine="560"/>
      </w:pPr>
      <w:r>
        <w:rPr>
          <w:rFonts w:hint="eastAsia"/>
        </w:rPr>
        <w:t>式中：</w:t>
      </w:r>
    </w:p>
    <w:p w14:paraId="14ECB7E8">
      <w:pPr>
        <w:pStyle w:val="21"/>
        <w:adjustRightInd w:val="0"/>
        <w:snapToGrid w:val="0"/>
        <w:ind w:firstLine="560"/>
      </w:pPr>
      <w:r>
        <w:rPr>
          <w:rFonts w:hint="eastAsia"/>
        </w:rPr>
        <w:t>R—重大危险源分级指标；</w:t>
      </w:r>
    </w:p>
    <w:p w14:paraId="5857EBB6">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n</w:t>
      </w:r>
      <w:r>
        <w:rPr>
          <w:rFonts w:hint="eastAsia"/>
        </w:rPr>
        <w:t>—每种危险化学品实际存在量（单位：t）；</w:t>
      </w:r>
    </w:p>
    <w:p w14:paraId="3FFA9A4E">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n</w:t>
      </w:r>
      <w:r>
        <w:rPr>
          <w:rFonts w:hint="eastAsia"/>
        </w:rPr>
        <w:t>—与各危险化学品相对应的临界量（单位：t）；</w:t>
      </w:r>
    </w:p>
    <w:p w14:paraId="0BFE7F7A">
      <w:pPr>
        <w:pStyle w:val="21"/>
        <w:adjustRightInd w:val="0"/>
        <w:snapToGrid w:val="0"/>
        <w:ind w:firstLine="560"/>
      </w:pPr>
      <w:r>
        <w:rPr>
          <w:rFonts w:hint="eastAsia"/>
        </w:rPr>
        <w:t>β</w:t>
      </w:r>
      <w:r>
        <w:rPr>
          <w:rFonts w:hint="eastAsia"/>
          <w:vertAlign w:val="subscript"/>
        </w:rPr>
        <w:t>1</w:t>
      </w:r>
      <w:r>
        <w:rPr>
          <w:rFonts w:hint="eastAsia"/>
        </w:rPr>
        <w:t>，β</w:t>
      </w:r>
      <w:r>
        <w:rPr>
          <w:rFonts w:hint="eastAsia"/>
          <w:vertAlign w:val="subscript"/>
        </w:rPr>
        <w:t>2</w:t>
      </w:r>
      <w:r>
        <w:rPr>
          <w:rFonts w:hint="eastAsia"/>
        </w:rPr>
        <w:t>…，β</w:t>
      </w:r>
      <w:r>
        <w:rPr>
          <w:rFonts w:hint="eastAsia"/>
          <w:vertAlign w:val="subscript"/>
        </w:rPr>
        <w:t>n</w:t>
      </w:r>
      <w:r>
        <w:rPr>
          <w:rFonts w:hint="eastAsia"/>
        </w:rPr>
        <w:t>—与各危险化学品相对应的校正系数；</w:t>
      </w:r>
    </w:p>
    <w:p w14:paraId="3D6D1654">
      <w:pPr>
        <w:pStyle w:val="21"/>
        <w:adjustRightInd w:val="0"/>
        <w:snapToGrid w:val="0"/>
        <w:ind w:firstLine="560"/>
      </w:pPr>
      <w:r>
        <w:rPr>
          <w:rFonts w:hint="eastAsia"/>
        </w:rPr>
        <w:t>α—该危险化学品重大危险源厂区外暴露人员的校正系数。</w:t>
      </w:r>
    </w:p>
    <w:p w14:paraId="1CFE7866">
      <w:pPr>
        <w:pStyle w:val="21"/>
        <w:adjustRightInd w:val="0"/>
        <w:snapToGrid w:val="0"/>
        <w:ind w:firstLine="560"/>
      </w:pPr>
      <w:r>
        <w:rPr>
          <w:rFonts w:hint="eastAsia"/>
        </w:rPr>
        <w:t>（3）校正系数β的取值</w:t>
      </w:r>
    </w:p>
    <w:p w14:paraId="695D9966">
      <w:pPr>
        <w:pStyle w:val="21"/>
        <w:adjustRightInd w:val="0"/>
        <w:snapToGrid w:val="0"/>
        <w:ind w:firstLine="560"/>
      </w:pPr>
      <w:r>
        <w:rPr>
          <w:rFonts w:hint="eastAsia"/>
        </w:rPr>
        <w:t>根据单元内危险化学品的类别不同，设定校正系数β值，在表2.2-2范围内的危险化学品，其β值按表2.2-2确定；未在表2.2-2范围内的危险化学品，其β值按表2.2-3确定。</w:t>
      </w:r>
    </w:p>
    <w:p w14:paraId="287624ED">
      <w:pPr>
        <w:pStyle w:val="21"/>
        <w:adjustRightInd w:val="0"/>
        <w:snapToGrid w:val="0"/>
        <w:ind w:firstLine="560"/>
      </w:pPr>
      <w:r>
        <w:rPr>
          <w:rFonts w:hint="eastAsia"/>
        </w:rPr>
        <w:t>（4）校正系数α的取值</w:t>
      </w:r>
    </w:p>
    <w:p w14:paraId="57736EDD">
      <w:pPr>
        <w:pStyle w:val="21"/>
        <w:adjustRightInd w:val="0"/>
        <w:snapToGrid w:val="0"/>
        <w:ind w:firstLine="560"/>
      </w:pPr>
      <w:r>
        <w:rPr>
          <w:rFonts w:hint="eastAsia"/>
        </w:rPr>
        <w:t>根据危险化学品重大危险源的厂区边界向外扩展500m范围内常住人口数量，按照表2.2-4设定暴露人员校正系数α值。</w:t>
      </w:r>
    </w:p>
    <w:p w14:paraId="10177163">
      <w:pPr>
        <w:pStyle w:val="21"/>
        <w:adjustRightInd w:val="0"/>
        <w:snapToGrid w:val="0"/>
        <w:ind w:firstLine="560"/>
      </w:pPr>
      <w:r>
        <w:rPr>
          <w:rFonts w:hint="eastAsia"/>
        </w:rPr>
        <w:t>（5）重大危险源分级标准</w:t>
      </w:r>
    </w:p>
    <w:p w14:paraId="6E65AD84">
      <w:pPr>
        <w:pStyle w:val="21"/>
        <w:adjustRightInd w:val="0"/>
        <w:snapToGrid w:val="0"/>
        <w:ind w:firstLine="560"/>
      </w:pPr>
      <w:r>
        <w:rPr>
          <w:rFonts w:hint="eastAsia"/>
        </w:rPr>
        <w:t>根据计算出来的R值，按表2.2-5确定危险化学品重大危险源的级别。</w:t>
      </w:r>
    </w:p>
    <w:p w14:paraId="64A02B59">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lang w:eastAsia="zh-CN"/>
        </w:rPr>
        <w:t>朝阳金达钛业股份有限公司厂区边界向外扩展500m范围内无常住人口</w:t>
      </w:r>
      <w:r>
        <w:rPr>
          <w:rFonts w:hint="eastAsia"/>
        </w:rPr>
        <w:t>，因此，危险化学品重大危险源厂区外暴露人员的校正系数α值取</w:t>
      </w:r>
      <w:r>
        <w:rPr>
          <w:rFonts w:hint="eastAsia"/>
          <w:lang w:val="en-US" w:eastAsia="zh-CN"/>
        </w:rPr>
        <w:t>0.5</w:t>
      </w:r>
      <w:r>
        <w:rPr>
          <w:rFonts w:hint="eastAsia"/>
        </w:rPr>
        <w:t>。</w:t>
      </w:r>
    </w:p>
    <w:p w14:paraId="6FABDAEF">
      <w:pPr>
        <w:pStyle w:val="21"/>
        <w:adjustRightInd w:val="0"/>
        <w:snapToGrid w:val="0"/>
        <w:ind w:firstLine="560"/>
      </w:pPr>
      <w:r>
        <w:rPr>
          <w:rFonts w:hint="eastAsia"/>
        </w:rPr>
        <w:t>危险化学品的校正系数β按表2.2-2和2.2-3取值，其中表2.2-3中的符号取自《危险化学品重大危险源辨识》表2。</w:t>
      </w:r>
    </w:p>
    <w:p w14:paraId="2EFAE85A">
      <w:pPr>
        <w:pStyle w:val="21"/>
        <w:adjustRightInd w:val="0"/>
        <w:snapToGrid w:val="0"/>
        <w:ind w:firstLine="560"/>
      </w:pPr>
      <w:r>
        <w:rPr>
          <w:rFonts w:hint="eastAsia"/>
          <w:lang w:eastAsia="zh-CN"/>
        </w:rPr>
        <w:t>朝阳金达钛业股份有限公司</w:t>
      </w:r>
      <w:r>
        <w:rPr>
          <w:rFonts w:hint="eastAsia"/>
        </w:rPr>
        <w:t>危险化学品重大危险源分级情况，见表2.2-6。</w:t>
      </w:r>
    </w:p>
    <w:p w14:paraId="50C3B666">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ascii="Times New Roman" w:hAnsi="Times New Roman" w:eastAsia="黑体" w:cs="Times New Roman"/>
          <w:kern w:val="2"/>
          <w:sz w:val="24"/>
          <w:szCs w:val="24"/>
          <w:lang w:val="en-US" w:eastAsia="zh-CN" w:bidi="ar-SA"/>
          <w14:ligatures w14:val="standardContextual"/>
        </w:rPr>
        <w:t>2.</w:t>
      </w:r>
      <w:r>
        <w:rPr>
          <w:rFonts w:hint="eastAsia" w:ascii="Times New Roman" w:hAnsi="Times New Roman" w:eastAsia="黑体" w:cs="Times New Roman"/>
          <w:kern w:val="2"/>
          <w:sz w:val="24"/>
          <w:szCs w:val="24"/>
          <w:lang w:val="en-US" w:eastAsia="zh-CN" w:bidi="ar-SA"/>
          <w14:ligatures w14:val="standardContextual"/>
        </w:rPr>
        <w:t>2</w:t>
      </w:r>
      <w:r>
        <w:rPr>
          <w:rFonts w:ascii="Times New Roman" w:hAnsi="Times New Roman" w:eastAsia="黑体" w:cs="Times New Roman"/>
          <w:kern w:val="2"/>
          <w:sz w:val="24"/>
          <w:szCs w:val="24"/>
          <w:lang w:val="en-US" w:eastAsia="zh-CN" w:bidi="ar-SA"/>
          <w14:ligatures w14:val="standardContextual"/>
        </w:rPr>
        <w:t>-6</w:t>
      </w:r>
      <w:r>
        <w:rPr>
          <w:rFonts w:hint="eastAsia" w:ascii="黑体" w:hAnsi="黑体" w:eastAsia="黑体" w:cstheme="minorBidi"/>
          <w:kern w:val="2"/>
          <w:sz w:val="24"/>
          <w:szCs w:val="24"/>
          <w:lang w:val="en-US" w:eastAsia="zh-CN" w:bidi="ar-SA"/>
          <w14:ligatures w14:val="standardContextual"/>
        </w:rPr>
        <w:t xml:space="preserve">  危险化学品重大危险源辨识表（t）</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1"/>
        <w:gridCol w:w="1137"/>
        <w:gridCol w:w="988"/>
        <w:gridCol w:w="990"/>
        <w:gridCol w:w="1194"/>
        <w:gridCol w:w="1157"/>
        <w:gridCol w:w="499"/>
        <w:gridCol w:w="558"/>
        <w:gridCol w:w="1032"/>
        <w:gridCol w:w="958"/>
      </w:tblGrid>
      <w:tr w14:paraId="7E9FF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21B1EA47">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序号</w:t>
            </w:r>
          </w:p>
        </w:tc>
        <w:tc>
          <w:tcPr>
            <w:tcW w:w="619" w:type="pct"/>
            <w:vAlign w:val="center"/>
          </w:tcPr>
          <w:p w14:paraId="2B88D12A">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单元名称</w:t>
            </w:r>
          </w:p>
        </w:tc>
        <w:tc>
          <w:tcPr>
            <w:tcW w:w="538" w:type="pct"/>
            <w:vAlign w:val="center"/>
          </w:tcPr>
          <w:p w14:paraId="1BCC84C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物质名称</w:t>
            </w:r>
          </w:p>
        </w:tc>
        <w:tc>
          <w:tcPr>
            <w:tcW w:w="539" w:type="pct"/>
            <w:vAlign w:val="center"/>
          </w:tcPr>
          <w:p w14:paraId="4E0CB12B">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临界量</w:t>
            </w:r>
          </w:p>
          <w:p w14:paraId="37A4E1C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50" w:type="pct"/>
            <w:vAlign w:val="center"/>
          </w:tcPr>
          <w:p w14:paraId="612E277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实际量</w:t>
            </w:r>
          </w:p>
          <w:p w14:paraId="590C47F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30" w:type="pct"/>
            <w:vAlign w:val="center"/>
          </w:tcPr>
          <w:p w14:paraId="7814FFB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q/Q</w:t>
            </w:r>
          </w:p>
        </w:tc>
        <w:tc>
          <w:tcPr>
            <w:tcW w:w="272" w:type="pct"/>
            <w:vAlign w:val="center"/>
          </w:tcPr>
          <w:p w14:paraId="24A5878D">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α</w:t>
            </w:r>
          </w:p>
        </w:tc>
        <w:tc>
          <w:tcPr>
            <w:tcW w:w="304" w:type="pct"/>
            <w:vAlign w:val="center"/>
          </w:tcPr>
          <w:p w14:paraId="2EE328CB">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β</w:t>
            </w:r>
          </w:p>
        </w:tc>
        <w:tc>
          <w:tcPr>
            <w:tcW w:w="562" w:type="pct"/>
            <w:vAlign w:val="center"/>
          </w:tcPr>
          <w:p w14:paraId="3EF5BF0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R</w:t>
            </w:r>
            <w:r>
              <w:rPr>
                <w:rFonts w:hint="eastAsia" w:ascii="Times New Roman" w:hAnsi="Times New Roman" w:eastAsia="宋体" w:cs="Times New Roman"/>
                <w:bCs/>
                <w:sz w:val="21"/>
                <w:szCs w:val="21"/>
                <w:lang w:val="en-US" w:eastAsia="zh-CN"/>
                <w14:ligatures w14:val="none"/>
              </w:rPr>
              <w:t>＝</w:t>
            </w:r>
            <w:r>
              <w:rPr>
                <w:rFonts w:hint="eastAsia" w:ascii="Times New Roman" w:hAnsi="Times New Roman" w:eastAsia="宋体" w:cs="Times New Roman"/>
                <w:sz w:val="21"/>
                <w:szCs w:val="21"/>
                <w14:ligatures w14:val="none"/>
              </w:rPr>
              <w:t>α×β×</w:t>
            </w:r>
            <w:r>
              <w:rPr>
                <w:rFonts w:hint="eastAsia" w:ascii="Times New Roman" w:hAnsi="Times New Roman" w:eastAsia="宋体" w:cs="Times New Roman"/>
                <w:bCs/>
                <w:sz w:val="21"/>
                <w:szCs w:val="21"/>
                <w14:ligatures w14:val="none"/>
              </w:rPr>
              <w:t>q/Q</w:t>
            </w:r>
          </w:p>
        </w:tc>
        <w:tc>
          <w:tcPr>
            <w:tcW w:w="522" w:type="pct"/>
            <w:vAlign w:val="center"/>
          </w:tcPr>
          <w:p w14:paraId="367CDA33">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重大危险源</w:t>
            </w:r>
          </w:p>
          <w:p w14:paraId="6861B815">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级别</w:t>
            </w:r>
          </w:p>
        </w:tc>
      </w:tr>
      <w:tr w14:paraId="51D83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Merge w:val="restart"/>
            <w:vAlign w:val="center"/>
          </w:tcPr>
          <w:p w14:paraId="13EAD50C">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1</w:t>
            </w:r>
          </w:p>
        </w:tc>
        <w:tc>
          <w:tcPr>
            <w:tcW w:w="619" w:type="pct"/>
            <w:vMerge w:val="restart"/>
            <w:vAlign w:val="center"/>
          </w:tcPr>
          <w:p w14:paraId="1250C312">
            <w:pPr>
              <w:adjustRightInd w:val="0"/>
              <w:snapToGrid w:val="0"/>
              <w:spacing w:after="0" w:line="240" w:lineRule="auto"/>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液氯储罐及液氯气化区单元</w:t>
            </w:r>
          </w:p>
        </w:tc>
        <w:tc>
          <w:tcPr>
            <w:tcW w:w="538" w:type="pct"/>
            <w:vAlign w:val="center"/>
          </w:tcPr>
          <w:p w14:paraId="3192A678">
            <w:pPr>
              <w:autoSpaceDE w:val="0"/>
              <w:autoSpaceDN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液氯</w:t>
            </w:r>
          </w:p>
        </w:tc>
        <w:tc>
          <w:tcPr>
            <w:tcW w:w="539" w:type="pct"/>
            <w:vMerge w:val="restart"/>
            <w:vAlign w:val="center"/>
          </w:tcPr>
          <w:p w14:paraId="18458A75">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650" w:type="pct"/>
            <w:vAlign w:val="center"/>
          </w:tcPr>
          <w:p w14:paraId="050BA3C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color w:val="auto"/>
                <w:kern w:val="2"/>
                <w:sz w:val="21"/>
                <w:szCs w:val="21"/>
                <w:lang w:val="en-US" w:eastAsia="zh-CN" w:bidi="ar-SA"/>
                <w14:ligatures w14:val="standardContextual"/>
              </w:rPr>
              <w:t>380.7</w:t>
            </w:r>
          </w:p>
        </w:tc>
        <w:tc>
          <w:tcPr>
            <w:tcW w:w="630" w:type="pct"/>
            <w:vAlign w:val="center"/>
          </w:tcPr>
          <w:p w14:paraId="10ECC0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cs="Times New Roman"/>
                <w:spacing w:val="-3"/>
                <w:sz w:val="21"/>
                <w:szCs w:val="21"/>
                <w:lang w:val="en-US" w:eastAsia="zh-CN"/>
              </w:rPr>
              <w:t>76.14</w:t>
            </w:r>
          </w:p>
        </w:tc>
        <w:tc>
          <w:tcPr>
            <w:tcW w:w="272" w:type="pct"/>
            <w:vMerge w:val="restart"/>
            <w:vAlign w:val="center"/>
          </w:tcPr>
          <w:p w14:paraId="739E61D8">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0.5</w:t>
            </w:r>
          </w:p>
        </w:tc>
        <w:tc>
          <w:tcPr>
            <w:tcW w:w="304" w:type="pct"/>
            <w:vMerge w:val="restart"/>
            <w:vAlign w:val="center"/>
          </w:tcPr>
          <w:p w14:paraId="07124C1E">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4</w:t>
            </w:r>
          </w:p>
        </w:tc>
        <w:tc>
          <w:tcPr>
            <w:tcW w:w="562" w:type="pct"/>
            <w:vMerge w:val="restart"/>
            <w:vAlign w:val="center"/>
          </w:tcPr>
          <w:p w14:paraId="26B8BEE8">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152.49</w:t>
            </w:r>
          </w:p>
        </w:tc>
        <w:tc>
          <w:tcPr>
            <w:tcW w:w="522" w:type="pct"/>
            <w:vMerge w:val="restart"/>
            <w:vAlign w:val="center"/>
          </w:tcPr>
          <w:p w14:paraId="2859C9F1">
            <w:pPr>
              <w:snapToGrid w:val="0"/>
              <w:spacing w:after="0" w:line="240" w:lineRule="auto"/>
              <w:jc w:val="center"/>
              <w:rPr>
                <w:rFonts w:hint="eastAsia"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一级</w:t>
            </w:r>
          </w:p>
        </w:tc>
      </w:tr>
      <w:tr w14:paraId="55467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Merge w:val="continue"/>
            <w:vAlign w:val="center"/>
          </w:tcPr>
          <w:p w14:paraId="6E440D2D">
            <w:pPr>
              <w:snapToGrid w:val="0"/>
              <w:spacing w:after="0" w:line="240" w:lineRule="auto"/>
              <w:jc w:val="center"/>
              <w:rPr>
                <w:rFonts w:hint="eastAsia" w:ascii="Times New Roman" w:hAnsi="Times New Roman" w:eastAsia="宋体" w:cs="Times New Roman"/>
                <w:bCs/>
                <w:sz w:val="21"/>
                <w:szCs w:val="21"/>
                <w14:ligatures w14:val="none"/>
              </w:rPr>
            </w:pPr>
          </w:p>
        </w:tc>
        <w:tc>
          <w:tcPr>
            <w:tcW w:w="619" w:type="pct"/>
            <w:vMerge w:val="continue"/>
            <w:vAlign w:val="center"/>
          </w:tcPr>
          <w:p w14:paraId="651043AE">
            <w:pPr>
              <w:adjustRightInd w:val="0"/>
              <w:snapToGrid w:val="0"/>
              <w:spacing w:after="0" w:line="240" w:lineRule="auto"/>
              <w:jc w:val="center"/>
              <w:rPr>
                <w:rFonts w:hint="eastAsia" w:ascii="Times New Roman" w:hAnsi="Times New Roman" w:eastAsia="宋体" w:cs="Times New Roman"/>
                <w:bCs/>
                <w:sz w:val="21"/>
                <w:szCs w:val="21"/>
                <w:lang w:val="en-US" w:eastAsia="zh-CN"/>
                <w14:ligatures w14:val="none"/>
              </w:rPr>
            </w:pPr>
          </w:p>
        </w:tc>
        <w:tc>
          <w:tcPr>
            <w:tcW w:w="538" w:type="pct"/>
            <w:vAlign w:val="center"/>
          </w:tcPr>
          <w:p w14:paraId="2AE043DB">
            <w:pPr>
              <w:autoSpaceDE w:val="0"/>
              <w:autoSpaceDN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氯气</w:t>
            </w:r>
          </w:p>
        </w:tc>
        <w:tc>
          <w:tcPr>
            <w:tcW w:w="539" w:type="pct"/>
            <w:vMerge w:val="continue"/>
            <w:vAlign w:val="center"/>
          </w:tcPr>
          <w:p w14:paraId="385D9A0A">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p>
        </w:tc>
        <w:tc>
          <w:tcPr>
            <w:tcW w:w="650" w:type="pct"/>
            <w:vAlign w:val="center"/>
          </w:tcPr>
          <w:p w14:paraId="4CD8EA8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color w:val="auto"/>
                <w:kern w:val="2"/>
                <w:sz w:val="21"/>
                <w:szCs w:val="21"/>
                <w:lang w:val="en-US" w:eastAsia="zh-CN" w:bidi="ar-SA"/>
                <w14:ligatures w14:val="standardContextual"/>
              </w:rPr>
              <w:t>0.52</w:t>
            </w:r>
          </w:p>
        </w:tc>
        <w:tc>
          <w:tcPr>
            <w:tcW w:w="630" w:type="pct"/>
            <w:vAlign w:val="center"/>
          </w:tcPr>
          <w:p w14:paraId="64FAB65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cs="Times New Roman"/>
                <w:spacing w:val="-3"/>
                <w:sz w:val="21"/>
                <w:szCs w:val="21"/>
                <w:lang w:val="en-US" w:eastAsia="zh-CN"/>
              </w:rPr>
              <w:t>0.104</w:t>
            </w:r>
          </w:p>
        </w:tc>
        <w:tc>
          <w:tcPr>
            <w:tcW w:w="272" w:type="pct"/>
            <w:vMerge w:val="continue"/>
            <w:vAlign w:val="center"/>
          </w:tcPr>
          <w:p w14:paraId="009DA9A8">
            <w:pPr>
              <w:snapToGrid w:val="0"/>
              <w:spacing w:after="0" w:line="240" w:lineRule="auto"/>
              <w:jc w:val="center"/>
              <w:rPr>
                <w:rFonts w:hint="eastAsia" w:ascii="Times New Roman" w:hAnsi="Times New Roman" w:eastAsia="宋体" w:cs="宋体"/>
                <w:sz w:val="21"/>
                <w:szCs w:val="21"/>
                <w:lang w:val="en-US" w:eastAsia="zh-CN"/>
                <w14:ligatures w14:val="none"/>
              </w:rPr>
            </w:pPr>
          </w:p>
        </w:tc>
        <w:tc>
          <w:tcPr>
            <w:tcW w:w="304" w:type="pct"/>
            <w:vMerge w:val="continue"/>
            <w:vAlign w:val="center"/>
          </w:tcPr>
          <w:p w14:paraId="0EF8893D">
            <w:pPr>
              <w:snapToGrid w:val="0"/>
              <w:spacing w:after="0" w:line="240" w:lineRule="auto"/>
              <w:jc w:val="center"/>
              <w:rPr>
                <w:rFonts w:hint="default" w:ascii="Times New Roman" w:hAnsi="Times New Roman" w:eastAsia="宋体" w:cs="宋体"/>
                <w:sz w:val="21"/>
                <w:szCs w:val="21"/>
                <w:lang w:val="en-US" w:eastAsia="zh-CN"/>
                <w14:ligatures w14:val="none"/>
              </w:rPr>
            </w:pPr>
          </w:p>
        </w:tc>
        <w:tc>
          <w:tcPr>
            <w:tcW w:w="562" w:type="pct"/>
            <w:vMerge w:val="continue"/>
            <w:vAlign w:val="center"/>
          </w:tcPr>
          <w:p w14:paraId="517FE112">
            <w:pPr>
              <w:snapToGrid w:val="0"/>
              <w:spacing w:after="0" w:line="240" w:lineRule="auto"/>
              <w:jc w:val="center"/>
              <w:rPr>
                <w:rFonts w:hint="eastAsia" w:ascii="Times New Roman" w:hAnsi="Times New Roman" w:eastAsia="宋体" w:cs="宋体"/>
                <w:sz w:val="21"/>
                <w:szCs w:val="21"/>
                <w:lang w:val="en-US" w:eastAsia="zh-CN"/>
                <w14:ligatures w14:val="none"/>
              </w:rPr>
            </w:pPr>
          </w:p>
        </w:tc>
        <w:tc>
          <w:tcPr>
            <w:tcW w:w="522" w:type="pct"/>
            <w:vMerge w:val="continue"/>
            <w:vAlign w:val="center"/>
          </w:tcPr>
          <w:p w14:paraId="1D3C9843">
            <w:pPr>
              <w:snapToGrid w:val="0"/>
              <w:spacing w:after="0" w:line="240" w:lineRule="auto"/>
              <w:jc w:val="center"/>
              <w:rPr>
                <w:rFonts w:hint="eastAsia" w:ascii="Times New Roman" w:hAnsi="Times New Roman" w:eastAsia="宋体" w:cs="宋体"/>
                <w:bCs/>
                <w:sz w:val="21"/>
                <w:szCs w:val="21"/>
                <w:lang w:val="en-US" w:eastAsia="zh-CN"/>
                <w14:ligatures w14:val="none"/>
              </w:rPr>
            </w:pPr>
          </w:p>
        </w:tc>
      </w:tr>
    </w:tbl>
    <w:p w14:paraId="3632E344">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朝阳金达钛业股份有限公司液氯储罐及液氯气化区单元构成一级危险化学品重大危险源。因此，只对液氯储罐及液氯气化区的安全管理、安全技术和监控等设置情况进行安全评估，其他未构成危险化学品重大危险源的装置、设施不在本次安全评估范围内。</w:t>
      </w:r>
    </w:p>
    <w:p w14:paraId="08271C3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7" w:name="_Toc4468"/>
      <w:r>
        <w:rPr>
          <w:rFonts w:eastAsia="楷体" w:cs="Times New Roman"/>
          <w:b/>
          <w:bCs/>
          <w:sz w:val="32"/>
          <w:szCs w:val="32"/>
        </w:rPr>
        <w:t>2.</w:t>
      </w:r>
      <w:r>
        <w:rPr>
          <w:rFonts w:hint="eastAsia" w:eastAsia="楷体" w:cs="Times New Roman"/>
          <w:b/>
          <w:bCs/>
          <w:sz w:val="32"/>
          <w:szCs w:val="32"/>
        </w:rPr>
        <w:t>3</w:t>
      </w:r>
      <w:r>
        <w:rPr>
          <w:rFonts w:hint="eastAsia" w:eastAsia="楷体" w:cs="Times New Roman"/>
          <w:b/>
          <w:bCs/>
          <w:sz w:val="32"/>
          <w:szCs w:val="32"/>
          <w:lang w:val="en-US" w:eastAsia="zh-CN"/>
        </w:rPr>
        <w:t>地理位置、</w:t>
      </w:r>
      <w:r>
        <w:rPr>
          <w:rFonts w:hint="eastAsia" w:ascii="楷体" w:hAnsi="楷体" w:eastAsia="楷体"/>
          <w:b/>
          <w:bCs/>
          <w:sz w:val="32"/>
          <w:szCs w:val="32"/>
        </w:rPr>
        <w:t>周边环境及总平面布置</w:t>
      </w:r>
      <w:bookmarkEnd w:id="17"/>
    </w:p>
    <w:p w14:paraId="5F72D434">
      <w:pPr>
        <w:pStyle w:val="21"/>
        <w:adjustRightInd w:val="0"/>
        <w:snapToGrid w:val="0"/>
        <w:spacing w:before="156" w:beforeLines="50" w:after="156" w:afterLines="50"/>
        <w:ind w:firstLine="562"/>
        <w:outlineLvl w:val="2"/>
        <w:rPr>
          <w:rFonts w:hint="eastAsia" w:eastAsia="黑体"/>
          <w:lang w:eastAsia="zh-CN"/>
        </w:rPr>
      </w:pPr>
      <w:r>
        <w:rPr>
          <w:rFonts w:eastAsia="黑体" w:cs="Times New Roman"/>
          <w:b/>
          <w:bCs/>
        </w:rPr>
        <w:t>2.</w:t>
      </w:r>
      <w:r>
        <w:rPr>
          <w:rFonts w:hint="eastAsia" w:eastAsia="黑体" w:cs="Times New Roman"/>
          <w:b/>
          <w:bCs/>
        </w:rPr>
        <w:t>3</w:t>
      </w:r>
      <w:r>
        <w:rPr>
          <w:rFonts w:eastAsia="黑体" w:cs="Times New Roman"/>
          <w:b/>
          <w:bCs/>
        </w:rPr>
        <w:t>.1</w:t>
      </w:r>
      <w:r>
        <w:rPr>
          <w:rFonts w:hint="eastAsia" w:ascii="黑体" w:hAnsi="黑体" w:eastAsia="黑体"/>
          <w:b/>
          <w:bCs/>
          <w:lang w:val="en-US" w:eastAsia="zh-CN"/>
        </w:rPr>
        <w:t>地理位置</w:t>
      </w:r>
    </w:p>
    <w:p w14:paraId="663BF5E2">
      <w:pPr>
        <w:adjustRightInd w:val="0"/>
        <w:snapToGrid w:val="0"/>
        <w:spacing w:after="0" w:line="360" w:lineRule="auto"/>
        <w:ind w:firstLine="560" w:firstLineChars="200"/>
        <w:jc w:val="both"/>
        <w:rPr>
          <w:rFonts w:ascii="Times New Roman" w:hAnsi="Times New Roman" w:eastAsia="宋体" w:cs="Times New Roman"/>
          <w:sz w:val="28"/>
          <w:szCs w:val="28"/>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位于辽宁省朝阳市双塔区经济开发区小桃村。地理位置如下图2.</w:t>
      </w:r>
      <w:r>
        <w:rPr>
          <w:rFonts w:hint="eastAsia" w:ascii="Times New Roman" w:hAnsi="Times New Roman" w:eastAsia="宋体" w:cs="Times New Roman"/>
          <w:sz w:val="28"/>
          <w:szCs w:val="28"/>
          <w:lang w:val="en-US" w:eastAsia="zh-CN"/>
          <w14:ligatures w14:val="none"/>
        </w:rPr>
        <w:t>3</w:t>
      </w:r>
      <w:r>
        <w:rPr>
          <w:rFonts w:hint="eastAsia" w:ascii="Times New Roman" w:hAnsi="Times New Roman" w:eastAsia="宋体" w:cs="Times New Roman"/>
          <w:sz w:val="28"/>
          <w:szCs w:val="28"/>
          <w14:ligatures w14:val="none"/>
        </w:rPr>
        <w:t>-1所示。</w:t>
      </w:r>
    </w:p>
    <w:p w14:paraId="7AE715D5">
      <w:pPr>
        <w:pStyle w:val="21"/>
        <w:ind w:firstLine="0" w:firstLineChars="0"/>
        <w:jc w:val="center"/>
      </w:pPr>
    </w:p>
    <w:p w14:paraId="3332BDDC">
      <w:pPr>
        <w:pStyle w:val="21"/>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2.</w:t>
      </w:r>
      <w:r>
        <w:rPr>
          <w:rFonts w:hint="eastAsia" w:eastAsia="黑体" w:cs="Times New Roman"/>
          <w:sz w:val="24"/>
          <w:lang w:val="en-US" w:eastAsia="zh-CN"/>
        </w:rPr>
        <w:t>3</w:t>
      </w:r>
      <w:r>
        <w:rPr>
          <w:rFonts w:eastAsia="黑体" w:cs="Times New Roman"/>
          <w:sz w:val="24"/>
        </w:rPr>
        <w:t>-1</w:t>
      </w:r>
      <w:r>
        <w:rPr>
          <w:rFonts w:hint="eastAsia" w:ascii="黑体" w:hAnsi="黑体" w:eastAsia="黑体"/>
          <w:sz w:val="24"/>
        </w:rPr>
        <w:t xml:space="preserve">  </w:t>
      </w:r>
      <w:r>
        <w:rPr>
          <w:rFonts w:hint="eastAsia" w:ascii="黑体" w:hAnsi="黑体" w:eastAsia="黑体"/>
          <w:sz w:val="24"/>
          <w:lang w:val="en-US" w:eastAsia="zh-CN"/>
        </w:rPr>
        <w:t>地理</w:t>
      </w:r>
      <w:r>
        <w:rPr>
          <w:rFonts w:hint="eastAsia" w:ascii="黑体" w:hAnsi="黑体" w:eastAsia="黑体"/>
          <w:sz w:val="24"/>
        </w:rPr>
        <w:t>位置图</w:t>
      </w:r>
    </w:p>
    <w:p w14:paraId="3BF7C087">
      <w:pPr>
        <w:pStyle w:val="21"/>
        <w:keepNext/>
        <w:adjustRightInd w:val="0"/>
        <w:snapToGrid w:val="0"/>
        <w:spacing w:before="156" w:beforeLines="50" w:after="156" w:afterLines="50"/>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.2</w:t>
      </w:r>
      <w:r>
        <w:rPr>
          <w:rFonts w:hint="eastAsia" w:eastAsia="黑体" w:cs="Times New Roman"/>
          <w:b/>
          <w:bCs/>
          <w:lang w:val="en-US" w:eastAsia="zh-CN"/>
        </w:rPr>
        <w:t>周边环境</w:t>
      </w:r>
    </w:p>
    <w:p w14:paraId="7DAD1948">
      <w:pPr>
        <w:pStyle w:val="21"/>
        <w:adjustRightInd w:val="0"/>
        <w:snapToGrid w:val="0"/>
        <w:ind w:firstLine="560"/>
        <w:rPr>
          <w:rFonts w:hint="eastAsia"/>
        </w:rPr>
      </w:pPr>
      <w:r>
        <w:rPr>
          <w:rFonts w:hint="eastAsia"/>
          <w:lang w:eastAsia="zh-CN"/>
        </w:rPr>
        <w:t>1#液氯库</w:t>
      </w:r>
      <w:r>
        <w:rPr>
          <w:rFonts w:hint="eastAsia"/>
        </w:rPr>
        <w:t>位于朝阳金达钛业股份有限公司厂区内，厂区东侧为空地，东南侧为朝阳金达钼业有限责任公司，西侧，北侧为青山一路，隔路为空地，南侧为空地。周边环境情况如图</w:t>
      </w:r>
      <w:r>
        <w:rPr>
          <w:rFonts w:hint="eastAsia"/>
          <w:lang w:val="en-US" w:eastAsia="zh-CN"/>
        </w:rPr>
        <w:t>2.3-2</w:t>
      </w:r>
      <w:r>
        <w:rPr>
          <w:rFonts w:hint="eastAsia"/>
        </w:rPr>
        <w:t>所示。</w:t>
      </w:r>
    </w:p>
    <w:p w14:paraId="3E8D81E0">
      <w:pPr>
        <w:pStyle w:val="21"/>
        <w:adjustRightInd w:val="0"/>
        <w:snapToGrid w:val="0"/>
        <w:ind w:firstLine="560"/>
        <w:rPr>
          <w:rFonts w:hint="eastAsia"/>
        </w:rPr>
      </w:pPr>
    </w:p>
    <w:p w14:paraId="41BD5546">
      <w:pPr>
        <w:pStyle w:val="21"/>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2.</w:t>
      </w:r>
      <w:r>
        <w:rPr>
          <w:rFonts w:hint="eastAsia" w:eastAsia="黑体" w:cs="Times New Roman"/>
          <w:sz w:val="24"/>
          <w:lang w:val="en-US" w:eastAsia="zh-CN"/>
        </w:rPr>
        <w:t>3</w:t>
      </w:r>
      <w:r>
        <w:rPr>
          <w:rFonts w:eastAsia="黑体" w:cs="Times New Roman"/>
          <w:sz w:val="24"/>
        </w:rPr>
        <w:t>-</w:t>
      </w:r>
      <w:r>
        <w:rPr>
          <w:rFonts w:hint="eastAsia" w:eastAsia="黑体" w:cs="Times New Roman"/>
          <w:sz w:val="24"/>
          <w:lang w:val="en-US" w:eastAsia="zh-CN"/>
        </w:rPr>
        <w:t>2</w:t>
      </w:r>
      <w:r>
        <w:rPr>
          <w:rFonts w:hint="eastAsia" w:ascii="黑体" w:hAnsi="黑体" w:eastAsia="黑体"/>
          <w:sz w:val="24"/>
        </w:rPr>
        <w:t xml:space="preserve">  </w:t>
      </w:r>
      <w:r>
        <w:rPr>
          <w:rFonts w:hint="eastAsia" w:ascii="黑体" w:hAnsi="黑体" w:eastAsia="黑体"/>
          <w:sz w:val="24"/>
          <w:lang w:val="en-US" w:eastAsia="zh-CN"/>
        </w:rPr>
        <w:t>周边环境示意</w:t>
      </w:r>
      <w:r>
        <w:rPr>
          <w:rFonts w:hint="eastAsia" w:ascii="黑体" w:hAnsi="黑体" w:eastAsia="黑体"/>
          <w:sz w:val="24"/>
        </w:rPr>
        <w:t>图</w:t>
      </w:r>
    </w:p>
    <w:p w14:paraId="5032B40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lang w:eastAsia="zh-CN"/>
        </w:rPr>
        <w:t>1#</w:t>
      </w:r>
      <w:r>
        <w:rPr>
          <w:rFonts w:hint="eastAsia" w:ascii="Times New Roman" w:hAnsi="Times New Roman" w:eastAsia="宋体" w:cs="Times New Roman"/>
          <w:sz w:val="28"/>
          <w:szCs w:val="28"/>
        </w:rPr>
        <w:t>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与厂外周边建（构）筑物防火间距详见下表。</w:t>
      </w:r>
    </w:p>
    <w:p w14:paraId="3FF2106A">
      <w:pPr>
        <w:pStyle w:val="21"/>
        <w:keepNext/>
        <w:adjustRightInd w:val="0"/>
        <w:snapToGrid w:val="0"/>
        <w:spacing w:before="156" w:beforeLines="50" w:after="156" w:afterLines="50"/>
        <w:outlineLvl w:val="2"/>
        <w:rPr>
          <w:rFonts w:hint="default" w:ascii="黑体" w:hAnsi="黑体" w:eastAsia="黑体"/>
          <w:b/>
          <w:bCs/>
          <w:lang w:val="en-US"/>
        </w:rPr>
      </w:pPr>
      <w:r>
        <w:rPr>
          <w:rFonts w:eastAsia="黑体" w:cs="Times New Roman"/>
          <w:b/>
          <w:bCs/>
        </w:rPr>
        <w:t>2.</w:t>
      </w:r>
      <w:r>
        <w:rPr>
          <w:rFonts w:hint="eastAsia" w:eastAsia="黑体" w:cs="Times New Roman"/>
          <w:b/>
          <w:bCs/>
        </w:rPr>
        <w:t>3</w:t>
      </w:r>
      <w:r>
        <w:rPr>
          <w:rFonts w:eastAsia="黑体" w:cs="Times New Roman"/>
          <w:b/>
          <w:bCs/>
        </w:rPr>
        <w:t>.</w:t>
      </w:r>
      <w:r>
        <w:rPr>
          <w:rFonts w:hint="eastAsia" w:eastAsia="黑体" w:cs="Times New Roman"/>
          <w:b/>
          <w:bCs/>
          <w:lang w:val="en-US" w:eastAsia="zh-CN"/>
        </w:rPr>
        <w:t>3总平面布置</w:t>
      </w:r>
    </w:p>
    <w:p w14:paraId="66AB2CAE">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jc w:val="both"/>
        <w:textAlignment w:val="auto"/>
        <w:rPr>
          <w:rFonts w:hint="eastAsia" w:ascii="Times New Roman" w:hAnsi="Times New Roman" w:eastAsia="宋体"/>
        </w:rPr>
      </w:pPr>
      <w:r>
        <w:rPr>
          <w:rFonts w:hint="eastAsia" w:cs="Times New Roman"/>
          <w:sz w:val="28"/>
          <w:szCs w:val="28"/>
          <w:lang w:eastAsia="zh-CN"/>
        </w:rPr>
        <w:t>1#</w:t>
      </w:r>
      <w:r>
        <w:rPr>
          <w:rFonts w:hint="eastAsia" w:ascii="Times New Roman" w:hAnsi="Times New Roman" w:eastAsia="宋体" w:cs="Times New Roman"/>
          <w:sz w:val="28"/>
          <w:szCs w:val="28"/>
        </w:rPr>
        <w:t>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位于氯化分厂西北侧，其东侧为</w:t>
      </w:r>
      <w:r>
        <w:rPr>
          <w:rFonts w:hint="eastAsia" w:cs="Times New Roman"/>
          <w:sz w:val="28"/>
          <w:szCs w:val="28"/>
          <w:lang w:val="en-US" w:eastAsia="zh-CN"/>
        </w:rPr>
        <w:t>空压站/氮气站</w:t>
      </w:r>
      <w:r>
        <w:rPr>
          <w:rFonts w:hint="eastAsia" w:cs="Times New Roman"/>
          <w:sz w:val="28"/>
          <w:szCs w:val="28"/>
          <w:lang w:eastAsia="zh-CN"/>
        </w:rPr>
        <w:t>；</w:t>
      </w:r>
      <w:r>
        <w:rPr>
          <w:rFonts w:hint="eastAsia" w:ascii="Times New Roman" w:hAnsi="Times New Roman" w:eastAsia="宋体" w:cs="Times New Roman"/>
          <w:sz w:val="28"/>
          <w:szCs w:val="28"/>
        </w:rPr>
        <w:t>南侧为</w:t>
      </w:r>
      <w:r>
        <w:rPr>
          <w:rFonts w:hint="eastAsia" w:cs="Times New Roman"/>
          <w:sz w:val="28"/>
          <w:szCs w:val="28"/>
          <w:lang w:val="en-US" w:eastAsia="zh-CN"/>
        </w:rPr>
        <w:t>锅炉房及消防加压泵站；西侧为液氯卸车；北侧为2#</w:t>
      </w:r>
      <w:r>
        <w:rPr>
          <w:rFonts w:hint="eastAsia" w:ascii="Times New Roman" w:hAnsi="Times New Roman" w:eastAsia="宋体" w:cs="Times New Roman"/>
          <w:sz w:val="28"/>
          <w:szCs w:val="28"/>
        </w:rPr>
        <w:t>液氯</w:t>
      </w:r>
      <w:r>
        <w:rPr>
          <w:rFonts w:hint="eastAsia" w:cs="Times New Roman"/>
          <w:sz w:val="28"/>
          <w:szCs w:val="28"/>
          <w:lang w:val="en-US" w:eastAsia="zh-CN"/>
        </w:rPr>
        <w:t>库</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西北侧</w:t>
      </w:r>
      <w:r>
        <w:rPr>
          <w:rFonts w:hint="eastAsia" w:ascii="Times New Roman" w:hAnsi="Times New Roman" w:eastAsia="宋体" w:cs="Times New Roman"/>
          <w:sz w:val="28"/>
          <w:szCs w:val="28"/>
        </w:rPr>
        <w:t>为100m烟囱及液氯系统变配电室</w:t>
      </w:r>
      <w:r>
        <w:rPr>
          <w:rFonts w:hint="eastAsia" w:cs="Times New Roman"/>
          <w:sz w:val="28"/>
          <w:szCs w:val="28"/>
          <w:lang w:eastAsia="zh-CN"/>
        </w:rPr>
        <w:t>；</w:t>
      </w:r>
      <w:r>
        <w:rPr>
          <w:rFonts w:hint="eastAsia" w:cs="Times New Roman"/>
          <w:sz w:val="28"/>
          <w:szCs w:val="28"/>
          <w:lang w:val="en-US" w:eastAsia="zh-CN"/>
        </w:rPr>
        <w:t>东</w:t>
      </w:r>
      <w:r>
        <w:rPr>
          <w:rFonts w:hint="eastAsia" w:ascii="Times New Roman" w:hAnsi="Times New Roman" w:eastAsia="宋体" w:cs="Times New Roman"/>
          <w:sz w:val="28"/>
          <w:szCs w:val="28"/>
        </w:rPr>
        <w:t>北侧为制氧站，</w:t>
      </w:r>
      <w:r>
        <w:rPr>
          <w:rFonts w:hint="eastAsia" w:cs="Times New Roman"/>
          <w:sz w:val="28"/>
          <w:szCs w:val="28"/>
          <w:lang w:eastAsia="zh-CN"/>
        </w:rPr>
        <w:t>1#液氯库</w:t>
      </w:r>
      <w:r>
        <w:rPr>
          <w:rFonts w:hint="eastAsia" w:cs="Times New Roman"/>
          <w:sz w:val="28"/>
          <w:szCs w:val="28"/>
          <w:lang w:val="en-US" w:eastAsia="zh-CN"/>
        </w:rPr>
        <w:t>周边的</w:t>
      </w:r>
      <w:r>
        <w:rPr>
          <w:rFonts w:hint="eastAsia" w:ascii="Times New Roman" w:hAnsi="Times New Roman" w:eastAsia="宋体" w:cs="Times New Roman"/>
          <w:sz w:val="28"/>
          <w:szCs w:val="28"/>
        </w:rPr>
        <w:t>平面布置如图</w:t>
      </w:r>
      <w:r>
        <w:rPr>
          <w:rFonts w:hint="eastAsia" w:ascii="Times New Roman" w:hAnsi="Times New Roman" w:eastAsia="宋体" w:cs="Times New Roman"/>
          <w:sz w:val="28"/>
          <w:szCs w:val="28"/>
          <w:lang w:val="en-US" w:eastAsia="zh-CN"/>
        </w:rPr>
        <w:t>2.3-3</w:t>
      </w:r>
      <w:r>
        <w:rPr>
          <w:rFonts w:hint="eastAsia" w:ascii="Times New Roman" w:hAnsi="Times New Roman" w:eastAsia="宋体" w:cs="Times New Roman"/>
          <w:sz w:val="28"/>
          <w:szCs w:val="28"/>
        </w:rPr>
        <w:t>所示</w:t>
      </w:r>
      <w:r>
        <w:rPr>
          <w:rFonts w:hint="eastAsia" w:ascii="Times New Roman" w:hAnsi="Times New Roman" w:eastAsia="宋体" w:cs="Times New Roman"/>
          <w:sz w:val="28"/>
          <w:szCs w:val="28"/>
          <w:lang w:eastAsia="zh-CN"/>
        </w:rPr>
        <w:t>。</w:t>
      </w:r>
      <w:r>
        <w:rPr>
          <w:rFonts w:hint="eastAsia" w:ascii="Times New Roman" w:hAnsi="Times New Roman" w:eastAsia="宋体"/>
          <w:lang w:val="en-US" w:eastAsia="zh-CN"/>
        </w:rPr>
        <w:t>小结：</w:t>
      </w:r>
      <w:r>
        <w:rPr>
          <w:rFonts w:hint="eastAsia" w:ascii="Times New Roman" w:hAnsi="Times New Roman" w:eastAsia="宋体"/>
        </w:rPr>
        <w:t>由上表可知，</w:t>
      </w:r>
      <w:r>
        <w:rPr>
          <w:rFonts w:hint="eastAsia"/>
          <w:lang w:eastAsia="zh-CN"/>
        </w:rPr>
        <w:t>1#</w:t>
      </w:r>
      <w:r>
        <w:rPr>
          <w:rFonts w:hint="eastAsia" w:ascii="Times New Roman" w:hAnsi="Times New Roman" w:eastAsia="宋体"/>
        </w:rPr>
        <w:t>液氯</w:t>
      </w:r>
      <w:r>
        <w:rPr>
          <w:rFonts w:hint="eastAsia"/>
          <w:lang w:val="en-US" w:eastAsia="zh-CN"/>
        </w:rPr>
        <w:t>库</w:t>
      </w:r>
      <w:r>
        <w:rPr>
          <w:rFonts w:hint="eastAsia" w:ascii="Times New Roman" w:hAnsi="Times New Roman" w:eastAsia="宋体"/>
        </w:rPr>
        <w:t>与厂内周边建（构）筑物防火间距符合</w:t>
      </w:r>
      <w:r>
        <w:rPr>
          <w:rFonts w:hint="eastAsia" w:ascii="Times New Roman" w:hAnsi="Times New Roman" w:eastAsia="宋体" w:cs="Times New Roman"/>
          <w:sz w:val="28"/>
          <w:szCs w:val="28"/>
        </w:rPr>
        <w:t>《建筑设计防火规范（2018年版）》（GB50016-2014）</w:t>
      </w:r>
      <w:r>
        <w:rPr>
          <w:rFonts w:hint="eastAsia" w:ascii="Times New Roman" w:hAnsi="Times New Roman" w:eastAsia="宋体"/>
        </w:rPr>
        <w:t>的要求。</w:t>
      </w:r>
    </w:p>
    <w:p w14:paraId="169F6C5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w:t>
      </w:r>
      <w:r>
        <w:rPr>
          <w:rFonts w:hint="eastAsia" w:eastAsia="黑体" w:cs="Times New Roman"/>
          <w:b/>
          <w:bCs/>
          <w:lang w:val="en-US" w:eastAsia="zh-CN"/>
        </w:rPr>
        <w:t>4</w:t>
      </w:r>
      <w:r>
        <w:rPr>
          <w:rFonts w:hint="eastAsia" w:ascii="黑体" w:hAnsi="黑体" w:eastAsia="黑体"/>
          <w:b/>
          <w:bCs/>
        </w:rPr>
        <w:t>项目所在地自然条件，包括地质、气象、水文等</w:t>
      </w:r>
    </w:p>
    <w:p w14:paraId="18E84AF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sz w:val="28"/>
          <w:szCs w:val="28"/>
          <w:lang w:eastAsia="zh-CN"/>
          <w14:ligatures w14:val="none"/>
        </w:rPr>
      </w:pPr>
      <w:r>
        <w:rPr>
          <w:rFonts w:hint="eastAsia" w:ascii="Times New Roman" w:hAnsi="Times New Roman" w:eastAsia="宋体" w:cs="Times New Roman"/>
          <w:sz w:val="28"/>
          <w:szCs w:val="28"/>
          <w:lang w:eastAsia="zh-CN"/>
          <w14:ligatures w14:val="none"/>
        </w:rPr>
        <w:t>朝阳金达钛业股份有限公司</w:t>
      </w:r>
      <w:r>
        <w:rPr>
          <w:rFonts w:hint="eastAsia" w:ascii="Times New Roman" w:hAnsi="Times New Roman" w:eastAsia="宋体" w:cs="Times New Roman"/>
          <w:sz w:val="28"/>
          <w:szCs w:val="28"/>
          <w14:ligatures w14:val="none"/>
        </w:rPr>
        <w:t>位于</w:t>
      </w:r>
      <w:r>
        <w:rPr>
          <w:rFonts w:hint="eastAsia" w:ascii="Times New Roman" w:hAnsi="Times New Roman" w:eastAsia="宋体" w:cs="Times New Roman"/>
          <w:sz w:val="28"/>
          <w:szCs w:val="28"/>
          <w:lang w:val="en-US" w:eastAsia="zh-CN"/>
          <w14:ligatures w14:val="none"/>
        </w:rPr>
        <w:t>朝阳市双塔区</w:t>
      </w:r>
      <w:r>
        <w:rPr>
          <w:rFonts w:hint="eastAsia" w:ascii="Times New Roman" w:hAnsi="Times New Roman" w:eastAsia="宋体" w:cs="Times New Roman"/>
          <w:sz w:val="28"/>
          <w:szCs w:val="28"/>
          <w:lang w:eastAsia="zh-CN"/>
          <w14:ligatures w14:val="none"/>
        </w:rPr>
        <w:t>，</w:t>
      </w:r>
      <w:r>
        <w:rPr>
          <w:rFonts w:hint="eastAsia" w:ascii="Times New Roman" w:hAnsi="Times New Roman" w:eastAsia="宋体" w:cs="Times New Roman"/>
          <w:sz w:val="28"/>
          <w:szCs w:val="28"/>
          <w:lang w:val="en-US" w:eastAsia="zh-CN"/>
          <w14:ligatures w14:val="none"/>
        </w:rPr>
        <w:t>现将有关情况介绍如下。</w:t>
      </w:r>
    </w:p>
    <w:p w14:paraId="28D71A7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平均气压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995.6hPa  </w:t>
      </w:r>
    </w:p>
    <w:p w14:paraId="582E69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9.2℃</w:t>
      </w:r>
    </w:p>
    <w:p w14:paraId="1A361CA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极端最高气温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43.3℃ </w:t>
      </w:r>
    </w:p>
    <w:p w14:paraId="3D407DD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极端最低气温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-34.4℃ </w:t>
      </w:r>
    </w:p>
    <w:p w14:paraId="3426EB0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平均最高气温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16.1℃</w:t>
      </w:r>
    </w:p>
    <w:p w14:paraId="54F61B7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平均最低气温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3.0℃</w:t>
      </w:r>
    </w:p>
    <w:p w14:paraId="085F159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 xml:space="preserve">一日最大降水量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232.2mm </w:t>
      </w:r>
    </w:p>
    <w:p w14:paraId="08E2A2D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平均年降水量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481.0mm </w:t>
      </w:r>
    </w:p>
    <w:p w14:paraId="4BD88C1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平均相对湿度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xml:space="preserve">     51% </w:t>
      </w:r>
    </w:p>
    <w:p w14:paraId="5B1707BC">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平均日照时数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2789.6h</w:t>
      </w:r>
    </w:p>
    <w:p w14:paraId="7F2D8B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 xml:space="preserve">平均雷暴日数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31d/a</w:t>
      </w:r>
    </w:p>
    <w:p w14:paraId="150A63D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平均风速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3.0m/s  </w:t>
      </w:r>
    </w:p>
    <w:p w14:paraId="1C7F240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最大瞬时风速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32.3m/s</w:t>
      </w:r>
    </w:p>
    <w:p w14:paraId="6D9E813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最大积雪深度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20cm</w:t>
      </w:r>
    </w:p>
    <w:p w14:paraId="5BD942C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最大冻土深度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135cm</w:t>
      </w:r>
    </w:p>
    <w:p w14:paraId="1BFC664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全年主导风向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C,S</w:t>
      </w:r>
    </w:p>
    <w:p w14:paraId="6DBB163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夏季主导风向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   S</w:t>
      </w:r>
    </w:p>
    <w:p w14:paraId="0513959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imes New Roman"/>
          <w:bCs/>
          <w:color w:val="auto"/>
          <w:sz w:val="28"/>
          <w:szCs w:val="28"/>
          <w:highlight w:val="none"/>
        </w:rPr>
      </w:pPr>
      <w:r>
        <w:rPr>
          <w:rFonts w:hint="default" w:ascii="Times New Roman" w:hAnsi="Times New Roman" w:eastAsia="宋体" w:cs="Times New Roman"/>
          <w:bCs/>
          <w:color w:val="auto"/>
          <w:sz w:val="28"/>
          <w:szCs w:val="28"/>
          <w:highlight w:val="none"/>
          <w:lang w:bidi="ar"/>
        </w:rPr>
        <w:t>冬季主导风向       </w:t>
      </w:r>
      <w:r>
        <w:rPr>
          <w:rFonts w:hint="default" w:ascii="Times New Roman" w:hAnsi="Times New Roman" w:eastAsia="宋体" w:cs="Times New Roman"/>
          <w:bCs/>
          <w:color w:val="auto"/>
          <w:sz w:val="28"/>
          <w:szCs w:val="28"/>
          <w:highlight w:val="none"/>
          <w:lang w:val="en-US" w:eastAsia="zh-CN" w:bidi="ar"/>
        </w:rPr>
        <w:t xml:space="preserve">                             </w:t>
      </w:r>
      <w:r>
        <w:rPr>
          <w:rFonts w:hint="default" w:ascii="Times New Roman" w:hAnsi="Times New Roman" w:eastAsia="宋体" w:cs="Times New Roman"/>
          <w:bCs/>
          <w:color w:val="auto"/>
          <w:sz w:val="28"/>
          <w:szCs w:val="28"/>
          <w:highlight w:val="none"/>
          <w:lang w:bidi="ar"/>
        </w:rPr>
        <w:t>C, S</w:t>
      </w:r>
    </w:p>
    <w:p w14:paraId="4555B62C">
      <w:pPr>
        <w:adjustRightInd w:val="0"/>
        <w:snapToGrid w:val="0"/>
        <w:spacing w:after="0" w:line="360" w:lineRule="auto"/>
        <w:ind w:firstLine="560" w:firstLineChars="200"/>
        <w:jc w:val="both"/>
        <w:rPr>
          <w:rFonts w:hint="default" w:ascii="Times New Roman" w:hAnsi="Times New Roman" w:eastAsia="宋体" w:cs="Times New Roman"/>
          <w:sz w:val="28"/>
          <w:szCs w:val="28"/>
          <w:lang w:val="zh-CN" w:eastAsia="zh-CN"/>
          <w14:ligatures w14:val="none"/>
        </w:rPr>
      </w:pPr>
      <w:r>
        <w:rPr>
          <w:rFonts w:hint="eastAsia" w:ascii="Times New Roman" w:hAnsi="Times New Roman" w:eastAsia="宋体" w:cs="Times New Roman"/>
          <w:sz w:val="28"/>
          <w:szCs w:val="28"/>
          <w:lang w:val="en-US" w:eastAsia="zh-CN"/>
          <w14:ligatures w14:val="none"/>
        </w:rPr>
        <w:t>根据《中国地震动参数区划图》和《建筑抗震设计标准（2024年版）》（GB/T 50011-2010）规定，</w:t>
      </w:r>
      <w:r>
        <w:rPr>
          <w:rFonts w:hint="default" w:ascii="Times New Roman" w:hAnsi="Times New Roman" w:eastAsia="宋体" w:cs="Times New Roman"/>
          <w:sz w:val="28"/>
          <w:szCs w:val="28"/>
          <w:lang w:val="en-US" w:eastAsia="zh-CN"/>
          <w14:ligatures w14:val="none"/>
        </w:rPr>
        <w:t>双塔区</w:t>
      </w:r>
      <w:r>
        <w:rPr>
          <w:rFonts w:hint="default" w:ascii="Times New Roman" w:hAnsi="Times New Roman" w:eastAsia="宋体" w:cs="Times New Roman"/>
          <w:sz w:val="28"/>
          <w:szCs w:val="28"/>
          <w:lang w:val="zh-CN" w:eastAsia="zh-CN"/>
          <w14:ligatures w14:val="none"/>
        </w:rPr>
        <w:t>的抗震设防烈度为</w:t>
      </w:r>
      <w:r>
        <w:rPr>
          <w:rFonts w:hint="default" w:ascii="Times New Roman" w:hAnsi="Times New Roman" w:eastAsia="宋体" w:cs="Times New Roman"/>
          <w:sz w:val="28"/>
          <w:szCs w:val="28"/>
          <w:lang w:val="en-US" w:eastAsia="zh-CN"/>
          <w14:ligatures w14:val="none"/>
        </w:rPr>
        <w:t>7</w:t>
      </w:r>
      <w:r>
        <w:rPr>
          <w:rFonts w:hint="default" w:ascii="Times New Roman" w:hAnsi="Times New Roman" w:eastAsia="宋体" w:cs="Times New Roman"/>
          <w:sz w:val="28"/>
          <w:szCs w:val="28"/>
          <w:lang w:val="zh-CN" w:eastAsia="zh-CN"/>
          <w14:ligatures w14:val="none"/>
        </w:rPr>
        <w:t>度，设计基本地震加速度值为0.</w:t>
      </w:r>
      <w:r>
        <w:rPr>
          <w:rFonts w:hint="default" w:ascii="Times New Roman" w:hAnsi="Times New Roman" w:eastAsia="宋体" w:cs="Times New Roman"/>
          <w:sz w:val="28"/>
          <w:szCs w:val="28"/>
          <w:lang w:val="en-US" w:eastAsia="zh-CN"/>
          <w14:ligatures w14:val="none"/>
        </w:rPr>
        <w:t>10</w:t>
      </w:r>
      <w:r>
        <w:rPr>
          <w:rFonts w:hint="default" w:ascii="Times New Roman" w:hAnsi="Times New Roman" w:eastAsia="宋体" w:cs="Times New Roman"/>
          <w:sz w:val="28"/>
          <w:szCs w:val="28"/>
          <w:lang w:val="zh-CN" w:eastAsia="zh-CN"/>
          <w14:ligatures w14:val="none"/>
        </w:rPr>
        <w:t>g，所属的设计地震分组为第</w:t>
      </w:r>
      <w:r>
        <w:rPr>
          <w:rFonts w:hint="default" w:ascii="Times New Roman" w:hAnsi="Times New Roman" w:eastAsia="宋体" w:cs="Times New Roman"/>
          <w:sz w:val="28"/>
          <w:szCs w:val="28"/>
          <w:lang w:val="en-US" w:eastAsia="zh-CN"/>
          <w14:ligatures w14:val="none"/>
        </w:rPr>
        <w:t>一</w:t>
      </w:r>
      <w:r>
        <w:rPr>
          <w:rFonts w:hint="default" w:ascii="Times New Roman" w:hAnsi="Times New Roman" w:eastAsia="宋体" w:cs="Times New Roman"/>
          <w:sz w:val="28"/>
          <w:szCs w:val="28"/>
          <w:lang w:val="zh-CN" w:eastAsia="zh-CN"/>
          <w14:ligatures w14:val="none"/>
        </w:rPr>
        <w:t>组。</w:t>
      </w:r>
    </w:p>
    <w:p w14:paraId="610E22C0">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w:t>
      </w:r>
      <w:r>
        <w:rPr>
          <w:rFonts w:hint="eastAsia" w:eastAsia="黑体" w:cs="Times New Roman"/>
          <w:b/>
          <w:bCs/>
          <w:lang w:val="en-US" w:eastAsia="zh-CN"/>
        </w:rPr>
        <w:t>5</w:t>
      </w:r>
      <w:r>
        <w:rPr>
          <w:rFonts w:hint="eastAsia" w:ascii="黑体" w:hAnsi="黑体" w:eastAsia="黑体"/>
          <w:b/>
          <w:bCs/>
        </w:rPr>
        <w:t>主要建（构）筑物</w:t>
      </w:r>
    </w:p>
    <w:p w14:paraId="7658141C">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2.2-4</w:t>
      </w:r>
      <w:r>
        <w:rPr>
          <w:rFonts w:hint="eastAsia" w:ascii="黑体" w:hAnsi="黑体" w:eastAsia="黑体"/>
          <w:sz w:val="24"/>
        </w:rPr>
        <w:t xml:space="preserve">  主要建（构）筑物一览表</w:t>
      </w:r>
    </w:p>
    <w:tbl>
      <w:tblPr>
        <w:tblStyle w:val="4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9"/>
        <w:gridCol w:w="1341"/>
        <w:gridCol w:w="1095"/>
        <w:gridCol w:w="728"/>
        <w:gridCol w:w="758"/>
        <w:gridCol w:w="1275"/>
        <w:gridCol w:w="1204"/>
        <w:gridCol w:w="1083"/>
        <w:gridCol w:w="1081"/>
      </w:tblGrid>
      <w:tr w14:paraId="3B197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32" w:type="pct"/>
            <w:vAlign w:val="center"/>
          </w:tcPr>
          <w:p w14:paraId="5F75A4DB">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序号</w:t>
            </w:r>
          </w:p>
        </w:tc>
        <w:tc>
          <w:tcPr>
            <w:tcW w:w="731" w:type="pct"/>
            <w:vAlign w:val="center"/>
          </w:tcPr>
          <w:p w14:paraId="3F4249D0">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建（构）筑物名称</w:t>
            </w:r>
          </w:p>
        </w:tc>
        <w:tc>
          <w:tcPr>
            <w:tcW w:w="597" w:type="pct"/>
            <w:vAlign w:val="center"/>
          </w:tcPr>
          <w:p w14:paraId="6D168BBF">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结构形式</w:t>
            </w:r>
          </w:p>
        </w:tc>
        <w:tc>
          <w:tcPr>
            <w:tcW w:w="397" w:type="pct"/>
            <w:vAlign w:val="center"/>
          </w:tcPr>
          <w:p w14:paraId="14FC20C4">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层数</w:t>
            </w:r>
          </w:p>
        </w:tc>
        <w:tc>
          <w:tcPr>
            <w:tcW w:w="413" w:type="pct"/>
            <w:vAlign w:val="center"/>
          </w:tcPr>
          <w:p w14:paraId="2781B4C7">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耐火等级</w:t>
            </w:r>
          </w:p>
        </w:tc>
        <w:tc>
          <w:tcPr>
            <w:tcW w:w="695" w:type="pct"/>
            <w:vAlign w:val="center"/>
          </w:tcPr>
          <w:p w14:paraId="36010B43">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火灾危险性类别</w:t>
            </w:r>
          </w:p>
        </w:tc>
        <w:tc>
          <w:tcPr>
            <w:tcW w:w="656" w:type="pct"/>
            <w:vAlign w:val="center"/>
          </w:tcPr>
          <w:p w14:paraId="6119E26E">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高度（m）</w:t>
            </w:r>
          </w:p>
        </w:tc>
        <w:tc>
          <w:tcPr>
            <w:tcW w:w="590" w:type="pct"/>
            <w:vAlign w:val="center"/>
          </w:tcPr>
          <w:p w14:paraId="39106EAD">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建筑面积（m</w:t>
            </w:r>
            <w:r>
              <w:rPr>
                <w:rFonts w:hint="eastAsia" w:ascii="Times New Roman" w:hAnsi="Times New Roman" w:eastAsia="宋体"/>
                <w:sz w:val="21"/>
                <w:szCs w:val="21"/>
                <w:vertAlign w:val="superscript"/>
              </w:rPr>
              <w:t>2</w:t>
            </w:r>
            <w:r>
              <w:rPr>
                <w:rFonts w:hint="eastAsia" w:ascii="Times New Roman" w:hAnsi="Times New Roman" w:eastAsia="宋体"/>
                <w:sz w:val="21"/>
                <w:szCs w:val="21"/>
              </w:rPr>
              <w:t>）</w:t>
            </w:r>
          </w:p>
        </w:tc>
        <w:tc>
          <w:tcPr>
            <w:tcW w:w="589" w:type="pct"/>
          </w:tcPr>
          <w:p w14:paraId="4672BF16">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占地面积（m</w:t>
            </w:r>
            <w:r>
              <w:rPr>
                <w:rFonts w:hint="eastAsia" w:ascii="Times New Roman" w:hAnsi="Times New Roman" w:eastAsia="宋体"/>
                <w:sz w:val="21"/>
                <w:szCs w:val="21"/>
                <w:vertAlign w:val="superscript"/>
              </w:rPr>
              <w:t>2</w:t>
            </w:r>
            <w:r>
              <w:rPr>
                <w:rFonts w:hint="eastAsia" w:ascii="Times New Roman" w:hAnsi="Times New Roman" w:eastAsia="宋体"/>
                <w:sz w:val="21"/>
                <w:szCs w:val="21"/>
              </w:rPr>
              <w:t>）</w:t>
            </w:r>
          </w:p>
        </w:tc>
      </w:tr>
      <w:tr w14:paraId="629EC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32" w:type="pct"/>
            <w:vAlign w:val="center"/>
          </w:tcPr>
          <w:p w14:paraId="5B55DF90">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1</w:t>
            </w:r>
          </w:p>
        </w:tc>
        <w:tc>
          <w:tcPr>
            <w:tcW w:w="731" w:type="pct"/>
            <w:vAlign w:val="center"/>
          </w:tcPr>
          <w:p w14:paraId="086E7188">
            <w:pPr>
              <w:adjustRightInd w:val="0"/>
              <w:snapToGrid w:val="0"/>
              <w:spacing w:after="0" w:line="240" w:lineRule="auto"/>
              <w:jc w:val="center"/>
              <w:rPr>
                <w:rFonts w:hint="eastAsia" w:ascii="Times New Roman" w:hAnsi="Times New Roman" w:eastAsia="宋体"/>
                <w:sz w:val="21"/>
                <w:szCs w:val="21"/>
                <w:lang w:eastAsia="zh-CN"/>
              </w:rPr>
            </w:pPr>
            <w:r>
              <w:rPr>
                <w:rFonts w:hint="eastAsia" w:ascii="Times New Roman" w:hAnsi="Times New Roman" w:eastAsia="宋体"/>
                <w:sz w:val="21"/>
                <w:szCs w:val="21"/>
                <w:lang w:eastAsia="zh-CN"/>
              </w:rPr>
              <w:t>1#</w:t>
            </w:r>
            <w:r>
              <w:rPr>
                <w:rFonts w:hint="eastAsia" w:ascii="Times New Roman" w:hAnsi="Times New Roman" w:eastAsia="宋体"/>
                <w:sz w:val="21"/>
                <w:szCs w:val="21"/>
              </w:rPr>
              <w:t>液氯</w:t>
            </w:r>
            <w:r>
              <w:rPr>
                <w:rFonts w:hint="eastAsia" w:ascii="Times New Roman" w:hAnsi="Times New Roman" w:eastAsia="宋体"/>
                <w:sz w:val="21"/>
                <w:szCs w:val="21"/>
                <w:lang w:val="en-US" w:eastAsia="zh-CN"/>
              </w:rPr>
              <w:t>库</w:t>
            </w:r>
          </w:p>
        </w:tc>
        <w:tc>
          <w:tcPr>
            <w:tcW w:w="597" w:type="pct"/>
            <w:vAlign w:val="center"/>
          </w:tcPr>
          <w:p w14:paraId="10061632">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钢筋砼框架</w:t>
            </w:r>
          </w:p>
        </w:tc>
        <w:tc>
          <w:tcPr>
            <w:tcW w:w="397" w:type="pct"/>
            <w:vAlign w:val="center"/>
          </w:tcPr>
          <w:p w14:paraId="548E40F3">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单层</w:t>
            </w:r>
          </w:p>
        </w:tc>
        <w:tc>
          <w:tcPr>
            <w:tcW w:w="413" w:type="pct"/>
            <w:vAlign w:val="center"/>
          </w:tcPr>
          <w:p w14:paraId="705E7A60">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二级</w:t>
            </w:r>
          </w:p>
        </w:tc>
        <w:tc>
          <w:tcPr>
            <w:tcW w:w="695" w:type="pct"/>
            <w:vAlign w:val="center"/>
          </w:tcPr>
          <w:p w14:paraId="73899561">
            <w:pPr>
              <w:adjustRightInd w:val="0"/>
              <w:snapToGrid w:val="0"/>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乙类</w:t>
            </w:r>
          </w:p>
        </w:tc>
        <w:tc>
          <w:tcPr>
            <w:tcW w:w="656" w:type="pct"/>
            <w:vAlign w:val="center"/>
          </w:tcPr>
          <w:p w14:paraId="0034A8A6">
            <w:pPr>
              <w:adjustRightInd w:val="0"/>
              <w:snapToGrid w:val="0"/>
              <w:spacing w:after="0" w:line="240" w:lineRule="auto"/>
              <w:jc w:val="center"/>
              <w:rPr>
                <w:rFonts w:hint="default" w:ascii="Times New Roman" w:hAnsi="Times New Roman" w:eastAsia="宋体"/>
                <w:sz w:val="21"/>
                <w:szCs w:val="21"/>
                <w:lang w:val="en-US" w:eastAsia="zh-CN"/>
              </w:rPr>
            </w:pPr>
            <w:r>
              <w:rPr>
                <w:rFonts w:hint="eastAsia" w:ascii="Times New Roman" w:hAnsi="Times New Roman" w:eastAsia="宋体"/>
                <w:sz w:val="21"/>
                <w:szCs w:val="21"/>
                <w:lang w:val="en-US" w:eastAsia="zh-CN"/>
              </w:rPr>
              <w:t>15.2</w:t>
            </w:r>
          </w:p>
        </w:tc>
        <w:tc>
          <w:tcPr>
            <w:tcW w:w="590" w:type="pct"/>
            <w:vAlign w:val="center"/>
          </w:tcPr>
          <w:p w14:paraId="7F3685E6">
            <w:pPr>
              <w:adjustRightInd w:val="0"/>
              <w:snapToGrid w:val="0"/>
              <w:spacing w:after="0" w:line="240" w:lineRule="auto"/>
              <w:jc w:val="center"/>
              <w:rPr>
                <w:rFonts w:hint="default" w:ascii="Times New Roman" w:hAnsi="Times New Roman" w:eastAsia="宋体"/>
                <w:sz w:val="21"/>
                <w:szCs w:val="21"/>
                <w:lang w:val="en-US" w:eastAsia="zh-CN"/>
              </w:rPr>
            </w:pPr>
            <w:r>
              <w:rPr>
                <w:rFonts w:hint="eastAsia" w:ascii="Times New Roman" w:hAnsi="Times New Roman" w:eastAsia="宋体"/>
                <w:sz w:val="21"/>
                <w:szCs w:val="21"/>
                <w:lang w:val="en-US" w:eastAsia="zh-CN"/>
              </w:rPr>
              <w:t>1375.3</w:t>
            </w:r>
          </w:p>
        </w:tc>
        <w:tc>
          <w:tcPr>
            <w:tcW w:w="589" w:type="pct"/>
            <w:vAlign w:val="center"/>
          </w:tcPr>
          <w:p w14:paraId="69BBBF17">
            <w:pPr>
              <w:adjustRightInd w:val="0"/>
              <w:snapToGrid w:val="0"/>
              <w:spacing w:after="0" w:line="240" w:lineRule="auto"/>
              <w:jc w:val="center"/>
              <w:rPr>
                <w:rFonts w:hint="default" w:ascii="Times New Roman" w:hAnsi="Times New Roman" w:eastAsia="宋体"/>
                <w:sz w:val="21"/>
                <w:szCs w:val="21"/>
                <w:lang w:val="en-US" w:eastAsia="zh-CN"/>
              </w:rPr>
            </w:pPr>
            <w:r>
              <w:rPr>
                <w:rFonts w:hint="eastAsia" w:ascii="Times New Roman" w:hAnsi="Times New Roman" w:eastAsia="宋体"/>
                <w:sz w:val="21"/>
                <w:szCs w:val="21"/>
                <w:lang w:val="en-US" w:eastAsia="zh-CN"/>
              </w:rPr>
              <w:t>991.0</w:t>
            </w:r>
          </w:p>
        </w:tc>
      </w:tr>
      <w:tr w14:paraId="6F7C5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32" w:type="pct"/>
            <w:vAlign w:val="center"/>
          </w:tcPr>
          <w:p w14:paraId="11E245E8">
            <w:pPr>
              <w:adjustRightInd w:val="0"/>
              <w:snapToGrid w:val="0"/>
              <w:spacing w:after="0" w:line="240" w:lineRule="auto"/>
              <w:jc w:val="center"/>
              <w:rPr>
                <w:rFonts w:hint="eastAsia" w:ascii="Times New Roman" w:hAnsi="Times New Roman" w:eastAsia="宋体"/>
                <w:sz w:val="21"/>
                <w:szCs w:val="21"/>
                <w:lang w:val="en-US" w:eastAsia="zh-CN"/>
              </w:rPr>
            </w:pPr>
            <w:r>
              <w:rPr>
                <w:rFonts w:hint="eastAsia" w:ascii="Times New Roman" w:hAnsi="Times New Roman" w:eastAsia="宋体"/>
                <w:sz w:val="21"/>
                <w:szCs w:val="21"/>
                <w:lang w:val="en-US" w:eastAsia="zh-CN"/>
              </w:rPr>
              <w:t>2</w:t>
            </w:r>
          </w:p>
        </w:tc>
        <w:tc>
          <w:tcPr>
            <w:tcW w:w="731" w:type="pct"/>
            <w:vAlign w:val="center"/>
          </w:tcPr>
          <w:p w14:paraId="73BF5D7D">
            <w:pPr>
              <w:adjustRightInd w:val="0"/>
              <w:snapToGrid w:val="0"/>
              <w:spacing w:after="0" w:line="240" w:lineRule="auto"/>
              <w:jc w:val="center"/>
              <w:rPr>
                <w:rFonts w:hint="default" w:ascii="Times New Roman" w:hAnsi="Times New Roman" w:eastAsia="宋体"/>
                <w:sz w:val="21"/>
                <w:szCs w:val="21"/>
                <w:lang w:val="en-US" w:eastAsia="zh-CN"/>
              </w:rPr>
            </w:pPr>
            <w:r>
              <w:rPr>
                <w:rFonts w:hint="eastAsia" w:ascii="Times New Roman" w:hAnsi="Times New Roman" w:eastAsia="宋体"/>
                <w:sz w:val="21"/>
                <w:szCs w:val="21"/>
                <w:lang w:val="en-US" w:eastAsia="zh-CN"/>
              </w:rPr>
              <w:t>液氯卸车</w:t>
            </w:r>
          </w:p>
        </w:tc>
        <w:tc>
          <w:tcPr>
            <w:tcW w:w="597" w:type="pct"/>
            <w:vAlign w:val="center"/>
          </w:tcPr>
          <w:p w14:paraId="6F5FEA52">
            <w:pPr>
              <w:adjustRightInd w:val="0"/>
              <w:snapToGrid w:val="0"/>
              <w:spacing w:after="0" w:line="240" w:lineRule="auto"/>
              <w:jc w:val="center"/>
              <w:rPr>
                <w:rFonts w:hint="eastAsia" w:ascii="Times New Roman" w:hAnsi="Times New Roman" w:eastAsia="宋体"/>
                <w:sz w:val="21"/>
                <w:szCs w:val="21"/>
                <w:lang w:val="en-US" w:eastAsia="zh-CN"/>
              </w:rPr>
            </w:pPr>
            <w:r>
              <w:rPr>
                <w:rFonts w:hint="eastAsia" w:ascii="Times New Roman" w:hAnsi="Times New Roman" w:eastAsia="宋体"/>
                <w:sz w:val="21"/>
                <w:szCs w:val="21"/>
                <w:lang w:val="en-US" w:eastAsia="zh-CN"/>
              </w:rPr>
              <w:t>钢混</w:t>
            </w:r>
          </w:p>
        </w:tc>
        <w:tc>
          <w:tcPr>
            <w:tcW w:w="746" w:type="dxa"/>
            <w:vAlign w:val="center"/>
          </w:tcPr>
          <w:p w14:paraId="12125996">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rPr>
              <w:t>单层</w:t>
            </w:r>
          </w:p>
        </w:tc>
        <w:tc>
          <w:tcPr>
            <w:tcW w:w="776" w:type="dxa"/>
            <w:vAlign w:val="center"/>
          </w:tcPr>
          <w:p w14:paraId="249A743A">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rPr>
              <w:t>二级</w:t>
            </w:r>
          </w:p>
        </w:tc>
        <w:tc>
          <w:tcPr>
            <w:tcW w:w="1307" w:type="dxa"/>
            <w:vAlign w:val="center"/>
          </w:tcPr>
          <w:p w14:paraId="10BBC047">
            <w:pPr>
              <w:adjustRightInd w:val="0"/>
              <w:snapToGrid w:val="0"/>
              <w:spacing w:after="0" w:line="240" w:lineRule="auto"/>
              <w:jc w:val="center"/>
              <w:rPr>
                <w:rFonts w:hint="eastAsia" w:ascii="Times New Roman" w:hAnsi="Times New Roman" w:eastAsia="宋体"/>
                <w:sz w:val="21"/>
                <w:szCs w:val="21"/>
              </w:rPr>
            </w:pPr>
            <w:r>
              <w:rPr>
                <w:rFonts w:hint="eastAsia" w:ascii="Times New Roman" w:hAnsi="Times New Roman" w:eastAsia="宋体"/>
                <w:sz w:val="21"/>
                <w:szCs w:val="21"/>
              </w:rPr>
              <w:t>乙类</w:t>
            </w:r>
          </w:p>
        </w:tc>
        <w:tc>
          <w:tcPr>
            <w:tcW w:w="656" w:type="pct"/>
            <w:vAlign w:val="center"/>
          </w:tcPr>
          <w:p w14:paraId="4F4FC9CF">
            <w:pPr>
              <w:adjustRightInd w:val="0"/>
              <w:snapToGrid w:val="0"/>
              <w:spacing w:after="0" w:line="240" w:lineRule="auto"/>
              <w:jc w:val="center"/>
              <w:rPr>
                <w:rFonts w:hint="default" w:ascii="Times New Roman" w:hAnsi="Times New Roman" w:eastAsia="宋体"/>
                <w:sz w:val="21"/>
                <w:szCs w:val="21"/>
                <w:lang w:val="en-US" w:eastAsia="zh-CN"/>
              </w:rPr>
            </w:pPr>
            <w:r>
              <w:rPr>
                <w:rFonts w:hint="eastAsia" w:ascii="Times New Roman" w:hAnsi="Times New Roman" w:eastAsia="宋体"/>
                <w:sz w:val="21"/>
                <w:szCs w:val="21"/>
                <w:lang w:val="en-US" w:eastAsia="zh-CN"/>
              </w:rPr>
              <w:t>9.2</w:t>
            </w:r>
          </w:p>
        </w:tc>
        <w:tc>
          <w:tcPr>
            <w:tcW w:w="590" w:type="pct"/>
            <w:vAlign w:val="center"/>
          </w:tcPr>
          <w:p w14:paraId="7C36A504">
            <w:pPr>
              <w:adjustRightInd w:val="0"/>
              <w:snapToGrid w:val="0"/>
              <w:spacing w:after="0" w:line="240" w:lineRule="auto"/>
              <w:jc w:val="center"/>
              <w:rPr>
                <w:rFonts w:hint="default" w:ascii="Times New Roman" w:hAnsi="Times New Roman" w:eastAsia="宋体"/>
                <w:sz w:val="21"/>
                <w:szCs w:val="21"/>
                <w:lang w:val="en-US" w:eastAsia="zh-CN"/>
              </w:rPr>
            </w:pPr>
            <w:r>
              <w:rPr>
                <w:rFonts w:hint="eastAsia" w:ascii="Times New Roman" w:hAnsi="Times New Roman" w:eastAsia="宋体"/>
                <w:sz w:val="21"/>
                <w:szCs w:val="21"/>
                <w:lang w:val="en-US" w:eastAsia="zh-CN"/>
              </w:rPr>
              <w:t>349.69</w:t>
            </w:r>
          </w:p>
        </w:tc>
        <w:tc>
          <w:tcPr>
            <w:tcW w:w="589" w:type="pct"/>
            <w:vAlign w:val="center"/>
          </w:tcPr>
          <w:p w14:paraId="1D0D1ECF">
            <w:pPr>
              <w:adjustRightInd w:val="0"/>
              <w:snapToGrid w:val="0"/>
              <w:spacing w:after="0" w:line="240" w:lineRule="auto"/>
              <w:jc w:val="center"/>
              <w:rPr>
                <w:rFonts w:hint="default" w:ascii="Times New Roman" w:hAnsi="Times New Roman" w:eastAsia="宋体"/>
                <w:sz w:val="21"/>
                <w:szCs w:val="21"/>
                <w:lang w:val="en-US" w:eastAsia="zh-CN"/>
              </w:rPr>
            </w:pPr>
            <w:r>
              <w:rPr>
                <w:rFonts w:hint="eastAsia" w:ascii="Times New Roman" w:hAnsi="Times New Roman" w:eastAsia="宋体"/>
                <w:sz w:val="21"/>
                <w:szCs w:val="21"/>
                <w:lang w:val="en-US" w:eastAsia="zh-CN"/>
              </w:rPr>
              <w:t>349.69</w:t>
            </w:r>
          </w:p>
        </w:tc>
      </w:tr>
    </w:tbl>
    <w:p w14:paraId="63F57007">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w:t>
      </w:r>
      <w:r>
        <w:rPr>
          <w:rFonts w:hint="eastAsia" w:eastAsia="黑体" w:cs="Times New Roman"/>
          <w:b/>
          <w:bCs/>
          <w:lang w:val="en-US" w:eastAsia="zh-CN"/>
        </w:rPr>
        <w:t>6</w:t>
      </w:r>
      <w:r>
        <w:rPr>
          <w:rFonts w:hint="eastAsia" w:ascii="黑体" w:hAnsi="黑体" w:eastAsia="黑体"/>
          <w:b/>
          <w:bCs/>
        </w:rPr>
        <w:t>危险化学品重大危险源储量</w:t>
      </w:r>
    </w:p>
    <w:p w14:paraId="753CD891">
      <w:pPr>
        <w:pStyle w:val="21"/>
        <w:adjustRightInd w:val="0"/>
        <w:snapToGrid w:val="0"/>
        <w:ind w:firstLine="560"/>
        <w:rPr>
          <w:rFonts w:hint="eastAsia"/>
        </w:rPr>
      </w:pPr>
      <w:r>
        <w:rPr>
          <w:rFonts w:hint="eastAsia"/>
          <w:lang w:val="en-US" w:eastAsia="zh-CN"/>
        </w:rPr>
        <w:t>1#液氯库</w:t>
      </w:r>
      <w:r>
        <w:rPr>
          <w:rFonts w:hint="eastAsia"/>
          <w:lang w:eastAsia="zh-CN"/>
        </w:rPr>
        <w:t>储存</w:t>
      </w:r>
      <w:r>
        <w:rPr>
          <w:rFonts w:hint="eastAsia"/>
          <w:lang w:val="en-US" w:eastAsia="zh-CN"/>
        </w:rPr>
        <w:t>规模</w:t>
      </w:r>
      <w:r>
        <w:rPr>
          <w:rFonts w:hint="eastAsia"/>
          <w:lang w:eastAsia="zh-CN"/>
        </w:rPr>
        <w:t>见表</w:t>
      </w:r>
      <w:r>
        <w:rPr>
          <w:rFonts w:hint="eastAsia"/>
          <w:lang w:val="en-US" w:eastAsia="zh-CN"/>
        </w:rPr>
        <w:t>2.2-5。</w:t>
      </w:r>
    </w:p>
    <w:p w14:paraId="6CA3AC44">
      <w:pPr>
        <w:pStyle w:val="21"/>
        <w:keepNext/>
        <w:keepLines/>
        <w:adjustRightInd w:val="0"/>
        <w:snapToGrid w:val="0"/>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 xml:space="preserve">2.2-5  </w:t>
      </w:r>
      <w:r>
        <w:rPr>
          <w:rFonts w:hint="default" w:ascii="Times New Roman" w:hAnsi="Times New Roman" w:eastAsia="黑体" w:cs="Times New Roman"/>
          <w:sz w:val="24"/>
        </w:rPr>
        <w:t xml:space="preserve"> 储存情况表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439"/>
        <w:gridCol w:w="1502"/>
        <w:gridCol w:w="830"/>
        <w:gridCol w:w="890"/>
        <w:gridCol w:w="1136"/>
        <w:gridCol w:w="1208"/>
        <w:gridCol w:w="1035"/>
        <w:gridCol w:w="1035"/>
        <w:gridCol w:w="1099"/>
      </w:tblGrid>
      <w:tr w14:paraId="09551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blHeader/>
          <w:jc w:val="center"/>
        </w:trPr>
        <w:tc>
          <w:tcPr>
            <w:tcW w:w="240" w:type="pct"/>
            <w:vAlign w:val="center"/>
          </w:tcPr>
          <w:p w14:paraId="7FD60EFA">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序号</w:t>
            </w:r>
          </w:p>
        </w:tc>
        <w:tc>
          <w:tcPr>
            <w:tcW w:w="819" w:type="pct"/>
            <w:vAlign w:val="center"/>
          </w:tcPr>
          <w:p w14:paraId="5209878D">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名称</w:t>
            </w:r>
          </w:p>
        </w:tc>
        <w:tc>
          <w:tcPr>
            <w:tcW w:w="453" w:type="pct"/>
            <w:vAlign w:val="center"/>
          </w:tcPr>
          <w:p w14:paraId="52A21A7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年</w:t>
            </w:r>
            <w:r>
              <w:rPr>
                <w:rFonts w:hint="eastAsia" w:ascii="Times New Roman" w:hAnsi="Times New Roman" w:eastAsia="宋体" w:cs="Times New Roman"/>
                <w:spacing w:val="2"/>
                <w:sz w:val="21"/>
                <w:szCs w:val="20"/>
                <w14:ligatures w14:val="none"/>
              </w:rPr>
              <w:t>用</w:t>
            </w:r>
            <w:r>
              <w:rPr>
                <w:rFonts w:ascii="Times New Roman" w:hAnsi="Times New Roman" w:eastAsia="宋体" w:cs="Times New Roman"/>
                <w:spacing w:val="2"/>
                <w:sz w:val="21"/>
                <w:szCs w:val="20"/>
                <w14:ligatures w14:val="none"/>
              </w:rPr>
              <w:t>量t</w:t>
            </w:r>
          </w:p>
        </w:tc>
        <w:tc>
          <w:tcPr>
            <w:tcW w:w="485" w:type="pct"/>
            <w:vAlign w:val="center"/>
          </w:tcPr>
          <w:p w14:paraId="2FDD424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储存量t</w:t>
            </w:r>
          </w:p>
        </w:tc>
        <w:tc>
          <w:tcPr>
            <w:tcW w:w="619" w:type="pct"/>
            <w:vAlign w:val="center"/>
          </w:tcPr>
          <w:p w14:paraId="5645A1B2">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储存场所</w:t>
            </w:r>
          </w:p>
        </w:tc>
        <w:tc>
          <w:tcPr>
            <w:tcW w:w="653" w:type="pct"/>
            <w:vAlign w:val="center"/>
          </w:tcPr>
          <w:p w14:paraId="4859111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包装规格</w:t>
            </w:r>
          </w:p>
        </w:tc>
        <w:tc>
          <w:tcPr>
            <w:tcW w:w="564" w:type="pct"/>
            <w:vAlign w:val="center"/>
          </w:tcPr>
          <w:p w14:paraId="1BF0862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包装方式</w:t>
            </w:r>
          </w:p>
        </w:tc>
        <w:tc>
          <w:tcPr>
            <w:tcW w:w="564" w:type="pct"/>
            <w:vAlign w:val="center"/>
          </w:tcPr>
          <w:p w14:paraId="7556685E">
            <w:pPr>
              <w:adjustRightInd w:val="0"/>
              <w:snapToGrid w:val="0"/>
              <w:spacing w:after="0" w:line="240" w:lineRule="auto"/>
              <w:jc w:val="center"/>
              <w:rPr>
                <w:rFonts w:ascii="Times New Roman" w:hAnsi="Times New Roman" w:eastAsia="宋体" w:cs="Times New Roman"/>
                <w:spacing w:val="2"/>
                <w:kern w:val="0"/>
                <w:sz w:val="21"/>
                <w14:ligatures w14:val="none"/>
              </w:rPr>
            </w:pPr>
            <w:r>
              <w:rPr>
                <w:rFonts w:ascii="Times New Roman" w:hAnsi="Times New Roman" w:eastAsia="宋体" w:cs="Times New Roman"/>
                <w:spacing w:val="2"/>
                <w:sz w:val="21"/>
                <w:szCs w:val="20"/>
                <w14:ligatures w14:val="none"/>
              </w:rPr>
              <w:t>火灾危险</w:t>
            </w:r>
          </w:p>
          <w:p w14:paraId="0EEEC9D3">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性类别</w:t>
            </w:r>
          </w:p>
        </w:tc>
        <w:tc>
          <w:tcPr>
            <w:tcW w:w="599" w:type="pct"/>
            <w:vAlign w:val="center"/>
          </w:tcPr>
          <w:p w14:paraId="79C157E0">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是否为危险化学品</w:t>
            </w:r>
          </w:p>
        </w:tc>
      </w:tr>
      <w:tr w14:paraId="3EAC5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240" w:type="pct"/>
            <w:vAlign w:val="center"/>
          </w:tcPr>
          <w:p w14:paraId="215475B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1</w:t>
            </w:r>
          </w:p>
        </w:tc>
        <w:tc>
          <w:tcPr>
            <w:tcW w:w="819" w:type="pct"/>
            <w:vAlign w:val="center"/>
          </w:tcPr>
          <w:p w14:paraId="4033D94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液氯</w:t>
            </w:r>
          </w:p>
        </w:tc>
        <w:tc>
          <w:tcPr>
            <w:tcW w:w="453" w:type="pct"/>
            <w:vAlign w:val="center"/>
          </w:tcPr>
          <w:p w14:paraId="20232155">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71200</w:t>
            </w:r>
          </w:p>
        </w:tc>
        <w:tc>
          <w:tcPr>
            <w:tcW w:w="485" w:type="pct"/>
            <w:vAlign w:val="center"/>
          </w:tcPr>
          <w:p w14:paraId="7EC2779E">
            <w:pPr>
              <w:adjustRightInd w:val="0"/>
              <w:snapToGrid w:val="0"/>
              <w:spacing w:after="0" w:line="240" w:lineRule="auto"/>
              <w:jc w:val="center"/>
              <w:rPr>
                <w:rFonts w:hint="default" w:ascii="Times New Roman" w:hAnsi="Times New Roman" w:eastAsia="宋体" w:cs="Times New Roman"/>
                <w:spacing w:val="2"/>
                <w:sz w:val="21"/>
                <w:szCs w:val="20"/>
                <w:lang w:val="en-US" w:eastAsia="zh-CN"/>
                <w14:ligatures w14:val="none"/>
              </w:rPr>
            </w:pPr>
            <w:r>
              <w:rPr>
                <w:rFonts w:hint="eastAsia" w:ascii="Times New Roman" w:hAnsi="Times New Roman" w:eastAsia="宋体" w:cs="Times New Roman"/>
                <w:spacing w:val="2"/>
                <w:sz w:val="21"/>
                <w:szCs w:val="20"/>
                <w:lang w:val="en-US" w:eastAsia="zh-CN"/>
                <w14:ligatures w14:val="none"/>
              </w:rPr>
              <w:t>380.7</w:t>
            </w:r>
          </w:p>
        </w:tc>
        <w:tc>
          <w:tcPr>
            <w:tcW w:w="619" w:type="pct"/>
            <w:vAlign w:val="center"/>
          </w:tcPr>
          <w:p w14:paraId="0573DC04">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lang w:eastAsia="zh-CN"/>
                <w14:ligatures w14:val="none"/>
              </w:rPr>
              <w:t>1#</w:t>
            </w:r>
            <w:r>
              <w:rPr>
                <w:rFonts w:hint="eastAsia" w:ascii="Times New Roman" w:hAnsi="Times New Roman" w:eastAsia="宋体" w:cs="Times New Roman"/>
                <w:spacing w:val="2"/>
                <w:sz w:val="21"/>
                <w:szCs w:val="20"/>
                <w14:ligatures w14:val="none"/>
              </w:rPr>
              <w:t>液氯储存</w:t>
            </w:r>
          </w:p>
        </w:tc>
        <w:tc>
          <w:tcPr>
            <w:tcW w:w="653" w:type="pct"/>
            <w:vAlign w:val="center"/>
          </w:tcPr>
          <w:p w14:paraId="5078FEAC">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储罐</w:t>
            </w:r>
          </w:p>
          <w:p w14:paraId="48CC436B">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（V=4</w:t>
            </w:r>
            <w:r>
              <w:rPr>
                <w:rFonts w:hint="eastAsia" w:ascii="Times New Roman" w:hAnsi="Times New Roman" w:eastAsia="宋体" w:cs="Times New Roman"/>
                <w:spacing w:val="2"/>
                <w:sz w:val="21"/>
                <w:szCs w:val="20"/>
                <w:lang w:val="en-US" w:eastAsia="zh-CN"/>
                <w14:ligatures w14:val="none"/>
              </w:rPr>
              <w:t>5</w:t>
            </w:r>
            <w:r>
              <w:rPr>
                <w:rFonts w:hint="eastAsia" w:ascii="Times New Roman" w:hAnsi="Times New Roman" w:eastAsia="宋体" w:cs="Times New Roman"/>
                <w:spacing w:val="2"/>
                <w:sz w:val="21"/>
                <w:szCs w:val="20"/>
                <w14:ligatures w14:val="none"/>
              </w:rPr>
              <w:t>m</w:t>
            </w:r>
            <w:r>
              <w:rPr>
                <w:rFonts w:hint="eastAsia" w:ascii="Times New Roman" w:hAnsi="Times New Roman" w:eastAsia="宋体" w:cs="Times New Roman"/>
                <w:spacing w:val="2"/>
                <w:sz w:val="21"/>
                <w:szCs w:val="20"/>
                <w:vertAlign w:val="superscript"/>
                <w14:ligatures w14:val="none"/>
              </w:rPr>
              <w:t>3</w:t>
            </w:r>
            <w:r>
              <w:rPr>
                <w:rFonts w:hint="eastAsia" w:ascii="Times New Roman" w:hAnsi="Times New Roman" w:eastAsia="宋体" w:cs="Times New Roman"/>
                <w:spacing w:val="2"/>
                <w:sz w:val="21"/>
                <w:szCs w:val="20"/>
                <w14:ligatures w14:val="none"/>
              </w:rPr>
              <w:t>）</w:t>
            </w:r>
          </w:p>
        </w:tc>
        <w:tc>
          <w:tcPr>
            <w:tcW w:w="564" w:type="pct"/>
            <w:vAlign w:val="center"/>
          </w:tcPr>
          <w:p w14:paraId="5F434207">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储罐</w:t>
            </w:r>
          </w:p>
        </w:tc>
        <w:tc>
          <w:tcPr>
            <w:tcW w:w="564" w:type="pct"/>
            <w:vAlign w:val="center"/>
          </w:tcPr>
          <w:p w14:paraId="3248DE6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乙类</w:t>
            </w:r>
          </w:p>
        </w:tc>
        <w:tc>
          <w:tcPr>
            <w:tcW w:w="599" w:type="pct"/>
            <w:vAlign w:val="center"/>
          </w:tcPr>
          <w:p w14:paraId="308A24A3">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是</w:t>
            </w:r>
          </w:p>
        </w:tc>
      </w:tr>
    </w:tbl>
    <w:p w14:paraId="277CD25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highlight w:val="none"/>
        </w:rPr>
      </w:pPr>
      <w:bookmarkStart w:id="18" w:name="_Toc25375"/>
      <w:r>
        <w:rPr>
          <w:rFonts w:eastAsia="楷体" w:cs="Times New Roman"/>
          <w:b/>
          <w:bCs/>
          <w:sz w:val="32"/>
          <w:szCs w:val="32"/>
          <w:highlight w:val="none"/>
        </w:rPr>
        <w:t>2.</w:t>
      </w:r>
      <w:r>
        <w:rPr>
          <w:rFonts w:hint="eastAsia" w:eastAsia="楷体" w:cs="Times New Roman"/>
          <w:b/>
          <w:bCs/>
          <w:sz w:val="32"/>
          <w:szCs w:val="32"/>
          <w:highlight w:val="none"/>
        </w:rPr>
        <w:t>4</w:t>
      </w:r>
      <w:r>
        <w:rPr>
          <w:rFonts w:hint="eastAsia" w:ascii="楷体" w:hAnsi="楷体" w:eastAsia="楷体"/>
          <w:b/>
          <w:bCs/>
          <w:sz w:val="32"/>
          <w:szCs w:val="32"/>
          <w:highlight w:val="none"/>
        </w:rPr>
        <w:t>工艺流程、主要设备布局及其上下游生产装置的关系</w:t>
      </w:r>
      <w:bookmarkEnd w:id="18"/>
    </w:p>
    <w:p w14:paraId="67721871">
      <w:pPr>
        <w:numPr>
          <w:ilvl w:val="0"/>
          <w:numId w:val="7"/>
        </w:num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液氯卸车、液氯储存气化</w:t>
      </w:r>
    </w:p>
    <w:p w14:paraId="75B83B8E">
      <w:pPr>
        <w:numPr>
          <w:ilvl w:val="0"/>
          <w:numId w:val="0"/>
        </w:num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外购氯气通过液氯卸车使用鹤管连接，采用液氯专用磁力泵将外购液氯槽车中的液氯卸至液氯储罐中。液氯储罐内液氯由磁力泵经打入气化器， 采用盘管式气化装置，流量可自动调节，汽化所用热介质为热水， 热水温度控制在 75～85℃之间，进行气化后，再经过氯气缓冲罐及管道送往四氯化钛生产装置。</w:t>
      </w:r>
    </w:p>
    <w:p w14:paraId="03C9E201">
      <w:pPr>
        <w:numPr>
          <w:ilvl w:val="0"/>
          <w:numId w:val="0"/>
        </w:num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2</w:t>
      </w:r>
      <w:r>
        <w:rPr>
          <w:rFonts w:hint="eastAsia" w:ascii="Times New Roman" w:hAnsi="Times New Roman" w:eastAsia="宋体" w:cs="Times New Roman"/>
          <w:sz w:val="28"/>
          <w:szCs w:val="28"/>
          <w:lang w:eastAsia="zh-CN"/>
        </w:rPr>
        <w:t>）事故氯吸收系统</w:t>
      </w:r>
    </w:p>
    <w:p w14:paraId="6B1AE96A">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采用氢氧化钠溶液吸收氯气，反应方程式为： Cl</w:t>
      </w:r>
      <w:r>
        <w:rPr>
          <w:rFonts w:hint="eastAsia" w:ascii="Times New Roman" w:hAnsi="Times New Roman" w:eastAsia="宋体" w:cs="Times New Roman"/>
          <w:sz w:val="28"/>
          <w:szCs w:val="28"/>
          <w:vertAlign w:val="subscript"/>
        </w:rPr>
        <w:t>2</w:t>
      </w:r>
      <w:r>
        <w:rPr>
          <w:rFonts w:hint="eastAsia" w:ascii="Times New Roman" w:hAnsi="Times New Roman" w:eastAsia="宋体" w:cs="Times New Roman"/>
          <w:sz w:val="28"/>
          <w:szCs w:val="28"/>
        </w:rPr>
        <w:t>+2NaOH=NaClO+NaCl+H</w:t>
      </w:r>
      <w:r>
        <w:rPr>
          <w:rFonts w:hint="eastAsia" w:ascii="Times New Roman" w:hAnsi="Times New Roman" w:eastAsia="宋体" w:cs="Times New Roman"/>
          <w:sz w:val="28"/>
          <w:szCs w:val="28"/>
          <w:vertAlign w:val="subscript"/>
        </w:rPr>
        <w:t>2</w:t>
      </w:r>
      <w:r>
        <w:rPr>
          <w:rFonts w:hint="eastAsia" w:ascii="Times New Roman" w:hAnsi="Times New Roman" w:eastAsia="宋体" w:cs="Times New Roman"/>
          <w:sz w:val="28"/>
          <w:szCs w:val="28"/>
        </w:rPr>
        <w:t>O</w:t>
      </w:r>
    </w:p>
    <w:p w14:paraId="4E19C21F">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氯吸收装置由主体部分、控制部分及布风系统组成。主体部分由溶液箱、吸收塔、防腐液下泵、离心风机、液位计及吸收液等部分组成；控制系统由 PLC 控制柜、氯气泄漏检测报警仪组成；布风系统由吸风管道及吸风罩等组成。</w:t>
      </w:r>
    </w:p>
    <w:p w14:paraId="75026BB4">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当液氯库房及气化间发生氯气泄漏时，安装在库房内的氯气检测报警探头检测到氯气浓度超标，设备自动启动，风机将氯库房内的含氯混合气体通过吸风管道抽送到反应吸收塔，吸收塔内气液两相之间发生传质反应</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rPr>
        <w:t>氯气被吸收液吸收。反应后的液体又流回储液箱。被吸收后的气体排放。当液氯库房中氯气浓度小于设定值时设备自动停止运行。</w:t>
      </w:r>
    </w:p>
    <w:p w14:paraId="1651424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9" w:name="_Toc31932"/>
      <w:r>
        <w:rPr>
          <w:rFonts w:eastAsia="楷体" w:cs="Times New Roman"/>
          <w:b/>
          <w:bCs/>
          <w:sz w:val="32"/>
          <w:szCs w:val="32"/>
        </w:rPr>
        <w:t>2.</w:t>
      </w:r>
      <w:r>
        <w:rPr>
          <w:rFonts w:hint="eastAsia" w:eastAsia="楷体" w:cs="Times New Roman"/>
          <w:b/>
          <w:bCs/>
          <w:sz w:val="32"/>
          <w:szCs w:val="32"/>
        </w:rPr>
        <w:t>5</w:t>
      </w:r>
      <w:r>
        <w:rPr>
          <w:rFonts w:hint="eastAsia" w:ascii="楷体" w:hAnsi="楷体" w:eastAsia="楷体"/>
          <w:b/>
          <w:bCs/>
          <w:sz w:val="32"/>
          <w:szCs w:val="32"/>
        </w:rPr>
        <w:t>主要设备</w:t>
      </w:r>
      <w:bookmarkEnd w:id="19"/>
    </w:p>
    <w:p w14:paraId="0C784C39">
      <w:pPr>
        <w:pStyle w:val="21"/>
        <w:adjustRightInd w:val="0"/>
        <w:snapToGrid w:val="0"/>
        <w:ind w:firstLine="520"/>
        <w:rPr>
          <w:rFonts w:hint="eastAsia"/>
          <w:lang w:eastAsia="zh-CN"/>
        </w:rPr>
      </w:pPr>
      <w:r>
        <w:rPr>
          <w:rFonts w:hint="eastAsia"/>
        </w:rPr>
        <w:t>主要设备如表2.5-1所示</w:t>
      </w:r>
      <w:r>
        <w:rPr>
          <w:rFonts w:hint="eastAsia"/>
          <w:lang w:eastAsia="zh-CN"/>
        </w:rPr>
        <w:t>。</w:t>
      </w:r>
    </w:p>
    <w:p w14:paraId="7B7D171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0" w:name="_Toc14393"/>
      <w:r>
        <w:rPr>
          <w:rFonts w:eastAsia="楷体" w:cs="Times New Roman"/>
          <w:b/>
          <w:bCs/>
          <w:sz w:val="32"/>
          <w:szCs w:val="32"/>
        </w:rPr>
        <w:t>2.</w:t>
      </w:r>
      <w:r>
        <w:rPr>
          <w:rFonts w:hint="eastAsia" w:eastAsia="楷体" w:cs="Times New Roman"/>
          <w:b/>
          <w:bCs/>
          <w:sz w:val="32"/>
          <w:szCs w:val="32"/>
        </w:rPr>
        <w:t>6</w:t>
      </w:r>
      <w:r>
        <w:rPr>
          <w:rFonts w:hint="eastAsia" w:ascii="楷体" w:hAnsi="楷体" w:eastAsia="楷体"/>
          <w:b/>
          <w:bCs/>
          <w:sz w:val="32"/>
          <w:szCs w:val="32"/>
        </w:rPr>
        <w:t>配套和辅助工程名称、能力（或者负荷）、介质（或者物料）来源</w:t>
      </w:r>
      <w:bookmarkEnd w:id="20"/>
    </w:p>
    <w:p w14:paraId="36816602">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.1</w:t>
      </w:r>
      <w:r>
        <w:rPr>
          <w:rFonts w:hint="eastAsia" w:ascii="黑体" w:hAnsi="黑体" w:eastAsia="黑体"/>
          <w:b/>
          <w:bCs/>
        </w:rPr>
        <w:t>给排水</w:t>
      </w:r>
    </w:p>
    <w:p w14:paraId="668CE9A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（1）给水</w:t>
      </w:r>
    </w:p>
    <w:p w14:paraId="3D391EC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本项目生活用水由工业园区市政管网保证供给。生活给水供水量不小于66m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/d，供水压力不低于0.50MPa。本项目生产给水水源由工业园区市政生产给水管网供给，供给本项目的生产供水量不小于3772m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/d，供水压力不小于0.2Mpa。由于供水水质不同，厂区给水系统分为生产给水系统、消防给水系统、生活给水系统三套独立的给水系统，由厂区加压泵站供给。本项目</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不涉及生活用水及生产用水。</w:t>
      </w:r>
    </w:p>
    <w:p w14:paraId="2D9EC02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1）消防给水系统</w:t>
      </w:r>
    </w:p>
    <w:p w14:paraId="1685DD9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厂区内设置一套消防给水管网，按最大小时用水量270m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/h设计，管网布置成环状，主干管管径为DN250。管材选用焊接钢管。</w:t>
      </w:r>
    </w:p>
    <w:p w14:paraId="799F1FA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厂区设有1座有效容积为810m³的消防水池，由市政给水管线补给，补水管管径为DN100，补水量40m³/h，供水压力为0.35MPa。2台消防水泵（Q=60L/S H=100m N=75kW）（2用2备）；2台稳压泵（2用2备），位于厂区原有消防加压泵房。</w:t>
      </w:r>
    </w:p>
    <w:p w14:paraId="688EB11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（2）排水</w:t>
      </w:r>
    </w:p>
    <w:p w14:paraId="0694365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厂区排水系统采用完全的雨污分流排水体制，厂区排水系统共设置生活污水排水系统、生产废水排水系统、雨水排水系统三套独立的排水系统。本项目</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不涉及生活污水排水及生产废水排水。</w:t>
      </w:r>
    </w:p>
    <w:p w14:paraId="25AA465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1）雨水排水系统</w:t>
      </w:r>
    </w:p>
    <w:p w14:paraId="029C1E2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本项目雨水经管网收集后，初期雨水经钢制闸板截流后进入初期雨水收集池贮存，再经提升泵送至污水处理站处理达标后回用，后期雨水就近排入市政雨水排水管网。</w:t>
      </w:r>
    </w:p>
    <w:p w14:paraId="583C1D8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为了减少初期雨水对环境的污染及综合利用，在厂区内设置1座初期雨水收集池（有效容积2900m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），主要功能是收集和输送污染场地内受污染的初期雨水量。</w:t>
      </w:r>
    </w:p>
    <w:p w14:paraId="38559B4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.2</w:t>
      </w:r>
      <w:r>
        <w:rPr>
          <w:rFonts w:hint="eastAsia" w:ascii="黑体" w:hAnsi="黑体" w:eastAsia="黑体"/>
          <w:b/>
          <w:bCs/>
        </w:rPr>
        <w:t>供配电</w:t>
      </w:r>
    </w:p>
    <w:p w14:paraId="4D4E07C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（1）电源</w:t>
      </w:r>
    </w:p>
    <w:p w14:paraId="2E105847">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电源引自厂外220kV变电站，公司已建设有1座66kV变电站，变电站内设有2台63MVA（66kV/10kV）、1台63MVA（66kV/35kV）、1台63MVA（66kV/35kV）共4台主变，满足项目供电要求。</w:t>
      </w:r>
    </w:p>
    <w:p w14:paraId="23755EA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（2）用电负荷及备用电源</w:t>
      </w:r>
    </w:p>
    <w:p w14:paraId="6EA6243B">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本项目DCS控制系统、SIS控制系统、有毒气体检测报警系统</w:t>
      </w:r>
      <w:r>
        <w:rPr>
          <w:rFonts w:hint="eastAsia" w:ascii="Times New Roman" w:hAnsi="Times New Roman" w:eastAsia="宋体" w:cs="Times New Roman"/>
          <w:sz w:val="28"/>
          <w:szCs w:val="28"/>
          <w:lang w:eastAsia="zh-CN"/>
        </w:rPr>
        <w:t>、消防应急照明</w:t>
      </w:r>
      <w:r>
        <w:rPr>
          <w:rFonts w:hint="eastAsia" w:ascii="Times New Roman" w:hAnsi="Times New Roman" w:eastAsia="宋体" w:cs="Times New Roman"/>
          <w:sz w:val="28"/>
          <w:szCs w:val="28"/>
        </w:rPr>
        <w:t>用电均为一级负荷中特别重要负荷，采用UPS作为备用电源</w:t>
      </w:r>
      <w:r>
        <w:rPr>
          <w:rFonts w:hint="eastAsia" w:ascii="Times New Roman" w:hAnsi="Times New Roman" w:eastAsia="宋体" w:cs="Times New Roman"/>
          <w:sz w:val="28"/>
          <w:szCs w:val="28"/>
          <w:lang w:eastAsia="zh-CN"/>
        </w:rPr>
        <w:t>。液氯储库及汽化用电等级为一级负荷，设置一台800kw（400V）柴油发电机做为一级负荷应急电源，</w:t>
      </w:r>
      <w:r>
        <w:rPr>
          <w:rFonts w:hint="eastAsia" w:ascii="Times New Roman" w:hAnsi="Times New Roman" w:eastAsia="宋体" w:cs="Times New Roman"/>
          <w:sz w:val="28"/>
          <w:szCs w:val="28"/>
        </w:rPr>
        <w:t>其余辅助设施用电为三级负荷。</w:t>
      </w:r>
    </w:p>
    <w:p w14:paraId="2D27940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（3）防雷及防静电接地</w:t>
      </w:r>
    </w:p>
    <w:p w14:paraId="2BAAC78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lang w:eastAsia="zh-CN"/>
        </w:rPr>
        <w:t>1#</w:t>
      </w:r>
      <w:r>
        <w:rPr>
          <w:rFonts w:hint="eastAsia" w:ascii="Times New Roman" w:hAnsi="Times New Roman" w:eastAsia="宋体" w:cs="Times New Roman"/>
          <w:sz w:val="28"/>
          <w:szCs w:val="28"/>
        </w:rPr>
        <w:t>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按第</w:t>
      </w:r>
      <w:r>
        <w:rPr>
          <w:rFonts w:hint="eastAsia" w:ascii="Times New Roman" w:hAnsi="Times New Roman" w:eastAsia="宋体" w:cs="Times New Roman"/>
          <w:sz w:val="28"/>
          <w:szCs w:val="28"/>
          <w:lang w:val="en-US" w:eastAsia="zh-CN"/>
        </w:rPr>
        <w:t>二</w:t>
      </w:r>
      <w:r>
        <w:rPr>
          <w:rFonts w:hint="eastAsia" w:ascii="Times New Roman" w:hAnsi="Times New Roman" w:eastAsia="宋体" w:cs="Times New Roman"/>
          <w:sz w:val="28"/>
          <w:szCs w:val="28"/>
        </w:rPr>
        <w:t>类防雷建筑物设防。</w:t>
      </w:r>
    </w:p>
    <w:p w14:paraId="20804A8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第</w:t>
      </w:r>
      <w:r>
        <w:rPr>
          <w:rFonts w:hint="eastAsia" w:ascii="Times New Roman" w:hAnsi="Times New Roman" w:eastAsia="宋体" w:cs="Times New Roman"/>
          <w:sz w:val="28"/>
          <w:szCs w:val="28"/>
          <w:lang w:val="en-US" w:eastAsia="zh-CN"/>
        </w:rPr>
        <w:t>二</w:t>
      </w:r>
      <w:r>
        <w:rPr>
          <w:rFonts w:hint="eastAsia" w:ascii="Times New Roman" w:hAnsi="Times New Roman" w:eastAsia="宋体" w:cs="Times New Roman"/>
          <w:sz w:val="28"/>
          <w:szCs w:val="28"/>
        </w:rPr>
        <w:t>类防雷建筑物外部防雷的措施采用装设在建筑物上的彩钢板（接闪器）及避雷带。接闪网沿屋角、屋脊、屋檐和檐角等易受雷击的部位敷设，并在整个屋面组成不大于20m×20m或24m×16m的网格；接闪器之间互相连接。专设引下线不少于2根，并沿建筑物四周均匀对称布置，其间距沿周长计算不大于25m。建筑物雷电冲击接地电阻不大于30Ω。</w:t>
      </w:r>
    </w:p>
    <w:p w14:paraId="60CDC7C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所有电气设备正常不带电的金属外壳均采取可靠接地措施。所有照明配电箱的插座回路均安装有漏电保护开关，当发生漏电时会自动断电。项目中所有正常不带电、事故时可能带电的配电装置及电气设备的外露可导电部分，均按规范的要求设置可靠的接地装置；凡应采用安全电压的场所，均采用安全电压，安全电压按标准规定执行。</w:t>
      </w:r>
    </w:p>
    <w:p w14:paraId="6D83AFED">
      <w:pPr>
        <w:pStyle w:val="21"/>
        <w:adjustRightInd w:val="0"/>
        <w:snapToGrid w:val="0"/>
        <w:ind w:firstLine="560"/>
      </w:pPr>
      <w:r>
        <w:rPr>
          <w:rFonts w:hint="eastAsia"/>
        </w:rPr>
        <w:t>该公司防雷装置经</w:t>
      </w:r>
      <w:r>
        <w:rPr>
          <w:rFonts w:hint="eastAsia"/>
          <w:lang w:val="en-US" w:eastAsia="zh-CN"/>
        </w:rPr>
        <w:t>辽宁雷电防护工程有限责任公司朝阳雷电防护分公司</w:t>
      </w:r>
      <w:r>
        <w:rPr>
          <w:rFonts w:hint="eastAsia"/>
        </w:rPr>
        <w:t>进行检测并出具《雷电防护装置检测报告》（</w:t>
      </w:r>
      <w:r>
        <w:rPr>
          <w:rFonts w:hint="eastAsia"/>
          <w:lang w:val="en-US" w:eastAsia="zh-CN"/>
        </w:rPr>
        <w:t>2062024004</w:t>
      </w:r>
      <w:r>
        <w:rPr>
          <w:rFonts w:hint="eastAsia"/>
        </w:rPr>
        <w:t>[202</w:t>
      </w:r>
      <w:r>
        <w:rPr>
          <w:rFonts w:hint="eastAsia"/>
          <w:lang w:val="en-US" w:eastAsia="zh-CN"/>
        </w:rPr>
        <w:t>6</w:t>
      </w:r>
      <w:r>
        <w:rPr>
          <w:rFonts w:hint="eastAsia"/>
        </w:rPr>
        <w:t>]</w:t>
      </w:r>
      <w:r>
        <w:rPr>
          <w:rFonts w:hint="eastAsia"/>
          <w:lang w:val="en-US" w:eastAsia="zh-CN"/>
        </w:rPr>
        <w:t>CY00264</w:t>
      </w:r>
      <w:r>
        <w:rPr>
          <w:rFonts w:hint="eastAsia"/>
        </w:rPr>
        <w:t>），结论为：</w:t>
      </w:r>
      <w:r>
        <w:rPr>
          <w:rFonts w:hint="eastAsia"/>
          <w:lang w:val="en-US" w:eastAsia="zh-CN"/>
        </w:rPr>
        <w:t>经检测，所检</w:t>
      </w:r>
      <w:r>
        <w:rPr>
          <w:rFonts w:hint="eastAsia"/>
        </w:rPr>
        <w:t>雷电防护装置</w:t>
      </w:r>
      <w:r>
        <w:rPr>
          <w:rFonts w:hint="eastAsia"/>
          <w:lang w:val="en-US" w:eastAsia="zh-CN"/>
        </w:rPr>
        <w:t>全部</w:t>
      </w:r>
      <w:r>
        <w:rPr>
          <w:rFonts w:hint="eastAsia"/>
        </w:rPr>
        <w:t>符合标准</w:t>
      </w:r>
      <w:r>
        <w:rPr>
          <w:rFonts w:hint="eastAsia"/>
          <w:lang w:val="en-US" w:eastAsia="zh-CN"/>
        </w:rPr>
        <w:t>要求</w:t>
      </w:r>
      <w:r>
        <w:rPr>
          <w:rFonts w:hint="eastAsia"/>
        </w:rPr>
        <w:t>。</w:t>
      </w:r>
    </w:p>
    <w:p w14:paraId="009D83E1">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3</w:t>
      </w:r>
      <w:r>
        <w:rPr>
          <w:rFonts w:hint="eastAsia" w:ascii="黑体" w:hAnsi="黑体" w:eastAsia="黑体"/>
          <w:b/>
          <w:bCs/>
        </w:rPr>
        <w:t>自动控制系统</w:t>
      </w:r>
    </w:p>
    <w:p w14:paraId="3D417D3D">
      <w:pPr>
        <w:numPr>
          <w:ilvl w:val="0"/>
          <w:numId w:val="8"/>
        </w:num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DCS系统</w:t>
      </w:r>
    </w:p>
    <w:p w14:paraId="71B54CEE">
      <w:pPr>
        <w:numPr>
          <w:ilvl w:val="0"/>
          <w:numId w:val="0"/>
        </w:num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由液氯系统DCS机柜室控制，现场DCS机柜室作为全厂控制中心DCS系统的一部分，放置DCS机柜、网络柜及供电设备、工程师站（1台）、操作员站（1台，含OPC通讯软件）等辅助设施，负责该区域现场仪表及电气设备的信号数据采集与控制，然后送往全厂控制中心进行集中监控。</w:t>
      </w:r>
    </w:p>
    <w:p w14:paraId="3CD4D96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（2）SIS控制系统</w:t>
      </w:r>
    </w:p>
    <w:p w14:paraId="7EE8BA93">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SIS 系统独立设置在四氯化钛控制室内，与DCS系统各自独立，以确保人员及生产装置、重要机组和关键设备的安全</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rPr>
        <w:t>液氯储罐液位与液氯储罐进料阀及回流阀实现超液位联锁，液氯汽化器压力与液氯汽化器进氯阀实现超压联锁。</w:t>
      </w:r>
    </w:p>
    <w:p w14:paraId="212E3C19">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在SIS系统辅助操作站上设置紧急停车按钮，开关采用硬线接到DCS控制室机柜室的SIS控制器的DI卡，通过冗余安全网络通信到现场机柜室 SIS 控制器进行逻辑运算。</w:t>
      </w:r>
    </w:p>
    <w:p w14:paraId="6B4F711F">
      <w:pPr>
        <w:adjustRightInd w:val="0"/>
        <w:snapToGrid w:val="0"/>
        <w:spacing w:after="0" w:line="360" w:lineRule="auto"/>
        <w:ind w:firstLine="560" w:firstLineChars="200"/>
        <w:jc w:val="both"/>
        <w:rPr>
          <w:rFonts w:hint="eastAsia" w:ascii="Times New Roman" w:hAnsi="Times New Roman" w:eastAsia="宋体" w:cs="Times New Roman"/>
          <w:sz w:val="28"/>
          <w:szCs w:val="28"/>
          <w:lang w:eastAsia="zh-CN"/>
        </w:rPr>
      </w:pPr>
      <w:r>
        <w:rPr>
          <w:rFonts w:hint="eastAsia" w:ascii="Times New Roman" w:hAnsi="Times New Roman" w:eastAsia="宋体" w:cs="Times New Roman"/>
          <w:sz w:val="28"/>
          <w:szCs w:val="28"/>
        </w:rPr>
        <w:t>LOPA&amp;SIL定级如表</w:t>
      </w:r>
      <w:r>
        <w:rPr>
          <w:rFonts w:hint="eastAsia" w:ascii="Times New Roman" w:hAnsi="Times New Roman" w:eastAsia="宋体" w:cs="Times New Roman"/>
          <w:sz w:val="28"/>
          <w:szCs w:val="28"/>
          <w:lang w:val="en-US" w:eastAsia="zh-CN"/>
        </w:rPr>
        <w:t>2.6-1</w:t>
      </w:r>
      <w:r>
        <w:rPr>
          <w:rFonts w:hint="eastAsia" w:ascii="Times New Roman" w:hAnsi="Times New Roman" w:eastAsia="宋体" w:cs="Times New Roman"/>
          <w:sz w:val="28"/>
          <w:szCs w:val="28"/>
          <w:lang w:eastAsia="zh-CN"/>
        </w:rPr>
        <w:t>。</w:t>
      </w:r>
    </w:p>
    <w:p w14:paraId="1ACFB99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（3）GDS控制系统</w:t>
      </w:r>
    </w:p>
    <w:p w14:paraId="57D2EFEB">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在</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lang w:val="en-US" w:eastAsia="zh-CN"/>
        </w:rPr>
        <w:t>及卸车处共</w:t>
      </w:r>
      <w:r>
        <w:rPr>
          <w:rFonts w:hint="eastAsia" w:ascii="Times New Roman" w:hAnsi="Times New Roman" w:eastAsia="宋体" w:cs="Times New Roman"/>
          <w:sz w:val="28"/>
          <w:szCs w:val="28"/>
          <w:highlight w:val="none"/>
        </w:rPr>
        <w:t>设置</w:t>
      </w:r>
      <w:r>
        <w:rPr>
          <w:rFonts w:hint="eastAsia" w:ascii="Times New Roman" w:hAnsi="Times New Roman" w:eastAsia="宋体" w:cs="Times New Roman"/>
          <w:sz w:val="28"/>
          <w:szCs w:val="28"/>
          <w:highlight w:val="none"/>
          <w:lang w:val="en-US" w:eastAsia="zh-CN"/>
        </w:rPr>
        <w:t>41</w:t>
      </w:r>
      <w:r>
        <w:rPr>
          <w:rFonts w:hint="eastAsia" w:ascii="Times New Roman" w:hAnsi="Times New Roman" w:eastAsia="宋体" w:cs="Times New Roman"/>
          <w:sz w:val="28"/>
          <w:szCs w:val="28"/>
          <w:highlight w:val="none"/>
        </w:rPr>
        <w:t>台氯气气体</w:t>
      </w:r>
      <w:r>
        <w:rPr>
          <w:rFonts w:hint="eastAsia" w:ascii="Times New Roman" w:hAnsi="Times New Roman" w:eastAsia="宋体" w:cs="Times New Roman"/>
          <w:sz w:val="28"/>
          <w:szCs w:val="28"/>
        </w:rPr>
        <w:t>检测报警器，量程为0~10ppm，一级报警值为1ppm，二级报警值为3ppm。当达到报警值时，及时报警。上位机位于全厂控制中心，用于监视全厂各探测器的实时数据，当发现数据异常时手动或自动向控制器发出报警信号。报警控制器布置于相应车间机柜室内，用于接入本车间内的所有探测器检测数据，并将数据上传至全厂控制中心内的上位机。</w:t>
      </w:r>
    </w:p>
    <w:p w14:paraId="417848D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根据《石油化工可燃气体和有毒气体检测报警设计标准》GBT 50493-2019，固定式有毒气体探测器的安装高度宜安装在距离地面或楼地板0.3~0.6m。</w:t>
      </w:r>
    </w:p>
    <w:p w14:paraId="25EFD72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（4）火灾自动报警系统</w:t>
      </w:r>
    </w:p>
    <w:p w14:paraId="69E1772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火灾自动报警系统采用由火灾探测器、手动火灾报警按钮、火灾声光警报器、消防应急广播、消防专用电话、消防控制室图形显示装置、火灾报警控制器和消防联动控制器等组成的集中报警系统。集中报警控制器位于全厂控制中心-消防控制室，消防控制室内设置的消防设备包括集中火灾报警控制器、消防联动控制器、消防控制室图形显示装置、消防专用电话总机、消防应急广播控制装置、消防应急照明等。消防图形显示装置能显示消防系统及相关设备的动态信息及消防安全管理信息。</w:t>
      </w:r>
    </w:p>
    <w:p w14:paraId="29D83EB3">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在</w:t>
      </w:r>
      <w:r>
        <w:rPr>
          <w:rFonts w:hint="eastAsia" w:ascii="Times New Roman" w:hAnsi="Times New Roman" w:eastAsia="宋体" w:cs="Times New Roman"/>
          <w:sz w:val="28"/>
          <w:szCs w:val="28"/>
          <w:lang w:val="en-US" w:eastAsia="zh-CN"/>
        </w:rPr>
        <w:t>消防控制室</w:t>
      </w:r>
      <w:r>
        <w:rPr>
          <w:rFonts w:hint="eastAsia" w:ascii="Times New Roman" w:hAnsi="Times New Roman" w:eastAsia="宋体" w:cs="Times New Roman"/>
          <w:sz w:val="28"/>
          <w:szCs w:val="28"/>
        </w:rPr>
        <w:t>设置</w:t>
      </w:r>
      <w:r>
        <w:rPr>
          <w:rFonts w:hint="eastAsia" w:ascii="Times New Roman" w:hAnsi="Times New Roman" w:eastAsia="宋体" w:cs="Times New Roman"/>
          <w:sz w:val="28"/>
          <w:szCs w:val="28"/>
          <w:lang w:val="en-US" w:eastAsia="zh-CN"/>
        </w:rPr>
        <w:t>集中</w:t>
      </w:r>
      <w:r>
        <w:rPr>
          <w:rFonts w:hint="eastAsia" w:ascii="Times New Roman" w:hAnsi="Times New Roman" w:eastAsia="宋体" w:cs="Times New Roman"/>
          <w:sz w:val="28"/>
          <w:szCs w:val="28"/>
        </w:rPr>
        <w:t>报警控制器，主要探测</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lang w:val="en-US" w:eastAsia="zh-CN"/>
        </w:rPr>
        <w:t>内</w:t>
      </w:r>
      <w:r>
        <w:rPr>
          <w:rFonts w:hint="eastAsia" w:ascii="Times New Roman" w:hAnsi="Times New Roman" w:eastAsia="宋体" w:cs="Times New Roman"/>
          <w:sz w:val="28"/>
          <w:szCs w:val="28"/>
        </w:rPr>
        <w:t>的火灾情况。一旦火情发生，消防控制室内火灾报警控制器会立即显示报警信息并启动声光报警器报警，各岗位值班或巡检人员可以通过消防专用电话系统与现场控制室值班人员联系，消防控制室值班人员接警并确认后，使用消防报警专用电话拨“119”向消防队报警。</w:t>
      </w:r>
    </w:p>
    <w:p w14:paraId="51FDF5C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火灾自动报警系统设有主电源和直流备用电源。火灾自动报警系统主电源采用消防电源，直流备用电源采用火灾报警控制器的专用蓄电池。</w:t>
      </w:r>
    </w:p>
    <w:p w14:paraId="575A45D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火灾自动报警系统的保护接地采用电气保护接地（接地电阻≤1Ω）或单独接地（接地电阻≤4Ω）。在消防控制室内的电气和电子设备的金属外壳、机柜、机架和金属管、槽等均作等电位连接，由消防控制室内接地板引至各消防电子设备的专用接地线采用铜芯绝缘导线，线芯截面面积不小于4mm²，接地板与建筑接地体的连接采用线芯截面面积不小于25mm²的铜芯绝缘导线。</w:t>
      </w:r>
    </w:p>
    <w:p w14:paraId="30E04E00">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4</w:t>
      </w:r>
      <w:r>
        <w:rPr>
          <w:rFonts w:hint="eastAsia" w:ascii="黑体" w:hAnsi="黑体" w:eastAsia="黑体"/>
          <w:b/>
          <w:bCs/>
        </w:rPr>
        <w:t>消防</w:t>
      </w:r>
    </w:p>
    <w:p w14:paraId="128DCBE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（1）消防水源</w:t>
      </w:r>
    </w:p>
    <w:p w14:paraId="1931969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消防给水水源为工业园区市政管网。厂区内设置加压泵站。加压泵站内设有消防给水泵，加压供至全厂各车间。</w:t>
      </w:r>
    </w:p>
    <w:p w14:paraId="64D3B90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加压泵房采用半地下式泵房，按一次最大消防总用水量进行设计。系统主要由消防贮水池（水池分两格，单格有效容积825m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）、吸水池、泵房和加压设备、起重设备等组成。</w:t>
      </w:r>
    </w:p>
    <w:p w14:paraId="296E1B2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（2）消防给水系统</w:t>
      </w:r>
    </w:p>
    <w:p w14:paraId="0014B0A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厂区内设置一套消防给水管网，按最大小时用水量270m</w:t>
      </w:r>
      <w:r>
        <w:rPr>
          <w:rFonts w:hint="eastAsia" w:ascii="Times New Roman" w:hAnsi="Times New Roman" w:eastAsia="宋体" w:cs="Times New Roman"/>
          <w:sz w:val="28"/>
          <w:szCs w:val="28"/>
          <w:vertAlign w:val="superscript"/>
        </w:rPr>
        <w:t>3</w:t>
      </w:r>
      <w:r>
        <w:rPr>
          <w:rFonts w:hint="eastAsia" w:ascii="Times New Roman" w:hAnsi="Times New Roman" w:eastAsia="宋体" w:cs="Times New Roman"/>
          <w:sz w:val="28"/>
          <w:szCs w:val="28"/>
        </w:rPr>
        <w:t>/h设计，管网布置成环状，主干管管径为DN250。管材选用焊接钢管。厂区室外消防给水环状管网上设置室外地下式消火栓，每个消火栓设DN100和DN65的栓口各1个，消火栓的设置间距不大于120m，消防栓的保护半径不大于150m。消防栓沿道路两旁设置并宜靠近道路交叉路口，消火栓距路边不大于2m，距建筑物外墙不小于5m。在环状管网的适当位置均设有阀门井，以便日常检修维护。</w:t>
      </w:r>
    </w:p>
    <w:p w14:paraId="40C1F47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（3）消防用水量</w:t>
      </w:r>
    </w:p>
    <w:p w14:paraId="7C9702D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根据《建筑设计防火规范（2018年版）》GB50016-2014、《消防给水及消火栓系统技术规范》GB50974-2014和《有色金属工程设计防火规范》GB50630-2010，同一时间内厂区火灾次数按1次考虑。本项目</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室外消火栓用水量为25L/s，因涉及有禁水介质，未设置室内消火栓系统，火灾延续时间为3h，所需消防用水量为270m³，消防水池可满足消防供水量。</w:t>
      </w:r>
    </w:p>
    <w:p w14:paraId="5B7EE68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（4）灭火器</w:t>
      </w:r>
    </w:p>
    <w:p w14:paraId="14096A9F">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为了有效地扑救工业建筑初期火灾，减少火灾损失，保护人身和财产安全，严格按《建筑灭火器配置设计规范》GB50140-2005相关要求设置灭火器。灭火器的选择，根据各工序的火灾种类及危险等级，灭火效能和通用性，对保护物品的污损程度、设置点的环境温度等选择相应的灭火器类型，本项目灭火器的设置要求和保护距离及灭火器配置的设计计算，执行《建筑灭火器配置设计规范》GB50140-2005第5、6、7条的相关要求。</w:t>
      </w:r>
    </w:p>
    <w:p w14:paraId="49E9FFCF">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共设置3</w:t>
      </w:r>
      <w:r>
        <w:rPr>
          <w:rFonts w:hint="eastAsia" w:ascii="Times New Roman" w:hAnsi="Times New Roman" w:eastAsia="宋体" w:cs="Times New Roman"/>
          <w:sz w:val="28"/>
          <w:szCs w:val="28"/>
          <w:lang w:val="en-US" w:eastAsia="zh-CN"/>
        </w:rPr>
        <w:t>0</w:t>
      </w:r>
      <w:r>
        <w:rPr>
          <w:rFonts w:hint="eastAsia" w:ascii="Times New Roman" w:hAnsi="Times New Roman" w:eastAsia="宋体" w:cs="Times New Roman"/>
          <w:sz w:val="28"/>
          <w:szCs w:val="28"/>
        </w:rPr>
        <w:t>具MF/ABC5灭火器。</w:t>
      </w:r>
    </w:p>
    <w:p w14:paraId="3B9E5414">
      <w:pPr>
        <w:adjustRightInd w:val="0"/>
        <w:snapToGrid w:val="0"/>
        <w:spacing w:after="0" w:line="360" w:lineRule="auto"/>
        <w:ind w:firstLine="560" w:firstLineChars="200"/>
        <w:jc w:val="both"/>
        <w:rPr>
          <w:rFonts w:hint="eastAsia" w:ascii="Times New Roman" w:hAnsi="Times New Roman" w:eastAsia="宋体" w:cs="Times New Roman"/>
          <w:sz w:val="28"/>
          <w:szCs w:val="28"/>
        </w:rPr>
      </w:pPr>
    </w:p>
    <w:p w14:paraId="05398865">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1" w:name="_Toc4155"/>
      <w:r>
        <w:rPr>
          <w:rFonts w:eastAsia="楷体" w:cs="Times New Roman"/>
          <w:b/>
          <w:bCs/>
          <w:sz w:val="32"/>
          <w:szCs w:val="32"/>
        </w:rPr>
        <w:t>2.</w:t>
      </w:r>
      <w:r>
        <w:rPr>
          <w:rFonts w:hint="eastAsia" w:eastAsia="楷体" w:cs="Times New Roman"/>
          <w:b/>
          <w:bCs/>
          <w:sz w:val="32"/>
          <w:szCs w:val="32"/>
          <w:lang w:val="en-US" w:eastAsia="zh-CN"/>
        </w:rPr>
        <w:t>7</w:t>
      </w:r>
      <w:r>
        <w:rPr>
          <w:rFonts w:hint="eastAsia" w:ascii="楷体" w:hAnsi="楷体" w:eastAsia="楷体"/>
          <w:b/>
          <w:bCs/>
          <w:sz w:val="32"/>
          <w:szCs w:val="32"/>
        </w:rPr>
        <w:t>组织机构和人员配备</w:t>
      </w:r>
      <w:bookmarkEnd w:id="21"/>
    </w:p>
    <w:p w14:paraId="2343D6B6">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eastAsia="zh-CN"/>
        </w:rPr>
        <w:t>朝阳金达钛业股份有限公司</w:t>
      </w:r>
      <w:r>
        <w:rPr>
          <w:rFonts w:hint="eastAsia" w:ascii="Times New Roman" w:hAnsi="Times New Roman" w:eastAsia="宋体" w:cs="Times New Roman"/>
          <w:sz w:val="28"/>
          <w:szCs w:val="28"/>
        </w:rPr>
        <w:t>设有完善的安全管理组织机构，</w:t>
      </w:r>
      <w:r>
        <w:rPr>
          <w:rFonts w:hint="eastAsia" w:ascii="Times New Roman" w:hAnsi="Times New Roman" w:eastAsia="宋体" w:cs="Times New Roman"/>
          <w:sz w:val="28"/>
          <w:szCs w:val="28"/>
          <w:lang w:val="en-US" w:eastAsia="zh-CN"/>
        </w:rPr>
        <w:t>1#液氯库所在氯化分厂设置分厂级专职安全管理机构，设置2名主要负责人</w:t>
      </w:r>
      <w:r>
        <w:rPr>
          <w:rFonts w:hint="eastAsia" w:ascii="Times New Roman" w:hAnsi="Times New Roman" w:eastAsia="宋体" w:cs="Times New Roman"/>
          <w:sz w:val="28"/>
          <w:szCs w:val="28"/>
        </w:rPr>
        <w:t>、</w:t>
      </w:r>
      <w:r>
        <w:rPr>
          <w:rFonts w:hint="eastAsia" w:ascii="Times New Roman" w:hAnsi="Times New Roman" w:eastAsia="宋体" w:cs="Times New Roman"/>
          <w:sz w:val="28"/>
          <w:szCs w:val="28"/>
          <w:lang w:val="en-US" w:eastAsia="zh-CN"/>
        </w:rPr>
        <w:t>5</w:t>
      </w:r>
      <w:r>
        <w:rPr>
          <w:rFonts w:hint="eastAsia" w:ascii="Times New Roman" w:hAnsi="Times New Roman" w:eastAsia="宋体" w:cs="Times New Roman"/>
          <w:sz w:val="28"/>
          <w:szCs w:val="28"/>
        </w:rPr>
        <w:t>名专职安全管理人员和1名注册安全工程师，负责具体的日常安全管理工作</w:t>
      </w:r>
      <w:r>
        <w:rPr>
          <w:rFonts w:hint="default" w:ascii="Times New Roman" w:hAnsi="Times New Roman" w:eastAsia="宋体" w:cs="Times New Roman"/>
          <w:sz w:val="28"/>
          <w:szCs w:val="28"/>
          <w:lang w:val="en-US" w:eastAsia="zh-CN"/>
        </w:rPr>
        <w:t>。</w:t>
      </w:r>
    </w:p>
    <w:p w14:paraId="57C6E467">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left="0" w:right="0" w:firstLine="560" w:firstLineChars="200"/>
        <w:textAlignment w:val="auto"/>
        <w:rPr>
          <w:rFonts w:hint="eastAsia" w:ascii="Times New Roman" w:hAnsi="Times New Roman" w:eastAsia="宋体" w:cs="Times New Roman"/>
          <w:sz w:val="28"/>
          <w:szCs w:val="28"/>
        </w:rPr>
      </w:pPr>
      <w:r>
        <w:rPr>
          <w:rFonts w:hint="eastAsia" w:ascii="Times New Roman" w:hAnsi="Times New Roman" w:eastAsia="宋体" w:cs="Times New Roman"/>
          <w:sz w:val="28"/>
          <w:szCs w:val="28"/>
          <w:lang w:val="en-US" w:eastAsia="zh-CN"/>
        </w:rPr>
        <w:t>1</w:t>
      </w:r>
      <w:r>
        <w:rPr>
          <w:rFonts w:hint="eastAsia" w:ascii="Times New Roman" w:hAnsi="Times New Roman" w:eastAsia="宋体" w:cs="Times New Roman"/>
          <w:sz w:val="28"/>
          <w:szCs w:val="28"/>
        </w:rPr>
        <w:t>#液氯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涉及的特种作业包括：氯化工艺作业、电工作业（包括低压电工作业、高压电工作业）、高处作业、化工自动化控制仪表作业等。特种作业人员及特种设备作业人员情况见</w:t>
      </w:r>
      <w:r>
        <w:rPr>
          <w:rFonts w:hint="eastAsia" w:ascii="Times New Roman" w:hAnsi="Times New Roman" w:eastAsia="宋体" w:cs="Times New Roman"/>
          <w:sz w:val="28"/>
          <w:szCs w:val="28"/>
          <w:lang w:val="en-US" w:eastAsia="zh-CN"/>
        </w:rPr>
        <w:t>附件</w:t>
      </w:r>
      <w:r>
        <w:rPr>
          <w:rFonts w:hint="eastAsia" w:ascii="Times New Roman" w:hAnsi="Times New Roman" w:eastAsia="宋体" w:cs="Times New Roman"/>
          <w:sz w:val="28"/>
          <w:szCs w:val="28"/>
        </w:rPr>
        <w:t>。</w:t>
      </w:r>
    </w:p>
    <w:p w14:paraId="2946AB5A">
      <w:pPr>
        <w:pStyle w:val="21"/>
        <w:adjustRightInd w:val="0"/>
        <w:snapToGrid w:val="0"/>
        <w:ind w:firstLine="560"/>
        <w:sectPr>
          <w:footerReference r:id="rId8" w:type="default"/>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4D9D56CC">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22" w:name="_Toc15991"/>
      <w:r>
        <w:rPr>
          <w:rFonts w:eastAsia="黑体" w:cs="Times New Roman"/>
          <w:b/>
          <w:bCs/>
          <w:sz w:val="32"/>
          <w:szCs w:val="32"/>
        </w:rPr>
        <w:t>3</w:t>
      </w:r>
      <w:r>
        <w:rPr>
          <w:rFonts w:hint="eastAsia" w:ascii="黑体" w:hAnsi="黑体" w:eastAsia="黑体"/>
          <w:b/>
          <w:bCs/>
          <w:sz w:val="32"/>
          <w:szCs w:val="32"/>
        </w:rPr>
        <w:t>事故发生的可能性及危害程度</w:t>
      </w:r>
      <w:bookmarkEnd w:id="22"/>
    </w:p>
    <w:p w14:paraId="063BF33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3" w:name="_Toc20458"/>
      <w:r>
        <w:rPr>
          <w:rFonts w:eastAsia="楷体" w:cs="Times New Roman"/>
          <w:b/>
          <w:bCs/>
          <w:sz w:val="32"/>
          <w:szCs w:val="32"/>
        </w:rPr>
        <w:t>3.1</w:t>
      </w:r>
      <w:r>
        <w:rPr>
          <w:rFonts w:hint="eastAsia" w:ascii="楷体" w:hAnsi="楷体" w:eastAsia="楷体"/>
          <w:b/>
          <w:bCs/>
          <w:sz w:val="32"/>
          <w:szCs w:val="32"/>
        </w:rPr>
        <w:t>物质危险因素分析</w:t>
      </w:r>
      <w:bookmarkEnd w:id="23"/>
    </w:p>
    <w:p w14:paraId="44EEBE0E">
      <w:pPr>
        <w:pStyle w:val="21"/>
        <w:adjustRightInd w:val="0"/>
        <w:snapToGrid w:val="0"/>
        <w:ind w:firstLine="560"/>
      </w:pPr>
      <w:r>
        <w:rPr>
          <w:rFonts w:hint="eastAsia"/>
        </w:rPr>
        <w:t>（1）危险化学品辨识</w:t>
      </w:r>
    </w:p>
    <w:p w14:paraId="220AB7F1">
      <w:pPr>
        <w:pStyle w:val="21"/>
        <w:adjustRightInd w:val="0"/>
        <w:snapToGrid w:val="0"/>
        <w:ind w:firstLine="560"/>
      </w:pPr>
      <w:r>
        <w:rPr>
          <w:rFonts w:hint="eastAsia"/>
          <w:lang w:eastAsia="zh-CN"/>
        </w:rPr>
        <w:t>朝阳金达钛业股份有限公司</w:t>
      </w:r>
      <w:r>
        <w:rPr>
          <w:rFonts w:hint="eastAsia"/>
          <w:lang w:val="en-US" w:eastAsia="zh-CN"/>
        </w:rPr>
        <w:t>1#液氯库</w:t>
      </w:r>
      <w:r>
        <w:rPr>
          <w:rFonts w:hint="eastAsia"/>
        </w:rPr>
        <w:t>涉及的主要危险化学品为氯（液氯）。</w:t>
      </w:r>
    </w:p>
    <w:p w14:paraId="4943C4CA">
      <w:pPr>
        <w:pStyle w:val="21"/>
        <w:adjustRightInd w:val="0"/>
        <w:snapToGrid w:val="0"/>
        <w:ind w:firstLine="560"/>
      </w:pPr>
      <w:r>
        <w:rPr>
          <w:rFonts w:hint="eastAsia"/>
        </w:rPr>
        <w:t>（2）重点监管危险化学品辨识</w:t>
      </w:r>
    </w:p>
    <w:p w14:paraId="77649637">
      <w:pPr>
        <w:pStyle w:val="21"/>
        <w:adjustRightInd w:val="0"/>
        <w:snapToGrid w:val="0"/>
        <w:ind w:firstLine="560"/>
        <w:rPr>
          <w:rFonts w:hint="eastAsia"/>
        </w:rPr>
      </w:pPr>
      <w:r>
        <w:rPr>
          <w:rFonts w:hint="eastAsia"/>
        </w:rPr>
        <w:t>根据《国家安全监管总局关于公布首批重点监管的危险化学品名录的通知》和《国家安全监管总局关于公布第二批重点监管危险化学品名录的通知》，氯属于重点监管危险化学品。</w:t>
      </w:r>
    </w:p>
    <w:p w14:paraId="609D3A62">
      <w:pPr>
        <w:pStyle w:val="21"/>
        <w:adjustRightInd w:val="0"/>
        <w:snapToGrid w:val="0"/>
        <w:ind w:firstLine="560"/>
      </w:pPr>
      <w:r>
        <w:rPr>
          <w:rFonts w:hint="eastAsia"/>
        </w:rPr>
        <w:t>（3）特别管控危险化学品辨识</w:t>
      </w:r>
    </w:p>
    <w:p w14:paraId="179B4E66">
      <w:pPr>
        <w:pStyle w:val="21"/>
        <w:adjustRightInd w:val="0"/>
        <w:snapToGrid w:val="0"/>
        <w:ind w:firstLine="560"/>
        <w:rPr>
          <w:rFonts w:hint="eastAsia"/>
          <w:highlight w:val="none"/>
        </w:rPr>
      </w:pPr>
      <w:r>
        <w:rPr>
          <w:rFonts w:hint="eastAsia"/>
          <w:highlight w:val="none"/>
        </w:rPr>
        <w:t>根据《特别管控危险化学品目录（第一版）》，氯为特别管控化学品。</w:t>
      </w:r>
    </w:p>
    <w:p w14:paraId="2AE37C23">
      <w:pPr>
        <w:pStyle w:val="21"/>
        <w:adjustRightInd w:val="0"/>
        <w:snapToGrid w:val="0"/>
        <w:ind w:firstLine="560"/>
        <w:rPr>
          <w:highlight w:val="none"/>
        </w:rPr>
      </w:pPr>
      <w:r>
        <w:rPr>
          <w:rFonts w:hint="eastAsia"/>
          <w:highlight w:val="none"/>
        </w:rPr>
        <w:t>（4）易制毒危险化学品辨识</w:t>
      </w:r>
    </w:p>
    <w:p w14:paraId="741E2381">
      <w:pPr>
        <w:pStyle w:val="21"/>
        <w:adjustRightInd w:val="0"/>
        <w:snapToGrid w:val="0"/>
        <w:ind w:firstLine="560"/>
        <w:rPr>
          <w:rFonts w:hint="eastAsia"/>
        </w:rPr>
      </w:pPr>
      <w:r>
        <w:rPr>
          <w:rFonts w:hint="eastAsia"/>
        </w:rPr>
        <w:t>根据《易制毒化学品管理条例》附表</w:t>
      </w:r>
      <w:r>
        <w:rPr>
          <w:rFonts w:hint="eastAsia"/>
          <w:lang w:eastAsia="zh-CN"/>
        </w:rPr>
        <w:t>“</w:t>
      </w:r>
      <w:r>
        <w:rPr>
          <w:rFonts w:hint="eastAsia"/>
        </w:rPr>
        <w:t>易制毒化学品的分类和品种目录</w:t>
      </w:r>
      <w:r>
        <w:rPr>
          <w:rFonts w:hint="eastAsia"/>
          <w:lang w:eastAsia="zh-CN"/>
        </w:rPr>
        <w:t>”</w:t>
      </w:r>
      <w:r>
        <w:rPr>
          <w:rFonts w:hint="eastAsia"/>
        </w:rPr>
        <w:t xml:space="preserve"> 所列，</w:t>
      </w:r>
      <w:r>
        <w:rPr>
          <w:rFonts w:hint="eastAsia"/>
          <w:lang w:val="en-US" w:eastAsia="zh-CN"/>
        </w:rPr>
        <w:t>氯属于</w:t>
      </w:r>
      <w:r>
        <w:rPr>
          <w:rFonts w:hint="eastAsia"/>
        </w:rPr>
        <w:t>易制毒</w:t>
      </w:r>
      <w:r>
        <w:rPr>
          <w:rFonts w:hint="eastAsia"/>
          <w:lang w:val="en-US" w:eastAsia="zh-CN"/>
        </w:rPr>
        <w:t>危险</w:t>
      </w:r>
      <w:r>
        <w:rPr>
          <w:rFonts w:hint="eastAsia"/>
        </w:rPr>
        <w:t>化学品。</w:t>
      </w:r>
    </w:p>
    <w:p w14:paraId="6A5E00DF">
      <w:pPr>
        <w:pStyle w:val="21"/>
        <w:numPr>
          <w:ilvl w:val="0"/>
          <w:numId w:val="9"/>
        </w:numPr>
        <w:adjustRightInd w:val="0"/>
        <w:snapToGrid w:val="0"/>
        <w:ind w:firstLine="560"/>
        <w:rPr>
          <w:rFonts w:hint="eastAsia"/>
        </w:rPr>
      </w:pPr>
      <w:r>
        <w:rPr>
          <w:rFonts w:hint="eastAsia"/>
        </w:rPr>
        <w:t>易制</w:t>
      </w:r>
      <w:r>
        <w:rPr>
          <w:rFonts w:hint="eastAsia"/>
          <w:lang w:val="en-US" w:eastAsia="zh-CN"/>
        </w:rPr>
        <w:t>爆</w:t>
      </w:r>
      <w:r>
        <w:rPr>
          <w:rFonts w:hint="eastAsia"/>
        </w:rPr>
        <w:t>危险化学品辨识</w:t>
      </w:r>
    </w:p>
    <w:p w14:paraId="65BDAB3C">
      <w:pPr>
        <w:pStyle w:val="21"/>
        <w:numPr>
          <w:ilvl w:val="0"/>
          <w:numId w:val="0"/>
        </w:numPr>
        <w:adjustRightInd w:val="0"/>
        <w:snapToGrid w:val="0"/>
        <w:ind w:firstLine="560" w:firstLineChars="200"/>
        <w:rPr>
          <w:rFonts w:hint="eastAsia"/>
        </w:rPr>
      </w:pPr>
      <w:r>
        <w:rPr>
          <w:rFonts w:hint="eastAsia"/>
        </w:rPr>
        <w:t>根据《易制爆危险化学品名录（2017年版）》（中华人民共和国公安部公告，2017年05月11日），</w:t>
      </w:r>
      <w:r>
        <w:rPr>
          <w:rFonts w:hint="eastAsia"/>
          <w:lang w:val="en-US" w:eastAsia="zh-CN"/>
        </w:rPr>
        <w:t>不涉及</w:t>
      </w:r>
      <w:r>
        <w:rPr>
          <w:rFonts w:hint="eastAsia"/>
        </w:rPr>
        <w:t>易制爆危险化学品。</w:t>
      </w:r>
    </w:p>
    <w:p w14:paraId="0B1ABFDA">
      <w:pPr>
        <w:pStyle w:val="21"/>
        <w:numPr>
          <w:ilvl w:val="0"/>
          <w:numId w:val="9"/>
        </w:numPr>
        <w:adjustRightInd w:val="0"/>
        <w:snapToGrid w:val="0"/>
        <w:ind w:firstLine="560"/>
        <w:rPr>
          <w:rFonts w:hint="eastAsia"/>
        </w:rPr>
      </w:pPr>
      <w:r>
        <w:rPr>
          <w:rFonts w:hint="eastAsia"/>
          <w:lang w:val="en-US" w:eastAsia="zh-CN"/>
        </w:rPr>
        <w:t>高毒物品</w:t>
      </w:r>
    </w:p>
    <w:p w14:paraId="04710E49">
      <w:pPr>
        <w:pStyle w:val="21"/>
        <w:numPr>
          <w:ilvl w:val="0"/>
          <w:numId w:val="0"/>
        </w:numPr>
        <w:adjustRightInd w:val="0"/>
        <w:snapToGrid w:val="0"/>
        <w:ind w:firstLine="560" w:firstLineChars="200"/>
        <w:rPr>
          <w:rFonts w:hint="eastAsia"/>
        </w:rPr>
      </w:pPr>
      <w:r>
        <w:rPr>
          <w:rFonts w:hint="eastAsia"/>
        </w:rPr>
        <w:t>根据《高毒物品目录（2003年版）》（卫法监发〔2003〕142号），本项目涉及的氯属于高毒物品。</w:t>
      </w:r>
    </w:p>
    <w:p w14:paraId="5E3083B6">
      <w:pPr>
        <w:pStyle w:val="21"/>
        <w:numPr>
          <w:ilvl w:val="0"/>
          <w:numId w:val="0"/>
        </w:numPr>
        <w:adjustRightInd w:val="0"/>
        <w:snapToGrid w:val="0"/>
        <w:ind w:firstLine="280" w:firstLineChars="100"/>
        <w:rPr>
          <w:rFonts w:hint="eastAsia"/>
          <w:lang w:val="en-US" w:eastAsia="zh-CN"/>
        </w:rPr>
      </w:pPr>
      <w:r>
        <w:rPr>
          <w:rFonts w:hint="eastAsia"/>
          <w:lang w:val="en-US" w:eastAsia="zh-CN"/>
        </w:rPr>
        <w:t xml:space="preserve">  （7）剧毒化学品</w:t>
      </w:r>
    </w:p>
    <w:p w14:paraId="3507BA85">
      <w:pPr>
        <w:pStyle w:val="21"/>
        <w:numPr>
          <w:ilvl w:val="0"/>
          <w:numId w:val="0"/>
        </w:numPr>
        <w:adjustRightInd w:val="0"/>
        <w:snapToGrid w:val="0"/>
        <w:ind w:firstLine="560" w:firstLineChars="200"/>
        <w:rPr>
          <w:rFonts w:hint="default"/>
          <w:lang w:val="en-US" w:eastAsia="zh-CN"/>
        </w:rPr>
      </w:pPr>
      <w:r>
        <w:rPr>
          <w:rFonts w:hint="eastAsia"/>
          <w:lang w:val="en-US" w:eastAsia="zh-CN"/>
        </w:rPr>
        <w:t>根据《剧毒化学品目录（2002年版）补充和修正表》（安监管危化字〔2003〕196号），氯属于剧毒化学品。</w:t>
      </w:r>
    </w:p>
    <w:p w14:paraId="20083027">
      <w:pPr>
        <w:pStyle w:val="21"/>
        <w:adjustRightInd w:val="0"/>
        <w:snapToGrid w:val="0"/>
        <w:ind w:firstLine="560"/>
        <w:rPr>
          <w:rFonts w:hint="eastAsia"/>
          <w:lang w:eastAsia="zh-CN"/>
        </w:rPr>
      </w:pPr>
      <w:r>
        <w:rPr>
          <w:rFonts w:hint="eastAsia"/>
          <w:lang w:eastAsia="zh-CN"/>
        </w:rPr>
        <w:t>（</w:t>
      </w:r>
      <w:r>
        <w:rPr>
          <w:rFonts w:hint="eastAsia"/>
          <w:lang w:val="en-US" w:eastAsia="zh-CN"/>
        </w:rPr>
        <w:t>8</w:t>
      </w:r>
      <w:r>
        <w:rPr>
          <w:rFonts w:hint="eastAsia"/>
          <w:lang w:eastAsia="zh-CN"/>
        </w:rPr>
        <w:t>）国家监控危险化学品</w:t>
      </w:r>
    </w:p>
    <w:p w14:paraId="6CE1A001">
      <w:pPr>
        <w:pStyle w:val="21"/>
        <w:adjustRightInd w:val="0"/>
        <w:snapToGrid w:val="0"/>
        <w:ind w:firstLine="560"/>
        <w:rPr>
          <w:rFonts w:hint="eastAsia" w:eastAsia="宋体"/>
          <w:lang w:eastAsia="zh-CN"/>
        </w:rPr>
      </w:pPr>
      <w:r>
        <w:rPr>
          <w:rFonts w:hint="eastAsia"/>
          <w:lang w:eastAsia="zh-CN"/>
        </w:rPr>
        <w:t>依据《各类监控化学品名录》(中华人民共和国工业和信息化部[2020]52号)，</w:t>
      </w:r>
      <w:r>
        <w:rPr>
          <w:rFonts w:hint="eastAsia"/>
          <w:lang w:val="en-US" w:eastAsia="zh-CN"/>
        </w:rPr>
        <w:t>不</w:t>
      </w:r>
      <w:r>
        <w:rPr>
          <w:rFonts w:hint="eastAsia"/>
          <w:lang w:eastAsia="zh-CN"/>
        </w:rPr>
        <w:t>涉及国家监控的化学品。</w:t>
      </w:r>
    </w:p>
    <w:p w14:paraId="1A2A96E7">
      <w:pPr>
        <w:pStyle w:val="21"/>
        <w:adjustRightInd w:val="0"/>
        <w:snapToGrid w:val="0"/>
        <w:ind w:firstLine="560"/>
        <w:rPr>
          <w:rFonts w:hint="eastAsia" w:eastAsia="宋体"/>
          <w:lang w:eastAsia="zh-CN"/>
        </w:rPr>
      </w:pPr>
      <w:r>
        <w:rPr>
          <w:rFonts w:hint="eastAsia"/>
          <w:lang w:eastAsia="zh-CN"/>
        </w:rPr>
        <w:t>朝阳金达钛业股份有限公司</w:t>
      </w:r>
      <w:r>
        <w:rPr>
          <w:rFonts w:hint="eastAsia"/>
          <w:lang w:val="en-US" w:eastAsia="zh-CN"/>
        </w:rPr>
        <w:t>1#液氯库</w:t>
      </w:r>
      <w:r>
        <w:rPr>
          <w:rFonts w:hint="eastAsia"/>
        </w:rPr>
        <w:t>涉及的危险化学品的危险、有害因素辨识结果，见表3.1-1</w:t>
      </w:r>
      <w:r>
        <w:rPr>
          <w:rFonts w:hint="eastAsia"/>
          <w:lang w:eastAsia="zh-CN"/>
        </w:rPr>
        <w:t>。</w:t>
      </w:r>
    </w:p>
    <w:p w14:paraId="741A2FF9">
      <w:pPr>
        <w:pStyle w:val="21"/>
        <w:adjustRightInd w:val="0"/>
        <w:snapToGrid w:val="0"/>
        <w:ind w:firstLine="560"/>
        <w:rPr>
          <w:rFonts w:hint="eastAsia" w:ascii="黑体" w:hAnsi="黑体" w:eastAsia="黑体"/>
          <w:sz w:val="24"/>
        </w:rPr>
      </w:pPr>
      <w:r>
        <w:rPr>
          <w:rFonts w:hint="eastAsia" w:ascii="黑体" w:hAnsi="黑体" w:eastAsia="黑体"/>
          <w:sz w:val="24"/>
        </w:rPr>
        <w:t>表</w:t>
      </w:r>
      <w:r>
        <w:rPr>
          <w:rFonts w:eastAsia="黑体" w:cs="Times New Roman"/>
          <w:sz w:val="24"/>
        </w:rPr>
        <w:t>3.1-1</w:t>
      </w:r>
      <w:r>
        <w:rPr>
          <w:rFonts w:hint="eastAsia" w:ascii="黑体" w:hAnsi="黑体" w:eastAsia="黑体"/>
          <w:sz w:val="24"/>
        </w:rPr>
        <w:t xml:space="preserve">  重大危险源涉及的危险化学品的危险、有害因素辨识结果</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270"/>
        <w:gridCol w:w="470"/>
        <w:gridCol w:w="949"/>
        <w:gridCol w:w="960"/>
        <w:gridCol w:w="632"/>
        <w:gridCol w:w="3097"/>
        <w:gridCol w:w="1054"/>
        <w:gridCol w:w="755"/>
        <w:gridCol w:w="511"/>
        <w:gridCol w:w="476"/>
      </w:tblGrid>
      <w:tr w14:paraId="52646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blHeader/>
          <w:jc w:val="center"/>
        </w:trPr>
        <w:tc>
          <w:tcPr>
            <w:tcW w:w="148" w:type="pct"/>
            <w:vAlign w:val="center"/>
          </w:tcPr>
          <w:p w14:paraId="3367B61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序号</w:t>
            </w:r>
          </w:p>
        </w:tc>
        <w:tc>
          <w:tcPr>
            <w:tcW w:w="309" w:type="pct"/>
            <w:vAlign w:val="center"/>
          </w:tcPr>
          <w:p w14:paraId="2CC08B0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名称</w:t>
            </w:r>
          </w:p>
        </w:tc>
        <w:tc>
          <w:tcPr>
            <w:tcW w:w="303" w:type="pct"/>
            <w:vAlign w:val="center"/>
          </w:tcPr>
          <w:p w14:paraId="71A392F7">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CAS号</w:t>
            </w:r>
          </w:p>
        </w:tc>
        <w:tc>
          <w:tcPr>
            <w:tcW w:w="550" w:type="pct"/>
            <w:vAlign w:val="center"/>
          </w:tcPr>
          <w:p w14:paraId="2B4A09BD">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危险化学品序号</w:t>
            </w:r>
          </w:p>
        </w:tc>
        <w:tc>
          <w:tcPr>
            <w:tcW w:w="371" w:type="pct"/>
            <w:vAlign w:val="center"/>
          </w:tcPr>
          <w:p w14:paraId="5985B74A">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UN编号</w:t>
            </w:r>
          </w:p>
        </w:tc>
        <w:tc>
          <w:tcPr>
            <w:tcW w:w="1714" w:type="pct"/>
            <w:vAlign w:val="center"/>
          </w:tcPr>
          <w:p w14:paraId="679AA9D9">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危险性类别</w:t>
            </w:r>
          </w:p>
        </w:tc>
        <w:tc>
          <w:tcPr>
            <w:tcW w:w="601" w:type="pct"/>
            <w:vAlign w:val="center"/>
          </w:tcPr>
          <w:p w14:paraId="7EBC190C">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火灾危险性类别</w:t>
            </w:r>
          </w:p>
        </w:tc>
        <w:tc>
          <w:tcPr>
            <w:tcW w:w="411" w:type="pct"/>
            <w:vAlign w:val="center"/>
          </w:tcPr>
          <w:p w14:paraId="1DF77A5F">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职业危害</w:t>
            </w:r>
          </w:p>
        </w:tc>
        <w:tc>
          <w:tcPr>
            <w:tcW w:w="305" w:type="pct"/>
            <w:vAlign w:val="center"/>
          </w:tcPr>
          <w:p w14:paraId="5C874A99">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毒性分级</w:t>
            </w:r>
          </w:p>
        </w:tc>
        <w:tc>
          <w:tcPr>
            <w:tcW w:w="286" w:type="pct"/>
            <w:vAlign w:val="center"/>
          </w:tcPr>
          <w:p w14:paraId="713EF215">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备注</w:t>
            </w:r>
          </w:p>
        </w:tc>
      </w:tr>
      <w:tr w14:paraId="0CB11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48" w:type="pct"/>
            <w:vAlign w:val="center"/>
          </w:tcPr>
          <w:p w14:paraId="702FA684">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ascii="Times New Roman" w:hAnsi="Times New Roman" w:eastAsia="宋体" w:cs="Times New Roman"/>
                <w:spacing w:val="2"/>
                <w:sz w:val="21"/>
                <w:szCs w:val="20"/>
                <w14:ligatures w14:val="none"/>
              </w:rPr>
              <w:t>1</w:t>
            </w:r>
          </w:p>
        </w:tc>
        <w:tc>
          <w:tcPr>
            <w:tcW w:w="309" w:type="pct"/>
            <w:vAlign w:val="center"/>
          </w:tcPr>
          <w:p w14:paraId="6F1417CD">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氯</w:t>
            </w:r>
          </w:p>
        </w:tc>
        <w:tc>
          <w:tcPr>
            <w:tcW w:w="303" w:type="pct"/>
            <w:vAlign w:val="center"/>
          </w:tcPr>
          <w:p w14:paraId="70E20B6E">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7782-50-5</w:t>
            </w:r>
          </w:p>
        </w:tc>
        <w:tc>
          <w:tcPr>
            <w:tcW w:w="550" w:type="pct"/>
            <w:vAlign w:val="center"/>
          </w:tcPr>
          <w:p w14:paraId="2ADD73D2">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1381</w:t>
            </w:r>
          </w:p>
        </w:tc>
        <w:tc>
          <w:tcPr>
            <w:tcW w:w="371" w:type="pct"/>
            <w:vAlign w:val="center"/>
          </w:tcPr>
          <w:p w14:paraId="0B4A8D1E">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1017</w:t>
            </w:r>
          </w:p>
        </w:tc>
        <w:tc>
          <w:tcPr>
            <w:tcW w:w="1714" w:type="pct"/>
            <w:vAlign w:val="center"/>
          </w:tcPr>
          <w:p w14:paraId="62CA107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急性毒性-吸入，类别2</w:t>
            </w:r>
          </w:p>
          <w:p w14:paraId="7CE67A0C">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皮肤腐蚀/刺激，类别2</w:t>
            </w:r>
          </w:p>
          <w:p w14:paraId="30E50FE1">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严重眼损伤/眼刺激，类别2</w:t>
            </w:r>
          </w:p>
          <w:p w14:paraId="39A363F4">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特异性靶器官毒性-一次接触，类别3（呼吸道刺激）</w:t>
            </w:r>
          </w:p>
          <w:p w14:paraId="557027A8">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危害水生环境-急性危害，类别1</w:t>
            </w:r>
          </w:p>
        </w:tc>
        <w:tc>
          <w:tcPr>
            <w:tcW w:w="601" w:type="pct"/>
            <w:vAlign w:val="center"/>
          </w:tcPr>
          <w:p w14:paraId="259C4957">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乙类</w:t>
            </w:r>
          </w:p>
        </w:tc>
        <w:tc>
          <w:tcPr>
            <w:tcW w:w="411" w:type="pct"/>
            <w:vAlign w:val="center"/>
          </w:tcPr>
          <w:p w14:paraId="3934B1C9">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MAC：1mg/m</w:t>
            </w:r>
            <w:r>
              <w:rPr>
                <w:rFonts w:hint="eastAsia" w:ascii="Times New Roman" w:hAnsi="Times New Roman" w:eastAsia="宋体" w:cs="Times New Roman"/>
                <w:spacing w:val="2"/>
                <w:sz w:val="21"/>
                <w:szCs w:val="20"/>
                <w:vertAlign w:val="superscript"/>
                <w14:ligatures w14:val="none"/>
              </w:rPr>
              <w:t>3</w:t>
            </w:r>
          </w:p>
        </w:tc>
        <w:tc>
          <w:tcPr>
            <w:tcW w:w="305" w:type="pct"/>
            <w:vAlign w:val="center"/>
          </w:tcPr>
          <w:p w14:paraId="04B243B6">
            <w:pPr>
              <w:adjustRightInd w:val="0"/>
              <w:snapToGrid w:val="0"/>
              <w:spacing w:after="0" w:line="240" w:lineRule="auto"/>
              <w:jc w:val="center"/>
              <w:rPr>
                <w:rFonts w:ascii="Times New Roman" w:hAnsi="Times New Roman" w:eastAsia="宋体" w:cs="Times New Roman"/>
                <w:spacing w:val="2"/>
                <w:sz w:val="21"/>
                <w:szCs w:val="20"/>
                <w14:ligatures w14:val="none"/>
              </w:rPr>
            </w:pPr>
            <w:r>
              <w:rPr>
                <w:rFonts w:hint="eastAsia" w:ascii="Times New Roman" w:hAnsi="Times New Roman" w:eastAsia="宋体" w:cs="Times New Roman"/>
                <w:spacing w:val="2"/>
                <w:sz w:val="21"/>
                <w:szCs w:val="20"/>
                <w14:ligatures w14:val="none"/>
              </w:rPr>
              <w:t>高度</w:t>
            </w:r>
          </w:p>
        </w:tc>
        <w:tc>
          <w:tcPr>
            <w:tcW w:w="286" w:type="pct"/>
            <w:vAlign w:val="center"/>
          </w:tcPr>
          <w:p w14:paraId="424E61C9">
            <w:pPr>
              <w:adjustRightInd w:val="0"/>
              <w:snapToGrid w:val="0"/>
              <w:spacing w:after="0" w:line="240" w:lineRule="auto"/>
              <w:jc w:val="center"/>
              <w:rPr>
                <w:rFonts w:ascii="Times New Roman" w:hAnsi="Times New Roman" w:eastAsia="宋体" w:cs="Times New Roman"/>
                <w:spacing w:val="2"/>
                <w:sz w:val="21"/>
                <w:szCs w:val="20"/>
                <w14:ligatures w14:val="none"/>
              </w:rPr>
            </w:pPr>
          </w:p>
        </w:tc>
      </w:tr>
    </w:tbl>
    <w:p w14:paraId="1D791E5E">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rPr>
        <w:t>现对</w:t>
      </w:r>
      <w:r>
        <w:rPr>
          <w:rFonts w:hint="eastAsia"/>
          <w:lang w:val="en-US" w:eastAsia="zh-CN"/>
        </w:rPr>
        <w:t>氯进行</w:t>
      </w:r>
      <w:r>
        <w:rPr>
          <w:rFonts w:hint="eastAsia"/>
        </w:rPr>
        <w:t>辨识与分析。</w:t>
      </w:r>
    </w:p>
    <w:p w14:paraId="4AD325D1">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3.1-2</w:t>
      </w:r>
      <w:r>
        <w:rPr>
          <w:rFonts w:hint="eastAsia" w:ascii="黑体" w:hAnsi="黑体" w:eastAsia="黑体"/>
          <w:sz w:val="24"/>
        </w:rPr>
        <w:t xml:space="preserve">  </w:t>
      </w:r>
      <w:r>
        <w:rPr>
          <w:rFonts w:hint="eastAsia" w:ascii="黑体" w:hAnsi="黑体" w:eastAsia="黑体"/>
          <w:sz w:val="24"/>
          <w:lang w:val="en-US" w:eastAsia="zh-CN"/>
        </w:rPr>
        <w:t>氯</w:t>
      </w:r>
      <w:r>
        <w:rPr>
          <w:rFonts w:hint="eastAsia" w:ascii="黑体" w:hAnsi="黑体" w:eastAsia="黑体"/>
          <w:sz w:val="24"/>
        </w:rPr>
        <w:t>的危险、有害识别表</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1"/>
        <w:gridCol w:w="8393"/>
      </w:tblGrid>
      <w:tr w14:paraId="7EC41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817" w:type="dxa"/>
            <w:noWrap w:val="0"/>
            <w:vAlign w:val="center"/>
          </w:tcPr>
          <w:p w14:paraId="37AC3F3A">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特别警示</w:t>
            </w:r>
          </w:p>
        </w:tc>
        <w:tc>
          <w:tcPr>
            <w:tcW w:w="9072" w:type="dxa"/>
            <w:noWrap w:val="0"/>
            <w:vAlign w:val="center"/>
          </w:tcPr>
          <w:p w14:paraId="1BFFB023">
            <w:pPr>
              <w:pStyle w:val="14"/>
              <w:spacing w:before="0" w:beforeAutospacing="0" w:after="0" w:afterAutospacing="0" w:line="360" w:lineRule="exact"/>
              <w:ind w:firstLine="420" w:firstLineChars="200"/>
              <w:jc w:val="both"/>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剧毒，吸入高浓度气体可致死；包装容器受热有爆炸的危险</w:t>
            </w:r>
            <w:r>
              <w:rPr>
                <w:rFonts w:hint="default" w:ascii="Times New Roman" w:hAnsi="Times New Roman" w:cs="Times New Roman"/>
                <w:b w:val="0"/>
                <w:bCs/>
                <w:sz w:val="21"/>
                <w:szCs w:val="21"/>
                <w:highlight w:val="none"/>
              </w:rPr>
              <w:t>。</w:t>
            </w:r>
          </w:p>
        </w:tc>
      </w:tr>
      <w:tr w14:paraId="2716B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631CD8F6">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理</w:t>
            </w:r>
          </w:p>
          <w:p w14:paraId="771E7629">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化</w:t>
            </w:r>
          </w:p>
          <w:p w14:paraId="70B083D1">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特</w:t>
            </w:r>
          </w:p>
          <w:p w14:paraId="0FCAEBB0">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性</w:t>
            </w:r>
          </w:p>
        </w:tc>
        <w:tc>
          <w:tcPr>
            <w:tcW w:w="9072" w:type="dxa"/>
            <w:noWrap w:val="0"/>
            <w:vAlign w:val="top"/>
          </w:tcPr>
          <w:p w14:paraId="55747454">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常温常压下为黄绿色、有刺激性气味的气体。常温下、709kPa以上压力时为液体，液氯为金黄色。微溶于水，易溶于二硫化碳和四氯化碳。分子量为70.91，熔点-101℃，沸点-34.5℃，气体密度3.21g/L, 相对蒸气密度（空气＝1）2.5，相对密度（水＝1）1.41(20℃)，临界压力7.71MPa，临界温度144℃，饱和蒸气压673kPa(20℃)，log pow（辛醇/水分配系数） 0.85。</w:t>
            </w:r>
          </w:p>
          <w:p w14:paraId="47555DFE">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主要用途：用于制造氯乙烯、环氧氯丙烷、氯丙烯、氯化石蜡等；用作氯化试剂，也用作水处理过程的消毒剂。</w:t>
            </w:r>
          </w:p>
        </w:tc>
      </w:tr>
      <w:tr w14:paraId="20426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442F71FF">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6E593E75">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6DFB247C">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17607A14">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6E34F669">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403C7857">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168FE270">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58F17F63">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7DB6968F">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02F68FE1">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2C90A45C">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748E780A">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危</w:t>
            </w:r>
          </w:p>
          <w:p w14:paraId="427FF913">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害</w:t>
            </w:r>
          </w:p>
          <w:p w14:paraId="6F04C60F">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信</w:t>
            </w:r>
          </w:p>
          <w:p w14:paraId="1FAB425C">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息</w:t>
            </w:r>
          </w:p>
        </w:tc>
        <w:tc>
          <w:tcPr>
            <w:tcW w:w="9072" w:type="dxa"/>
            <w:noWrap w:val="0"/>
            <w:vAlign w:val="top"/>
          </w:tcPr>
          <w:p w14:paraId="543AB783">
            <w:pPr>
              <w:pStyle w:val="14"/>
              <w:spacing w:before="0" w:beforeAutospacing="0" w:after="0" w:afterAutospacing="0" w:line="360" w:lineRule="exact"/>
              <w:jc w:val="both"/>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【燃烧和爆炸危险性】</w:t>
            </w:r>
          </w:p>
          <w:p w14:paraId="21447246">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本品不燃, 但可助燃。一般可燃物大都能在氯气中燃烧，一般易燃气体或蒸气也都能与氯气形成爆炸性混合物。受热后容器或储罐内压增大，泄漏物质可导致中毒。</w:t>
            </w:r>
          </w:p>
          <w:p w14:paraId="0CCCC7BB">
            <w:pPr>
              <w:pStyle w:val="14"/>
              <w:spacing w:before="0" w:beforeAutospacing="0" w:after="0" w:afterAutospacing="0" w:line="360" w:lineRule="exact"/>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【活性反应】</w:t>
            </w:r>
          </w:p>
          <w:p w14:paraId="46D5820C">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强氧化剂，与水反应，生成有毒的次氯酸和盐酸。与氢氧化钠、氢氧化钾等碱反应生成次氯酸盐和氯化物，可利用此反应对氯气进行无害化处理。液氯与可燃物、还原剂接触会发生剧烈反应。与汽油等石油产品、烃、氨、醚、松节油、醇、乙炔、二硫化碳、氢气、金属粉末和磷接触能形成爆炸性混合物。接触烃基膦、铝、锑、胂、铋、硼、黄铜、碳、二乙基锌等物质会导致燃烧、爆炸，释放出有毒烟雾。潮湿环境下，严重腐蚀铁、钢、铜和锌。</w:t>
            </w:r>
          </w:p>
          <w:p w14:paraId="51DDDBEB">
            <w:pPr>
              <w:pStyle w:val="14"/>
              <w:spacing w:before="0" w:beforeAutospacing="0" w:after="0" w:afterAutospacing="0" w:line="360" w:lineRule="exact"/>
              <w:rPr>
                <w:rStyle w:val="39"/>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【健康危害】</w:t>
            </w:r>
          </w:p>
          <w:p w14:paraId="1F37D773">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氯是一种强烈的刺激性气体，经呼吸道吸入时，与呼吸道粘膜表面水分接触，产生盐酸、次氯酸，次氯酸再分解为盐酸和新生态氧，产生局部刺激和腐蚀作用。</w:t>
            </w:r>
          </w:p>
          <w:p w14:paraId="51FCC0A0">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急性中毒：轻度者有流泪、咳嗽、咳少量痰、胸闷，出现气管-支气管炎或支气管周围炎的表现；中度中毒发生支气管肺炎、局限性肺泡性肺水肿、间质性肺水肿或哮喘样发作，病人除有上述症状的加重外，还会出现呼吸困难、轻度紫绀等；重者发生肺泡性水肿、急性呼吸窘迫综合征、严重窒息、昏迷或休克，可出现气胸、纵隔气肿等并发症。吸入极高浓度的氯气，可引起迷走神经反射性心跳骤停或喉头痉挛而发生“电击样”死亡。眼睛接触可引起急性结膜炎，高浓度氯可造成角膜损伤。皮肤接触液氯或高浓度氯，在暴露部位可有灼伤或急性皮炎。</w:t>
            </w:r>
          </w:p>
          <w:p w14:paraId="155FFAEB">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慢性影响：长期低浓度接触，可引起慢性牙龈炎、慢性咽炎、慢性支气管炎、肺气肿、支气管哮喘等。可引起牙齿酸蚀症。</w:t>
            </w:r>
          </w:p>
          <w:p w14:paraId="66DACE47">
            <w:pPr>
              <w:pStyle w:val="14"/>
              <w:spacing w:before="0" w:beforeAutospacing="0" w:after="0" w:afterAutospacing="0" w:line="360" w:lineRule="exact"/>
              <w:ind w:firstLine="420" w:firstLineChars="200"/>
              <w:rPr>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列入《剧毒化学品目录》。职业接触限值：MAC(最高容许浓度)(mg/m</w:t>
            </w:r>
            <w:r>
              <w:rPr>
                <w:rStyle w:val="39"/>
                <w:rFonts w:hint="default" w:ascii="Times New Roman" w:hAnsi="Times New Roman" w:cs="Times New Roman"/>
                <w:b w:val="0"/>
                <w:bCs/>
                <w:sz w:val="21"/>
                <w:szCs w:val="21"/>
                <w:highlight w:val="none"/>
                <w:vertAlign w:val="superscript"/>
              </w:rPr>
              <w:t>3</w:t>
            </w:r>
            <w:r>
              <w:rPr>
                <w:rStyle w:val="39"/>
                <w:rFonts w:hint="default" w:ascii="Times New Roman" w:hAnsi="Times New Roman" w:cs="Times New Roman"/>
                <w:b w:val="0"/>
                <w:bCs/>
                <w:sz w:val="21"/>
                <w:szCs w:val="21"/>
                <w:highlight w:val="none"/>
              </w:rPr>
              <w:t>):1。</w:t>
            </w:r>
          </w:p>
        </w:tc>
      </w:tr>
      <w:tr w14:paraId="4D3D6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6B187D75">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安</w:t>
            </w:r>
          </w:p>
          <w:p w14:paraId="3535A2EC">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全</w:t>
            </w:r>
          </w:p>
          <w:p w14:paraId="39B3F86D">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措</w:t>
            </w:r>
          </w:p>
          <w:p w14:paraId="22CA7A3D">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施</w:t>
            </w:r>
          </w:p>
        </w:tc>
        <w:tc>
          <w:tcPr>
            <w:tcW w:w="9072" w:type="dxa"/>
            <w:noWrap w:val="0"/>
            <w:vAlign w:val="top"/>
          </w:tcPr>
          <w:p w14:paraId="1E6BBEA5">
            <w:pPr>
              <w:pStyle w:val="14"/>
              <w:spacing w:before="0" w:beforeAutospacing="0" w:after="0" w:afterAutospacing="0" w:line="360" w:lineRule="exact"/>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【一般要求】</w:t>
            </w:r>
          </w:p>
          <w:p w14:paraId="70463ECD">
            <w:pPr>
              <w:pStyle w:val="14"/>
              <w:spacing w:before="0" w:beforeAutospacing="0" w:after="0" w:afterAutospacing="0" w:line="360" w:lineRule="exact"/>
              <w:ind w:firstLine="302" w:firstLineChars="144"/>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操作人员必须经过专门培训，严格遵守操作规程，熟练掌握操作技能，具备应急处置知识。</w:t>
            </w:r>
          </w:p>
          <w:p w14:paraId="28B5F5D5">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严加密闭，提供充分的局部排风和全面通风，工作场所严禁吸烟。提供安全淋浴和洗眼设备。</w:t>
            </w:r>
          </w:p>
          <w:p w14:paraId="5B2E4920">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生产、使用氯气的车间及贮氯场所应设置氯气泄漏检测报警仪，配备两套以上重型防护服。戴化学安全防护眼镜，穿防静电工作服，戴防化学品手套。工作场所浓度超标时，操作人员必须佩戴防毒面具，紧急事态抢救或撤离时，应佩戴正压自给式空气呼吸器。</w:t>
            </w:r>
          </w:p>
          <w:p w14:paraId="16C52AEC">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液氯气化器、储罐等压力容器和设备应设置安全阀、压力表、液位计、温度计，并应装有带压力、液位、温度带远传记录和报警功能的安全装置。设置整流装置与氯压机、动力电源、管线压力、通风设施或相应的吸收装置的联锁装置。氯气输入、输出管线应设置紧急切断设施。</w:t>
            </w:r>
          </w:p>
          <w:p w14:paraId="6F0B6B93">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避免与易燃或可燃物、醇类、乙醚、氢接触。</w:t>
            </w:r>
          </w:p>
          <w:p w14:paraId="1887A9C3">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生产、储存区域应设置安全警示标志。搬运时轻装轻卸，防止钢瓶及附件破损。吊装时，应将气瓶放置在符合安全要求的专用筐中进行吊运。禁止使用电磁起重机和用链绳捆扎、或将瓶阀作为吊运着力点。配备相应品种和数量的消防器材及泄漏应急处理设备。倒空的容器可能存在残留有害物时应及时处理。</w:t>
            </w:r>
          </w:p>
          <w:p w14:paraId="59134A73">
            <w:pPr>
              <w:pStyle w:val="14"/>
              <w:spacing w:before="0" w:beforeAutospacing="0" w:after="0" w:afterAutospacing="0" w:line="360" w:lineRule="exact"/>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【特殊要求】</w:t>
            </w:r>
          </w:p>
          <w:p w14:paraId="3D6D1515">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【操作安全】</w:t>
            </w:r>
          </w:p>
          <w:p w14:paraId="6E5B5FA7">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（1）氯化设备、管道处、阀门的连接垫料应选用石棉板、石棉橡胶板、氟塑料、浸石墨的石棉绳等高强度耐氯垫料，严禁使用橡胶垫。</w:t>
            </w:r>
          </w:p>
          <w:p w14:paraId="55F64F99">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（2）采用压缩空气充装液氯时,空气含水应≤0.01%。采用液氯气化器充装液氯时,只许用温水加热气化器,不准使用蒸汽直接加热。</w:t>
            </w:r>
          </w:p>
          <w:p w14:paraId="3A03489D">
            <w:pPr>
              <w:pStyle w:val="14"/>
              <w:spacing w:before="0" w:beforeAutospacing="0" w:after="0" w:afterAutospacing="0" w:line="360" w:lineRule="exact"/>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 xml:space="preserve">    （3）液氯气化器、预冷器及热交换器等设备，必须装有排污装置和污物处理设施，并定期分析三氯化氮含量。如果操作人员未按规定及时排污，并且操作不当，易发生三氯化氮爆炸、大量氯气泄漏等危害。</w:t>
            </w:r>
          </w:p>
          <w:p w14:paraId="2248B99C">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（4）严禁在泄漏的钢瓶上喷水。</w:t>
            </w:r>
          </w:p>
          <w:p w14:paraId="582E18FF">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（5）充装量为50kg和100kg的气瓶应保留2kg以上的余量，充装量为500kg和1000kg的气瓶应保留5kg以上的余量。充装前要确认气瓶内无异物。</w:t>
            </w:r>
          </w:p>
          <w:p w14:paraId="67DA0CB2">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（6）充装时，使用万向节管道充装系统，严防超装。</w:t>
            </w:r>
          </w:p>
          <w:p w14:paraId="4CD8415A">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【储存安全】</w:t>
            </w:r>
          </w:p>
          <w:p w14:paraId="76560BF5">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（1）储存于阴凉、通风仓库内，库房温度不宜超过30℃，相对湿度不超过80％，防止阳光直射。</w:t>
            </w:r>
          </w:p>
          <w:p w14:paraId="4ADEB662">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2）应与易（可）燃物、醇类、食用化学品分开存放，切忌混储。储罐远离火种、热源。保持容器密封，储存区要建在低于自然地面的围堤内。气瓶储存时，空瓶和实瓶应分开放置，并应设置明显标志。储存区应备有泄漏应急处理设备。</w:t>
            </w:r>
          </w:p>
          <w:p w14:paraId="2008EF74">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（3）对于大量使用氯气钢瓶的单位，为及时处理钢瓶漏气，现场应备应急堵漏工具和个体防护用具。</w:t>
            </w:r>
          </w:p>
          <w:p w14:paraId="45555445">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（4）禁止将储罐设备及氯气处理装置设置在学校、医院、居民区等人口稠密区附近，并远离频繁出入处和紧急通道。</w:t>
            </w:r>
          </w:p>
          <w:p w14:paraId="28D53C6B">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（5）应严格执行剧毒化学品“双人收发，双人保管”制度。</w:t>
            </w:r>
          </w:p>
          <w:p w14:paraId="639CD4C1">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【运输安全】</w:t>
            </w:r>
          </w:p>
          <w:p w14:paraId="51484B7A">
            <w:pPr>
              <w:spacing w:line="360" w:lineRule="exact"/>
              <w:ind w:firstLine="420"/>
              <w:rPr>
                <w:rStyle w:val="39"/>
                <w:rFonts w:hint="default" w:ascii="Times New Roman" w:hAnsi="Times New Roman" w:cs="Times New Roman"/>
                <w:b w:val="0"/>
                <w:bCs/>
                <w:kern w:val="0"/>
                <w:sz w:val="21"/>
                <w:szCs w:val="21"/>
                <w:highlight w:val="none"/>
              </w:rPr>
            </w:pPr>
            <w:r>
              <w:rPr>
                <w:rStyle w:val="39"/>
                <w:rFonts w:hint="default" w:ascii="Times New Roman" w:hAnsi="Times New Roman" w:cs="Times New Roman"/>
                <w:b w:val="0"/>
                <w:bCs/>
                <w:kern w:val="0"/>
                <w:sz w:val="21"/>
                <w:szCs w:val="21"/>
                <w:highlight w:val="none"/>
              </w:rPr>
              <w:t>（1）</w:t>
            </w:r>
            <w:r>
              <w:rPr>
                <w:rStyle w:val="39"/>
                <w:rFonts w:hint="default" w:ascii="Times New Roman" w:hAnsi="Times New Roman" w:cs="Times New Roman"/>
                <w:b w:val="0"/>
                <w:bCs/>
                <w:sz w:val="21"/>
                <w:szCs w:val="21"/>
                <w:highlight w:val="none"/>
              </w:rPr>
              <w:t>运输车辆应有危险货物运输标志、安装具有行驶记录功能的卫星定位装置。未经公安机关批准，运输车辆不得进入危险化学品运输车辆限制通行的区域。</w:t>
            </w:r>
            <w:r>
              <w:rPr>
                <w:rStyle w:val="39"/>
                <w:rFonts w:hint="default" w:ascii="Times New Roman" w:hAnsi="Times New Roman" w:cs="Times New Roman"/>
                <w:b w:val="0"/>
                <w:bCs/>
                <w:kern w:val="0"/>
                <w:sz w:val="21"/>
                <w:szCs w:val="21"/>
                <w:highlight w:val="none"/>
              </w:rPr>
              <w:t>不得在人口稠密区和有明火等场所停靠。夏季应早晚运输，防止日光暴晒。</w:t>
            </w:r>
          </w:p>
          <w:p w14:paraId="3AA54D1D">
            <w:pPr>
              <w:spacing w:line="360" w:lineRule="exact"/>
              <w:ind w:firstLine="420" w:firstLineChars="200"/>
              <w:rPr>
                <w:rStyle w:val="39"/>
                <w:rFonts w:hint="default" w:ascii="Times New Roman" w:hAnsi="Times New Roman" w:cs="Times New Roman"/>
                <w:b w:val="0"/>
                <w:bCs/>
                <w:kern w:val="0"/>
                <w:sz w:val="21"/>
                <w:szCs w:val="21"/>
                <w:highlight w:val="none"/>
              </w:rPr>
            </w:pPr>
            <w:r>
              <w:rPr>
                <w:rStyle w:val="39"/>
                <w:rFonts w:hint="default" w:ascii="Times New Roman" w:hAnsi="Times New Roman" w:cs="Times New Roman"/>
                <w:b w:val="0"/>
                <w:bCs/>
                <w:kern w:val="0"/>
                <w:sz w:val="21"/>
                <w:szCs w:val="21"/>
                <w:highlight w:val="none"/>
              </w:rPr>
              <w:t>（2）运输液氯钢瓶的车辆不准从隧道过江。</w:t>
            </w:r>
          </w:p>
          <w:p w14:paraId="62D734DF">
            <w:pPr>
              <w:spacing w:line="360" w:lineRule="exact"/>
              <w:ind w:firstLine="420" w:firstLineChars="200"/>
              <w:rPr>
                <w:rStyle w:val="39"/>
                <w:rFonts w:hint="default" w:ascii="Times New Roman" w:hAnsi="Times New Roman" w:cs="Times New Roman"/>
                <w:b w:val="0"/>
                <w:bCs/>
                <w:kern w:val="0"/>
                <w:sz w:val="21"/>
                <w:szCs w:val="21"/>
                <w:highlight w:val="none"/>
              </w:rPr>
            </w:pPr>
            <w:r>
              <w:rPr>
                <w:rStyle w:val="39"/>
                <w:rFonts w:hint="default" w:ascii="Times New Roman" w:hAnsi="Times New Roman" w:cs="Times New Roman"/>
                <w:b w:val="0"/>
                <w:bCs/>
                <w:kern w:val="0"/>
                <w:sz w:val="21"/>
                <w:szCs w:val="21"/>
                <w:highlight w:val="none"/>
              </w:rPr>
              <w:t>（3）汽</w:t>
            </w:r>
            <w:r>
              <w:rPr>
                <w:rStyle w:val="39"/>
                <w:rFonts w:hint="default" w:ascii="Times New Roman" w:hAnsi="Times New Roman" w:cs="Times New Roman"/>
                <w:b w:val="0"/>
                <w:bCs/>
                <w:color w:val="000000"/>
                <w:sz w:val="21"/>
                <w:szCs w:val="21"/>
                <w:highlight w:val="none"/>
              </w:rPr>
              <w:t>车运输充装量50kg及以上钢瓶时,应卧放，瓶阀端应朝向车辆行驶的右方，</w:t>
            </w:r>
            <w:r>
              <w:rPr>
                <w:rStyle w:val="39"/>
                <w:rFonts w:hint="default" w:ascii="Times New Roman" w:hAnsi="Times New Roman" w:cs="Times New Roman"/>
                <w:b w:val="0"/>
                <w:bCs/>
                <w:sz w:val="21"/>
                <w:szCs w:val="21"/>
                <w:highlight w:val="none"/>
              </w:rPr>
              <w:t>用三角木垫卡牢，防止滚动，</w:t>
            </w:r>
            <w:r>
              <w:rPr>
                <w:rStyle w:val="39"/>
                <w:rFonts w:hint="default" w:ascii="Times New Roman" w:hAnsi="Times New Roman" w:cs="Times New Roman"/>
                <w:b w:val="0"/>
                <w:bCs/>
                <w:color w:val="000000"/>
                <w:sz w:val="21"/>
                <w:szCs w:val="21"/>
                <w:highlight w:val="none"/>
              </w:rPr>
              <w:t>垛高不得超过2层且不得超过车厢高度。</w:t>
            </w:r>
            <w:r>
              <w:rPr>
                <w:rStyle w:val="39"/>
                <w:rFonts w:hint="default" w:ascii="Times New Roman" w:hAnsi="Times New Roman" w:cs="Times New Roman"/>
                <w:b w:val="0"/>
                <w:bCs/>
                <w:kern w:val="0"/>
                <w:sz w:val="21"/>
                <w:szCs w:val="21"/>
                <w:highlight w:val="none"/>
              </w:rPr>
              <w:t>不准同车混装有抵触性质的物品和让无关人员搭车。严禁与易燃物或可燃物、醇类、食用化学品等混装混运。车上应有应急堵漏工具和个体防护用品，押运人员应会使用。</w:t>
            </w:r>
          </w:p>
          <w:p w14:paraId="3FE68A02">
            <w:pPr>
              <w:spacing w:line="360" w:lineRule="exact"/>
              <w:ind w:firstLine="420" w:firstLineChars="200"/>
              <w:rPr>
                <w:rStyle w:val="39"/>
                <w:rFonts w:hint="default" w:ascii="Times New Roman" w:hAnsi="Times New Roman" w:cs="Times New Roman"/>
                <w:b w:val="0"/>
                <w:bCs/>
                <w:kern w:val="0"/>
                <w:sz w:val="21"/>
                <w:szCs w:val="21"/>
                <w:highlight w:val="none"/>
              </w:rPr>
            </w:pPr>
            <w:r>
              <w:rPr>
                <w:rStyle w:val="39"/>
                <w:rFonts w:hint="default" w:ascii="Times New Roman" w:hAnsi="Times New Roman" w:cs="Times New Roman"/>
                <w:b w:val="0"/>
                <w:bCs/>
                <w:kern w:val="0"/>
                <w:sz w:val="21"/>
                <w:szCs w:val="21"/>
                <w:highlight w:val="none"/>
              </w:rPr>
              <w:t>（4）</w:t>
            </w:r>
            <w:r>
              <w:rPr>
                <w:rStyle w:val="39"/>
                <w:rFonts w:hint="default" w:ascii="Times New Roman" w:hAnsi="Times New Roman" w:cs="Times New Roman"/>
                <w:b w:val="0"/>
                <w:bCs/>
                <w:color w:val="000000"/>
                <w:sz w:val="21"/>
                <w:szCs w:val="21"/>
                <w:highlight w:val="none"/>
              </w:rPr>
              <w:t>搬运人员</w:t>
            </w:r>
            <w:r>
              <w:rPr>
                <w:rStyle w:val="39"/>
                <w:rFonts w:hint="default" w:ascii="Times New Roman" w:hAnsi="Times New Roman" w:cs="Times New Roman"/>
                <w:b w:val="0"/>
                <w:bCs/>
                <w:color w:val="000000"/>
                <w:sz w:val="21"/>
                <w:szCs w:val="21"/>
                <w:highlight w:val="none"/>
              </w:rPr>
              <w:fldChar w:fldCharType="begin"/>
            </w:r>
            <w:r>
              <w:rPr>
                <w:rStyle w:val="39"/>
                <w:rFonts w:hint="default" w:ascii="Times New Roman" w:hAnsi="Times New Roman" w:cs="Times New Roman"/>
                <w:b w:val="0"/>
                <w:bCs/>
                <w:color w:val="000000"/>
                <w:sz w:val="21"/>
                <w:szCs w:val="21"/>
                <w:highlight w:val="none"/>
              </w:rPr>
              <w:instrText xml:space="preserve">HYPERLINK "http://www.mkaq.cn/tag.php?tag=必须" \t "_blank"</w:instrText>
            </w:r>
            <w:r>
              <w:rPr>
                <w:rStyle w:val="39"/>
                <w:rFonts w:hint="default" w:ascii="Times New Roman" w:hAnsi="Times New Roman" w:cs="Times New Roman"/>
                <w:b w:val="0"/>
                <w:bCs/>
                <w:color w:val="000000"/>
                <w:sz w:val="21"/>
                <w:szCs w:val="21"/>
                <w:highlight w:val="none"/>
              </w:rPr>
              <w:fldChar w:fldCharType="separate"/>
            </w:r>
            <w:r>
              <w:rPr>
                <w:rStyle w:val="39"/>
                <w:rFonts w:hint="default" w:ascii="Times New Roman" w:hAnsi="Times New Roman" w:cs="Times New Roman"/>
                <w:b w:val="0"/>
                <w:bCs/>
                <w:color w:val="000000"/>
                <w:sz w:val="21"/>
                <w:szCs w:val="21"/>
                <w:highlight w:val="none"/>
              </w:rPr>
              <w:t>必须</w:t>
            </w:r>
            <w:r>
              <w:rPr>
                <w:rStyle w:val="39"/>
                <w:rFonts w:hint="default" w:ascii="Times New Roman" w:hAnsi="Times New Roman" w:cs="Times New Roman"/>
                <w:b w:val="0"/>
                <w:bCs/>
                <w:color w:val="000000"/>
                <w:sz w:val="21"/>
                <w:szCs w:val="21"/>
                <w:highlight w:val="none"/>
              </w:rPr>
              <w:fldChar w:fldCharType="end"/>
            </w:r>
            <w:r>
              <w:rPr>
                <w:rStyle w:val="39"/>
                <w:rFonts w:hint="default" w:ascii="Times New Roman" w:hAnsi="Times New Roman" w:cs="Times New Roman"/>
                <w:b w:val="0"/>
                <w:bCs/>
                <w:color w:val="000000"/>
                <w:sz w:val="21"/>
                <w:szCs w:val="21"/>
                <w:highlight w:val="none"/>
              </w:rPr>
              <w:t>注意防护，按规定穿戴必要的防护用品；搬运时，管理人员必须到现场监卸监装；夜晚或光线不足时、雨天不宜搬运。若遇特殊情况必须搬运时，必须得到部门负责人的同意，还应有遮雨等相关</w:t>
            </w:r>
            <w:r>
              <w:rPr>
                <w:rStyle w:val="39"/>
                <w:rFonts w:hint="default" w:ascii="Times New Roman" w:hAnsi="Times New Roman" w:cs="Times New Roman"/>
                <w:b w:val="0"/>
                <w:bCs/>
                <w:color w:val="000000"/>
                <w:sz w:val="21"/>
                <w:szCs w:val="21"/>
                <w:highlight w:val="none"/>
              </w:rPr>
              <w:fldChar w:fldCharType="begin"/>
            </w:r>
            <w:r>
              <w:rPr>
                <w:rStyle w:val="39"/>
                <w:rFonts w:hint="default" w:ascii="Times New Roman" w:hAnsi="Times New Roman" w:cs="Times New Roman"/>
                <w:b w:val="0"/>
                <w:bCs/>
                <w:color w:val="000000"/>
                <w:sz w:val="21"/>
                <w:szCs w:val="21"/>
                <w:highlight w:val="none"/>
              </w:rPr>
              <w:instrText xml:space="preserve">HYPERLINK "http://www.mkaq.cn/tag.php?tag=措施" \t "_blank"</w:instrText>
            </w:r>
            <w:r>
              <w:rPr>
                <w:rStyle w:val="39"/>
                <w:rFonts w:hint="default" w:ascii="Times New Roman" w:hAnsi="Times New Roman" w:cs="Times New Roman"/>
                <w:b w:val="0"/>
                <w:bCs/>
                <w:color w:val="000000"/>
                <w:sz w:val="21"/>
                <w:szCs w:val="21"/>
                <w:highlight w:val="none"/>
              </w:rPr>
              <w:fldChar w:fldCharType="separate"/>
            </w:r>
            <w:r>
              <w:rPr>
                <w:rStyle w:val="39"/>
                <w:rFonts w:hint="default" w:ascii="Times New Roman" w:hAnsi="Times New Roman" w:cs="Times New Roman"/>
                <w:b w:val="0"/>
                <w:bCs/>
                <w:color w:val="000000"/>
                <w:sz w:val="21"/>
                <w:szCs w:val="21"/>
                <w:highlight w:val="none"/>
              </w:rPr>
              <w:t>措施</w:t>
            </w:r>
            <w:r>
              <w:rPr>
                <w:rStyle w:val="39"/>
                <w:rFonts w:hint="default" w:ascii="Times New Roman" w:hAnsi="Times New Roman" w:cs="Times New Roman"/>
                <w:b w:val="0"/>
                <w:bCs/>
                <w:color w:val="000000"/>
                <w:sz w:val="21"/>
                <w:szCs w:val="21"/>
                <w:highlight w:val="none"/>
              </w:rPr>
              <w:fldChar w:fldCharType="end"/>
            </w:r>
            <w:r>
              <w:rPr>
                <w:rStyle w:val="39"/>
                <w:rFonts w:hint="default" w:ascii="Times New Roman" w:hAnsi="Times New Roman" w:cs="Times New Roman"/>
                <w:b w:val="0"/>
                <w:bCs/>
                <w:color w:val="000000"/>
                <w:sz w:val="21"/>
                <w:szCs w:val="21"/>
                <w:highlight w:val="none"/>
              </w:rPr>
              <w:t>；严禁在搬运时吸烟。</w:t>
            </w:r>
          </w:p>
          <w:p w14:paraId="02757A36">
            <w:pPr>
              <w:spacing w:line="360" w:lineRule="exact"/>
              <w:ind w:firstLine="420" w:firstLineChars="200"/>
              <w:rPr>
                <w:rFonts w:hint="default" w:ascii="Times New Roman" w:hAnsi="Times New Roman" w:cs="Times New Roman"/>
                <w:b w:val="0"/>
                <w:bCs/>
                <w:sz w:val="21"/>
                <w:szCs w:val="21"/>
                <w:highlight w:val="none"/>
              </w:rPr>
            </w:pPr>
            <w:r>
              <w:rPr>
                <w:rStyle w:val="39"/>
                <w:rFonts w:hint="default" w:ascii="Times New Roman" w:hAnsi="Times New Roman" w:cs="Times New Roman"/>
                <w:b w:val="0"/>
                <w:bCs/>
                <w:kern w:val="0"/>
                <w:sz w:val="21"/>
                <w:szCs w:val="21"/>
                <w:highlight w:val="none"/>
              </w:rPr>
              <w:t>（5）</w:t>
            </w:r>
            <w:r>
              <w:rPr>
                <w:rStyle w:val="39"/>
                <w:rFonts w:hint="default" w:ascii="Times New Roman" w:hAnsi="Times New Roman" w:cs="Times New Roman"/>
                <w:b w:val="0"/>
                <w:bCs/>
                <w:sz w:val="21"/>
                <w:szCs w:val="21"/>
                <w:highlight w:val="none"/>
              </w:rPr>
              <w:t>采用液氯气化法向储罐压送液氯时，要严格控制气化器的压力和温度，釜式气化器加热夹套不得包底，应用温水加热，严禁用蒸汽加热，出口水温不应超过45℃，气化压力不得超过1</w:t>
            </w:r>
            <w:r>
              <w:rPr>
                <w:rStyle w:val="39"/>
                <w:rFonts w:hint="default" w:ascii="Times New Roman" w:hAnsi="Times New Roman" w:cs="Times New Roman"/>
                <w:b w:val="0"/>
                <w:bCs/>
                <w:sz w:val="21"/>
                <w:szCs w:val="21"/>
                <w:highlight w:val="none"/>
                <w:lang w:val="en-US" w:eastAsia="zh-CN"/>
              </w:rPr>
              <w:t>.0</w:t>
            </w:r>
            <w:r>
              <w:rPr>
                <w:rStyle w:val="39"/>
                <w:rFonts w:hint="default" w:ascii="Times New Roman" w:hAnsi="Times New Roman" w:cs="Times New Roman"/>
                <w:b w:val="0"/>
                <w:bCs/>
                <w:sz w:val="21"/>
                <w:szCs w:val="21"/>
                <w:highlight w:val="none"/>
              </w:rPr>
              <w:t>MPa。</w:t>
            </w:r>
          </w:p>
        </w:tc>
      </w:tr>
      <w:tr w14:paraId="11BE2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109C9882">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p>
          <w:p w14:paraId="2CBFA182">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应</w:t>
            </w:r>
          </w:p>
          <w:p w14:paraId="3B4FC728">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急</w:t>
            </w:r>
          </w:p>
          <w:p w14:paraId="1A811AE0">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处</w:t>
            </w:r>
          </w:p>
          <w:p w14:paraId="773A761E">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置</w:t>
            </w:r>
          </w:p>
          <w:p w14:paraId="648EEEE0">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原</w:t>
            </w:r>
          </w:p>
          <w:p w14:paraId="0E90914B">
            <w:pPr>
              <w:pStyle w:val="40"/>
              <w:widowControl w:val="0"/>
              <w:spacing w:before="0" w:beforeAutospacing="0" w:after="0" w:afterAutospacing="0" w:line="360" w:lineRule="exact"/>
              <w:jc w:val="center"/>
              <w:rPr>
                <w:rFonts w:hint="default" w:ascii="Times New Roman" w:hAnsi="Times New Roman" w:cs="Times New Roman"/>
                <w:b w:val="0"/>
                <w:bCs/>
                <w:sz w:val="21"/>
                <w:szCs w:val="21"/>
                <w:highlight w:val="none"/>
              </w:rPr>
            </w:pPr>
            <w:r>
              <w:rPr>
                <w:rFonts w:hint="default" w:ascii="Times New Roman" w:hAnsi="Times New Roman" w:cs="Times New Roman"/>
                <w:b w:val="0"/>
                <w:bCs/>
                <w:sz w:val="21"/>
                <w:szCs w:val="21"/>
                <w:highlight w:val="none"/>
              </w:rPr>
              <w:t>则</w:t>
            </w:r>
          </w:p>
        </w:tc>
        <w:tc>
          <w:tcPr>
            <w:tcW w:w="9072" w:type="dxa"/>
            <w:noWrap w:val="0"/>
            <w:vAlign w:val="top"/>
          </w:tcPr>
          <w:p w14:paraId="5BD4FE91">
            <w:pPr>
              <w:spacing w:line="360" w:lineRule="exact"/>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【急救措施】</w:t>
            </w:r>
          </w:p>
          <w:p w14:paraId="4BDFD360">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kern w:val="2"/>
                <w:sz w:val="21"/>
                <w:szCs w:val="21"/>
                <w:highlight w:val="none"/>
              </w:rPr>
              <w:t>吸入：迅速脱离现场至空气新鲜处。保持呼吸道通畅。如呼吸困难，给氧，给予2%至4%的碳酸氢钠溶液雾化吸入。呼吸、心跳停止，立即进</w:t>
            </w:r>
            <w:r>
              <w:rPr>
                <w:rStyle w:val="39"/>
                <w:rFonts w:hint="default" w:ascii="Times New Roman" w:hAnsi="Times New Roman" w:cs="Times New Roman"/>
                <w:b w:val="0"/>
                <w:bCs/>
                <w:sz w:val="21"/>
                <w:szCs w:val="21"/>
                <w:highlight w:val="none"/>
              </w:rPr>
              <w:t>行心肺复苏术。就医。</w:t>
            </w:r>
          </w:p>
          <w:p w14:paraId="2C574ECB">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眼睛接触：立即分开眼睑，用流动清水或生理盐水彻底冲洗。就医。</w:t>
            </w:r>
          </w:p>
          <w:p w14:paraId="46226C51">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皮肤接触：立即脱去污染的衣着，用流动清水彻底冲洗。就医。</w:t>
            </w:r>
          </w:p>
          <w:p w14:paraId="128C680A">
            <w:pPr>
              <w:spacing w:line="360" w:lineRule="exact"/>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【灭火方法】</w:t>
            </w:r>
          </w:p>
          <w:p w14:paraId="71EC7CBF">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本品不燃，但周围起火时应切断气源。喷水冷却容器，尽可能将容器从火场移至空旷处。消防人员必须佩戴正压自给式空气呼吸器，穿全身防火防毒服，在上风向灭火。由于火场中可能发生容器爆破的情况，消防人员须在防爆掩蔽处操作。有氯气泄漏时，使用细水雾驱赶泄漏的气体，使其远离未受波及的区域。</w:t>
            </w:r>
          </w:p>
          <w:p w14:paraId="0125734E">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灭火剂：根据周围着火原因选择适当灭火剂灭火。可用干粉、二氧化碳、水（雾状水）或泡沫。</w:t>
            </w:r>
          </w:p>
          <w:p w14:paraId="543440C7">
            <w:pPr>
              <w:spacing w:line="360" w:lineRule="exact"/>
              <w:rPr>
                <w:rFonts w:hint="default" w:ascii="Times New Roman" w:hAnsi="Times New Roman" w:cs="Times New Roman"/>
                <w:b w:val="0"/>
                <w:bCs/>
                <w:kern w:val="0"/>
                <w:sz w:val="21"/>
                <w:szCs w:val="21"/>
                <w:highlight w:val="none"/>
              </w:rPr>
            </w:pPr>
            <w:r>
              <w:rPr>
                <w:rFonts w:hint="default" w:ascii="Times New Roman" w:hAnsi="Times New Roman" w:cs="Times New Roman"/>
                <w:b w:val="0"/>
                <w:bCs/>
                <w:kern w:val="0"/>
                <w:sz w:val="21"/>
                <w:szCs w:val="21"/>
                <w:highlight w:val="none"/>
              </w:rPr>
              <w:t>【泄漏应急处置】</w:t>
            </w:r>
          </w:p>
          <w:p w14:paraId="4F8A9FE0">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根据气体扩散的影响区域划定警戒区，无关人员从侧风、上风向撤离至安全区。建议应急处理人员穿内置正压自给式空气呼吸器的全封闭防化服，戴橡胶手套。如果是液体泄漏，还应注意防冻伤。禁止接触或跨越泄漏物。勿使泄漏物与可燃物质（如木材、纸、油等）接触。尽可能切断泄漏源。喷雾状水抑制蒸气或改变蒸气云流向，避免水流接触泄漏物。禁止用水直接冲击泄漏物或泄漏源。若可能翻转容器，使之逸出气体而非液体。防止气体通过下水道、通风系统和限制性空间扩散。构筑围堤堵截液体泄漏物。喷稀碱液中和、稀释。隔离泄漏区直至气体散尽。泄漏场所保持通风。</w:t>
            </w:r>
          </w:p>
          <w:p w14:paraId="22E6AACB">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不同泄漏情况下的具体措施：</w:t>
            </w:r>
          </w:p>
          <w:p w14:paraId="144B0B47">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瓶阀密封填料处泄漏时，应查压紧螺帽是否松动或拧紧压紧螺帽；瓶阀出口泄漏时，应查瓶阀是否关紧或关紧瓶阀，或用铜六角螺帽封闭瓶阀口。</w:t>
            </w:r>
          </w:p>
          <w:p w14:paraId="58D3FF76">
            <w:pPr>
              <w:pStyle w:val="14"/>
              <w:spacing w:before="0" w:beforeAutospacing="0" w:after="0" w:afterAutospacing="0" w:line="360" w:lineRule="exact"/>
              <w:ind w:firstLine="420" w:firstLineChars="200"/>
              <w:rPr>
                <w:rStyle w:val="39"/>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瓶体泄漏点为孔洞时，可使用堵漏器材(如竹签、木塞、止漏器等)处理，并注意对堵漏器材紧固，防止脱落。上述处理均无效时，应迅速将泄漏气瓶浸没于备有足够体积的烧碱或石灰水溶液吸收池进行无害化处理，并控制吸收液温度不高于45℃、pH不小于7，防止吸收液失效分解。</w:t>
            </w:r>
          </w:p>
          <w:p w14:paraId="505EBF9A">
            <w:pPr>
              <w:pStyle w:val="14"/>
              <w:spacing w:before="0" w:beforeAutospacing="0" w:after="0" w:afterAutospacing="0" w:line="360" w:lineRule="exact"/>
              <w:ind w:firstLine="420" w:firstLineChars="200"/>
              <w:rPr>
                <w:rFonts w:hint="default" w:ascii="Times New Roman" w:hAnsi="Times New Roman" w:cs="Times New Roman"/>
                <w:b w:val="0"/>
                <w:bCs/>
                <w:sz w:val="21"/>
                <w:szCs w:val="21"/>
                <w:highlight w:val="none"/>
              </w:rPr>
            </w:pPr>
            <w:r>
              <w:rPr>
                <w:rStyle w:val="39"/>
                <w:rFonts w:hint="default" w:ascii="Times New Roman" w:hAnsi="Times New Roman" w:cs="Times New Roman"/>
                <w:b w:val="0"/>
                <w:bCs/>
                <w:sz w:val="21"/>
                <w:szCs w:val="21"/>
                <w:highlight w:val="none"/>
              </w:rPr>
              <w:t>隔离与疏散距离：小量泄漏，初始隔离60m，下风向疏散白天400m、夜晚1600m；大量泄漏，初始隔离600m，下风向疏散白天3500m、夜晚8000m。</w:t>
            </w:r>
          </w:p>
        </w:tc>
      </w:tr>
    </w:tbl>
    <w:p w14:paraId="733AF02C">
      <w:pPr>
        <w:pStyle w:val="21"/>
        <w:keepNext/>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4" w:name="_Toc19019"/>
      <w:r>
        <w:rPr>
          <w:rFonts w:eastAsia="楷体" w:cs="Times New Roman"/>
          <w:b/>
          <w:bCs/>
          <w:sz w:val="32"/>
          <w:szCs w:val="32"/>
        </w:rPr>
        <w:t>3.2</w:t>
      </w:r>
      <w:r>
        <w:rPr>
          <w:rFonts w:hint="eastAsia" w:ascii="楷体" w:hAnsi="楷体" w:eastAsia="楷体"/>
          <w:b/>
          <w:bCs/>
          <w:sz w:val="32"/>
          <w:szCs w:val="32"/>
        </w:rPr>
        <w:t>生产、储存过程的危险、有害因素分析</w:t>
      </w:r>
      <w:bookmarkEnd w:id="24"/>
    </w:p>
    <w:p w14:paraId="69EC2377">
      <w:pPr>
        <w:pStyle w:val="21"/>
        <w:adjustRightInd w:val="0"/>
        <w:snapToGrid w:val="0"/>
        <w:ind w:firstLine="560"/>
      </w:pPr>
      <w:r>
        <w:rPr>
          <w:rFonts w:hint="eastAsia"/>
        </w:rPr>
        <w:t>根据《生产过程危险和有害因素分类与代码》和《企业职工伤害事故分类》等的有关规定，对该公司重大危险源的危险有害因素造成的事故进行分类，从人的因素、物的因素、环境因素、管理因素对储存过程</w:t>
      </w:r>
      <w:r>
        <w:rPr>
          <w:rFonts w:hint="eastAsia"/>
          <w:lang w:val="en-US" w:eastAsia="zh-CN"/>
        </w:rPr>
        <w:t>中的</w:t>
      </w:r>
      <w:r>
        <w:rPr>
          <w:rFonts w:hint="eastAsia"/>
        </w:rPr>
        <w:t>危险和有害因素进行辨识。事故因素主要为：</w:t>
      </w:r>
      <w:r>
        <w:rPr>
          <w:rFonts w:hint="eastAsia"/>
          <w:lang w:val="en-US" w:eastAsia="zh-CN"/>
        </w:rPr>
        <w:t>火灾、爆炸、中毒和窒息、</w:t>
      </w:r>
      <w:r>
        <w:rPr>
          <w:rFonts w:hint="eastAsia"/>
        </w:rPr>
        <w:t>触电、低温冻伤、机械伤害、物体打击、高处坠落、车辆伤害、噪声与振动和起重伤害等。</w:t>
      </w:r>
    </w:p>
    <w:p w14:paraId="293C40DD">
      <w:pPr>
        <w:pStyle w:val="21"/>
        <w:adjustRightInd w:val="0"/>
        <w:snapToGrid w:val="0"/>
        <w:spacing w:before="156" w:beforeLines="50" w:after="156" w:afterLines="50"/>
        <w:ind w:firstLine="562"/>
        <w:outlineLvl w:val="2"/>
        <w:rPr>
          <w:rFonts w:hint="eastAsia" w:eastAsia="黑体" w:cs="Times New Roman"/>
          <w:b/>
          <w:bCs/>
          <w:lang w:val="en-US" w:eastAsia="zh-CN"/>
        </w:rPr>
      </w:pPr>
      <w:r>
        <w:rPr>
          <w:rFonts w:eastAsia="黑体" w:cs="Times New Roman"/>
          <w:b/>
          <w:bCs/>
        </w:rPr>
        <w:t>3.2.1</w:t>
      </w:r>
      <w:r>
        <w:rPr>
          <w:rFonts w:hint="eastAsia" w:eastAsia="黑体" w:cs="Times New Roman"/>
          <w:b/>
          <w:bCs/>
          <w:lang w:val="en-US" w:eastAsia="zh-CN"/>
        </w:rPr>
        <w:t>火灾、爆炸</w:t>
      </w:r>
    </w:p>
    <w:p w14:paraId="32718D5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本项目</w:t>
      </w:r>
      <w:r>
        <w:rPr>
          <w:rFonts w:hint="eastAsia" w:ascii="Times New Roman" w:hAnsi="Times New Roman" w:eastAsia="宋体" w:cs="Times New Roman"/>
          <w:sz w:val="28"/>
          <w:szCs w:val="28"/>
          <w:lang w:eastAsia="zh-CN"/>
        </w:rPr>
        <w:t>1#</w:t>
      </w:r>
      <w:r>
        <w:rPr>
          <w:rFonts w:hint="eastAsia" w:ascii="Times New Roman" w:hAnsi="Times New Roman" w:eastAsia="宋体" w:cs="Times New Roman"/>
          <w:sz w:val="28"/>
          <w:szCs w:val="28"/>
        </w:rPr>
        <w:t>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的火灾危险类别为乙类，当生产设备设施、储存设施的设计、制造存在缺陷，或储存及运输过程中若操作不当、违反操作规程等人为因素，或设备、管道、阀门等检修不及时，没有及时发现出现的故障等，都有可能导致物料的泄漏，进而产生火灾、爆炸等事故。</w:t>
      </w:r>
    </w:p>
    <w:p w14:paraId="600F3FF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lang w:eastAsia="zh-CN"/>
        </w:rPr>
        <w:t>1#</w:t>
      </w:r>
      <w:r>
        <w:rPr>
          <w:rFonts w:hint="eastAsia" w:ascii="Times New Roman" w:hAnsi="Times New Roman" w:eastAsia="宋体" w:cs="Times New Roman"/>
          <w:sz w:val="28"/>
          <w:szCs w:val="28"/>
        </w:rPr>
        <w:t>液氯</w:t>
      </w:r>
      <w:r>
        <w:rPr>
          <w:rFonts w:hint="eastAsia" w:ascii="Times New Roman" w:hAnsi="Times New Roman" w:eastAsia="宋体" w:cs="Times New Roman"/>
          <w:sz w:val="28"/>
          <w:szCs w:val="28"/>
          <w:lang w:val="en-US" w:eastAsia="zh-CN"/>
        </w:rPr>
        <w:t>库</w:t>
      </w:r>
      <w:r>
        <w:rPr>
          <w:rFonts w:hint="eastAsia" w:ascii="Times New Roman" w:hAnsi="Times New Roman" w:eastAsia="宋体" w:cs="Times New Roman"/>
          <w:sz w:val="28"/>
          <w:szCs w:val="28"/>
        </w:rPr>
        <w:t>涉及的氯气，是一种助燃物质；氯气化学性质活泼，能与乙醚、氨气、烃类、聚丙烯、氢气和金属粉末等物质发生剧烈化学反应而引起火灾或爆炸事故，液氯与这些物质混装都可能发生爆炸。装卸过程中，由于加料管线、阀门等密封不严，抽料、搬运时操作不当，包装物损坏，有可能发生火灾、爆炸事故。</w:t>
      </w:r>
    </w:p>
    <w:p w14:paraId="2278E93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压力容器或管道因安全附件（安全阀、压力表等）失效、失控、金属材料腐蚀、疲劳或维护保养不当时，存在发生爆炸或爆破的危险性。</w:t>
      </w:r>
    </w:p>
    <w:p w14:paraId="220B9C4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未定期清理管道或设备内的残余物，造成堵塞，可能导致火灾、爆炸事故。设备检修时未能执行安全动火制度，设备内残留有易燃易爆物质，置换或清理不符合要求，未分析合格，或违章动火，可能发生火灾、爆炸事故。</w:t>
      </w:r>
    </w:p>
    <w:p w14:paraId="1102301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若防雷电设施不符合要求或使用过程中损坏、失效，可能遭受雷击，雷电放电引起过电压，会产生火灾。</w:t>
      </w:r>
    </w:p>
    <w:p w14:paraId="6306AED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（1）生产设备及管道</w:t>
      </w:r>
    </w:p>
    <w:p w14:paraId="0972F8A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在生产过程中，如果操作人员操作失误或设备出现故障等，都可能会引起物料或其蒸气泄漏，遇点火源（摩擦、撞击、静电、高温等都有可能构成点火源）有燃烧、爆炸的危险。可能引起易燃易爆物质泄漏的主要原因包括以下几个方面：</w:t>
      </w:r>
    </w:p>
    <w:p w14:paraId="1ABAA8E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1）设备、管道泄漏的主要原因</w:t>
      </w:r>
    </w:p>
    <w:p w14:paraId="0E925C2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①</w:t>
      </w:r>
      <w:r>
        <w:rPr>
          <w:rFonts w:hint="eastAsia" w:ascii="Times New Roman" w:hAnsi="Times New Roman" w:eastAsia="宋体" w:cs="Times New Roman"/>
          <w:sz w:val="28"/>
          <w:szCs w:val="28"/>
        </w:rPr>
        <w:t>由于材料被腐蚀造成的破坏；</w:t>
      </w:r>
    </w:p>
    <w:p w14:paraId="79C059C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②</w:t>
      </w:r>
      <w:r>
        <w:rPr>
          <w:rFonts w:hint="eastAsia" w:ascii="Times New Roman" w:hAnsi="Times New Roman" w:eastAsia="宋体" w:cs="Times New Roman"/>
          <w:sz w:val="28"/>
          <w:szCs w:val="28"/>
        </w:rPr>
        <w:t>由于移动造成的破坏，具体原因包括：由于热收缩造成的破坏；振动破坏；地基沉降和地震造成的破坏。</w:t>
      </w:r>
    </w:p>
    <w:p w14:paraId="584F858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③</w:t>
      </w:r>
      <w:r>
        <w:rPr>
          <w:rFonts w:hint="eastAsia" w:ascii="Times New Roman" w:hAnsi="Times New Roman" w:eastAsia="宋体" w:cs="Times New Roman"/>
          <w:sz w:val="28"/>
          <w:szCs w:val="28"/>
        </w:rPr>
        <w:t>异常压力、高温造成的破坏，主要是误操作产生的异常高温、高压造成破坏。</w:t>
      </w:r>
    </w:p>
    <w:p w14:paraId="7DC295C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2）泄漏</w:t>
      </w:r>
    </w:p>
    <w:p w14:paraId="2CF82E2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①</w:t>
      </w:r>
      <w:r>
        <w:rPr>
          <w:rFonts w:hint="eastAsia" w:ascii="Times New Roman" w:hAnsi="Times New Roman" w:eastAsia="宋体" w:cs="Times New Roman"/>
          <w:sz w:val="28"/>
          <w:szCs w:val="28"/>
        </w:rPr>
        <w:t>密封结构合理。</w:t>
      </w:r>
    </w:p>
    <w:p w14:paraId="480EB58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②</w:t>
      </w:r>
      <w:r>
        <w:rPr>
          <w:rFonts w:hint="eastAsia" w:ascii="Times New Roman" w:hAnsi="Times New Roman" w:eastAsia="宋体" w:cs="Times New Roman"/>
          <w:sz w:val="28"/>
          <w:szCs w:val="28"/>
        </w:rPr>
        <w:t>密封材料不合理。</w:t>
      </w:r>
    </w:p>
    <w:p w14:paraId="7756DA7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3）阀门和法兰的泄漏</w:t>
      </w:r>
    </w:p>
    <w:p w14:paraId="231830BB">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①</w:t>
      </w:r>
      <w:r>
        <w:rPr>
          <w:rFonts w:hint="eastAsia" w:ascii="Times New Roman" w:hAnsi="Times New Roman" w:eastAsia="宋体" w:cs="Times New Roman"/>
          <w:sz w:val="28"/>
          <w:szCs w:val="28"/>
        </w:rPr>
        <w:t>法兰连接所采用的垫片通常是石棉橡胶板垫片或金属缠绕垫片。石棉橡胶板垫片回弹力较差，在高温、低温、高压等恶劣工况下容易老化，导致物料泄漏；金属缠绕垫有较好的回弹性和耐热性，强度高，是法兰连接较为理想的垫片，但使用时要特别注意尺寸、选型和安装质量，否则将金属缠绕丝压断就容易产生泄漏。</w:t>
      </w:r>
    </w:p>
    <w:p w14:paraId="3E32EE2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宋体" w:hAnsi="宋体" w:eastAsia="宋体" w:cs="Times New Roman"/>
          <w:sz w:val="28"/>
          <w:szCs w:val="28"/>
        </w:rPr>
        <w:t>②</w:t>
      </w:r>
      <w:r>
        <w:rPr>
          <w:rFonts w:hint="eastAsia" w:ascii="Times New Roman" w:hAnsi="Times New Roman" w:eastAsia="宋体" w:cs="Times New Roman"/>
          <w:sz w:val="28"/>
          <w:szCs w:val="28"/>
        </w:rPr>
        <w:t>阀门是最重要的控制部件。由于阀门频繁的开启、关闭使阀门的密封填料磨损、老化，产生泄漏。</w:t>
      </w:r>
    </w:p>
    <w:p w14:paraId="42E7798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4）误操作、违章指挥、违反操作规程等，均有可能造成物料泄漏。</w:t>
      </w:r>
    </w:p>
    <w:p w14:paraId="149C797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5）易燃、可燃、易爆介质管线、设备的导淋或放空随意排放，可造成危险区域范围扩大，就会增大其闪燃爆炸的几率。</w:t>
      </w:r>
    </w:p>
    <w:p w14:paraId="51ED704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6）管道组成件失灵，如闸阀阀板脱落，造成管道阻塞而超压。</w:t>
      </w:r>
    </w:p>
    <w:p w14:paraId="7E22387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7）管道标准选用不合适或管道材质使用不当，影响管道的质量，在设计寿命内，管道会因强度不够而破裂。如危险物料管道材质应为20#钢，而非铸铁管道及管件。</w:t>
      </w:r>
    </w:p>
    <w:p w14:paraId="5CB42B2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由于工艺过程物料有有机物，在长期生产过程中，设备和管道内表面易有长时间的氢离子吸附。根据氢脆理论，有些设备和管道材料易有程度不同的氢脆倾向，氢脆导致材料脆性增大，无延性转变温度提高，造成材料低应力开裂，引发突发性火灾事故。设备和管道的低应力开裂事先无明显征兆，不容易预防。</w:t>
      </w:r>
    </w:p>
    <w:p w14:paraId="257C516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容易造成泄漏部位主要有各种设备法兰、管道法兰接口；人孔、手孔、检查孔等，这些部位若法兰密封不良，法兰刚度不足，在内压力作用下导致变形引发物料泄漏，与母体材料相比，再完善焊接接头均有先天不足之处，如接头处材料金属晶格严重扭曲，材料加工硬化均会使接头优先腐蚀，接头近缝区、热影响区晶粒组织粗大可使接头韧性降低。焊接接头残余应力的存在，都有可能使焊接接头在一次应力、二次应力作用下开裂，导致物料外溢，造成装置区区域性易燃易爆气体浓度骤增，引发火灾爆炸。</w:t>
      </w:r>
    </w:p>
    <w:p w14:paraId="0252BCF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设备静电接地不良，产生静电火花，也是引发火灾爆炸不可忽视的因素。工艺操作参数不稳定，如压力温度波动，物料容量波动，物料流速波动也是引发火灾爆炸事故的主要影响因素。没有严格执行动火审批管理制度，动用明火导致工艺设备火灾爆炸。</w:t>
      </w:r>
    </w:p>
    <w:p w14:paraId="6F61BC8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（2）压力容器及压力管道</w:t>
      </w:r>
    </w:p>
    <w:p w14:paraId="7AB8EAB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物质的状态或压力发生突变等物理变化而形成爆炸。压力容器设计、安装、使用、维修不符合标准，未定期检测，缺少附件等都可能引起容器爆炸。压力容器爆炸的原因包括超压、超温、容器局部损坏、安全装置失灵等。爆炸发生后，产生的冲击波超压会造成人员伤亡和建筑物的破坏，爆破碎片可致人重伤或死亡，损坏附近的设备和管道，并引起继发事故。压力管道是由管子、阀门等管道元件和支吊架等管道支承件组成，管道不符合规格要求或存在缺陷，附件不齐全或附件失效，操作不当都会引起管道破裂事故。</w:t>
      </w:r>
    </w:p>
    <w:p w14:paraId="4990CB8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1）容器爆炸</w:t>
      </w:r>
    </w:p>
    <w:p w14:paraId="52DD4061">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①超压爆炸：即使用压力超过容器额定承压能力的爆炸。</w:t>
      </w:r>
    </w:p>
    <w:p w14:paraId="0CFB9B8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②工作压力下爆炸：即容器原承压能力降到使用压力以下的爆炸。</w:t>
      </w:r>
    </w:p>
    <w:p w14:paraId="2B89B50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③超压爆炸因安全泄压装置自动失效而引起。工作压力下爆炸因容</w:t>
      </w:r>
    </w:p>
    <w:p w14:paraId="5CF1949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器本体缺陷、性能降低而导致。</w:t>
      </w:r>
    </w:p>
    <w:p w14:paraId="3ADF668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a.超压超温</w:t>
      </w:r>
    </w:p>
    <w:p w14:paraId="276C85C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b.压力容器有先天性缺陷</w:t>
      </w:r>
    </w:p>
    <w:p w14:paraId="095438F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c.未按规定对压力容器进行定期检验和报废。</w:t>
      </w:r>
    </w:p>
    <w:p w14:paraId="7F1A659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d.压力容器内腐蚀和容器外腐蚀</w:t>
      </w:r>
    </w:p>
    <w:p w14:paraId="32B880D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e.安全阀卡涩，未按规定进行定期校验，排气量不够。</w:t>
      </w:r>
    </w:p>
    <w:p w14:paraId="6B328A7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f.操作人员违章操作</w:t>
      </w:r>
    </w:p>
    <w:p w14:paraId="42F7C4D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g.压力容器同时进入发生化学反应的物质而引发爆炸。</w:t>
      </w:r>
    </w:p>
    <w:p w14:paraId="7D9C7B8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（3）储存过程中的火灾、爆炸危险</w:t>
      </w:r>
    </w:p>
    <w:p w14:paraId="22F3B057">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设有液氯储槽。1）压力容器如果超压储存或者超量储存都有可能引发爆炸事故。2）人为原因造成泄漏，遇明火或高温导致火灾爆炸事故。3）维修或吸烟等明火导致火灾爆炸事故。4）输送物料的管路或软管，防静电接地不良或未使用防静电软管，易产生静电，导致火灾爆炸事故的发生。5）防雷防静电接地不良，遇雷电、静电、电气火花等原因，导致火灾爆炸事故。</w:t>
      </w:r>
    </w:p>
    <w:p w14:paraId="7FF9D78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（4）电气系统火灾</w:t>
      </w:r>
    </w:p>
    <w:p w14:paraId="043DF706">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1）电缆火灾</w:t>
      </w:r>
    </w:p>
    <w:p w14:paraId="4F0F698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引发电缆火灾的主要原因：①电缆制造时存在缺陷或长期过负荷运行、过热等原因使电缆老化，绝缘强度降低，电缆击穿短路而引发火灾；如果电缆夹层、电缆隧道等未设感温电缆，将会使初期火情得不到及时报警和控制。②电缆敷设的曲率半径过小等原因可能使电缆绝缘损坏，而机械损伤、潮湿环境或酸、碱、盐等腐蚀性介质都有可能使电缆的绝缘强度降低，从而使电缆因绝缘被击穿而发生短路而引发火灾。③电缆的终端接头和中间接头是电缆绝缘的薄弱环节，如果接头盒密封不良，水、潮气进入，内部留有气孔，均可使绝缘强度降低，导致绝缘击穿短路而引发火灾。</w:t>
      </w:r>
    </w:p>
    <w:p w14:paraId="1D50F03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2）电气火灾</w:t>
      </w:r>
    </w:p>
    <w:p w14:paraId="3B18058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本项目</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使用的电气设备可能引发电气火灾，导致电气火灾的具体原因如下：</w:t>
      </w:r>
    </w:p>
    <w:p w14:paraId="676E83CB">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电气设备接触不良，当工作电流通过时，在接触电阻上产生较大的热量，使连接处温度升高，高温又使氧化进一步加剧，使接触电阻进一步加大，形成恶性循环，产生很高的温度，使附近的绝缘软化造成短路而引发火灾，也可能直接烤燃附近的可燃物而引发火灾。</w:t>
      </w:r>
    </w:p>
    <w:p w14:paraId="732A2EE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2）电气设备过载、短路时会产生过电流，过电流产生的热效应可能造成电气火灾。</w:t>
      </w:r>
    </w:p>
    <w:p w14:paraId="5821B32D">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电力设备在运行的过程中，可能因故障原因而导致工频电压升高，用电设备的发热与电压的二次方成正比时可引发火灾。具体的原因有：中心点位移、不稳定的短路或接地故障、电气设备误操作、设计选型或施工安装错误等。</w:t>
      </w:r>
    </w:p>
    <w:p w14:paraId="11A0E49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4）生产辅助使用的电缆、电线及接线盒质量不好，绝缘过度老化，也可引起电气火灾。</w:t>
      </w:r>
    </w:p>
    <w:p w14:paraId="646E4C5F">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5）雷电放电、反击、感应过电压都可能引发火灾。</w:t>
      </w:r>
    </w:p>
    <w:p w14:paraId="013A2958">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6）静电积聚释放的电火花遇可燃物可引起火灾。</w:t>
      </w:r>
    </w:p>
    <w:p w14:paraId="34339342">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2</w:t>
      </w:r>
      <w:r>
        <w:rPr>
          <w:rFonts w:hint="eastAsia" w:ascii="黑体" w:hAnsi="黑体" w:eastAsia="黑体" w:cstheme="minorBidi"/>
          <w:b/>
          <w:bCs/>
          <w:kern w:val="2"/>
          <w:sz w:val="28"/>
          <w:szCs w:val="24"/>
          <w:lang w:val="en-US" w:eastAsia="zh-CN" w:bidi="ar-SA"/>
          <w14:ligatures w14:val="standardContextual"/>
        </w:rPr>
        <w:t>中毒和窒息</w:t>
      </w:r>
    </w:p>
    <w:p w14:paraId="56F79EF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本项目</w:t>
      </w:r>
      <w:r>
        <w:rPr>
          <w:rFonts w:hint="eastAsia" w:ascii="Times New Roman" w:hAnsi="Times New Roman" w:eastAsia="宋体" w:cs="Times New Roman"/>
          <w:sz w:val="28"/>
          <w:szCs w:val="28"/>
          <w:lang w:eastAsia="zh-CN"/>
        </w:rPr>
        <w:t>1#</w:t>
      </w:r>
      <w:r>
        <w:rPr>
          <w:rFonts w:hint="eastAsia" w:ascii="Times New Roman" w:hAnsi="Times New Roman" w:eastAsia="宋体" w:cs="Times New Roman"/>
          <w:sz w:val="28"/>
          <w:szCs w:val="28"/>
          <w:lang w:val="en-US" w:eastAsia="zh-CN"/>
        </w:rPr>
        <w:t>液氯库</w:t>
      </w:r>
      <w:r>
        <w:rPr>
          <w:rFonts w:hint="eastAsia" w:ascii="Times New Roman" w:hAnsi="Times New Roman" w:eastAsia="宋体" w:cs="Times New Roman"/>
          <w:sz w:val="28"/>
          <w:szCs w:val="28"/>
        </w:rPr>
        <w:t>涉及的毒性为高度危害的危险化学品为：氯气。氯气具有强烈的毒性，一旦发生泄漏，而无应急处理设施，在周围的大气中很快形成足以令人死亡或严重中毒的毒气浓度。泄漏区周围操作人员有中毒窒息的危险，氯气泄漏飘散距离可达到数百米，对周围的人群也有中毒窒息的危险性，所以在物质的储存和使用过程存在严重中毒伤害的危险。如果氯气泄漏造成人员不慎大量吸入可引起对眼、呼吸系统粘膜有刺激作用。可引起迷走神经兴奋、反射性心跳骤停。急性中毒：轻度者出现粘膜刺激症状:眼红、流泪、咳嗽，肺部无特殊所见；中度者出现支气管炎和支气管肺炎表现，病人胸痛，头痛、恶心、较重干咳、呼吸及脉搏增快，可有轻度紫绀等；重度者出现肺水肿，可发生昏迷和休克。有时发生喉头痉挛和水肿。造成窒息。还可引起反射性呼吸抑制，发生呼吸骤停死亡。慢性中毒：长期低浓度接触，可引起慢性支气管炎、支气管哮喘和肺水肿；可引起职业性痤疮及牙齿酸蚀症。此外，若人员检修作业时，未将管路内氯气排放干净、人员未佩戴有效的防护面具或未进行氯气浓度的监测，会造成中毒窒息危险。</w:t>
      </w:r>
    </w:p>
    <w:p w14:paraId="031DE6C2">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上述危险化学品在密闭设备及管道内运行，在正常情况下，作业场所的污染较少。事故状态下释放量可能会增大，引起中毒死亡。引发中毒事故的主要原因有如下几点：</w:t>
      </w:r>
    </w:p>
    <w:p w14:paraId="4CD21E9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1）在生产过程中，设备、管线等发生物料的泄漏，人员接触，有发生中毒死亡的可能。</w:t>
      </w:r>
    </w:p>
    <w:p w14:paraId="618C19A3">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2）在从事设备检修时，待检修的设备没有进行清洗、置换，未进行有毒物质的分析测定合格，违章拆卸设备、管道，容易造成有毒危险化学品泄漏、挥发，造成作业和周边人员中毒。</w:t>
      </w:r>
    </w:p>
    <w:p w14:paraId="3069AACA">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3）设备内部检修，有害气体可能会从内漏的管道阀门，漏入被检修的设备内，存在造成作业人员发生中毒的危险。</w:t>
      </w:r>
    </w:p>
    <w:p w14:paraId="7EC7219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4）操作人员在操作过程中未按规定佩戴防护用品，引起中毒。该项目需要使用氩气置换和保护，氩气虽然毒性较低，但氩气过量，使空间内氧分压下降，会引起人员缺氧窒息。</w:t>
      </w:r>
    </w:p>
    <w:p w14:paraId="196AA4C3">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3</w:t>
      </w:r>
      <w:r>
        <w:rPr>
          <w:rFonts w:hint="eastAsia" w:ascii="黑体" w:hAnsi="黑体" w:eastAsia="黑体" w:cstheme="minorBidi"/>
          <w:b/>
          <w:bCs/>
          <w:kern w:val="2"/>
          <w:sz w:val="28"/>
          <w:szCs w:val="24"/>
          <w:lang w:val="en-US" w:eastAsia="zh-CN" w:bidi="ar-SA"/>
          <w14:ligatures w14:val="standardContextual"/>
        </w:rPr>
        <w:t>触电</w:t>
      </w:r>
    </w:p>
    <w:p w14:paraId="3F23F5F6">
      <w:pPr>
        <w:pStyle w:val="21"/>
        <w:adjustRightInd w:val="0"/>
        <w:snapToGrid w:val="0"/>
        <w:ind w:firstLine="560"/>
        <w:rPr>
          <w:rFonts w:hint="eastAsia"/>
        </w:rPr>
      </w:pPr>
      <w:r>
        <w:rPr>
          <w:rFonts w:hint="eastAsia"/>
        </w:rPr>
        <w:t>（1）触电事故</w:t>
      </w:r>
    </w:p>
    <w:p w14:paraId="3AE0333B">
      <w:pPr>
        <w:pStyle w:val="21"/>
        <w:adjustRightInd w:val="0"/>
        <w:snapToGrid w:val="0"/>
        <w:ind w:firstLine="560"/>
        <w:rPr>
          <w:rFonts w:hint="eastAsia"/>
        </w:rPr>
      </w:pPr>
      <w:r>
        <w:rPr>
          <w:rFonts w:hint="eastAsia"/>
        </w:rPr>
        <w:t>这类危险主要发生在各种机泵的电动机、风机设备等和辅助设施等所在的变压器、配电室部位以及动力与照明电气线路等处和照明电器上。</w:t>
      </w:r>
    </w:p>
    <w:p w14:paraId="786DE75E">
      <w:pPr>
        <w:pStyle w:val="21"/>
        <w:adjustRightInd w:val="0"/>
        <w:snapToGrid w:val="0"/>
        <w:ind w:firstLine="560"/>
        <w:rPr>
          <w:rFonts w:hint="eastAsia"/>
        </w:rPr>
      </w:pPr>
      <w:r>
        <w:rPr>
          <w:rFonts w:hint="eastAsia"/>
        </w:rPr>
        <w:t>在安装施工过程中，由于选用质量低下的电气设备、器材或安装质量有缺陷而发生故障，或在工作过程和维修保养过程中，由于作业人员不能按照电气工作安全操作规程进行或缺乏安全用电常识，均可能造成触电危险事故的发生。</w:t>
      </w:r>
    </w:p>
    <w:p w14:paraId="118D39F9">
      <w:pPr>
        <w:pStyle w:val="21"/>
        <w:adjustRightInd w:val="0"/>
        <w:snapToGrid w:val="0"/>
        <w:ind w:firstLine="560"/>
        <w:rPr>
          <w:rFonts w:hint="eastAsia"/>
        </w:rPr>
      </w:pPr>
      <w:r>
        <w:rPr>
          <w:rFonts w:hint="eastAsia"/>
        </w:rPr>
        <w:t>1）种类：</w:t>
      </w:r>
    </w:p>
    <w:p w14:paraId="361F3699">
      <w:pPr>
        <w:pStyle w:val="21"/>
        <w:adjustRightInd w:val="0"/>
        <w:snapToGrid w:val="0"/>
        <w:ind w:firstLine="560"/>
        <w:rPr>
          <w:rFonts w:hint="eastAsia"/>
        </w:rPr>
      </w:pPr>
      <w:r>
        <w:rPr>
          <w:rFonts w:hint="eastAsia"/>
        </w:rPr>
        <w:t>①人直接与带电体接触；</w:t>
      </w:r>
    </w:p>
    <w:p w14:paraId="49E5FEB9">
      <w:pPr>
        <w:pStyle w:val="21"/>
        <w:adjustRightInd w:val="0"/>
        <w:snapToGrid w:val="0"/>
        <w:ind w:firstLine="560"/>
        <w:rPr>
          <w:rFonts w:hint="eastAsia"/>
        </w:rPr>
      </w:pPr>
      <w:r>
        <w:rPr>
          <w:rFonts w:hint="eastAsia"/>
        </w:rPr>
        <w:t>②与绝缘损坏电气设备接触；</w:t>
      </w:r>
    </w:p>
    <w:p w14:paraId="7EAAF890">
      <w:pPr>
        <w:pStyle w:val="21"/>
        <w:adjustRightInd w:val="0"/>
        <w:snapToGrid w:val="0"/>
        <w:ind w:firstLine="560"/>
        <w:rPr>
          <w:rFonts w:hint="eastAsia"/>
        </w:rPr>
      </w:pPr>
      <w:r>
        <w:rPr>
          <w:rFonts w:hint="eastAsia"/>
        </w:rPr>
        <w:t>③与高压带电体的距离小于安全距离；</w:t>
      </w:r>
    </w:p>
    <w:p w14:paraId="01DC8B71">
      <w:pPr>
        <w:pStyle w:val="21"/>
        <w:adjustRightInd w:val="0"/>
        <w:snapToGrid w:val="0"/>
        <w:ind w:firstLine="560"/>
        <w:rPr>
          <w:rFonts w:hint="eastAsia"/>
        </w:rPr>
      </w:pPr>
      <w:r>
        <w:rPr>
          <w:rFonts w:hint="eastAsia"/>
        </w:rPr>
        <w:t>④跨步电压触电。</w:t>
      </w:r>
    </w:p>
    <w:p w14:paraId="1C010654">
      <w:pPr>
        <w:pStyle w:val="21"/>
        <w:adjustRightInd w:val="0"/>
        <w:snapToGrid w:val="0"/>
        <w:ind w:firstLine="560"/>
        <w:rPr>
          <w:rFonts w:hint="eastAsia"/>
        </w:rPr>
      </w:pPr>
      <w:r>
        <w:rPr>
          <w:rFonts w:hint="eastAsia"/>
        </w:rPr>
        <w:t>2）主要危险因素：</w:t>
      </w:r>
    </w:p>
    <w:p w14:paraId="7858B9DF">
      <w:pPr>
        <w:pStyle w:val="21"/>
        <w:adjustRightInd w:val="0"/>
        <w:snapToGrid w:val="0"/>
        <w:ind w:firstLine="560"/>
        <w:rPr>
          <w:rFonts w:hint="eastAsia"/>
        </w:rPr>
      </w:pPr>
      <w:r>
        <w:rPr>
          <w:rFonts w:hint="eastAsia"/>
        </w:rPr>
        <w:t>①电气设备故障；</w:t>
      </w:r>
    </w:p>
    <w:p w14:paraId="2C4519DA">
      <w:pPr>
        <w:pStyle w:val="21"/>
        <w:adjustRightInd w:val="0"/>
        <w:snapToGrid w:val="0"/>
        <w:ind w:firstLine="560"/>
        <w:rPr>
          <w:rFonts w:hint="eastAsia"/>
        </w:rPr>
      </w:pPr>
      <w:r>
        <w:rPr>
          <w:rFonts w:hint="eastAsia"/>
        </w:rPr>
        <w:t>②输电线路的故障，如线路断路、短路；</w:t>
      </w:r>
    </w:p>
    <w:p w14:paraId="6B0E7DDA">
      <w:pPr>
        <w:pStyle w:val="21"/>
        <w:adjustRightInd w:val="0"/>
        <w:snapToGrid w:val="0"/>
        <w:ind w:firstLine="560"/>
        <w:rPr>
          <w:rFonts w:hint="eastAsia"/>
        </w:rPr>
      </w:pPr>
      <w:r>
        <w:rPr>
          <w:rFonts w:hint="eastAsia"/>
        </w:rPr>
        <w:t>③电气设备或输电线路等已建立的监控设施性能失灵；</w:t>
      </w:r>
    </w:p>
    <w:p w14:paraId="46CB1D8E">
      <w:pPr>
        <w:pStyle w:val="21"/>
        <w:adjustRightInd w:val="0"/>
        <w:snapToGrid w:val="0"/>
        <w:ind w:firstLine="560"/>
        <w:rPr>
          <w:rFonts w:hint="eastAsia"/>
        </w:rPr>
      </w:pPr>
      <w:r>
        <w:rPr>
          <w:rFonts w:hint="eastAsia"/>
        </w:rPr>
        <w:t>④设备或线路绝缘性能不良而使带电体裸露；</w:t>
      </w:r>
    </w:p>
    <w:p w14:paraId="1258F9E3">
      <w:pPr>
        <w:pStyle w:val="21"/>
        <w:adjustRightInd w:val="0"/>
        <w:snapToGrid w:val="0"/>
        <w:ind w:firstLine="560"/>
        <w:rPr>
          <w:rFonts w:hint="eastAsia"/>
        </w:rPr>
      </w:pPr>
      <w:r>
        <w:rPr>
          <w:rFonts w:hint="eastAsia"/>
        </w:rPr>
        <w:t>⑤工作人员对电气设备的误操作或电工人员违章对电气检查、检修，导致引发的触电事故。</w:t>
      </w:r>
    </w:p>
    <w:p w14:paraId="0D1E65D4">
      <w:pPr>
        <w:pStyle w:val="21"/>
        <w:adjustRightInd w:val="0"/>
        <w:snapToGrid w:val="0"/>
        <w:ind w:firstLine="560"/>
        <w:rPr>
          <w:rFonts w:hint="eastAsia"/>
        </w:rPr>
      </w:pPr>
      <w:r>
        <w:rPr>
          <w:rFonts w:hint="eastAsia"/>
        </w:rPr>
        <w:t>（2）静电伤害</w:t>
      </w:r>
    </w:p>
    <w:p w14:paraId="17B683CB">
      <w:pPr>
        <w:pStyle w:val="21"/>
        <w:adjustRightInd w:val="0"/>
        <w:snapToGrid w:val="0"/>
        <w:ind w:firstLine="560"/>
        <w:rPr>
          <w:rFonts w:hint="eastAsia"/>
        </w:rPr>
      </w:pPr>
      <w:r>
        <w:rPr>
          <w:rFonts w:hint="eastAsia"/>
        </w:rPr>
        <w:t>静电电荷产生的火花，常成为化学工业发生火灾爆炸的一个根源。产生静电荷的原因是电介质相互摩擦或电介质与金属摩擦。在输送管线中、设备内部有产生静电电荷积累的可能。尤其在输送管线、装卸等过程中，容易产生静电火花引起火灾爆炸。另外，静电也能给人以电击，造成操作人员紧张，妨碍操作，引发二次伤害事故。</w:t>
      </w:r>
    </w:p>
    <w:p w14:paraId="6B23BE75">
      <w:pPr>
        <w:pStyle w:val="21"/>
        <w:adjustRightInd w:val="0"/>
        <w:snapToGrid w:val="0"/>
        <w:ind w:firstLine="560"/>
        <w:rPr>
          <w:rFonts w:hint="eastAsia"/>
        </w:rPr>
      </w:pPr>
      <w:r>
        <w:rPr>
          <w:rFonts w:hint="eastAsia"/>
        </w:rPr>
        <w:t>（3）雷电伤害</w:t>
      </w:r>
    </w:p>
    <w:p w14:paraId="40FDE565">
      <w:pPr>
        <w:pStyle w:val="21"/>
        <w:adjustRightInd w:val="0"/>
        <w:snapToGrid w:val="0"/>
        <w:ind w:firstLine="560"/>
        <w:rPr>
          <w:rFonts w:hint="default"/>
          <w:lang w:val="en-US" w:eastAsia="zh-CN"/>
        </w:rPr>
      </w:pPr>
      <w:r>
        <w:rPr>
          <w:rFonts w:hint="eastAsia"/>
        </w:rPr>
        <w:t>雷电流能破坏绝缘，产生火花，引起停电，不仅要防感应雷和直击雷，还要防导入雷，导入雷可能导致电气系统失灵，所有电机停运，从而导致更严重的火灾、爆炸等次生灾害。</w:t>
      </w:r>
    </w:p>
    <w:p w14:paraId="500AF89A">
      <w:pPr>
        <w:pStyle w:val="21"/>
        <w:adjustRightInd w:val="0"/>
        <w:snapToGrid w:val="0"/>
        <w:spacing w:before="156" w:beforeLines="50" w:after="156" w:afterLines="50"/>
        <w:ind w:firstLine="562"/>
        <w:outlineLvl w:val="2"/>
        <w:rPr>
          <w:rFonts w:hint="default" w:ascii="黑体" w:hAnsi="黑体" w:eastAsia="黑体"/>
          <w:b/>
          <w:bCs/>
          <w:lang w:val="en-US" w:eastAsia="zh-CN"/>
        </w:rPr>
      </w:pPr>
      <w:r>
        <w:rPr>
          <w:rFonts w:eastAsia="黑体" w:cs="Times New Roman"/>
          <w:b/>
          <w:bCs/>
        </w:rPr>
        <w:t>3.2.</w:t>
      </w:r>
      <w:r>
        <w:rPr>
          <w:rFonts w:hint="eastAsia" w:eastAsia="黑体" w:cs="Times New Roman"/>
          <w:b/>
          <w:bCs/>
          <w:lang w:val="en-US" w:eastAsia="zh-CN"/>
        </w:rPr>
        <w:t>4</w:t>
      </w:r>
      <w:r>
        <w:rPr>
          <w:rFonts w:hint="eastAsia" w:ascii="黑体" w:hAnsi="黑体" w:eastAsia="黑体"/>
          <w:b/>
          <w:bCs/>
          <w:lang w:val="en-US" w:eastAsia="zh-CN"/>
        </w:rPr>
        <w:t>机械伤害</w:t>
      </w:r>
    </w:p>
    <w:p w14:paraId="46597707">
      <w:pPr>
        <w:pStyle w:val="21"/>
        <w:adjustRightInd w:val="0"/>
        <w:snapToGrid w:val="0"/>
        <w:ind w:firstLine="560"/>
        <w:rPr>
          <w:rFonts w:hint="eastAsia"/>
        </w:rPr>
      </w:pPr>
      <w:r>
        <w:rPr>
          <w:rFonts w:hint="eastAsia"/>
        </w:rPr>
        <w:t>机械伤害指机械运动（静止）部件、工具、加工件直接与人体接触引起的夹击、碰撞、剪切、卷入、绞、碾、割、刺等伤害。机械装置、动力传动设备在运行中，如果由于防护装置不完善、设备布置不当、空间狭窄、操作失误、警示信号不灵等，很容易造成夹击、碰撞、剪切、卷入等人身伤害事故。</w:t>
      </w:r>
    </w:p>
    <w:p w14:paraId="01F03661">
      <w:pPr>
        <w:pStyle w:val="21"/>
        <w:adjustRightInd w:val="0"/>
        <w:snapToGrid w:val="0"/>
        <w:ind w:firstLine="560"/>
        <w:rPr>
          <w:rFonts w:hint="eastAsia"/>
        </w:rPr>
      </w:pPr>
      <w:r>
        <w:rPr>
          <w:rFonts w:hint="eastAsia"/>
          <w:lang w:eastAsia="zh-CN"/>
        </w:rPr>
        <w:t>1#液氯库</w:t>
      </w:r>
      <w:r>
        <w:rPr>
          <w:rFonts w:hint="eastAsia"/>
        </w:rPr>
        <w:t>内部设置多种机械类加工设备。如果操作人员工作时注意力不集中、思想过于紧张；对机器结构及所加工工件性能缺乏了解；操作不熟练及操作时不遵守安全操作规程；不正确使用个人防护用品和设备的安全防护装置等均可能造成机械伤害。</w:t>
      </w:r>
    </w:p>
    <w:p w14:paraId="2E747F53">
      <w:pPr>
        <w:pStyle w:val="21"/>
        <w:adjustRightInd w:val="0"/>
        <w:snapToGrid w:val="0"/>
        <w:ind w:firstLine="560"/>
        <w:rPr>
          <w:rFonts w:hint="eastAsia"/>
        </w:rPr>
      </w:pPr>
      <w:r>
        <w:rPr>
          <w:rFonts w:hint="eastAsia"/>
        </w:rPr>
        <w:t>设备方面：如果机床设计和制造存在着缺陷，机床部件、附件和安全防护装置的功能退化等能导致伤害事故的状态。还有工作环境方面：工作场地照明不良、温度或相对湿度不适宜、噪声过高、设备布局不合理、备件摆放零乱等均可能导致机械伤害的发生。</w:t>
      </w:r>
    </w:p>
    <w:p w14:paraId="1961E40D">
      <w:pPr>
        <w:pStyle w:val="21"/>
        <w:adjustRightInd w:val="0"/>
        <w:snapToGrid w:val="0"/>
        <w:spacing w:before="156" w:beforeLines="50" w:after="156" w:afterLines="50"/>
        <w:ind w:firstLine="562"/>
        <w:outlineLvl w:val="2"/>
        <w:rPr>
          <w:rFonts w:hint="eastAsia" w:ascii="黑体" w:hAnsi="黑体" w:eastAsia="黑体"/>
          <w:b/>
          <w:bCs/>
          <w:lang w:eastAsia="zh-CN"/>
        </w:rPr>
      </w:pPr>
      <w:r>
        <w:rPr>
          <w:rFonts w:eastAsia="黑体" w:cs="Times New Roman"/>
          <w:b/>
          <w:bCs/>
        </w:rPr>
        <w:t>3.2.</w:t>
      </w:r>
      <w:r>
        <w:rPr>
          <w:rFonts w:hint="eastAsia" w:eastAsia="黑体" w:cs="Times New Roman"/>
          <w:b/>
          <w:bCs/>
          <w:lang w:val="en-US" w:eastAsia="zh-CN"/>
        </w:rPr>
        <w:t>5</w:t>
      </w:r>
      <w:r>
        <w:rPr>
          <w:rFonts w:hint="eastAsia" w:ascii="黑体" w:hAnsi="黑体" w:eastAsia="黑体"/>
          <w:b/>
          <w:bCs/>
          <w:lang w:val="en-US" w:eastAsia="zh-CN"/>
        </w:rPr>
        <w:t>低温冻伤</w:t>
      </w:r>
    </w:p>
    <w:p w14:paraId="12D3607D">
      <w:pPr>
        <w:pStyle w:val="21"/>
        <w:adjustRightInd w:val="0"/>
        <w:snapToGrid w:val="0"/>
        <w:ind w:firstLine="560"/>
        <w:rPr>
          <w:rFonts w:hint="eastAsia"/>
        </w:rPr>
      </w:pPr>
      <w:r>
        <w:rPr>
          <w:rFonts w:hint="eastAsia"/>
        </w:rPr>
        <w:t>低温环境会引起冻伤、体温降低，严重时基至造成死亡。低温作业人员受低温环境影响，操作功能随温度的下降而明显下降。如手皮肤温度降到15.5℃时，操作功能开始受到影响；降到4～5℃时，几乎完全失去触觉的鉴别能力和知觉。</w:t>
      </w:r>
    </w:p>
    <w:p w14:paraId="1FF0EA00">
      <w:pPr>
        <w:pStyle w:val="21"/>
        <w:adjustRightInd w:val="0"/>
        <w:snapToGrid w:val="0"/>
        <w:ind w:firstLine="560"/>
      </w:pPr>
      <w:r>
        <w:rPr>
          <w:rFonts w:hint="eastAsia"/>
        </w:rPr>
        <w:t>该项目液氯为低温液体，在气化的过程中需要吸收热量。如果液体泄漏使得周围气温迅速降低，生产作业人员如果处于这种环境中可能造成低温烫伤。</w:t>
      </w:r>
    </w:p>
    <w:p w14:paraId="39058052">
      <w:pPr>
        <w:pStyle w:val="21"/>
        <w:adjustRightInd w:val="0"/>
        <w:snapToGrid w:val="0"/>
        <w:spacing w:before="156" w:beforeLines="50" w:after="156" w:afterLines="50"/>
        <w:ind w:firstLine="562"/>
        <w:outlineLvl w:val="2"/>
        <w:rPr>
          <w:rFonts w:hint="eastAsia" w:ascii="黑体" w:hAnsi="黑体" w:eastAsia="黑体"/>
          <w:b/>
          <w:bCs/>
          <w:lang w:eastAsia="zh-CN"/>
        </w:rPr>
      </w:pPr>
      <w:r>
        <w:rPr>
          <w:rFonts w:eastAsia="黑体" w:cs="Times New Roman"/>
          <w:b/>
          <w:bCs/>
        </w:rPr>
        <w:t>3.2.</w:t>
      </w:r>
      <w:r>
        <w:rPr>
          <w:rFonts w:hint="eastAsia" w:eastAsia="黑体" w:cs="Times New Roman"/>
          <w:b/>
          <w:bCs/>
          <w:lang w:val="en-US" w:eastAsia="zh-CN"/>
        </w:rPr>
        <w:t>6</w:t>
      </w:r>
      <w:r>
        <w:rPr>
          <w:rFonts w:hint="eastAsia" w:ascii="黑体" w:hAnsi="黑体" w:eastAsia="黑体"/>
          <w:b/>
          <w:bCs/>
          <w:lang w:val="en-US" w:eastAsia="zh-CN"/>
        </w:rPr>
        <w:t>物体打击</w:t>
      </w:r>
    </w:p>
    <w:p w14:paraId="5F241283">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eastAsia"/>
        </w:rPr>
      </w:pPr>
      <w:r>
        <w:rPr>
          <w:rFonts w:hint="eastAsia"/>
        </w:rPr>
        <w:t>物体打击指在重力或其他外力的作用下产生运动，打击人体造成人身伤亡事故，不包括因机械设备、车辆、坍塌等引发的物体打击。在生产及检修过程中，从高处有可能会掉下有关物件或零部件等，可造成物体打击，对设备和人员造成一定的伤害。</w:t>
      </w:r>
    </w:p>
    <w:p w14:paraId="749EBE69">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7高处坠落</w:t>
      </w:r>
    </w:p>
    <w:p w14:paraId="447C614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高处坠落指在高处作业中发生坠落造成的伤亡事故，不包括触电坠落事故。高处坠落的原因有以下几种：</w:t>
      </w:r>
    </w:p>
    <w:p w14:paraId="417BFB39">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人的不安全行为分析。违章指挥、违章作业、违反劳动纪律的“三违”行为，主要表现为：指派无登高架设作业操作资格的人员从事登高架设作业或不具备高处作业资格的人员擅自从事高处作业；不按规定的通道上下进入作业面；高空作业时不按劳动纪律规定穿戴好个人劳动防护用品（安全帽、安全带、防滑鞋）等等。人操作失误主要表现为：在临边作业时因踩空、踩滑而坠落；在转移作业地点时因没有及时系好安全带或安全带系挂不牢而坠落；注意力不集中，作业或行动不注意观察周围环境是否安全而轻率行动。</w:t>
      </w:r>
    </w:p>
    <w:p w14:paraId="1B154CEE">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物的不安全状态分析。高处作业的安全防护设施的材质强度不够、安装不良、磨损老化：用作防护栏杆的钢管、扣件等材料因壁厚不足、腐蚀、扣件不合格而折断、变形失去防护作用；因其他设施设备破坏导致相关人员坠落。安全防护设施不合格、装置失灵而导致事故。操作平台周边的防护设施不合格；劳动保护用品缺陷：高处作业人员的安全帽、安全带、安全绳、防滑鞋等用品因内在缺陷而破损、断裂、失去防滑功能等引起的高处坠落事故。</w:t>
      </w:r>
    </w:p>
    <w:p w14:paraId="779E587B">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本项目</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屋面、卸车平台、储罐操作平台离地面位置较高，操作人员常需通过盘梯或作业平台的楼梯等进行操作、维护、调节、检查或分析采样作业，如果防护措施不完善或工人在作业过程中麻痹大意，则有可能发生高出坠落事故的危险。</w:t>
      </w:r>
    </w:p>
    <w:p w14:paraId="4E307C98">
      <w:pPr>
        <w:widowControl w:val="0"/>
        <w:adjustRightInd w:val="0"/>
        <w:snapToGrid w:val="0"/>
        <w:spacing w:before="156" w:beforeLines="50" w:after="156" w:afterLines="50" w:line="360" w:lineRule="auto"/>
        <w:ind w:firstLine="560" w:firstLineChars="200"/>
        <w:jc w:val="both"/>
        <w:outlineLvl w:val="2"/>
        <w:rPr>
          <w:rFonts w:hint="default" w:ascii="Times New Roman" w:hAnsi="Times New Roman" w:eastAsia="黑体" w:cs="Times New Roman"/>
          <w:b/>
          <w:bCs/>
          <w:kern w:val="2"/>
          <w:sz w:val="28"/>
          <w:szCs w:val="24"/>
          <w:lang w:val="en-US" w:eastAsia="zh-CN" w:bidi="ar-SA"/>
          <w14:ligatures w14:val="standardContextual"/>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8车辆伤害</w:t>
      </w:r>
    </w:p>
    <w:p w14:paraId="48C23404">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（1）在液氯卸车等过程中，若厂内道路、车辆管理、车辆状况、驾驶人员素质等方面存在缺陷，可引发车辆伤害事故。</w:t>
      </w:r>
    </w:p>
    <w:p w14:paraId="39D1F698">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（2）车辆在行驶过程中有可能发生人体坠落、物体倒塌、下落、挤压伤亡事故。</w:t>
      </w:r>
    </w:p>
    <w:p w14:paraId="17D49FD6">
      <w:pPr>
        <w:adjustRightInd w:val="0"/>
        <w:snapToGrid w:val="0"/>
        <w:spacing w:after="0" w:line="360" w:lineRule="auto"/>
        <w:ind w:firstLine="560" w:firstLineChars="200"/>
        <w:jc w:val="both"/>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（3）厂区内装卸车辆、运输车辆及其他机动车辆不按规则行驶，行驶路线视野不清，驾驶员疲劳驾驶，车辆故障失控等，对厂内人员、设施碰撞可造成人员伤亡或经济损失。</w:t>
      </w:r>
    </w:p>
    <w:p w14:paraId="4ACD22B0">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宋体" w:cs="Times New Roman"/>
          <w:sz w:val="28"/>
          <w:szCs w:val="28"/>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9噪声及振动</w:t>
      </w:r>
    </w:p>
    <w:p w14:paraId="7AFA920C">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噪声是指人们所不需要、对人们的生产、生活及身体健康产生有害影响的声音。机械设备运行时会产生生产性振动，长期在振动源附近工作的人员可受到振动危害。作业人员若长期暴露在强度在85～90dB（A）的噪声环境下，将会对作业人员产生各种有害的影响，还可能引起人体其他系统的疾病。长期暴露于过强（大于90dB[A]）的噪声环境中，会发生职业性噪声聋。噪声对人体的生理和心理都会造成影响，在高噪声环境中作业，人的心情烦躁，易疲劳，工作效率下降，并可导致工伤事故增多；噪声对物体会产生破坏作用，强噪声还会损坏建筑物。</w:t>
      </w:r>
    </w:p>
    <w:p w14:paraId="597811D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本项目</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中有多处转动设备，设备运行过程中会产生不同级别的机械噪声与振动。作业人员长期在噪声源附近操作，可受到噪声危害。</w:t>
      </w:r>
    </w:p>
    <w:p w14:paraId="1EA119B9">
      <w:pPr>
        <w:widowControl w:val="0"/>
        <w:adjustRightInd w:val="0"/>
        <w:snapToGrid w:val="0"/>
        <w:spacing w:before="156" w:beforeLines="50" w:after="156" w:afterLines="50" w:line="360" w:lineRule="auto"/>
        <w:ind w:firstLine="560" w:firstLineChars="200"/>
        <w:jc w:val="both"/>
        <w:outlineLvl w:val="2"/>
        <w:rPr>
          <w:rFonts w:hint="default" w:ascii="Times New Roman" w:hAnsi="Times New Roman" w:eastAsia="宋体" w:cs="Times New Roman"/>
          <w:sz w:val="28"/>
          <w:szCs w:val="28"/>
          <w:lang w:val="en-US"/>
        </w:rPr>
      </w:pPr>
      <w:r>
        <w:rPr>
          <w:rFonts w:ascii="Times New Roman" w:hAnsi="Times New Roman" w:eastAsia="黑体" w:cs="Times New Roman"/>
          <w:b/>
          <w:bCs/>
          <w:kern w:val="2"/>
          <w:sz w:val="28"/>
          <w:szCs w:val="24"/>
          <w:lang w:val="en-US" w:eastAsia="zh-CN" w:bidi="ar-SA"/>
          <w14:ligatures w14:val="standardContextual"/>
        </w:rPr>
        <w:t>3.2.</w:t>
      </w:r>
      <w:r>
        <w:rPr>
          <w:rFonts w:hint="eastAsia" w:ascii="Times New Roman" w:hAnsi="Times New Roman" w:eastAsia="黑体" w:cs="Times New Roman"/>
          <w:b/>
          <w:bCs/>
          <w:kern w:val="2"/>
          <w:sz w:val="28"/>
          <w:szCs w:val="24"/>
          <w:lang w:val="en-US" w:eastAsia="zh-CN" w:bidi="ar-SA"/>
          <w14:ligatures w14:val="standardContextual"/>
        </w:rPr>
        <w:t>10起重伤害</w:t>
      </w:r>
    </w:p>
    <w:p w14:paraId="4B291715">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起重伤害是指各种起重作业（包括起重机安装、检修、试验）中发生的挤压、坠落、物体（吊具、吊重物）打击等造成的伤害。</w:t>
      </w:r>
    </w:p>
    <w:p w14:paraId="09D85E00">
      <w:pPr>
        <w:adjustRightInd w:val="0"/>
        <w:snapToGrid w:val="0"/>
        <w:spacing w:after="0" w:line="360" w:lineRule="auto"/>
        <w:ind w:firstLine="560" w:firstLineChars="200"/>
        <w:jc w:val="both"/>
        <w:rPr>
          <w:rFonts w:ascii="Times New Roman" w:hAnsi="Times New Roman" w:eastAsia="宋体" w:cs="Times New Roman"/>
          <w:sz w:val="28"/>
          <w:szCs w:val="28"/>
        </w:rPr>
      </w:pPr>
      <w:r>
        <w:rPr>
          <w:rFonts w:hint="eastAsia" w:ascii="Times New Roman" w:hAnsi="Times New Roman" w:eastAsia="宋体" w:cs="Times New Roman"/>
          <w:sz w:val="28"/>
          <w:szCs w:val="28"/>
        </w:rPr>
        <w:t>本项目</w:t>
      </w:r>
      <w:r>
        <w:rPr>
          <w:rFonts w:hint="eastAsia" w:ascii="Times New Roman" w:hAnsi="Times New Roman" w:eastAsia="宋体" w:cs="Times New Roman"/>
          <w:sz w:val="28"/>
          <w:szCs w:val="28"/>
          <w:lang w:eastAsia="zh-CN"/>
        </w:rPr>
        <w:t>1#液氯库</w:t>
      </w:r>
      <w:r>
        <w:rPr>
          <w:rFonts w:hint="eastAsia" w:ascii="Times New Roman" w:hAnsi="Times New Roman" w:eastAsia="宋体" w:cs="Times New Roman"/>
          <w:sz w:val="28"/>
          <w:szCs w:val="28"/>
        </w:rPr>
        <w:t>设有起重设备。如果起重设备不是由有资质厂家进行的生产和安装，没有定期进行检验检测，导致设备自身存在缺陷，在生产使用过程中就可能发生起重伤害。</w:t>
      </w:r>
    </w:p>
    <w:p w14:paraId="4C419C8E">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在起重机作业时，由于司机、指挥人员、起重人员之间没有统一的指挥调度，配合失误，也可能引发起重伤害。如起吊或摘钩时挤伤；吊物摆动撞伤；吊钩吊物低空运行时甩钩或撞伤；索具断崩（砸）伤等。吊运过程中吊物的绳索或吊具从吊钩中滑出、钢丝绳断裂、磨损和变形、吊钩断裂、吊物下方有人、吊挂方式不正确等均会发生吊物坠落，造成起重伤害。</w:t>
      </w:r>
    </w:p>
    <w:p w14:paraId="57FE1C6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highlight w:val="none"/>
        </w:rPr>
      </w:pPr>
      <w:bookmarkStart w:id="25" w:name="_Toc1384"/>
      <w:r>
        <w:rPr>
          <w:rFonts w:eastAsia="楷体" w:cs="Times New Roman"/>
          <w:b/>
          <w:bCs/>
          <w:sz w:val="32"/>
          <w:szCs w:val="32"/>
          <w:highlight w:val="none"/>
        </w:rPr>
        <w:t>3.3</w:t>
      </w:r>
      <w:r>
        <w:rPr>
          <w:rFonts w:hint="eastAsia" w:ascii="楷体" w:hAnsi="楷体" w:eastAsia="楷体"/>
          <w:b/>
          <w:bCs/>
          <w:sz w:val="32"/>
          <w:szCs w:val="32"/>
          <w:highlight w:val="none"/>
        </w:rPr>
        <w:t>检维修中的危险、有害因素分析</w:t>
      </w:r>
      <w:bookmarkEnd w:id="25"/>
    </w:p>
    <w:p w14:paraId="200B1029">
      <w:pPr>
        <w:pStyle w:val="21"/>
        <w:adjustRightInd w:val="0"/>
        <w:snapToGrid w:val="0"/>
        <w:ind w:firstLine="560"/>
        <w:rPr>
          <w:rFonts w:hint="eastAsia"/>
        </w:rPr>
      </w:pPr>
      <w:r>
        <w:rPr>
          <w:rFonts w:hint="eastAsia"/>
        </w:rPr>
        <w:t>检维修包括：全厂停车大检修；某一套或几套生产、储存装置停车大修；系统、车间或生产储存装置的检维修；化工装置的维护保养；生产储存装置及相关设备在不停产状况下的抢修。经验表明，很多事故都是在检维修过程中发生的。</w:t>
      </w:r>
    </w:p>
    <w:p w14:paraId="57157D17">
      <w:pPr>
        <w:pStyle w:val="21"/>
        <w:adjustRightInd w:val="0"/>
        <w:snapToGrid w:val="0"/>
        <w:ind w:firstLine="560"/>
        <w:rPr>
          <w:rFonts w:hint="eastAsia"/>
        </w:rPr>
      </w:pPr>
      <w:r>
        <w:rPr>
          <w:rFonts w:hint="eastAsia"/>
          <w:lang w:eastAsia="zh-CN"/>
        </w:rPr>
        <w:t>朝阳金达钛业股份有限公司</w:t>
      </w:r>
      <w:r>
        <w:rPr>
          <w:rFonts w:hint="eastAsia"/>
          <w:lang w:val="en-US" w:eastAsia="zh-CN"/>
        </w:rPr>
        <w:t>1#液氯库</w:t>
      </w:r>
      <w:r>
        <w:rPr>
          <w:rFonts w:hint="eastAsia"/>
        </w:rPr>
        <w:t>如果需要进行检维修作业，</w:t>
      </w:r>
      <w:r>
        <w:rPr>
          <w:rFonts w:hint="eastAsia"/>
          <w:lang w:val="en-US" w:eastAsia="zh-CN"/>
        </w:rPr>
        <w:t>如</w:t>
      </w:r>
      <w:r>
        <w:rPr>
          <w:rFonts w:hint="eastAsia"/>
        </w:rPr>
        <w:t>进行动火</w:t>
      </w:r>
      <w:r>
        <w:rPr>
          <w:rFonts w:hint="eastAsia"/>
          <w:lang w:val="en-US" w:eastAsia="zh-CN"/>
        </w:rPr>
        <w:t>作业</w:t>
      </w:r>
      <w:r>
        <w:rPr>
          <w:rFonts w:hint="eastAsia"/>
        </w:rPr>
        <w:t>、进入受限空间、盲板抽堵等危险作业，极易导致火灾、爆炸及中毒窒息事故的发生。下面对各种检维修作业存在的风险进行分析。</w:t>
      </w:r>
    </w:p>
    <w:p w14:paraId="2A4D8DBB">
      <w:pPr>
        <w:pStyle w:val="21"/>
        <w:adjustRightInd w:val="0"/>
        <w:snapToGrid w:val="0"/>
        <w:ind w:firstLine="560"/>
        <w:rPr>
          <w:rFonts w:hint="eastAsia"/>
        </w:rPr>
      </w:pPr>
      <w:r>
        <w:rPr>
          <w:rFonts w:hint="eastAsia"/>
        </w:rPr>
        <w:t>（1）动火作业危险性分析</w:t>
      </w:r>
    </w:p>
    <w:p w14:paraId="196E3141">
      <w:pPr>
        <w:pStyle w:val="21"/>
        <w:adjustRightInd w:val="0"/>
        <w:snapToGrid w:val="0"/>
        <w:ind w:firstLine="560"/>
        <w:rPr>
          <w:rFonts w:hint="eastAsia"/>
        </w:rPr>
      </w:pPr>
      <w:r>
        <w:rPr>
          <w:rFonts w:hint="eastAsia"/>
        </w:rPr>
        <w:t>动火作业是指在禁火区进行焊接与切割作业及在易燃易爆场所使用喷灯、电钻、砂轮等进行可能产生火焰、火花和赤热表面的临时性作业。如管理不当或现场条件不符合要求，就有可能发生严重的事故，主要原因有以下几点：</w:t>
      </w:r>
    </w:p>
    <w:p w14:paraId="470FDBDA">
      <w:pPr>
        <w:pStyle w:val="21"/>
        <w:adjustRightInd w:val="0"/>
        <w:snapToGrid w:val="0"/>
        <w:ind w:firstLine="560"/>
        <w:rPr>
          <w:rFonts w:hint="eastAsia"/>
        </w:rPr>
      </w:pPr>
      <w:r>
        <w:rPr>
          <w:rFonts w:hint="eastAsia"/>
        </w:rPr>
        <w:t>①用火设备内未清理干净；</w:t>
      </w:r>
    </w:p>
    <w:p w14:paraId="3AC4E67A">
      <w:pPr>
        <w:pStyle w:val="21"/>
        <w:adjustRightInd w:val="0"/>
        <w:snapToGrid w:val="0"/>
        <w:ind w:firstLine="560"/>
        <w:rPr>
          <w:rFonts w:hint="eastAsia"/>
        </w:rPr>
      </w:pPr>
      <w:r>
        <w:rPr>
          <w:rFonts w:hint="eastAsia"/>
        </w:rPr>
        <w:t>②与用火设备相连的管线未断开；</w:t>
      </w:r>
    </w:p>
    <w:p w14:paraId="54A7F4E4">
      <w:pPr>
        <w:pStyle w:val="21"/>
        <w:adjustRightInd w:val="0"/>
        <w:snapToGrid w:val="0"/>
        <w:ind w:firstLine="560"/>
        <w:rPr>
          <w:rFonts w:hint="eastAsia"/>
        </w:rPr>
      </w:pPr>
      <w:r>
        <w:rPr>
          <w:rFonts w:hint="eastAsia"/>
        </w:rPr>
        <w:t>③用火点周围有易燃物；</w:t>
      </w:r>
    </w:p>
    <w:p w14:paraId="27246630">
      <w:pPr>
        <w:pStyle w:val="21"/>
        <w:adjustRightInd w:val="0"/>
        <w:snapToGrid w:val="0"/>
        <w:ind w:firstLine="560"/>
        <w:rPr>
          <w:rFonts w:hint="eastAsia"/>
        </w:rPr>
      </w:pPr>
      <w:r>
        <w:rPr>
          <w:rFonts w:hint="eastAsia"/>
        </w:rPr>
        <w:t>④高处作业火花四溅；</w:t>
      </w:r>
    </w:p>
    <w:p w14:paraId="06909580">
      <w:pPr>
        <w:pStyle w:val="21"/>
        <w:adjustRightInd w:val="0"/>
        <w:snapToGrid w:val="0"/>
        <w:ind w:firstLine="560"/>
        <w:rPr>
          <w:rFonts w:hint="eastAsia"/>
        </w:rPr>
      </w:pPr>
      <w:r>
        <w:rPr>
          <w:rFonts w:hint="eastAsia"/>
        </w:rPr>
        <w:t>⑤用火点周围有易燃物；</w:t>
      </w:r>
    </w:p>
    <w:p w14:paraId="29C0ECF9">
      <w:pPr>
        <w:pStyle w:val="21"/>
        <w:adjustRightInd w:val="0"/>
        <w:snapToGrid w:val="0"/>
        <w:ind w:firstLine="560"/>
        <w:rPr>
          <w:rFonts w:hint="eastAsia"/>
        </w:rPr>
      </w:pPr>
      <w:r>
        <w:rPr>
          <w:rFonts w:hint="eastAsia"/>
        </w:rPr>
        <w:t>⑥用火现场消防器材不符合要求；</w:t>
      </w:r>
    </w:p>
    <w:p w14:paraId="1488DC73">
      <w:pPr>
        <w:pStyle w:val="21"/>
        <w:adjustRightInd w:val="0"/>
        <w:snapToGrid w:val="0"/>
        <w:ind w:firstLine="560"/>
        <w:rPr>
          <w:rFonts w:hint="eastAsia"/>
        </w:rPr>
      </w:pPr>
      <w:r>
        <w:rPr>
          <w:rFonts w:hint="eastAsia"/>
        </w:rPr>
        <w:t>⑦动火前未办理动火证。</w:t>
      </w:r>
    </w:p>
    <w:p w14:paraId="2E2A766D">
      <w:pPr>
        <w:pStyle w:val="21"/>
        <w:adjustRightInd w:val="0"/>
        <w:snapToGrid w:val="0"/>
        <w:ind w:firstLine="560"/>
        <w:rPr>
          <w:rFonts w:hint="eastAsia"/>
        </w:rPr>
      </w:pPr>
      <w:r>
        <w:rPr>
          <w:rFonts w:hint="eastAsia"/>
        </w:rPr>
        <w:t>（2）进入受限空间作业</w:t>
      </w:r>
    </w:p>
    <w:p w14:paraId="48DD7836">
      <w:pPr>
        <w:pStyle w:val="21"/>
        <w:adjustRightInd w:val="0"/>
        <w:snapToGrid w:val="0"/>
        <w:ind w:firstLine="560"/>
        <w:rPr>
          <w:rFonts w:hint="eastAsia"/>
        </w:rPr>
      </w:pPr>
      <w:r>
        <w:rPr>
          <w:rFonts w:hint="eastAsia"/>
        </w:rPr>
        <w:t>企业生产、储存使用的各种容器设备，如检维修过程中需要进入其中，一旦存在下列情况，则有可能发生人员伤亡事故：</w:t>
      </w:r>
    </w:p>
    <w:p w14:paraId="37F82922">
      <w:pPr>
        <w:pStyle w:val="21"/>
        <w:adjustRightInd w:val="0"/>
        <w:snapToGrid w:val="0"/>
        <w:ind w:firstLine="560"/>
        <w:rPr>
          <w:rFonts w:hint="eastAsia"/>
        </w:rPr>
      </w:pPr>
      <w:r>
        <w:rPr>
          <w:rFonts w:hint="eastAsia"/>
        </w:rPr>
        <w:t>①作业前未进行危险性分析；</w:t>
      </w:r>
    </w:p>
    <w:p w14:paraId="1690A425">
      <w:pPr>
        <w:pStyle w:val="21"/>
        <w:adjustRightInd w:val="0"/>
        <w:snapToGrid w:val="0"/>
        <w:ind w:firstLine="560"/>
        <w:rPr>
          <w:rFonts w:hint="eastAsia"/>
        </w:rPr>
      </w:pPr>
      <w:r>
        <w:rPr>
          <w:rFonts w:hint="eastAsia"/>
        </w:rPr>
        <w:t>②没有对所有与受限空间相连的阀门、管线加盲板；</w:t>
      </w:r>
    </w:p>
    <w:p w14:paraId="24111B1D">
      <w:pPr>
        <w:pStyle w:val="21"/>
        <w:adjustRightInd w:val="0"/>
        <w:snapToGrid w:val="0"/>
        <w:ind w:firstLine="560"/>
        <w:rPr>
          <w:rFonts w:hint="eastAsia"/>
        </w:rPr>
      </w:pPr>
      <w:r>
        <w:rPr>
          <w:rFonts w:hint="eastAsia"/>
        </w:rPr>
        <w:t>③设备未处理；</w:t>
      </w:r>
    </w:p>
    <w:p w14:paraId="7BFBE7B0">
      <w:pPr>
        <w:pStyle w:val="21"/>
        <w:adjustRightInd w:val="0"/>
        <w:snapToGrid w:val="0"/>
        <w:ind w:firstLine="560"/>
        <w:rPr>
          <w:rFonts w:hint="eastAsia"/>
        </w:rPr>
      </w:pPr>
      <w:r>
        <w:rPr>
          <w:rFonts w:hint="eastAsia"/>
        </w:rPr>
        <w:t>④设备内通风不良；</w:t>
      </w:r>
    </w:p>
    <w:p w14:paraId="0F3179B7">
      <w:pPr>
        <w:pStyle w:val="21"/>
        <w:adjustRightInd w:val="0"/>
        <w:snapToGrid w:val="0"/>
        <w:ind w:firstLine="560"/>
        <w:rPr>
          <w:rFonts w:hint="eastAsia"/>
        </w:rPr>
      </w:pPr>
      <w:r>
        <w:rPr>
          <w:rFonts w:hint="eastAsia"/>
        </w:rPr>
        <w:t>⑤设备上的转动设备未切断电源；</w:t>
      </w:r>
    </w:p>
    <w:p w14:paraId="012F7546">
      <w:pPr>
        <w:pStyle w:val="21"/>
        <w:adjustRightInd w:val="0"/>
        <w:snapToGrid w:val="0"/>
        <w:ind w:firstLine="560"/>
        <w:rPr>
          <w:rFonts w:hint="eastAsia"/>
        </w:rPr>
      </w:pPr>
      <w:r>
        <w:rPr>
          <w:rFonts w:hint="eastAsia"/>
        </w:rPr>
        <w:t>⑥受限空间进出口通道不畅；</w:t>
      </w:r>
    </w:p>
    <w:p w14:paraId="220CF2CD">
      <w:pPr>
        <w:pStyle w:val="21"/>
        <w:adjustRightInd w:val="0"/>
        <w:snapToGrid w:val="0"/>
        <w:ind w:firstLine="560"/>
        <w:rPr>
          <w:rFonts w:hint="eastAsia"/>
        </w:rPr>
      </w:pPr>
      <w:r>
        <w:rPr>
          <w:rFonts w:hint="eastAsia"/>
        </w:rPr>
        <w:t>⑦盛装可燃有毒物质的设备未分析；</w:t>
      </w:r>
    </w:p>
    <w:p w14:paraId="4022431E">
      <w:pPr>
        <w:pStyle w:val="21"/>
        <w:adjustRightInd w:val="0"/>
        <w:snapToGrid w:val="0"/>
        <w:ind w:firstLine="560"/>
        <w:rPr>
          <w:rFonts w:hint="eastAsia"/>
        </w:rPr>
      </w:pPr>
      <w:r>
        <w:rPr>
          <w:rFonts w:hint="eastAsia"/>
        </w:rPr>
        <w:t>⑧作业人员不清楚设备内其他危害因素；</w:t>
      </w:r>
    </w:p>
    <w:p w14:paraId="24AB046E">
      <w:pPr>
        <w:pStyle w:val="21"/>
        <w:adjustRightInd w:val="0"/>
        <w:snapToGrid w:val="0"/>
        <w:ind w:firstLine="560"/>
        <w:rPr>
          <w:rFonts w:hint="eastAsia"/>
        </w:rPr>
      </w:pPr>
      <w:r>
        <w:rPr>
          <w:rFonts w:hint="eastAsia"/>
        </w:rPr>
        <w:t>⑨作业现场没有监护措施；</w:t>
      </w:r>
    </w:p>
    <w:p w14:paraId="75B57E95">
      <w:pPr>
        <w:pStyle w:val="21"/>
        <w:adjustRightInd w:val="0"/>
        <w:snapToGrid w:val="0"/>
        <w:ind w:firstLine="560"/>
        <w:rPr>
          <w:rFonts w:hint="eastAsia"/>
        </w:rPr>
      </w:pPr>
      <w:r>
        <w:rPr>
          <w:rFonts w:hint="eastAsia"/>
        </w:rPr>
        <w:t>⑩未办理进罐证。</w:t>
      </w:r>
    </w:p>
    <w:p w14:paraId="252DF316">
      <w:pPr>
        <w:pStyle w:val="21"/>
        <w:adjustRightInd w:val="0"/>
        <w:snapToGrid w:val="0"/>
        <w:ind w:firstLine="560"/>
        <w:rPr>
          <w:rFonts w:hint="eastAsia"/>
        </w:rPr>
      </w:pPr>
      <w:r>
        <w:rPr>
          <w:rFonts w:hint="eastAsia"/>
        </w:rPr>
        <w:t>（3）抽堵盲板作业</w:t>
      </w:r>
    </w:p>
    <w:p w14:paraId="013FF767">
      <w:pPr>
        <w:pStyle w:val="21"/>
        <w:adjustRightInd w:val="0"/>
        <w:snapToGrid w:val="0"/>
        <w:ind w:firstLine="560"/>
        <w:rPr>
          <w:rFonts w:hint="eastAsia"/>
        </w:rPr>
      </w:pPr>
      <w:r>
        <w:rPr>
          <w:rFonts w:hint="eastAsia"/>
        </w:rPr>
        <w:t>盲板抽堵是指在设备检修及抢修中，设备、管道内存有物料（气、液、固态）及一定温度、压力情况下的作业。</w:t>
      </w:r>
    </w:p>
    <w:p w14:paraId="3BB3472C">
      <w:pPr>
        <w:pStyle w:val="21"/>
        <w:adjustRightInd w:val="0"/>
        <w:snapToGrid w:val="0"/>
        <w:ind w:firstLine="560"/>
        <w:rPr>
          <w:rFonts w:hint="eastAsia"/>
        </w:rPr>
      </w:pPr>
      <w:r>
        <w:rPr>
          <w:rFonts w:hint="eastAsia"/>
        </w:rPr>
        <w:t>①盲板不符合要求；</w:t>
      </w:r>
    </w:p>
    <w:p w14:paraId="73605BEE">
      <w:pPr>
        <w:pStyle w:val="21"/>
        <w:adjustRightInd w:val="0"/>
        <w:snapToGrid w:val="0"/>
        <w:ind w:firstLine="560"/>
        <w:rPr>
          <w:rFonts w:hint="eastAsia"/>
        </w:rPr>
      </w:pPr>
      <w:r>
        <w:rPr>
          <w:rFonts w:hint="eastAsia"/>
        </w:rPr>
        <w:t>②进行抽堵盲板时管道内压力过高；</w:t>
      </w:r>
    </w:p>
    <w:p w14:paraId="3AB1FBE3">
      <w:pPr>
        <w:pStyle w:val="21"/>
        <w:adjustRightInd w:val="0"/>
        <w:snapToGrid w:val="0"/>
        <w:ind w:firstLine="560"/>
        <w:rPr>
          <w:rFonts w:hint="eastAsia"/>
        </w:rPr>
      </w:pPr>
      <w:r>
        <w:rPr>
          <w:rFonts w:hint="eastAsia"/>
        </w:rPr>
        <w:t>③作业人员未做好个人防护；</w:t>
      </w:r>
    </w:p>
    <w:p w14:paraId="2020EB3C">
      <w:pPr>
        <w:pStyle w:val="21"/>
        <w:adjustRightInd w:val="0"/>
        <w:snapToGrid w:val="0"/>
        <w:ind w:firstLine="560"/>
        <w:rPr>
          <w:rFonts w:hint="eastAsia"/>
        </w:rPr>
      </w:pPr>
      <w:r>
        <w:rPr>
          <w:rFonts w:hint="eastAsia"/>
        </w:rPr>
        <w:t>④作业现场爬梯、平台、盖板不结实；</w:t>
      </w:r>
    </w:p>
    <w:p w14:paraId="07D219A5">
      <w:pPr>
        <w:pStyle w:val="21"/>
        <w:adjustRightInd w:val="0"/>
        <w:snapToGrid w:val="0"/>
        <w:ind w:firstLine="560"/>
        <w:rPr>
          <w:rFonts w:hint="eastAsia"/>
        </w:rPr>
      </w:pPr>
      <w:r>
        <w:rPr>
          <w:rFonts w:hint="eastAsia"/>
        </w:rPr>
        <w:t>⑤检修用的盲板混乱不清楚；</w:t>
      </w:r>
    </w:p>
    <w:p w14:paraId="46BEF5F8">
      <w:pPr>
        <w:pStyle w:val="21"/>
        <w:adjustRightInd w:val="0"/>
        <w:snapToGrid w:val="0"/>
        <w:ind w:firstLine="560"/>
        <w:rPr>
          <w:rFonts w:hint="eastAsia"/>
        </w:rPr>
      </w:pPr>
      <w:r>
        <w:rPr>
          <w:rFonts w:hint="eastAsia"/>
        </w:rPr>
        <w:t>⑥未办理盲板抽堵作业证。</w:t>
      </w:r>
    </w:p>
    <w:p w14:paraId="24CCEE11">
      <w:pPr>
        <w:pStyle w:val="21"/>
        <w:adjustRightInd w:val="0"/>
        <w:snapToGrid w:val="0"/>
        <w:ind w:firstLine="560"/>
        <w:rPr>
          <w:rFonts w:hint="eastAsia"/>
        </w:rPr>
      </w:pPr>
      <w:r>
        <w:rPr>
          <w:rFonts w:hint="eastAsia"/>
        </w:rPr>
        <w:t>（4）设备维修</w:t>
      </w:r>
    </w:p>
    <w:p w14:paraId="118774A5">
      <w:pPr>
        <w:pStyle w:val="21"/>
        <w:adjustRightInd w:val="0"/>
        <w:snapToGrid w:val="0"/>
        <w:ind w:firstLine="560"/>
        <w:rPr>
          <w:rFonts w:hint="eastAsia"/>
        </w:rPr>
      </w:pPr>
      <w:r>
        <w:rPr>
          <w:rFonts w:hint="eastAsia"/>
        </w:rPr>
        <w:t>设备维修过程中，会受到很多种不确定因素的影响，人、机、物各种因素都有可能导致事故的发生，主要包括以下几种情况。</w:t>
      </w:r>
    </w:p>
    <w:p w14:paraId="094D3A7A">
      <w:pPr>
        <w:pStyle w:val="21"/>
        <w:adjustRightInd w:val="0"/>
        <w:snapToGrid w:val="0"/>
        <w:ind w:firstLine="560"/>
        <w:rPr>
          <w:rFonts w:hint="eastAsia"/>
        </w:rPr>
      </w:pPr>
      <w:r>
        <w:rPr>
          <w:rFonts w:hint="eastAsia"/>
        </w:rPr>
        <w:t>①检修工具未检查，不符合要求；</w:t>
      </w:r>
    </w:p>
    <w:p w14:paraId="65C148E1">
      <w:pPr>
        <w:pStyle w:val="21"/>
        <w:adjustRightInd w:val="0"/>
        <w:snapToGrid w:val="0"/>
        <w:ind w:firstLine="560"/>
        <w:rPr>
          <w:rFonts w:hint="eastAsia"/>
        </w:rPr>
      </w:pPr>
      <w:r>
        <w:rPr>
          <w:rFonts w:hint="eastAsia"/>
        </w:rPr>
        <w:t>②没有断电措施；</w:t>
      </w:r>
    </w:p>
    <w:p w14:paraId="283EAA84">
      <w:pPr>
        <w:pStyle w:val="21"/>
        <w:adjustRightInd w:val="0"/>
        <w:snapToGrid w:val="0"/>
        <w:ind w:firstLine="560"/>
        <w:rPr>
          <w:rFonts w:hint="eastAsia"/>
        </w:rPr>
      </w:pPr>
      <w:r>
        <w:rPr>
          <w:rFonts w:hint="eastAsia"/>
        </w:rPr>
        <w:t>③检修使用的防护器材不合格；</w:t>
      </w:r>
    </w:p>
    <w:p w14:paraId="07397421">
      <w:pPr>
        <w:pStyle w:val="21"/>
        <w:adjustRightInd w:val="0"/>
        <w:snapToGrid w:val="0"/>
        <w:ind w:firstLine="560"/>
        <w:rPr>
          <w:rFonts w:hint="eastAsia"/>
        </w:rPr>
      </w:pPr>
      <w:r>
        <w:rPr>
          <w:rFonts w:hint="eastAsia"/>
        </w:rPr>
        <w:t>④检修现场爬梯、平台、盖板不结实；</w:t>
      </w:r>
    </w:p>
    <w:p w14:paraId="36EEFF9C">
      <w:pPr>
        <w:pStyle w:val="21"/>
        <w:adjustRightInd w:val="0"/>
        <w:snapToGrid w:val="0"/>
        <w:ind w:firstLine="560"/>
        <w:rPr>
          <w:rFonts w:hint="eastAsia"/>
        </w:rPr>
      </w:pPr>
      <w:r>
        <w:rPr>
          <w:rFonts w:hint="eastAsia"/>
        </w:rPr>
        <w:t>⑤检修用的盲板混乱不清楚；</w:t>
      </w:r>
    </w:p>
    <w:p w14:paraId="39197B7F">
      <w:pPr>
        <w:pStyle w:val="21"/>
        <w:adjustRightInd w:val="0"/>
        <w:snapToGrid w:val="0"/>
        <w:ind w:firstLine="560"/>
        <w:rPr>
          <w:rFonts w:hint="eastAsia"/>
        </w:rPr>
      </w:pPr>
      <w:r>
        <w:rPr>
          <w:rFonts w:hint="eastAsia"/>
        </w:rPr>
        <w:t>⑥移动式电器工具无漏电保护装置；</w:t>
      </w:r>
    </w:p>
    <w:p w14:paraId="527024F6">
      <w:pPr>
        <w:pStyle w:val="21"/>
        <w:adjustRightInd w:val="0"/>
        <w:snapToGrid w:val="0"/>
        <w:ind w:firstLine="560"/>
        <w:rPr>
          <w:rFonts w:hint="eastAsia"/>
        </w:rPr>
      </w:pPr>
      <w:r>
        <w:rPr>
          <w:rFonts w:hint="eastAsia"/>
        </w:rPr>
        <w:t>⑦有腐蚀性介质的现场无冲洗用水；</w:t>
      </w:r>
    </w:p>
    <w:p w14:paraId="224D98BA">
      <w:pPr>
        <w:pStyle w:val="21"/>
        <w:adjustRightInd w:val="0"/>
        <w:snapToGrid w:val="0"/>
        <w:ind w:firstLine="560"/>
        <w:rPr>
          <w:rFonts w:hint="eastAsia"/>
        </w:rPr>
      </w:pPr>
      <w:r>
        <w:rPr>
          <w:rFonts w:hint="eastAsia"/>
        </w:rPr>
        <w:t>⑧检修现场不平，无标志；</w:t>
      </w:r>
    </w:p>
    <w:p w14:paraId="37A46AD0">
      <w:pPr>
        <w:pStyle w:val="21"/>
        <w:adjustRightInd w:val="0"/>
        <w:snapToGrid w:val="0"/>
        <w:ind w:firstLine="560"/>
        <w:rPr>
          <w:rFonts w:hint="eastAsia"/>
        </w:rPr>
      </w:pPr>
      <w:r>
        <w:rPr>
          <w:rFonts w:hint="eastAsia"/>
        </w:rPr>
        <w:t>⑨现场易燃物品及杂物较多；</w:t>
      </w:r>
    </w:p>
    <w:p w14:paraId="21F7AE7C">
      <w:pPr>
        <w:pStyle w:val="21"/>
        <w:adjustRightInd w:val="0"/>
        <w:snapToGrid w:val="0"/>
        <w:ind w:firstLine="560"/>
        <w:rPr>
          <w:rFonts w:hint="eastAsia"/>
        </w:rPr>
      </w:pPr>
      <w:r>
        <w:rPr>
          <w:rFonts w:hint="eastAsia"/>
        </w:rPr>
        <w:t>⑩现场消防通道、行车通道不畅通；</w:t>
      </w:r>
    </w:p>
    <w:p w14:paraId="59EE997F">
      <w:pPr>
        <w:pStyle w:val="21"/>
        <w:adjustRightInd w:val="0"/>
        <w:snapToGrid w:val="0"/>
        <w:ind w:firstLine="560"/>
        <w:rPr>
          <w:rFonts w:hint="eastAsia"/>
        </w:rPr>
      </w:pPr>
      <w:r>
        <w:rPr>
          <w:rFonts w:hint="eastAsia"/>
        </w:rPr>
        <w:t>（5）其他作业</w:t>
      </w:r>
    </w:p>
    <w:p w14:paraId="3EFA5E13">
      <w:pPr>
        <w:pStyle w:val="21"/>
        <w:adjustRightInd w:val="0"/>
        <w:snapToGrid w:val="0"/>
        <w:ind w:firstLine="560"/>
        <w:rPr>
          <w:rFonts w:hint="eastAsia"/>
        </w:rPr>
      </w:pPr>
      <w:r>
        <w:rPr>
          <w:rFonts w:hint="eastAsia"/>
        </w:rPr>
        <w:t>除上述危险作业外，还包括高处作业、临时用电、吊装作业等，如果企业在进行相关作业前，未制定检维修计划，未对检维修作业进行风险分析，或者未对检维修人员进行相关业务培训，就会存在对检维修作业涉及的物料、设备情况不了解，增大发生事故的风险。如下：</w:t>
      </w:r>
    </w:p>
    <w:p w14:paraId="1DEC4C72">
      <w:pPr>
        <w:pStyle w:val="21"/>
        <w:adjustRightInd w:val="0"/>
        <w:snapToGrid w:val="0"/>
        <w:ind w:firstLine="560"/>
        <w:rPr>
          <w:rFonts w:hint="eastAsia"/>
        </w:rPr>
      </w:pPr>
      <w:r>
        <w:rPr>
          <w:rFonts w:hint="eastAsia"/>
        </w:rPr>
        <w:t>①检修过程中由于原有有毒有害物料未排净，拆卸管道、设备时，有毒、腐蚀性物料泄漏使检修人员中毒、化学灼伤。</w:t>
      </w:r>
    </w:p>
    <w:p w14:paraId="20E3427E">
      <w:pPr>
        <w:pStyle w:val="21"/>
        <w:adjustRightInd w:val="0"/>
        <w:snapToGrid w:val="0"/>
        <w:ind w:firstLine="560"/>
        <w:rPr>
          <w:rFonts w:hint="eastAsia"/>
        </w:rPr>
      </w:pPr>
      <w:r>
        <w:rPr>
          <w:rFonts w:hint="eastAsia"/>
        </w:rPr>
        <w:t>②检修过程中，由于施工脚手架、防护栏等设施不全，或由于检修人员安全带、安全绳等设施佩戴不全，可能发生高处坠落事故。</w:t>
      </w:r>
    </w:p>
    <w:p w14:paraId="031A603D">
      <w:pPr>
        <w:pStyle w:val="21"/>
        <w:adjustRightInd w:val="0"/>
        <w:snapToGrid w:val="0"/>
        <w:ind w:firstLine="560"/>
        <w:rPr>
          <w:rFonts w:hint="eastAsia"/>
        </w:rPr>
      </w:pPr>
      <w:r>
        <w:rPr>
          <w:rFonts w:hint="eastAsia"/>
        </w:rPr>
        <w:t>③检修过程中，由于起重吊装设备不安全，或高处设施放置不合理，可能导致物体打击事故。</w:t>
      </w:r>
    </w:p>
    <w:p w14:paraId="0C1B3D12">
      <w:pPr>
        <w:pStyle w:val="21"/>
        <w:adjustRightInd w:val="0"/>
        <w:snapToGrid w:val="0"/>
        <w:ind w:firstLine="560"/>
        <w:rPr>
          <w:rFonts w:hint="eastAsia"/>
        </w:rPr>
      </w:pPr>
      <w:r>
        <w:rPr>
          <w:rFonts w:hint="eastAsia"/>
        </w:rPr>
        <w:t>④检修过程中，检修人员缺乏防护意识，未佩戴个人防护用品或佩戴不规范，盲目进入含有毒、有害物质的限制区域而导致中毒、窒息事故。</w:t>
      </w:r>
    </w:p>
    <w:p w14:paraId="38AAD4B2">
      <w:pPr>
        <w:pStyle w:val="21"/>
        <w:adjustRightInd w:val="0"/>
        <w:snapToGrid w:val="0"/>
        <w:ind w:firstLine="560"/>
        <w:rPr>
          <w:rFonts w:hint="eastAsia"/>
        </w:rPr>
      </w:pPr>
      <w:r>
        <w:rPr>
          <w:rFonts w:hint="eastAsia"/>
        </w:rPr>
        <w:t>⑤检修过程中由于违章指挥、违章操作，可能导致中毒、高处坠落等人身安全事故。</w:t>
      </w:r>
    </w:p>
    <w:p w14:paraId="49AD6F21">
      <w:pPr>
        <w:pStyle w:val="21"/>
        <w:adjustRightInd w:val="0"/>
        <w:snapToGrid w:val="0"/>
        <w:ind w:firstLine="560"/>
        <w:rPr>
          <w:rFonts w:hint="eastAsia"/>
        </w:rPr>
      </w:pPr>
      <w:r>
        <w:rPr>
          <w:rFonts w:hint="eastAsia"/>
        </w:rPr>
        <w:t>涉及危险化学品设备的检修过程中容易发生火灾爆炸事故，体现在以下几个方面：</w:t>
      </w:r>
    </w:p>
    <w:p w14:paraId="2E9F61AB">
      <w:pPr>
        <w:pStyle w:val="21"/>
        <w:adjustRightInd w:val="0"/>
        <w:snapToGrid w:val="0"/>
        <w:ind w:firstLine="560"/>
        <w:rPr>
          <w:rFonts w:hint="eastAsia"/>
        </w:rPr>
      </w:pPr>
      <w:r>
        <w:rPr>
          <w:rFonts w:hint="eastAsia"/>
        </w:rPr>
        <w:t>①容易产生爆炸。该项目危险化学品大多具有易燃易爆、有毒和腐蚀的特性，本项目中涉及的部分化工物料的的爆炸极限下限较低，在检修时容易出现化学危险物品泄漏或在设备管道中残存，在开车阶段则可能在设备中残存或混入空气，容易形成爆炸性混合气体，一旦有静电及火花等着火源，容易引起爆炸发生。</w:t>
      </w:r>
    </w:p>
    <w:p w14:paraId="72EFE321">
      <w:pPr>
        <w:pStyle w:val="21"/>
        <w:adjustRightInd w:val="0"/>
        <w:snapToGrid w:val="0"/>
        <w:ind w:firstLine="560"/>
        <w:rPr>
          <w:rFonts w:hint="eastAsia"/>
        </w:rPr>
      </w:pPr>
      <w:r>
        <w:rPr>
          <w:rFonts w:hint="eastAsia"/>
        </w:rPr>
        <w:t>②易产生静电及火花等着火源。化工设备管道多采用金属材料，检修过程离不开动火、敲打。有时还需要作业人员进入槽、罐内或上下立体交错作业，极易产生静电及火花，大大增加了检修的火灾危险性。</w:t>
      </w:r>
    </w:p>
    <w:p w14:paraId="02DA8CB5">
      <w:pPr>
        <w:pStyle w:val="21"/>
        <w:adjustRightInd w:val="0"/>
        <w:snapToGrid w:val="0"/>
        <w:ind w:firstLine="560"/>
        <w:rPr>
          <w:rFonts w:hint="eastAsia"/>
        </w:rPr>
      </w:pPr>
      <w:r>
        <w:rPr>
          <w:rFonts w:hint="eastAsia"/>
        </w:rPr>
        <w:t>③检修的防火安全制度不够健全。如：有的企业没有针对建设和检修作业内容、范围提出的专门防火规定，施工要求也不明确。有的企业甚至在检修中无抽堵盲板、置换、清洗的规定。</w:t>
      </w:r>
    </w:p>
    <w:p w14:paraId="1340FAEF">
      <w:pPr>
        <w:pStyle w:val="21"/>
        <w:adjustRightInd w:val="0"/>
        <w:snapToGrid w:val="0"/>
        <w:ind w:firstLine="560"/>
      </w:pPr>
      <w:r>
        <w:rPr>
          <w:rFonts w:hint="eastAsia"/>
        </w:rPr>
        <w:t>通过上述分析，检维修作业过程中的为危险有害因素包括火灾爆炸、物体打击、高处坠落等。</w:t>
      </w:r>
    </w:p>
    <w:p w14:paraId="46E67B87">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6" w:name="_Toc29187"/>
      <w:r>
        <w:rPr>
          <w:rFonts w:eastAsia="楷体" w:cs="Times New Roman"/>
          <w:b/>
          <w:bCs/>
          <w:sz w:val="32"/>
          <w:szCs w:val="32"/>
        </w:rPr>
        <w:t>3.4</w:t>
      </w:r>
      <w:r>
        <w:rPr>
          <w:rFonts w:hint="eastAsia" w:ascii="楷体" w:hAnsi="楷体" w:eastAsia="楷体"/>
          <w:b/>
          <w:bCs/>
          <w:sz w:val="32"/>
          <w:szCs w:val="32"/>
        </w:rPr>
        <w:t>出现火灾、爆炸、中毒事故造成人员伤亡的范围及危害程度</w:t>
      </w:r>
      <w:bookmarkEnd w:id="26"/>
    </w:p>
    <w:p w14:paraId="6DC833A9">
      <w:pPr>
        <w:pStyle w:val="21"/>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rPr>
        <w:t>3.4.1</w:t>
      </w:r>
      <w:r>
        <w:rPr>
          <w:rFonts w:hint="eastAsia" w:eastAsia="黑体" w:cs="Times New Roman"/>
          <w:b/>
          <w:bCs/>
        </w:rPr>
        <w:t>出现具有爆炸性、毒性、腐蚀性的化学品泄漏后具备造成爆炸、</w:t>
      </w:r>
      <w:r>
        <w:rPr>
          <w:rFonts w:hint="eastAsia" w:eastAsia="黑体" w:cs="Times New Roman"/>
          <w:b/>
          <w:bCs/>
          <w:lang w:val="en-US" w:eastAsia="zh-CN"/>
        </w:rPr>
        <w:t>中毒</w:t>
      </w:r>
      <w:r>
        <w:rPr>
          <w:rFonts w:hint="eastAsia" w:eastAsia="黑体" w:cs="Times New Roman"/>
          <w:b/>
          <w:bCs/>
        </w:rPr>
        <w:t>事故的条件</w:t>
      </w:r>
    </w:p>
    <w:p w14:paraId="57996D1D">
      <w:pPr>
        <w:pStyle w:val="21"/>
        <w:adjustRightInd w:val="0"/>
        <w:snapToGrid w:val="0"/>
        <w:ind w:firstLine="560"/>
        <w:rPr>
          <w:rFonts w:hint="eastAsia"/>
          <w:highlight w:val="none"/>
          <w:lang w:val="en-US" w:eastAsia="zh-CN"/>
        </w:rPr>
      </w:pPr>
      <w:r>
        <w:rPr>
          <w:rFonts w:hint="eastAsia"/>
          <w:highlight w:val="none"/>
          <w:lang w:val="en-US" w:eastAsia="zh-CN"/>
        </w:rPr>
        <w:t>物料泄漏后，在达到一定的条件下，可能会发生火灾、爆炸、中毒等事故。</w:t>
      </w:r>
    </w:p>
    <w:p w14:paraId="567BC86C">
      <w:pPr>
        <w:pStyle w:val="21"/>
        <w:adjustRightInd w:val="0"/>
        <w:snapToGrid w:val="0"/>
        <w:ind w:firstLine="560"/>
        <w:rPr>
          <w:rFonts w:hint="eastAsia"/>
          <w:highlight w:val="none"/>
          <w:lang w:val="en-US" w:eastAsia="zh-CN"/>
        </w:rPr>
      </w:pPr>
      <w:r>
        <w:rPr>
          <w:rFonts w:hint="eastAsia"/>
          <w:highlight w:val="none"/>
          <w:lang w:val="en-US" w:eastAsia="zh-CN"/>
        </w:rPr>
        <w:t>1）泄漏的危险化学品在一定空间范围内达到爆炸极限的浓度</w:t>
      </w:r>
    </w:p>
    <w:p w14:paraId="46F5E1CC">
      <w:pPr>
        <w:pStyle w:val="21"/>
        <w:adjustRightInd w:val="0"/>
        <w:snapToGrid w:val="0"/>
        <w:ind w:firstLine="560"/>
        <w:rPr>
          <w:rFonts w:hint="eastAsia"/>
          <w:highlight w:val="none"/>
          <w:lang w:val="en-US" w:eastAsia="zh-CN"/>
        </w:rPr>
      </w:pPr>
      <w:r>
        <w:rPr>
          <w:rFonts w:hint="eastAsia"/>
          <w:highlight w:val="none"/>
          <w:lang w:val="en-US" w:eastAsia="zh-CN"/>
        </w:rPr>
        <w:t>可燃气体泄漏或可燃液体泄漏后挥发出的可燃蒸气，与空气混合一旦达到爆炸极限浓度范围，遇明火、静电火花等可能会发生火灾、爆炸事故。</w:t>
      </w:r>
    </w:p>
    <w:p w14:paraId="280A03CC">
      <w:pPr>
        <w:pStyle w:val="21"/>
        <w:adjustRightInd w:val="0"/>
        <w:snapToGrid w:val="0"/>
        <w:ind w:firstLine="560"/>
        <w:rPr>
          <w:rFonts w:hint="eastAsia"/>
          <w:highlight w:val="none"/>
          <w:lang w:val="en-US" w:eastAsia="zh-CN"/>
        </w:rPr>
      </w:pPr>
      <w:r>
        <w:rPr>
          <w:rFonts w:hint="eastAsia"/>
          <w:highlight w:val="none"/>
          <w:lang w:val="en-US" w:eastAsia="zh-CN"/>
        </w:rPr>
        <w:t>2）泄漏的可燃物质遇到助燃物，一般为氧气</w:t>
      </w:r>
    </w:p>
    <w:p w14:paraId="4ABEEBAF">
      <w:pPr>
        <w:pStyle w:val="21"/>
        <w:adjustRightInd w:val="0"/>
        <w:snapToGrid w:val="0"/>
        <w:ind w:firstLine="560"/>
        <w:rPr>
          <w:rFonts w:hint="eastAsia"/>
          <w:highlight w:val="none"/>
          <w:lang w:val="en-US" w:eastAsia="zh-CN"/>
        </w:rPr>
      </w:pPr>
      <w:r>
        <w:rPr>
          <w:rFonts w:hint="eastAsia"/>
          <w:highlight w:val="none"/>
          <w:lang w:val="en-US" w:eastAsia="zh-CN"/>
        </w:rPr>
        <w:t>由于空气中含有氧气，可燃气体或蒸气一旦泄漏后，必然会与空气中的氧气接触。</w:t>
      </w:r>
    </w:p>
    <w:p w14:paraId="7B2A1C7E">
      <w:pPr>
        <w:pStyle w:val="21"/>
        <w:adjustRightInd w:val="0"/>
        <w:snapToGrid w:val="0"/>
        <w:ind w:firstLine="560"/>
        <w:rPr>
          <w:rFonts w:hint="eastAsia"/>
          <w:highlight w:val="none"/>
          <w:lang w:val="en-US" w:eastAsia="zh-CN"/>
        </w:rPr>
      </w:pPr>
      <w:r>
        <w:rPr>
          <w:rFonts w:hint="eastAsia"/>
          <w:highlight w:val="none"/>
          <w:lang w:val="en-US" w:eastAsia="zh-CN"/>
        </w:rPr>
        <w:t>3）点火源</w:t>
      </w:r>
    </w:p>
    <w:p w14:paraId="56FD40D2">
      <w:pPr>
        <w:pStyle w:val="21"/>
        <w:adjustRightInd w:val="0"/>
        <w:snapToGrid w:val="0"/>
        <w:ind w:firstLine="560"/>
        <w:rPr>
          <w:rFonts w:hint="eastAsia"/>
          <w:highlight w:val="none"/>
        </w:rPr>
      </w:pPr>
      <w:r>
        <w:rPr>
          <w:rFonts w:hint="eastAsia"/>
          <w:highlight w:val="none"/>
          <w:lang w:val="en-US" w:eastAsia="zh-CN"/>
        </w:rPr>
        <w:t>点火源是引发火灾、爆炸的重点因素，电气火花、明火、高热物体、静电、雷电等均可能成为点火源。在温度达到物料的燃点后，就有被点燃的危险。</w:t>
      </w:r>
    </w:p>
    <w:p w14:paraId="706E2AE1">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3.4.2</w:t>
      </w:r>
      <w:r>
        <w:rPr>
          <w:rFonts w:hint="eastAsia" w:ascii="黑体" w:hAnsi="黑体" w:eastAsia="黑体"/>
          <w:b/>
          <w:bCs/>
        </w:rPr>
        <w:t>出现火灾、爆炸、中毒事故造成人员伤亡的范围</w:t>
      </w:r>
    </w:p>
    <w:p w14:paraId="5BACF7E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下面用定量分析模拟重大危险源中的储存设施发生事故后的影响结果：</w:t>
      </w:r>
    </w:p>
    <w:p w14:paraId="5155FBB2">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ascii="Times New Roman" w:hAnsi="Times New Roman" w:eastAsia="宋体" w:cstheme="minorBidi"/>
          <w:kern w:val="2"/>
          <w:sz w:val="28"/>
          <w:szCs w:val="24"/>
          <w:lang w:val="en-US" w:eastAsia="zh-CN" w:bidi="ar-SA"/>
          <w14:ligatures w14:val="standardContextual"/>
        </w:rPr>
        <w:t>小结：朝阳金达钛业股份有限公司1#液氯库的液氯储罐发生压力容器爆炸事故时的死亡半径为0.5m，重伤半径为0.5m，轻伤半径为0.5m，对周边环境及企业无影响。</w:t>
      </w:r>
    </w:p>
    <w:p w14:paraId="04CBF78D">
      <w:pPr>
        <w:pStyle w:val="21"/>
        <w:adjustRightInd w:val="0"/>
        <w:snapToGrid w:val="0"/>
        <w:spacing w:before="468" w:beforeLines="150" w:after="468" w:afterLines="150"/>
        <w:ind w:firstLine="0" w:firstLineChars="0"/>
        <w:jc w:val="center"/>
        <w:outlineLvl w:val="0"/>
        <w:rPr>
          <w:rFonts w:eastAsia="黑体" w:cs="Times New Roman"/>
          <w:b/>
          <w:bCs/>
          <w:sz w:val="32"/>
          <w:szCs w:val="32"/>
        </w:rPr>
      </w:pPr>
      <w:bookmarkStart w:id="27" w:name="_Toc15437"/>
      <w:r>
        <w:rPr>
          <w:rFonts w:eastAsia="黑体" w:cs="Times New Roman"/>
          <w:b/>
          <w:bCs/>
          <w:sz w:val="32"/>
          <w:szCs w:val="32"/>
        </w:rPr>
        <w:t>4</w:t>
      </w:r>
      <w:r>
        <w:rPr>
          <w:rFonts w:hint="eastAsia" w:eastAsia="黑体" w:cs="Times New Roman"/>
          <w:b/>
          <w:bCs/>
          <w:sz w:val="32"/>
          <w:szCs w:val="32"/>
        </w:rPr>
        <w:t>定性、定量分析</w:t>
      </w:r>
      <w:bookmarkEnd w:id="27"/>
    </w:p>
    <w:p w14:paraId="2EB209E1">
      <w:pPr>
        <w:pStyle w:val="21"/>
        <w:adjustRightInd w:val="0"/>
        <w:snapToGrid w:val="0"/>
        <w:spacing w:before="312" w:beforeLines="100" w:after="312" w:afterLines="100"/>
        <w:ind w:firstLine="0" w:firstLineChars="0"/>
        <w:jc w:val="center"/>
        <w:outlineLvl w:val="1"/>
        <w:rPr>
          <w:rFonts w:hint="eastAsia" w:eastAsia="楷体" w:cs="Times New Roman"/>
          <w:b/>
          <w:bCs/>
          <w:sz w:val="32"/>
          <w:szCs w:val="32"/>
        </w:rPr>
      </w:pPr>
      <w:bookmarkStart w:id="28" w:name="_Toc12110"/>
      <w:r>
        <w:rPr>
          <w:rFonts w:eastAsia="楷体" w:cs="Times New Roman"/>
          <w:b/>
          <w:bCs/>
          <w:sz w:val="32"/>
          <w:szCs w:val="32"/>
        </w:rPr>
        <w:t>4.1</w:t>
      </w:r>
      <w:r>
        <w:rPr>
          <w:rFonts w:hint="eastAsia" w:eastAsia="楷体" w:cs="Times New Roman"/>
          <w:b/>
          <w:bCs/>
          <w:sz w:val="32"/>
          <w:szCs w:val="32"/>
        </w:rPr>
        <w:t>个人风险和社会风险评价</w:t>
      </w:r>
      <w:bookmarkEnd w:id="28"/>
    </w:p>
    <w:p w14:paraId="4AD56ADD">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w:t>
      </w:r>
      <w:r>
        <w:rPr>
          <w:rFonts w:ascii="Times New Roman" w:hAnsi="Times New Roman" w:eastAsia="黑体" w:cs="Times New Roman"/>
          <w:b/>
          <w:bCs/>
          <w:kern w:val="2"/>
          <w:sz w:val="28"/>
          <w:szCs w:val="24"/>
          <w:lang w:val="en-US" w:eastAsia="zh-CN" w:bidi="ar-SA"/>
          <w14:ligatures w14:val="standardContextual"/>
        </w:rPr>
        <w:t>.1.1</w:t>
      </w:r>
      <w:r>
        <w:rPr>
          <w:rFonts w:hint="eastAsia" w:ascii="Times New Roman" w:hAnsi="Times New Roman" w:eastAsia="黑体" w:cs="Times New Roman"/>
          <w:b/>
          <w:bCs/>
          <w:kern w:val="2"/>
          <w:sz w:val="28"/>
          <w:szCs w:val="24"/>
          <w:lang w:val="en-US" w:eastAsia="zh-CN" w:bidi="ar-SA"/>
          <w14:ligatures w14:val="standardContextual"/>
        </w:rPr>
        <w:t>可容许风险标准</w:t>
      </w:r>
    </w:p>
    <w:p w14:paraId="2403E4FB">
      <w:pPr>
        <w:pStyle w:val="21"/>
        <w:adjustRightInd w:val="0"/>
        <w:snapToGrid w:val="0"/>
        <w:ind w:firstLine="560"/>
      </w:pPr>
      <w:r>
        <w:rPr>
          <w:rFonts w:hint="eastAsia"/>
        </w:rPr>
        <w:t>（1）可容许个人风险标准</w:t>
      </w:r>
    </w:p>
    <w:p w14:paraId="65A75897">
      <w:pPr>
        <w:pStyle w:val="21"/>
        <w:adjustRightInd w:val="0"/>
        <w:snapToGrid w:val="0"/>
        <w:ind w:firstLine="560"/>
      </w:pPr>
      <w:r>
        <w:rPr>
          <w:rFonts w:hint="eastAsia"/>
        </w:rPr>
        <w:t>采用《危险化学品生产装置和储存设施风险基准》GB36894-2018规定个人风险标准。危险化学品单位周边重要目标和敏感场所承受的个人风险应满足表4.1-1中可容许风险标准要求。</w:t>
      </w:r>
    </w:p>
    <w:p w14:paraId="152081C3">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4.1-1</w:t>
      </w:r>
      <w:r>
        <w:rPr>
          <w:rFonts w:hint="eastAsia" w:ascii="黑体" w:hAnsi="黑体" w:eastAsia="黑体"/>
          <w:sz w:val="24"/>
        </w:rPr>
        <w:t xml:space="preserve">  个人风险基准</w:t>
      </w:r>
    </w:p>
    <w:tbl>
      <w:tblPr>
        <w:tblStyle w:val="16"/>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3395"/>
        <w:gridCol w:w="5775"/>
      </w:tblGrid>
      <w:tr w14:paraId="3E2A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restart"/>
            <w:vAlign w:val="center"/>
          </w:tcPr>
          <w:p w14:paraId="6140DCF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防护目标</w:t>
            </w:r>
          </w:p>
        </w:tc>
        <w:tc>
          <w:tcPr>
            <w:tcW w:w="3149" w:type="pct"/>
          </w:tcPr>
          <w:p w14:paraId="10699948">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个人风险基准/（次/年）</w:t>
            </w:r>
          </w:p>
        </w:tc>
      </w:tr>
      <w:tr w14:paraId="53C38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continue"/>
          </w:tcPr>
          <w:p w14:paraId="705E73E8">
            <w:pPr>
              <w:spacing w:after="0" w:line="240" w:lineRule="auto"/>
              <w:jc w:val="center"/>
              <w:rPr>
                <w:rFonts w:ascii="Times New Roman" w:hAnsi="Times New Roman" w:eastAsia="宋体"/>
                <w:b/>
                <w:bCs/>
                <w:sz w:val="21"/>
                <w:szCs w:val="21"/>
              </w:rPr>
            </w:pPr>
          </w:p>
        </w:tc>
        <w:tc>
          <w:tcPr>
            <w:tcW w:w="3149" w:type="pct"/>
          </w:tcPr>
          <w:p w14:paraId="729185B6">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危险化学品在役生产装置和储存设施</w:t>
            </w:r>
          </w:p>
        </w:tc>
      </w:tr>
      <w:tr w14:paraId="76FCD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10718379">
            <w:pPr>
              <w:spacing w:after="0" w:line="240" w:lineRule="auto"/>
              <w:rPr>
                <w:rFonts w:ascii="Times New Roman" w:hAnsi="Times New Roman" w:eastAsia="宋体"/>
                <w:sz w:val="21"/>
                <w:szCs w:val="21"/>
              </w:rPr>
            </w:pPr>
            <w:r>
              <w:rPr>
                <w:rFonts w:hint="eastAsia" w:ascii="Times New Roman" w:hAnsi="Times New Roman" w:eastAsia="宋体"/>
                <w:sz w:val="21"/>
                <w:szCs w:val="21"/>
              </w:rPr>
              <w:t>高敏感防护目标</w:t>
            </w:r>
          </w:p>
          <w:p w14:paraId="6DCD690F">
            <w:pPr>
              <w:spacing w:after="0" w:line="240" w:lineRule="auto"/>
              <w:rPr>
                <w:rFonts w:ascii="Times New Roman" w:hAnsi="Times New Roman" w:eastAsia="宋体"/>
                <w:sz w:val="21"/>
                <w:szCs w:val="21"/>
              </w:rPr>
            </w:pPr>
            <w:r>
              <w:rPr>
                <w:rFonts w:hint="eastAsia" w:ascii="Times New Roman" w:hAnsi="Times New Roman" w:eastAsia="宋体"/>
                <w:sz w:val="21"/>
                <w:szCs w:val="21"/>
              </w:rPr>
              <w:t>重要防护目标</w:t>
            </w:r>
          </w:p>
          <w:p w14:paraId="7C4455D0">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一般防护目标中的一类防护目标</w:t>
            </w:r>
          </w:p>
        </w:tc>
        <w:tc>
          <w:tcPr>
            <w:tcW w:w="3149" w:type="pct"/>
            <w:vAlign w:val="center"/>
          </w:tcPr>
          <w:p w14:paraId="649D0605">
            <w:pPr>
              <w:spacing w:after="0" w:line="240" w:lineRule="auto"/>
              <w:jc w:val="center"/>
              <w:rPr>
                <w:rFonts w:hint="eastAsia" w:ascii="Times New Roman" w:hAnsi="Times New Roman" w:eastAsia="宋体"/>
                <w:sz w:val="21"/>
                <w:szCs w:val="21"/>
                <w:lang w:val="en-US" w:eastAsia="zh-CN"/>
              </w:rPr>
            </w:pPr>
            <w:r>
              <w:rPr>
                <w:rFonts w:hint="eastAsia" w:ascii="Times New Roman" w:hAnsi="Times New Roman" w:eastAsia="宋体"/>
                <w:sz w:val="21"/>
                <w:szCs w:val="21"/>
              </w:rPr>
              <w:t>3×10</w:t>
            </w:r>
            <w:r>
              <w:rPr>
                <w:rFonts w:hint="eastAsia" w:ascii="Times New Roman" w:hAnsi="Times New Roman" w:eastAsia="宋体"/>
                <w:sz w:val="21"/>
                <w:szCs w:val="21"/>
                <w:vertAlign w:val="superscript"/>
              </w:rPr>
              <w:t>-</w:t>
            </w:r>
            <w:r>
              <w:rPr>
                <w:rFonts w:hint="eastAsia" w:ascii="Times New Roman" w:hAnsi="Times New Roman" w:eastAsia="宋体"/>
                <w:sz w:val="21"/>
                <w:szCs w:val="21"/>
                <w:vertAlign w:val="superscript"/>
                <w:lang w:val="en-US" w:eastAsia="zh-CN"/>
              </w:rPr>
              <w:t>7</w:t>
            </w:r>
          </w:p>
        </w:tc>
      </w:tr>
      <w:tr w14:paraId="7DEF2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D0DEC79">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一般防护目标中的二类防护目标</w:t>
            </w:r>
          </w:p>
        </w:tc>
        <w:tc>
          <w:tcPr>
            <w:tcW w:w="3149" w:type="pct"/>
          </w:tcPr>
          <w:p w14:paraId="7A35D311">
            <w:pPr>
              <w:spacing w:after="0" w:line="240" w:lineRule="auto"/>
              <w:jc w:val="center"/>
              <w:rPr>
                <w:rFonts w:hint="eastAsia" w:ascii="Times New Roman" w:hAnsi="Times New Roman" w:eastAsia="宋体"/>
                <w:sz w:val="21"/>
                <w:szCs w:val="21"/>
                <w:lang w:val="en-US" w:eastAsia="zh-CN"/>
              </w:rPr>
            </w:pPr>
            <w:r>
              <w:rPr>
                <w:rFonts w:hint="eastAsia" w:ascii="Times New Roman" w:hAnsi="Times New Roman" w:eastAsia="宋体"/>
                <w:sz w:val="21"/>
                <w:szCs w:val="21"/>
                <w:lang w:val="en-US" w:eastAsia="zh-CN"/>
              </w:rPr>
              <w:t>3</w:t>
            </w:r>
            <w:r>
              <w:rPr>
                <w:rFonts w:hint="eastAsia" w:ascii="Times New Roman" w:hAnsi="Times New Roman" w:eastAsia="宋体"/>
                <w:sz w:val="21"/>
                <w:szCs w:val="21"/>
              </w:rPr>
              <w:t>×10</w:t>
            </w:r>
            <w:r>
              <w:rPr>
                <w:rFonts w:hint="eastAsia" w:ascii="Times New Roman" w:hAnsi="Times New Roman" w:eastAsia="宋体"/>
                <w:sz w:val="21"/>
                <w:szCs w:val="21"/>
                <w:vertAlign w:val="superscript"/>
              </w:rPr>
              <w:t>-</w:t>
            </w:r>
            <w:r>
              <w:rPr>
                <w:rFonts w:hint="eastAsia" w:ascii="Times New Roman" w:hAnsi="Times New Roman" w:eastAsia="宋体"/>
                <w:sz w:val="21"/>
                <w:szCs w:val="21"/>
                <w:vertAlign w:val="superscript"/>
                <w:lang w:val="en-US" w:eastAsia="zh-CN"/>
              </w:rPr>
              <w:t>6</w:t>
            </w:r>
          </w:p>
        </w:tc>
      </w:tr>
      <w:tr w14:paraId="4BE45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C060865">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一般防护目标中的三类防护目标</w:t>
            </w:r>
          </w:p>
        </w:tc>
        <w:tc>
          <w:tcPr>
            <w:tcW w:w="3149" w:type="pct"/>
          </w:tcPr>
          <w:p w14:paraId="6E7CFC3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lang w:val="en-US" w:eastAsia="zh-CN"/>
              </w:rPr>
              <w:t>1</w:t>
            </w:r>
            <w:r>
              <w:rPr>
                <w:rFonts w:hint="eastAsia" w:ascii="Times New Roman" w:hAnsi="Times New Roman" w:eastAsia="宋体"/>
                <w:sz w:val="21"/>
                <w:szCs w:val="21"/>
              </w:rPr>
              <w:t>×10</w:t>
            </w:r>
            <w:r>
              <w:rPr>
                <w:rFonts w:hint="eastAsia" w:ascii="Times New Roman" w:hAnsi="Times New Roman" w:eastAsia="宋体"/>
                <w:sz w:val="21"/>
                <w:szCs w:val="21"/>
                <w:vertAlign w:val="superscript"/>
              </w:rPr>
              <w:t>-5</w:t>
            </w:r>
          </w:p>
        </w:tc>
      </w:tr>
    </w:tbl>
    <w:p w14:paraId="2AE391B7">
      <w:pPr>
        <w:pStyle w:val="21"/>
        <w:adjustRightInd w:val="0"/>
        <w:snapToGrid w:val="0"/>
        <w:ind w:firstLine="560"/>
      </w:pPr>
      <w:r>
        <w:rPr>
          <w:rFonts w:hint="eastAsia"/>
        </w:rPr>
        <w:t>（2）可容许社会风险标准</w:t>
      </w:r>
    </w:p>
    <w:p w14:paraId="7759E48E">
      <w:pPr>
        <w:pStyle w:val="21"/>
        <w:adjustRightInd w:val="0"/>
        <w:snapToGrid w:val="0"/>
        <w:ind w:firstLine="560"/>
      </w:pPr>
      <w:r>
        <w:rPr>
          <w:rFonts w:hint="eastAsia"/>
        </w:rPr>
        <w:t>社会风险是指能够引起大于等于N人死亡的事故累积频率（F），也即单位时间内（通常为年）的死亡人数。通常用社会风险曲线（F-N曲线）表示。</w:t>
      </w:r>
    </w:p>
    <w:p w14:paraId="4EA21BF0">
      <w:pPr>
        <w:pStyle w:val="21"/>
        <w:adjustRightInd w:val="0"/>
        <w:snapToGrid w:val="0"/>
        <w:ind w:firstLine="560"/>
      </w:pPr>
      <w:r>
        <w:rPr>
          <w:rFonts w:hint="eastAsia"/>
        </w:rPr>
        <w:t>可容许社会风险标准采用ALARP（As Low As Reasonable Practice）原则作为可接受原则。ALARP原则通过两个风险分界线将风险划分为3个区域，即：不可容许区、尽可能降低区（ALARP）和可容许区。</w:t>
      </w:r>
    </w:p>
    <w:p w14:paraId="3C16A5DF">
      <w:pPr>
        <w:pStyle w:val="21"/>
        <w:adjustRightInd w:val="0"/>
        <w:snapToGrid w:val="0"/>
        <w:ind w:firstLine="560"/>
      </w:pPr>
      <w:r>
        <w:rPr>
          <w:rFonts w:hint="eastAsia" w:ascii="宋体" w:hAnsi="宋体"/>
        </w:rPr>
        <w:t>①</w:t>
      </w:r>
      <w:r>
        <w:rPr>
          <w:rFonts w:hint="eastAsia"/>
        </w:rPr>
        <w:t>若社会风险曲线落在不可容许区，除特殊情况外，该风险无论如何不能被接受。</w:t>
      </w:r>
    </w:p>
    <w:p w14:paraId="4BE63421">
      <w:pPr>
        <w:pStyle w:val="21"/>
        <w:adjustRightInd w:val="0"/>
        <w:snapToGrid w:val="0"/>
        <w:ind w:firstLine="560"/>
      </w:pPr>
      <w:r>
        <w:rPr>
          <w:rFonts w:hint="eastAsia" w:ascii="宋体" w:hAnsi="宋体"/>
        </w:rPr>
        <w:t>②</w:t>
      </w:r>
      <w:r>
        <w:rPr>
          <w:rFonts w:hint="eastAsia"/>
        </w:rPr>
        <w:t>若落在可容许区，风险处于很低的水平，该风险是可以被接受的，无需采取安全改进措施。</w:t>
      </w:r>
    </w:p>
    <w:p w14:paraId="596AA0D7">
      <w:pPr>
        <w:pStyle w:val="21"/>
        <w:adjustRightInd w:val="0"/>
        <w:snapToGrid w:val="0"/>
        <w:ind w:firstLine="560"/>
      </w:pPr>
      <w:r>
        <w:rPr>
          <w:rFonts w:hint="eastAsia" w:ascii="宋体" w:hAnsi="宋体"/>
        </w:rPr>
        <w:t>③</w:t>
      </w:r>
      <w:r>
        <w:rPr>
          <w:rFonts w:hint="eastAsia"/>
        </w:rPr>
        <w:t>若落在尽可能降低区，则需要在可能的情况下尽量减少风险，即对各种风险处理措施方案进行成本效益分析等，以决定是否采取这些措施。</w:t>
      </w:r>
    </w:p>
    <w:p w14:paraId="5D67894C">
      <w:pPr>
        <w:pStyle w:val="21"/>
        <w:adjustRightInd w:val="0"/>
        <w:snapToGrid w:val="0"/>
        <w:ind w:firstLine="560"/>
      </w:pPr>
      <w:r>
        <w:rPr>
          <w:rFonts w:hint="eastAsia"/>
        </w:rPr>
        <w:t>通过定量风险评价，危险化学品重大危险源产生的社会风险应满足图4.1-1中可容许社会风险标准要求。</w:t>
      </w:r>
    </w:p>
    <w:p w14:paraId="026A1574">
      <w:pPr>
        <w:pStyle w:val="21"/>
        <w:ind w:firstLine="0" w:firstLineChars="0"/>
      </w:pPr>
    </w:p>
    <w:p w14:paraId="1F5BE9A7">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4.1-1</w:t>
      </w:r>
      <w:r>
        <w:rPr>
          <w:rFonts w:hint="eastAsia" w:ascii="黑体" w:hAnsi="黑体" w:eastAsia="黑体"/>
          <w:sz w:val="24"/>
        </w:rPr>
        <w:t xml:space="preserve">  可容许社会风险标准（F-N）曲线</w:t>
      </w:r>
    </w:p>
    <w:p w14:paraId="60BE2EBE">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w:t>
      </w:r>
      <w:r>
        <w:rPr>
          <w:rFonts w:ascii="Times New Roman" w:hAnsi="Times New Roman" w:eastAsia="黑体" w:cs="Times New Roman"/>
          <w:b/>
          <w:bCs/>
          <w:kern w:val="2"/>
          <w:sz w:val="28"/>
          <w:szCs w:val="24"/>
          <w:lang w:val="en-US" w:eastAsia="zh-CN" w:bidi="ar-SA"/>
          <w14:ligatures w14:val="standardContextual"/>
        </w:rPr>
        <w:t>.1.</w:t>
      </w:r>
      <w:r>
        <w:rPr>
          <w:rFonts w:hint="eastAsia" w:ascii="Times New Roman" w:hAnsi="Times New Roman" w:eastAsia="黑体" w:cs="Times New Roman"/>
          <w:b/>
          <w:bCs/>
          <w:kern w:val="2"/>
          <w:sz w:val="28"/>
          <w:szCs w:val="24"/>
          <w:lang w:val="en-US" w:eastAsia="zh-CN" w:bidi="ar-SA"/>
          <w14:ligatures w14:val="standardContextual"/>
        </w:rPr>
        <w:t>2定量计算及分析</w:t>
      </w:r>
    </w:p>
    <w:p w14:paraId="32BB8201">
      <w:pPr>
        <w:pStyle w:val="21"/>
        <w:adjustRightInd w:val="0"/>
        <w:snapToGrid w:val="0"/>
        <w:ind w:firstLine="560"/>
        <w:rPr>
          <w:rFonts w:hint="eastAsia"/>
        </w:rPr>
      </w:pPr>
      <w:r>
        <w:rPr>
          <w:rFonts w:hint="eastAsia"/>
        </w:rPr>
        <w:t>根据《危险化学品生产装置和储存设施风险基准》（GB36894-2018），本次评估采用</w:t>
      </w:r>
      <w:r>
        <w:rPr>
          <w:rFonts w:hint="eastAsia"/>
          <w:lang w:eastAsia="zh-CN"/>
        </w:rPr>
        <w:t>“</w:t>
      </w:r>
      <w:r>
        <w:rPr>
          <w:rFonts w:hint="eastAsia"/>
        </w:rPr>
        <w:t>定量风险评价法</w:t>
      </w:r>
      <w:r>
        <w:rPr>
          <w:rFonts w:hint="eastAsia"/>
          <w:lang w:eastAsia="zh-CN"/>
        </w:rPr>
        <w:t>”</w:t>
      </w:r>
      <w:r>
        <w:rPr>
          <w:rFonts w:hint="eastAsia"/>
        </w:rPr>
        <w:t>计算个人风险和社会风险。</w:t>
      </w:r>
    </w:p>
    <w:p w14:paraId="64859E59">
      <w:pPr>
        <w:pStyle w:val="21"/>
        <w:adjustRightInd w:val="0"/>
        <w:snapToGrid w:val="0"/>
        <w:ind w:firstLine="560"/>
        <w:rPr>
          <w:rFonts w:hint="eastAsia"/>
        </w:rPr>
      </w:pPr>
      <w:r>
        <w:rPr>
          <w:rFonts w:hint="eastAsia"/>
          <w:lang w:eastAsia="zh-CN"/>
        </w:rPr>
        <w:t>（</w:t>
      </w:r>
      <w:r>
        <w:rPr>
          <w:rFonts w:hint="eastAsia"/>
          <w:lang w:val="en-US" w:eastAsia="zh-CN"/>
        </w:rPr>
        <w:t>1</w:t>
      </w:r>
      <w:r>
        <w:rPr>
          <w:rFonts w:hint="eastAsia"/>
          <w:lang w:eastAsia="zh-CN"/>
        </w:rPr>
        <w:t>）</w:t>
      </w:r>
      <w:r>
        <w:rPr>
          <w:rFonts w:hint="eastAsia"/>
        </w:rPr>
        <w:t>区域环境参数</w:t>
      </w:r>
    </w:p>
    <w:p w14:paraId="699298F7">
      <w:pPr>
        <w:pStyle w:val="21"/>
        <w:keepNext/>
        <w:keepLines/>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4.</w:t>
      </w:r>
      <w:r>
        <w:rPr>
          <w:rFonts w:hint="eastAsia" w:eastAsia="黑体" w:cs="Times New Roman"/>
          <w:sz w:val="24"/>
          <w:lang w:val="en-US" w:eastAsia="zh-CN"/>
        </w:rPr>
        <w:t>1</w:t>
      </w:r>
      <w:r>
        <w:rPr>
          <w:rFonts w:hint="default" w:ascii="Times New Roman" w:hAnsi="Times New Roman" w:eastAsia="黑体" w:cs="Times New Roman"/>
          <w:sz w:val="24"/>
          <w:lang w:val="en-US" w:eastAsia="zh-CN"/>
        </w:rPr>
        <w:t>-</w:t>
      </w:r>
      <w:r>
        <w:rPr>
          <w:rFonts w:hint="eastAsia" w:eastAsia="黑体" w:cs="Times New Roman"/>
          <w:sz w:val="24"/>
          <w:lang w:val="en-US" w:eastAsia="zh-CN"/>
        </w:rPr>
        <w:t>2</w:t>
      </w:r>
      <w:r>
        <w:rPr>
          <w:rFonts w:hint="default" w:ascii="Times New Roman" w:hAnsi="Times New Roman" w:eastAsia="黑体" w:cs="Times New Roman"/>
          <w:sz w:val="24"/>
          <w:lang w:val="en-US" w:eastAsia="zh-CN"/>
        </w:rPr>
        <w:t xml:space="preserve">  </w:t>
      </w:r>
      <w:r>
        <w:rPr>
          <w:rFonts w:hint="default" w:ascii="Times New Roman" w:hAnsi="Times New Roman" w:eastAsia="黑体" w:cs="Times New Roman"/>
          <w:sz w:val="24"/>
        </w:rPr>
        <w:t>区域环境参数表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4587"/>
        <w:gridCol w:w="4587"/>
      </w:tblGrid>
      <w:tr w14:paraId="44204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2BB0C9D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参数名称</w:t>
            </w:r>
          </w:p>
        </w:tc>
        <w:tc>
          <w:tcPr>
            <w:tcW w:w="4261" w:type="dxa"/>
            <w:shd w:val="clear" w:color="auto" w:fill="auto"/>
            <w:vAlign w:val="center"/>
          </w:tcPr>
          <w:p w14:paraId="03E64B3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参数取值</w:t>
            </w:r>
          </w:p>
        </w:tc>
      </w:tr>
      <w:tr w14:paraId="36545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7CF9AD7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所在区域</w:t>
            </w:r>
          </w:p>
        </w:tc>
        <w:tc>
          <w:tcPr>
            <w:tcW w:w="4261" w:type="dxa"/>
            <w:shd w:val="clear" w:color="auto" w:fill="auto"/>
            <w:vAlign w:val="center"/>
          </w:tcPr>
          <w:p w14:paraId="60307E1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朝阳</w:t>
            </w:r>
          </w:p>
        </w:tc>
      </w:tr>
      <w:tr w14:paraId="0C55E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1019F37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地面类型</w:t>
            </w:r>
          </w:p>
        </w:tc>
        <w:tc>
          <w:tcPr>
            <w:tcW w:w="4261" w:type="dxa"/>
            <w:shd w:val="clear" w:color="auto" w:fill="auto"/>
            <w:vAlign w:val="center"/>
          </w:tcPr>
          <w:p w14:paraId="4EBCC5D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eastAsia" w:ascii="Times New Roman" w:hAnsi="Times New Roman" w:eastAsia="宋体" w:cs="Times New Roman"/>
                <w:b w:val="0"/>
                <w:bCs w:val="0"/>
                <w:spacing w:val="8"/>
                <w:sz w:val="21"/>
                <w:szCs w:val="21"/>
                <w:lang w:val="en-US" w:eastAsia="zh-CN"/>
              </w:rPr>
              <w:t>草原、平坦开阔地</w:t>
            </w:r>
          </w:p>
        </w:tc>
      </w:tr>
      <w:tr w14:paraId="130E3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62B415C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辐射强度</w:t>
            </w:r>
          </w:p>
        </w:tc>
        <w:tc>
          <w:tcPr>
            <w:tcW w:w="4261" w:type="dxa"/>
            <w:shd w:val="clear" w:color="auto" w:fill="auto"/>
            <w:vAlign w:val="center"/>
          </w:tcPr>
          <w:p w14:paraId="799D902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中等(白天日照)</w:t>
            </w:r>
          </w:p>
        </w:tc>
      </w:tr>
      <w:tr w14:paraId="74E16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330F4CA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大气稳定度</w:t>
            </w:r>
          </w:p>
        </w:tc>
        <w:tc>
          <w:tcPr>
            <w:tcW w:w="4261" w:type="dxa"/>
            <w:shd w:val="clear" w:color="auto" w:fill="auto"/>
            <w:vAlign w:val="center"/>
          </w:tcPr>
          <w:p w14:paraId="0C8D83B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C</w:t>
            </w:r>
          </w:p>
        </w:tc>
      </w:tr>
      <w:tr w14:paraId="4AC01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2D957ED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环境压力（pa）</w:t>
            </w:r>
          </w:p>
        </w:tc>
        <w:tc>
          <w:tcPr>
            <w:tcW w:w="4261" w:type="dxa"/>
            <w:shd w:val="clear" w:color="auto" w:fill="auto"/>
            <w:vAlign w:val="center"/>
          </w:tcPr>
          <w:p w14:paraId="259F657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eastAsia" w:ascii="Times New Roman" w:hAnsi="Times New Roman" w:eastAsia="宋体" w:cs="Times New Roman"/>
                <w:b w:val="0"/>
                <w:bCs w:val="0"/>
                <w:spacing w:val="8"/>
                <w:sz w:val="21"/>
                <w:szCs w:val="21"/>
                <w:lang w:val="en-US" w:eastAsia="zh-CN"/>
              </w:rPr>
              <w:t>101000</w:t>
            </w:r>
          </w:p>
        </w:tc>
      </w:tr>
      <w:tr w14:paraId="350C9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5D72566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环境平均风速（m/s）</w:t>
            </w:r>
          </w:p>
        </w:tc>
        <w:tc>
          <w:tcPr>
            <w:tcW w:w="4261" w:type="dxa"/>
            <w:shd w:val="clear" w:color="auto" w:fill="auto"/>
            <w:vAlign w:val="center"/>
          </w:tcPr>
          <w:p w14:paraId="4EA6235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3.0</w:t>
            </w:r>
          </w:p>
        </w:tc>
      </w:tr>
      <w:tr w14:paraId="223EB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44E26FF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环境大气密度（kg/m3）</w:t>
            </w:r>
          </w:p>
        </w:tc>
        <w:tc>
          <w:tcPr>
            <w:tcW w:w="4261" w:type="dxa"/>
            <w:shd w:val="clear" w:color="auto" w:fill="auto"/>
            <w:vAlign w:val="center"/>
          </w:tcPr>
          <w:p w14:paraId="08FBF34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1.293</w:t>
            </w:r>
          </w:p>
        </w:tc>
      </w:tr>
      <w:tr w14:paraId="1CC00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5F18E5F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环境温度（K）</w:t>
            </w:r>
          </w:p>
        </w:tc>
        <w:tc>
          <w:tcPr>
            <w:tcW w:w="4261" w:type="dxa"/>
            <w:shd w:val="clear" w:color="auto" w:fill="auto"/>
            <w:vAlign w:val="center"/>
          </w:tcPr>
          <w:p w14:paraId="60D2A61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298</w:t>
            </w:r>
          </w:p>
        </w:tc>
      </w:tr>
      <w:tr w14:paraId="4E045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1972652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建筑物占地百分比</w:t>
            </w:r>
          </w:p>
        </w:tc>
        <w:tc>
          <w:tcPr>
            <w:tcW w:w="4261" w:type="dxa"/>
            <w:shd w:val="clear" w:color="auto" w:fill="auto"/>
            <w:vAlign w:val="center"/>
          </w:tcPr>
          <w:p w14:paraId="75C8FB3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eastAsia" w:ascii="Times New Roman" w:hAnsi="Times New Roman" w:eastAsia="宋体" w:cs="Times New Roman"/>
                <w:b w:val="0"/>
                <w:bCs w:val="0"/>
                <w:spacing w:val="8"/>
                <w:sz w:val="21"/>
                <w:szCs w:val="21"/>
                <w:lang w:val="en-US" w:eastAsia="zh-CN"/>
              </w:rPr>
              <w:t>0.03</w:t>
            </w:r>
          </w:p>
        </w:tc>
      </w:tr>
    </w:tbl>
    <w:p w14:paraId="5D6A88D4">
      <w:pPr>
        <w:spacing w:line="44" w:lineRule="exact"/>
      </w:pPr>
    </w:p>
    <w:p w14:paraId="6B86AB34">
      <w:pPr>
        <w:pStyle w:val="21"/>
        <w:adjustRightInd w:val="0"/>
        <w:snapToGrid w:val="0"/>
        <w:ind w:firstLine="560"/>
        <w:rPr>
          <w:rFonts w:hint="eastAsia"/>
        </w:rPr>
      </w:pPr>
      <w:r>
        <w:rPr>
          <w:rFonts w:hint="eastAsia"/>
          <w:lang w:eastAsia="zh-CN"/>
        </w:rPr>
        <w:t>（</w:t>
      </w:r>
      <w:r>
        <w:rPr>
          <w:rFonts w:hint="eastAsia"/>
          <w:lang w:val="en-US" w:eastAsia="zh-CN"/>
        </w:rPr>
        <w:t>2</w:t>
      </w:r>
      <w:r>
        <w:rPr>
          <w:rFonts w:hint="eastAsia"/>
          <w:lang w:eastAsia="zh-CN"/>
        </w:rPr>
        <w:t>）</w:t>
      </w:r>
      <w:r>
        <w:rPr>
          <w:rFonts w:hint="eastAsia"/>
        </w:rPr>
        <w:t>个人风险标准详细配置情况</w:t>
      </w:r>
    </w:p>
    <w:p w14:paraId="201BA8C2">
      <w:pPr>
        <w:pStyle w:val="21"/>
        <w:adjustRightInd w:val="0"/>
        <w:snapToGrid w:val="0"/>
        <w:ind w:firstLine="560"/>
        <w:rPr>
          <w:rFonts w:hint="eastAsia"/>
        </w:rPr>
      </w:pPr>
      <w:r>
        <w:rPr>
          <w:rFonts w:hint="eastAsia"/>
        </w:rPr>
        <w:t>本报告采用的个人风险标准详细配置情况，见下表：</w:t>
      </w:r>
    </w:p>
    <w:p w14:paraId="5D1F6E13">
      <w:pPr>
        <w:pStyle w:val="21"/>
        <w:adjustRightInd w:val="0"/>
        <w:snapToGrid w:val="0"/>
        <w:ind w:firstLine="560"/>
        <w:rPr>
          <w:rFonts w:hint="eastAsia"/>
        </w:rPr>
      </w:pPr>
      <w:r>
        <w:rPr>
          <w:rFonts w:hint="eastAsia"/>
          <w:lang w:eastAsia="zh-CN"/>
        </w:rPr>
        <w:t>（</w:t>
      </w:r>
      <w:r>
        <w:rPr>
          <w:rFonts w:hint="eastAsia"/>
          <w:lang w:val="en-US" w:eastAsia="zh-CN"/>
        </w:rPr>
        <w:t>3</w:t>
      </w:r>
      <w:r>
        <w:rPr>
          <w:rFonts w:hint="eastAsia"/>
          <w:lang w:eastAsia="zh-CN"/>
        </w:rPr>
        <w:t>）</w:t>
      </w:r>
      <w:r>
        <w:rPr>
          <w:rFonts w:hint="eastAsia"/>
        </w:rPr>
        <w:t>风向玫瑰图</w:t>
      </w:r>
    </w:p>
    <w:p w14:paraId="11688E89">
      <w:pPr>
        <w:pStyle w:val="21"/>
        <w:adjustRightInd w:val="0"/>
        <w:snapToGrid w:val="0"/>
        <w:ind w:firstLine="560"/>
        <w:jc w:val="center"/>
        <w:rPr>
          <w:rFonts w:hint="eastAsia"/>
        </w:rPr>
      </w:pPr>
    </w:p>
    <w:p w14:paraId="37FEE895">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hint="default" w:ascii="Times New Roman" w:hAnsi="Times New Roman" w:eastAsia="黑体" w:cs="Times New Roman"/>
          <w:sz w:val="24"/>
          <w:lang w:val="en-US" w:eastAsia="zh-CN"/>
        </w:rPr>
        <w:t xml:space="preserve">4.1-2 </w:t>
      </w:r>
      <w:r>
        <w:rPr>
          <w:rFonts w:hint="eastAsia" w:ascii="黑体" w:hAnsi="黑体" w:eastAsia="黑体"/>
          <w:sz w:val="24"/>
          <w:lang w:val="en-US" w:eastAsia="zh-CN"/>
        </w:rPr>
        <w:t xml:space="preserve"> </w:t>
      </w:r>
      <w:r>
        <w:rPr>
          <w:rFonts w:hint="eastAsia" w:ascii="黑体" w:hAnsi="黑体" w:eastAsia="黑体"/>
          <w:sz w:val="24"/>
        </w:rPr>
        <w:t>风向玫瑰图</w:t>
      </w:r>
    </w:p>
    <w:p w14:paraId="6B7B8EC9">
      <w:pPr>
        <w:pStyle w:val="21"/>
        <w:adjustRightInd w:val="0"/>
        <w:snapToGrid w:val="0"/>
        <w:ind w:firstLine="560"/>
        <w:rPr>
          <w:rFonts w:hint="eastAsia"/>
        </w:rPr>
      </w:pPr>
      <w:r>
        <w:rPr>
          <w:rFonts w:hint="eastAsia"/>
          <w:lang w:eastAsia="zh-CN"/>
        </w:rPr>
        <w:t>（</w:t>
      </w:r>
      <w:r>
        <w:rPr>
          <w:rFonts w:hint="eastAsia"/>
          <w:lang w:val="en-US" w:eastAsia="zh-CN"/>
        </w:rPr>
        <w:t>4</w:t>
      </w:r>
      <w:r>
        <w:rPr>
          <w:rFonts w:hint="eastAsia"/>
          <w:lang w:eastAsia="zh-CN"/>
        </w:rPr>
        <w:t>）</w:t>
      </w:r>
      <w:r>
        <w:rPr>
          <w:rFonts w:hint="eastAsia"/>
        </w:rPr>
        <w:t>人口区域密度</w:t>
      </w:r>
    </w:p>
    <w:p w14:paraId="74C14072">
      <w:pPr>
        <w:pStyle w:val="21"/>
        <w:adjustRightInd w:val="0"/>
        <w:snapToGrid w:val="0"/>
        <w:ind w:firstLine="560"/>
        <w:rPr>
          <w:rFonts w:hint="default" w:eastAsia="宋体"/>
          <w:lang w:val="en-US" w:eastAsia="zh-CN"/>
        </w:rPr>
      </w:pPr>
      <w:r>
        <w:rPr>
          <w:rFonts w:hint="eastAsia"/>
        </w:rPr>
        <w:t>区域人口密度（个/m</w:t>
      </w:r>
      <w:r>
        <w:rPr>
          <w:rFonts w:hint="eastAsia"/>
          <w:vertAlign w:val="superscript"/>
        </w:rPr>
        <w:t>2</w:t>
      </w:r>
      <w:r>
        <w:rPr>
          <w:rFonts w:hint="eastAsia"/>
        </w:rPr>
        <w:t xml:space="preserve"> ）：</w:t>
      </w:r>
      <w:r>
        <w:rPr>
          <w:rFonts w:hint="eastAsia"/>
          <w:lang w:val="en-US" w:eastAsia="zh-CN"/>
        </w:rPr>
        <w:t>0.0002</w:t>
      </w:r>
    </w:p>
    <w:p w14:paraId="1859789B">
      <w:pPr>
        <w:pStyle w:val="21"/>
        <w:adjustRightInd w:val="0"/>
        <w:snapToGrid w:val="0"/>
        <w:ind w:firstLine="560"/>
        <w:rPr>
          <w:rFonts w:hint="eastAsia"/>
        </w:rPr>
      </w:pPr>
      <w:r>
        <w:rPr>
          <w:rFonts w:hint="eastAsia"/>
          <w:lang w:eastAsia="zh-CN"/>
        </w:rPr>
        <w:t>（</w:t>
      </w:r>
      <w:r>
        <w:rPr>
          <w:rFonts w:hint="eastAsia"/>
          <w:lang w:val="en-US" w:eastAsia="zh-CN"/>
        </w:rPr>
        <w:t>5</w:t>
      </w:r>
      <w:r>
        <w:rPr>
          <w:rFonts w:hint="eastAsia"/>
          <w:lang w:eastAsia="zh-CN"/>
        </w:rPr>
        <w:t>）1#液氯库-01储罐</w:t>
      </w:r>
      <w:r>
        <w:rPr>
          <w:rFonts w:hint="eastAsia"/>
        </w:rPr>
        <w:t>基本</w:t>
      </w:r>
      <w:r>
        <w:rPr>
          <w:rFonts w:hint="eastAsia"/>
          <w:lang w:val="en-US" w:eastAsia="zh-CN"/>
        </w:rPr>
        <w:t>参数</w:t>
      </w:r>
    </w:p>
    <w:p w14:paraId="10C82B31">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bookmarkStart w:id="52" w:name="_GoBack"/>
      <w:bookmarkEnd w:id="52"/>
      <w:r>
        <w:rPr>
          <w:rFonts w:hint="eastAsia" w:ascii="Times New Roman" w:hAnsi="Times New Roman" w:eastAsia="黑体" w:cs="Times New Roman"/>
          <w:b/>
          <w:bCs/>
          <w:kern w:val="2"/>
          <w:sz w:val="28"/>
          <w:szCs w:val="24"/>
          <w:lang w:val="en-US" w:eastAsia="zh-CN" w:bidi="ar-SA"/>
          <w14:ligatures w14:val="standardContextual"/>
        </w:rPr>
        <w:t>4.1.3个人风险分析</w:t>
      </w:r>
    </w:p>
    <w:p w14:paraId="7FE3DD4D">
      <w:pPr>
        <w:bidi w:val="0"/>
        <w:ind w:firstLine="560" w:firstLineChars="200"/>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（1）区域总体个人风险模拟结果，见下图。</w:t>
      </w:r>
    </w:p>
    <w:p w14:paraId="4C87B5DE">
      <w:pPr>
        <w:bidi w:val="0"/>
        <w:jc w:val="center"/>
        <w:rPr>
          <w:rFonts w:hint="eastAsia" w:ascii="微软雅黑" w:hAnsi="微软雅黑" w:eastAsia="微软雅黑"/>
          <w:lang w:val="en-US" w:eastAsia="zh-CN"/>
        </w:rPr>
      </w:pPr>
    </w:p>
    <w:p w14:paraId="123017AF">
      <w:pPr>
        <w:bidi w:val="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 xml:space="preserve">4.1-3  </w:t>
      </w:r>
      <w:r>
        <w:rPr>
          <w:rFonts w:hint="default" w:ascii="Times New Roman" w:hAnsi="Times New Roman" w:eastAsia="黑体" w:cs="Times New Roman"/>
          <w:kern w:val="2"/>
          <w:sz w:val="24"/>
          <w:szCs w:val="24"/>
          <w:lang w:val="en-US" w:eastAsia="zh-CN" w:bidi="ar-SA"/>
          <w14:ligatures w14:val="standardContextual"/>
        </w:rPr>
        <w:t>区域总体个人风</w:t>
      </w:r>
      <w:r>
        <w:rPr>
          <w:rFonts w:hint="eastAsia" w:ascii="黑体" w:hAnsi="黑体" w:eastAsia="黑体" w:cstheme="minorBidi"/>
          <w:kern w:val="2"/>
          <w:sz w:val="24"/>
          <w:szCs w:val="24"/>
          <w:lang w:val="en-US" w:eastAsia="zh-CN" w:bidi="ar-SA"/>
          <w14:ligatures w14:val="standardContextual"/>
        </w:rPr>
        <w:t>险等值线图</w:t>
      </w:r>
    </w:p>
    <w:p w14:paraId="02EA5206">
      <w:pPr>
        <w:keepNext/>
        <w:keepLines/>
        <w:pageBreakBefore w:val="0"/>
        <w:widowControl w:val="0"/>
        <w:numPr>
          <w:ilvl w:val="0"/>
          <w:numId w:val="1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1#液氯库-01储罐个人风险模拟结果，见下图。</w:t>
      </w:r>
    </w:p>
    <w:p w14:paraId="4D970EED">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pPr>
    </w:p>
    <w:p w14:paraId="6F1A525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1-4  1#液氯库-01储罐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309893C0">
      <w:pPr>
        <w:keepNext/>
        <w:keepLines/>
        <w:pageBreakBefore w:val="0"/>
        <w:widowControl w:val="0"/>
        <w:numPr>
          <w:ilvl w:val="0"/>
          <w:numId w:val="1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1#液氯库-02储罐个人风险模拟结果，见下图。</w:t>
      </w:r>
    </w:p>
    <w:p w14:paraId="6CA90C44">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pPr>
    </w:p>
    <w:p w14:paraId="5F151B19">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rPr>
          <w:rFonts w:hint="eastAsia"/>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1-5  1#液氯库-02储罐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115861B8">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（4）1#液氯库-03储罐个人风险模拟结果，见下图。</w:t>
      </w:r>
    </w:p>
    <w:p w14:paraId="6995390C">
      <w:pPr>
        <w:keepNext/>
        <w:keepLines/>
        <w:widowControl w:val="0"/>
        <w:adjustRightInd w:val="0"/>
        <w:snapToGrid w:val="0"/>
        <w:spacing w:before="156" w:beforeLines="50" w:after="156" w:afterLines="50" w:line="240" w:lineRule="auto"/>
        <w:ind w:firstLine="0" w:firstLineChars="0"/>
        <w:jc w:val="center"/>
      </w:pPr>
    </w:p>
    <w:p w14:paraId="6583D7C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1-6  1#液氯库-03储罐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26661D62">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（5）1#液氯库-04储罐个人风险模拟结果，见下图。</w:t>
      </w:r>
    </w:p>
    <w:p w14:paraId="1993927D">
      <w:pPr>
        <w:keepNext/>
        <w:keepLines/>
        <w:widowControl w:val="0"/>
        <w:adjustRightInd w:val="0"/>
        <w:snapToGrid w:val="0"/>
        <w:spacing w:before="156" w:beforeLines="50" w:after="156" w:afterLines="50" w:line="240" w:lineRule="auto"/>
        <w:ind w:firstLine="0" w:firstLineChars="0"/>
        <w:jc w:val="center"/>
      </w:pPr>
    </w:p>
    <w:p w14:paraId="01A4FEF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1-7  1#液氯库-04储罐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4DD6D0CD">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p>
    <w:p w14:paraId="37CB501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p>
    <w:p w14:paraId="60FBE8ED">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p>
    <w:p w14:paraId="0471283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p>
    <w:p w14:paraId="54000078">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（6）1#液氯库-05储罐个人风险模拟结果，见下图。</w:t>
      </w:r>
    </w:p>
    <w:p w14:paraId="02694901">
      <w:pPr>
        <w:keepNext/>
        <w:keepLines/>
        <w:widowControl w:val="0"/>
        <w:adjustRightInd w:val="0"/>
        <w:snapToGrid w:val="0"/>
        <w:spacing w:before="156" w:beforeLines="50" w:after="156" w:afterLines="50" w:line="240" w:lineRule="auto"/>
        <w:ind w:firstLine="0" w:firstLineChars="0"/>
        <w:jc w:val="center"/>
      </w:pPr>
    </w:p>
    <w:p w14:paraId="0F11332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1-8  1#液氯库-05储罐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22EE9A64">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（7）1#液氯库-06储罐个人风险模拟结果，见下图。</w:t>
      </w:r>
    </w:p>
    <w:p w14:paraId="0447F9F4">
      <w:pPr>
        <w:keepNext/>
        <w:keepLines/>
        <w:widowControl w:val="0"/>
        <w:adjustRightInd w:val="0"/>
        <w:snapToGrid w:val="0"/>
        <w:spacing w:before="156" w:beforeLines="50" w:after="156" w:afterLines="50" w:line="240" w:lineRule="auto"/>
        <w:ind w:firstLine="0" w:firstLineChars="0"/>
        <w:jc w:val="center"/>
      </w:pPr>
    </w:p>
    <w:p w14:paraId="559DC4F3">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1-9  1#液氯库-06储罐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6968C31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p>
    <w:p w14:paraId="36D7C42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p>
    <w:p w14:paraId="7F6CA88E">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p>
    <w:p w14:paraId="3F135C0A">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p>
    <w:p w14:paraId="60E8D4B5">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（8）1#液氯库-07储罐个人风险模拟结果，见下图。</w:t>
      </w:r>
    </w:p>
    <w:p w14:paraId="7B7C15BE">
      <w:pPr>
        <w:keepNext/>
        <w:keepLines/>
        <w:widowControl w:val="0"/>
        <w:adjustRightInd w:val="0"/>
        <w:snapToGrid w:val="0"/>
        <w:spacing w:before="156" w:beforeLines="50" w:after="156" w:afterLines="50" w:line="240" w:lineRule="auto"/>
        <w:ind w:firstLine="0" w:firstLineChars="0"/>
        <w:jc w:val="center"/>
      </w:pPr>
    </w:p>
    <w:p w14:paraId="6E1096D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1-10  1#液氯库-07储罐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47327FA4">
      <w:pPr>
        <w:pStyle w:val="21"/>
        <w:adjustRightInd w:val="0"/>
        <w:snapToGrid w:val="0"/>
        <w:ind w:firstLine="56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根据个人风险等值线图，该公司的可容许个人风险 3×10</w:t>
      </w:r>
      <w:r>
        <w:rPr>
          <w:rFonts w:hint="eastAsia" w:ascii="Times New Roman" w:hAnsi="Times New Roman" w:eastAsia="宋体"/>
          <w:highlight w:val="none"/>
          <w:vertAlign w:val="superscript"/>
          <w:lang w:val="en-US" w:eastAsia="zh-CN"/>
        </w:rPr>
        <w:t>-7</w:t>
      </w:r>
      <w:r>
        <w:rPr>
          <w:rFonts w:hint="eastAsia" w:ascii="Times New Roman" w:hAnsi="Times New Roman" w:eastAsia="宋体"/>
          <w:highlight w:val="none"/>
          <w:lang w:val="en-US" w:eastAsia="zh-CN"/>
        </w:rPr>
        <w:t>/年的等值线（蓝色）内均无高敏感场所、重要目标及一般防护目标中的一类防护目标； 3×10</w:t>
      </w:r>
      <w:r>
        <w:rPr>
          <w:rFonts w:hint="eastAsia" w:ascii="Times New Roman" w:hAnsi="Times New Roman" w:eastAsia="宋体"/>
          <w:highlight w:val="none"/>
          <w:vertAlign w:val="superscript"/>
          <w:lang w:val="en-US" w:eastAsia="zh-CN"/>
        </w:rPr>
        <w:t>-6</w:t>
      </w:r>
      <w:r>
        <w:rPr>
          <w:rFonts w:hint="eastAsia" w:ascii="Times New Roman" w:hAnsi="Times New Roman" w:eastAsia="宋体"/>
          <w:highlight w:val="none"/>
          <w:lang w:val="en-US" w:eastAsia="zh-CN"/>
        </w:rPr>
        <w:t>/年的等值线（黄色）内无一般防护目标中的二类防护目标；1×10</w:t>
      </w:r>
      <w:r>
        <w:rPr>
          <w:rFonts w:hint="eastAsia" w:ascii="Times New Roman" w:hAnsi="Times New Roman" w:eastAsia="宋体"/>
          <w:highlight w:val="none"/>
          <w:vertAlign w:val="superscript"/>
          <w:lang w:val="en-US" w:eastAsia="zh-CN"/>
        </w:rPr>
        <w:t>-5</w:t>
      </w:r>
      <w:r>
        <w:rPr>
          <w:rFonts w:hint="eastAsia" w:ascii="Times New Roman" w:hAnsi="Times New Roman" w:eastAsia="宋体"/>
          <w:highlight w:val="none"/>
          <w:lang w:val="en-US" w:eastAsia="zh-CN"/>
        </w:rPr>
        <w:t>/年的等值线（红色）内无一般防护目标中的三类防护目标；该公司</w:t>
      </w:r>
      <w:r>
        <w:rPr>
          <w:rFonts w:hint="eastAsia"/>
          <w:highlight w:val="none"/>
          <w:lang w:val="en-US" w:eastAsia="zh-CN"/>
        </w:rPr>
        <w:t>1#液氯库</w:t>
      </w:r>
      <w:r>
        <w:rPr>
          <w:rFonts w:hint="eastAsia" w:ascii="Times New Roman" w:hAnsi="Times New Roman" w:eastAsia="宋体"/>
          <w:highlight w:val="none"/>
          <w:lang w:val="en-US" w:eastAsia="zh-CN"/>
        </w:rPr>
        <w:t>重大危险源</w:t>
      </w:r>
      <w:r>
        <w:rPr>
          <w:rFonts w:hint="eastAsia"/>
          <w:highlight w:val="none"/>
          <w:lang w:val="en-US" w:eastAsia="zh-CN"/>
        </w:rPr>
        <w:t>的</w:t>
      </w:r>
      <w:r>
        <w:rPr>
          <w:rFonts w:hint="eastAsia" w:ascii="Times New Roman" w:hAnsi="Times New Roman" w:eastAsia="宋体"/>
          <w:highlight w:val="none"/>
          <w:lang w:val="en-US" w:eastAsia="zh-CN"/>
        </w:rPr>
        <w:t>储存设施的个人风险是可以接受的。</w:t>
      </w:r>
    </w:p>
    <w:p w14:paraId="45BF2CD8">
      <w:pPr>
        <w:pStyle w:val="21"/>
        <w:adjustRightInd w:val="0"/>
        <w:snapToGrid w:val="0"/>
        <w:ind w:firstLine="560"/>
        <w:rPr>
          <w:rFonts w:hint="eastAsia" w:ascii="Times New Roman" w:hAnsi="Times New Roman" w:eastAsia="宋体"/>
          <w:highlight w:val="none"/>
          <w:lang w:val="en-US" w:eastAsia="zh-CN"/>
        </w:rPr>
      </w:pPr>
      <w:r>
        <w:rPr>
          <w:rFonts w:hint="eastAsia" w:ascii="Times New Roman" w:hAnsi="Times New Roman" w:eastAsia="宋体"/>
          <w:highlight w:val="none"/>
          <w:lang w:val="en-US" w:eastAsia="zh-CN"/>
        </w:rPr>
        <w:t>因此，</w:t>
      </w:r>
      <w:r>
        <w:rPr>
          <w:rFonts w:hint="eastAsia"/>
          <w:highlight w:val="none"/>
          <w:lang w:val="en-US" w:eastAsia="zh-CN"/>
        </w:rPr>
        <w:t>朝阳金达钛业股份有限公司1#液氯库</w:t>
      </w:r>
      <w:r>
        <w:rPr>
          <w:rFonts w:hint="eastAsia" w:ascii="Times New Roman" w:hAnsi="Times New Roman" w:eastAsia="宋体"/>
          <w:highlight w:val="none"/>
          <w:lang w:val="en-US" w:eastAsia="zh-CN"/>
        </w:rPr>
        <w:t>的个人风险可接受。</w:t>
      </w:r>
    </w:p>
    <w:p w14:paraId="616237B3">
      <w:pPr>
        <w:pStyle w:val="21"/>
        <w:adjustRightInd w:val="0"/>
        <w:snapToGrid w:val="0"/>
        <w:spacing w:before="156" w:beforeLines="50" w:after="156" w:afterLines="50"/>
        <w:ind w:firstLine="562"/>
        <w:outlineLvl w:val="2"/>
        <w:rPr>
          <w:rFonts w:hint="eastAsia" w:eastAsia="黑体" w:cs="Times New Roman"/>
          <w:b/>
          <w:bCs/>
        </w:rPr>
      </w:pPr>
      <w:r>
        <w:rPr>
          <w:rFonts w:hint="eastAsia" w:eastAsia="黑体" w:cs="Times New Roman"/>
          <w:b/>
          <w:bCs/>
          <w:lang w:val="en-US" w:eastAsia="zh-CN"/>
        </w:rPr>
        <w:t>4.1.4</w:t>
      </w:r>
      <w:r>
        <w:rPr>
          <w:rFonts w:hint="eastAsia" w:eastAsia="黑体" w:cs="Times New Roman"/>
          <w:b/>
          <w:bCs/>
        </w:rPr>
        <w:t>社会风险分析</w:t>
      </w:r>
    </w:p>
    <w:p w14:paraId="51E63CEA">
      <w:pPr>
        <w:pStyle w:val="21"/>
        <w:adjustRightInd w:val="0"/>
        <w:snapToGrid w:val="0"/>
        <w:ind w:firstLine="560"/>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w:t>
      </w:r>
      <w:r>
        <w:rPr>
          <w:rFonts w:hint="eastAsia"/>
        </w:rPr>
        <w:t>社会风险等值线</w:t>
      </w:r>
      <w:r>
        <w:rPr>
          <w:rFonts w:hint="eastAsia" w:ascii="Times New Roman" w:hAnsi="Times New Roman" w:eastAsia="宋体" w:cstheme="minorBidi"/>
          <w:kern w:val="2"/>
          <w:sz w:val="28"/>
          <w:szCs w:val="24"/>
          <w:lang w:val="en-US" w:eastAsia="zh-CN" w:bidi="ar-SA"/>
          <w14:ligatures w14:val="standardContextual"/>
        </w:rPr>
        <w:t>见下图。</w:t>
      </w:r>
    </w:p>
    <w:p w14:paraId="6AB8BCD1">
      <w:pPr>
        <w:pStyle w:val="21"/>
        <w:adjustRightInd w:val="0"/>
        <w:snapToGrid w:val="0"/>
        <w:ind w:firstLine="560"/>
        <w:jc w:val="center"/>
        <w:rPr>
          <w:rFonts w:hint="eastAsia"/>
        </w:rPr>
      </w:pPr>
    </w:p>
    <w:p w14:paraId="04E58879">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eastAsia="黑体" w:cs="Times New Roman"/>
          <w:sz w:val="24"/>
          <w:lang w:val="en-US" w:eastAsia="zh-CN"/>
        </w:rPr>
        <w:t>1-11</w:t>
      </w:r>
      <w:r>
        <w:rPr>
          <w:rFonts w:hint="default" w:ascii="Times New Roman" w:hAnsi="Times New Roman" w:eastAsia="黑体" w:cs="Times New Roman"/>
          <w:sz w:val="24"/>
          <w:lang w:val="en-US" w:eastAsia="zh-CN"/>
        </w:rPr>
        <w:t xml:space="preserve">  </w:t>
      </w:r>
      <w:r>
        <w:rPr>
          <w:rFonts w:hint="eastAsia" w:eastAsia="黑体" w:cs="Times New Roman"/>
          <w:sz w:val="24"/>
          <w:lang w:val="en-US" w:eastAsia="zh-CN"/>
        </w:rPr>
        <w:t>区域总体</w:t>
      </w:r>
      <w:r>
        <w:rPr>
          <w:rFonts w:hint="default" w:ascii="Times New Roman" w:hAnsi="Times New Roman" w:eastAsia="黑体" w:cs="Times New Roman"/>
          <w:sz w:val="24"/>
        </w:rPr>
        <w:t>社会风险</w:t>
      </w:r>
      <w:r>
        <w:rPr>
          <w:rFonts w:hint="eastAsia" w:ascii="黑体" w:hAnsi="黑体" w:eastAsia="黑体"/>
          <w:sz w:val="24"/>
        </w:rPr>
        <w:t>等值线图</w:t>
      </w:r>
    </w:p>
    <w:p w14:paraId="4625E31E">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1#液氯库-01储罐社会风险等值线见下图。</w:t>
      </w:r>
    </w:p>
    <w:p w14:paraId="5779533A">
      <w:pPr>
        <w:widowControl w:val="0"/>
        <w:numPr>
          <w:ilvl w:val="0"/>
          <w:numId w:val="0"/>
        </w:numPr>
        <w:adjustRightInd w:val="0"/>
        <w:snapToGrid w:val="0"/>
        <w:spacing w:after="0" w:line="360" w:lineRule="auto"/>
        <w:jc w:val="center"/>
        <w:rPr>
          <w:rFonts w:hint="eastAsia" w:eastAsiaTheme="minorEastAsia"/>
          <w:lang w:eastAsia="zh-CN"/>
        </w:rPr>
      </w:pPr>
    </w:p>
    <w:p w14:paraId="7BCD0C90">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1-12</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1#液氯库-01储罐</w:t>
      </w:r>
      <w:r>
        <w:rPr>
          <w:rFonts w:hint="default" w:ascii="Times New Roman" w:hAnsi="Times New Roman" w:eastAsia="黑体" w:cs="Times New Roman"/>
          <w:sz w:val="24"/>
        </w:rPr>
        <w:t>社会风险</w:t>
      </w:r>
      <w:r>
        <w:rPr>
          <w:rFonts w:hint="eastAsia" w:ascii="黑体" w:hAnsi="黑体" w:eastAsia="黑体"/>
          <w:sz w:val="24"/>
        </w:rPr>
        <w:t>等值线图</w:t>
      </w:r>
    </w:p>
    <w:p w14:paraId="4BFB5413">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1#液氯库-02储罐社会风险等值线见下图。</w:t>
      </w:r>
    </w:p>
    <w:p w14:paraId="62A497A0">
      <w:pPr>
        <w:widowControl w:val="0"/>
        <w:numPr>
          <w:ilvl w:val="0"/>
          <w:numId w:val="0"/>
        </w:numPr>
        <w:adjustRightInd w:val="0"/>
        <w:snapToGrid w:val="0"/>
        <w:spacing w:after="0" w:line="360" w:lineRule="auto"/>
        <w:jc w:val="center"/>
        <w:rPr>
          <w:rFonts w:hint="eastAsia" w:eastAsiaTheme="minorEastAsia"/>
          <w:lang w:eastAsia="zh-CN"/>
        </w:rPr>
      </w:pPr>
    </w:p>
    <w:p w14:paraId="1825019B">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1-13</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1#液氯库-02储罐</w:t>
      </w:r>
      <w:r>
        <w:rPr>
          <w:rFonts w:hint="default" w:ascii="Times New Roman" w:hAnsi="Times New Roman" w:eastAsia="黑体" w:cs="Times New Roman"/>
          <w:sz w:val="24"/>
        </w:rPr>
        <w:t>社会风险</w:t>
      </w:r>
      <w:r>
        <w:rPr>
          <w:rFonts w:hint="eastAsia" w:ascii="黑体" w:hAnsi="黑体" w:eastAsia="黑体"/>
          <w:sz w:val="24"/>
        </w:rPr>
        <w:t>等值线图</w:t>
      </w:r>
    </w:p>
    <w:p w14:paraId="3AC61C8A">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1#液氯库-03储罐社会风险等值线见下图。</w:t>
      </w:r>
    </w:p>
    <w:p w14:paraId="05E8F391">
      <w:pPr>
        <w:widowControl w:val="0"/>
        <w:numPr>
          <w:ilvl w:val="0"/>
          <w:numId w:val="0"/>
        </w:numPr>
        <w:adjustRightInd w:val="0"/>
        <w:snapToGrid w:val="0"/>
        <w:spacing w:after="0" w:line="360" w:lineRule="auto"/>
        <w:jc w:val="center"/>
        <w:rPr>
          <w:rFonts w:hint="eastAsia" w:eastAsiaTheme="minorEastAsia"/>
          <w:lang w:eastAsia="zh-CN"/>
        </w:rPr>
      </w:pPr>
    </w:p>
    <w:p w14:paraId="4D3393CF">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1-14</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1#液氯库-03储罐</w:t>
      </w:r>
      <w:r>
        <w:rPr>
          <w:rFonts w:hint="default" w:ascii="Times New Roman" w:hAnsi="Times New Roman" w:eastAsia="黑体" w:cs="Times New Roman"/>
          <w:sz w:val="24"/>
        </w:rPr>
        <w:t>社会风险</w:t>
      </w:r>
      <w:r>
        <w:rPr>
          <w:rFonts w:hint="eastAsia" w:ascii="黑体" w:hAnsi="黑体" w:eastAsia="黑体"/>
          <w:sz w:val="24"/>
        </w:rPr>
        <w:t>等值线图</w:t>
      </w:r>
    </w:p>
    <w:p w14:paraId="0AA08C9B">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1#液氯库-04储罐社会风险等值线见下图。</w:t>
      </w:r>
    </w:p>
    <w:p w14:paraId="2AD60EB3">
      <w:pPr>
        <w:widowControl w:val="0"/>
        <w:numPr>
          <w:ilvl w:val="0"/>
          <w:numId w:val="0"/>
        </w:numPr>
        <w:adjustRightInd w:val="0"/>
        <w:snapToGrid w:val="0"/>
        <w:spacing w:after="0" w:line="360" w:lineRule="auto"/>
        <w:jc w:val="center"/>
        <w:rPr>
          <w:rFonts w:hint="eastAsia" w:eastAsiaTheme="minorEastAsia"/>
          <w:lang w:eastAsia="zh-CN"/>
        </w:rPr>
      </w:pPr>
    </w:p>
    <w:p w14:paraId="4256E6EA">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1-15</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1#液氯库-04储罐</w:t>
      </w:r>
      <w:r>
        <w:rPr>
          <w:rFonts w:hint="default" w:ascii="Times New Roman" w:hAnsi="Times New Roman" w:eastAsia="黑体" w:cs="Times New Roman"/>
          <w:sz w:val="24"/>
        </w:rPr>
        <w:t>社会风险</w:t>
      </w:r>
      <w:r>
        <w:rPr>
          <w:rFonts w:hint="eastAsia" w:ascii="黑体" w:hAnsi="黑体" w:eastAsia="黑体"/>
          <w:sz w:val="24"/>
        </w:rPr>
        <w:t>等值线图</w:t>
      </w:r>
    </w:p>
    <w:p w14:paraId="5C72C541">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1#液氯库-05储罐社会风险等值线见下图。</w:t>
      </w:r>
    </w:p>
    <w:p w14:paraId="2F4A58EB">
      <w:pPr>
        <w:widowControl w:val="0"/>
        <w:numPr>
          <w:ilvl w:val="0"/>
          <w:numId w:val="0"/>
        </w:numPr>
        <w:adjustRightInd w:val="0"/>
        <w:snapToGrid w:val="0"/>
        <w:spacing w:after="0" w:line="360" w:lineRule="auto"/>
        <w:jc w:val="center"/>
        <w:rPr>
          <w:rFonts w:hint="eastAsia" w:eastAsiaTheme="minorEastAsia"/>
          <w:lang w:eastAsia="zh-CN"/>
        </w:rPr>
      </w:pPr>
    </w:p>
    <w:p w14:paraId="6C1EC5A9">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1-16</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1#液氯库-05储罐</w:t>
      </w:r>
      <w:r>
        <w:rPr>
          <w:rFonts w:hint="default" w:ascii="Times New Roman" w:hAnsi="Times New Roman" w:eastAsia="黑体" w:cs="Times New Roman"/>
          <w:sz w:val="24"/>
        </w:rPr>
        <w:t>社会风险</w:t>
      </w:r>
      <w:r>
        <w:rPr>
          <w:rFonts w:hint="eastAsia" w:ascii="黑体" w:hAnsi="黑体" w:eastAsia="黑体"/>
          <w:sz w:val="24"/>
        </w:rPr>
        <w:t>等值线图</w:t>
      </w:r>
    </w:p>
    <w:p w14:paraId="6C4CD696">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1#液氯库-06储罐社会风险等值线见下图。</w:t>
      </w:r>
    </w:p>
    <w:p w14:paraId="1849AA35">
      <w:pPr>
        <w:widowControl w:val="0"/>
        <w:numPr>
          <w:ilvl w:val="0"/>
          <w:numId w:val="0"/>
        </w:numPr>
        <w:adjustRightInd w:val="0"/>
        <w:snapToGrid w:val="0"/>
        <w:spacing w:after="0" w:line="360" w:lineRule="auto"/>
        <w:jc w:val="center"/>
        <w:rPr>
          <w:rFonts w:hint="eastAsia" w:eastAsiaTheme="minorEastAsia"/>
          <w:lang w:eastAsia="zh-CN"/>
        </w:rPr>
      </w:pPr>
    </w:p>
    <w:p w14:paraId="0CB2A7AC">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1-17</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1#液氯库-06储罐</w:t>
      </w:r>
      <w:r>
        <w:rPr>
          <w:rFonts w:hint="default" w:ascii="Times New Roman" w:hAnsi="Times New Roman" w:eastAsia="黑体" w:cs="Times New Roman"/>
          <w:sz w:val="24"/>
        </w:rPr>
        <w:t>社会风险</w:t>
      </w:r>
      <w:r>
        <w:rPr>
          <w:rFonts w:hint="eastAsia" w:ascii="黑体" w:hAnsi="黑体" w:eastAsia="黑体"/>
          <w:sz w:val="24"/>
        </w:rPr>
        <w:t>等值线图</w:t>
      </w:r>
    </w:p>
    <w:p w14:paraId="6A556429">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1#液氯库-07储罐社会风险等值线见下图。</w:t>
      </w:r>
    </w:p>
    <w:p w14:paraId="2308A1A6">
      <w:pPr>
        <w:widowControl w:val="0"/>
        <w:numPr>
          <w:ilvl w:val="0"/>
          <w:numId w:val="0"/>
        </w:numPr>
        <w:adjustRightInd w:val="0"/>
        <w:snapToGrid w:val="0"/>
        <w:spacing w:after="0" w:line="360" w:lineRule="auto"/>
        <w:jc w:val="center"/>
        <w:rPr>
          <w:rFonts w:hint="eastAsia" w:eastAsiaTheme="minorEastAsia"/>
          <w:lang w:eastAsia="zh-CN"/>
        </w:rPr>
      </w:pPr>
    </w:p>
    <w:p w14:paraId="5309A812">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1-18</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1#液氯库-07储罐</w:t>
      </w:r>
      <w:r>
        <w:rPr>
          <w:rFonts w:hint="default" w:ascii="Times New Roman" w:hAnsi="Times New Roman" w:eastAsia="黑体" w:cs="Times New Roman"/>
          <w:sz w:val="24"/>
        </w:rPr>
        <w:t>社会风险</w:t>
      </w:r>
      <w:r>
        <w:rPr>
          <w:rFonts w:hint="eastAsia" w:ascii="黑体" w:hAnsi="黑体" w:eastAsia="黑体"/>
          <w:sz w:val="24"/>
        </w:rPr>
        <w:t>等值线图</w:t>
      </w:r>
    </w:p>
    <w:p w14:paraId="5DB7C762">
      <w:pPr>
        <w:pStyle w:val="21"/>
        <w:adjustRightInd w:val="0"/>
        <w:snapToGrid w:val="0"/>
        <w:ind w:firstLine="560"/>
        <w:rPr>
          <w:rFonts w:hint="eastAsia"/>
          <w:highlight w:val="none"/>
        </w:rPr>
      </w:pPr>
      <w:r>
        <w:rPr>
          <w:rFonts w:hint="eastAsia"/>
          <w:highlight w:val="none"/>
        </w:rPr>
        <w:t>从社会风险曲线图</w:t>
      </w:r>
      <w:r>
        <w:rPr>
          <w:rFonts w:hint="eastAsia"/>
          <w:highlight w:val="none"/>
          <w:lang w:val="en-US" w:eastAsia="zh-CN"/>
        </w:rPr>
        <w:t>4.1-11</w:t>
      </w:r>
      <w:r>
        <w:rPr>
          <w:rFonts w:hint="eastAsia"/>
          <w:highlight w:val="none"/>
        </w:rPr>
        <w:t>可以看出，</w:t>
      </w:r>
      <w:r>
        <w:rPr>
          <w:rFonts w:hint="eastAsia"/>
          <w:highlight w:val="none"/>
          <w:lang w:eastAsia="zh-CN"/>
        </w:rPr>
        <w:t>朝阳金达钛业股份有限公司</w:t>
      </w:r>
      <w:r>
        <w:rPr>
          <w:rFonts w:hint="eastAsia"/>
          <w:highlight w:val="none"/>
          <w:lang w:val="en-US" w:eastAsia="zh-CN"/>
        </w:rPr>
        <w:t>1#液氯库液氯储罐</w:t>
      </w:r>
      <w:r>
        <w:rPr>
          <w:rFonts w:hint="eastAsia"/>
          <w:highlight w:val="none"/>
        </w:rPr>
        <w:t>的社会风险曲线（红色线）进入“</w:t>
      </w:r>
      <w:r>
        <w:rPr>
          <w:rFonts w:hint="eastAsia"/>
          <w:highlight w:val="none"/>
          <w:lang w:val="en-US" w:eastAsia="zh-CN"/>
        </w:rPr>
        <w:t>可接受区</w:t>
      </w:r>
      <w:r>
        <w:rPr>
          <w:rFonts w:hint="eastAsia"/>
          <w:highlight w:val="none"/>
        </w:rPr>
        <w:t>”</w:t>
      </w:r>
      <w:r>
        <w:rPr>
          <w:rFonts w:hint="eastAsia"/>
          <w:highlight w:val="none"/>
          <w:lang w:eastAsia="zh-CN"/>
        </w:rPr>
        <w:t>。</w:t>
      </w:r>
    </w:p>
    <w:p w14:paraId="1077BEFA">
      <w:pPr>
        <w:pStyle w:val="21"/>
        <w:adjustRightInd w:val="0"/>
        <w:snapToGrid w:val="0"/>
        <w:ind w:firstLine="560"/>
        <w:rPr>
          <w:rFonts w:hint="eastAsia"/>
          <w:highlight w:val="none"/>
        </w:rPr>
      </w:pPr>
      <w:r>
        <w:rPr>
          <w:rFonts w:hint="eastAsia"/>
          <w:highlight w:val="none"/>
        </w:rPr>
        <w:t>因此，</w:t>
      </w:r>
      <w:r>
        <w:rPr>
          <w:rFonts w:hint="eastAsia"/>
          <w:highlight w:val="none"/>
          <w:lang w:eastAsia="zh-CN"/>
        </w:rPr>
        <w:t>朝阳金达钛业股份有限公司</w:t>
      </w:r>
      <w:r>
        <w:rPr>
          <w:rFonts w:hint="eastAsia"/>
          <w:highlight w:val="none"/>
          <w:lang w:val="en-US" w:eastAsia="zh-CN"/>
        </w:rPr>
        <w:t>1#液氯库</w:t>
      </w:r>
      <w:r>
        <w:rPr>
          <w:rFonts w:hint="eastAsia"/>
          <w:highlight w:val="none"/>
        </w:rPr>
        <w:t>的社会风险是可以接受的。本评估报告采用定量风险评价方法，经过定量评估，</w:t>
      </w:r>
      <w:r>
        <w:rPr>
          <w:rFonts w:hint="eastAsia"/>
          <w:highlight w:val="none"/>
          <w:lang w:eastAsia="zh-CN"/>
        </w:rPr>
        <w:t>朝阳金达钛业股份有限公司</w:t>
      </w:r>
      <w:r>
        <w:rPr>
          <w:rFonts w:hint="eastAsia"/>
          <w:highlight w:val="none"/>
        </w:rPr>
        <w:t>个人风险和社会风险均可接受。</w:t>
      </w:r>
    </w:p>
    <w:p w14:paraId="7DBDAB44">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4.1.5潜在生命损失</w:t>
      </w:r>
    </w:p>
    <w:p w14:paraId="1F35BDFD">
      <w:pPr>
        <w:keepNext/>
        <w:keepLines/>
        <w:widowControl w:val="0"/>
        <w:spacing w:before="156" w:beforeLines="50" w:after="156" w:afterLines="50" w:line="240" w:lineRule="auto"/>
        <w:ind w:firstLine="0" w:firstLineChars="0"/>
        <w:jc w:val="center"/>
        <w:rPr>
          <w:rFonts w:hint="eastAsia"/>
          <w:lang w:val="en-US" w:eastAsia="zh-CN"/>
        </w:rPr>
      </w:pPr>
      <w:r>
        <w:rPr>
          <w:rFonts w:hint="eastAsia" w:ascii="黑体" w:hAnsi="黑体" w:eastAsia="黑体" w:cstheme="minorBidi"/>
          <w:kern w:val="2"/>
          <w:sz w:val="24"/>
          <w:szCs w:val="24"/>
          <w:lang w:val="en-US" w:eastAsia="zh-CN" w:bidi="ar-SA"/>
          <w14:ligatures w14:val="standardContextual"/>
        </w:rPr>
        <w:t>表4</w:t>
      </w:r>
      <w:r>
        <w:rPr>
          <w:rFonts w:ascii="Times New Roman" w:hAnsi="Times New Roman" w:eastAsia="黑体" w:cs="Times New Roman"/>
          <w:kern w:val="2"/>
          <w:sz w:val="24"/>
          <w:szCs w:val="24"/>
          <w:lang w:val="en-US" w:eastAsia="zh-CN" w:bidi="ar-SA"/>
          <w14:ligatures w14:val="standardContextual"/>
        </w:rPr>
        <w:t>.</w:t>
      </w:r>
      <w:r>
        <w:rPr>
          <w:rFonts w:hint="eastAsia" w:ascii="Times New Roman" w:hAnsi="Times New Roman" w:eastAsia="黑体" w:cs="Times New Roman"/>
          <w:kern w:val="2"/>
          <w:sz w:val="24"/>
          <w:szCs w:val="24"/>
          <w:lang w:val="en-US" w:eastAsia="zh-CN" w:bidi="ar-SA"/>
          <w14:ligatures w14:val="standardContextual"/>
        </w:rPr>
        <w:t>1-18</w:t>
      </w:r>
      <w:r>
        <w:rPr>
          <w:rFonts w:hint="eastAsia" w:ascii="黑体" w:hAnsi="黑体" w:eastAsia="黑体" w:cstheme="minorBidi"/>
          <w:kern w:val="2"/>
          <w:sz w:val="24"/>
          <w:szCs w:val="24"/>
          <w:lang w:val="en-US" w:eastAsia="zh-CN" w:bidi="ar-SA"/>
          <w14:ligatures w14:val="standardContextual"/>
        </w:rPr>
        <w:t xml:space="preserve">  事潜在生命损失表</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590"/>
        <w:gridCol w:w="4590"/>
      </w:tblGrid>
      <w:tr w14:paraId="0C9E986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PrEx>
        <w:trPr>
          <w:trHeight w:val="454" w:hRule="atLeast"/>
        </w:trPr>
        <w:tc>
          <w:tcPr>
            <w:tcW w:w="4700" w:type="dxa"/>
            <w:shd w:val="clear" w:color="auto" w:fill="auto"/>
            <w:vAlign w:val="center"/>
          </w:tcPr>
          <w:p w14:paraId="6F8713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装置/区域名称</w:t>
            </w:r>
          </w:p>
        </w:tc>
        <w:tc>
          <w:tcPr>
            <w:tcW w:w="4700" w:type="dxa"/>
            <w:shd w:val="clear" w:color="auto" w:fill="auto"/>
            <w:vAlign w:val="center"/>
          </w:tcPr>
          <w:p w14:paraId="7042C7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潜在生命损失（PLL）</w:t>
            </w:r>
          </w:p>
        </w:tc>
      </w:tr>
      <w:tr w14:paraId="405F5B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087669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区域总体</w:t>
            </w:r>
          </w:p>
        </w:tc>
        <w:tc>
          <w:tcPr>
            <w:tcW w:w="4700" w:type="dxa"/>
            <w:shd w:val="clear" w:color="auto" w:fill="auto"/>
            <w:vAlign w:val="center"/>
          </w:tcPr>
          <w:p w14:paraId="1A7A33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0.0010233567897515827</w:t>
            </w:r>
          </w:p>
        </w:tc>
      </w:tr>
      <w:tr w14:paraId="331D0F7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67CD3C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1#液氯库-液氯储罐</w:t>
            </w:r>
          </w:p>
        </w:tc>
        <w:tc>
          <w:tcPr>
            <w:tcW w:w="4700" w:type="dxa"/>
            <w:shd w:val="clear" w:color="auto" w:fill="auto"/>
            <w:vAlign w:val="center"/>
          </w:tcPr>
          <w:p w14:paraId="2D1F27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8.53E-5</w:t>
            </w:r>
          </w:p>
        </w:tc>
      </w:tr>
      <w:tr w14:paraId="70E908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5DC619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1#液氯库-液氯储罐</w:t>
            </w:r>
          </w:p>
        </w:tc>
        <w:tc>
          <w:tcPr>
            <w:tcW w:w="4700" w:type="dxa"/>
            <w:shd w:val="clear" w:color="auto" w:fill="auto"/>
            <w:vAlign w:val="center"/>
          </w:tcPr>
          <w:p w14:paraId="5944BB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8.52E-5</w:t>
            </w:r>
          </w:p>
        </w:tc>
      </w:tr>
      <w:tr w14:paraId="0D6FD1E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5E2369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1#液氯库-液氯储罐</w:t>
            </w:r>
          </w:p>
        </w:tc>
        <w:tc>
          <w:tcPr>
            <w:tcW w:w="4700" w:type="dxa"/>
            <w:shd w:val="clear" w:color="auto" w:fill="auto"/>
            <w:vAlign w:val="center"/>
          </w:tcPr>
          <w:p w14:paraId="478191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8.52E-5</w:t>
            </w:r>
          </w:p>
        </w:tc>
      </w:tr>
      <w:tr w14:paraId="44EF00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2ECF1F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1#液氯库-液氯储罐</w:t>
            </w:r>
          </w:p>
        </w:tc>
        <w:tc>
          <w:tcPr>
            <w:tcW w:w="4700" w:type="dxa"/>
            <w:shd w:val="clear" w:color="auto" w:fill="auto"/>
            <w:vAlign w:val="center"/>
          </w:tcPr>
          <w:p w14:paraId="5C4045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8.53E-5</w:t>
            </w:r>
          </w:p>
        </w:tc>
      </w:tr>
      <w:tr w14:paraId="66D1D8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3474AA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1#液氯库-液氯储罐</w:t>
            </w:r>
          </w:p>
        </w:tc>
        <w:tc>
          <w:tcPr>
            <w:tcW w:w="4700" w:type="dxa"/>
            <w:shd w:val="clear" w:color="auto" w:fill="auto"/>
            <w:vAlign w:val="center"/>
          </w:tcPr>
          <w:p w14:paraId="3AA0BA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8.53E-5</w:t>
            </w:r>
          </w:p>
        </w:tc>
      </w:tr>
      <w:tr w14:paraId="5E05B2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5BDBEB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1#液氯库-液氯储罐</w:t>
            </w:r>
          </w:p>
        </w:tc>
        <w:tc>
          <w:tcPr>
            <w:tcW w:w="4700" w:type="dxa"/>
            <w:shd w:val="clear" w:color="auto" w:fill="auto"/>
            <w:vAlign w:val="center"/>
          </w:tcPr>
          <w:p w14:paraId="0A72E8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8.52E-5</w:t>
            </w:r>
          </w:p>
        </w:tc>
      </w:tr>
      <w:tr w14:paraId="0876FC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700" w:type="dxa"/>
            <w:shd w:val="clear" w:color="auto" w:fill="auto"/>
            <w:vAlign w:val="center"/>
          </w:tcPr>
          <w:p w14:paraId="45500A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1#液氯库-液氯储罐</w:t>
            </w:r>
          </w:p>
        </w:tc>
        <w:tc>
          <w:tcPr>
            <w:tcW w:w="4700" w:type="dxa"/>
            <w:shd w:val="clear" w:color="auto" w:fill="auto"/>
            <w:vAlign w:val="center"/>
          </w:tcPr>
          <w:p w14:paraId="14C350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lang w:val="en-US" w:eastAsia="zh-CN"/>
              </w:rPr>
            </w:pPr>
            <w:r>
              <w:rPr>
                <w:rFonts w:hint="default" w:ascii="Times New Roman" w:hAnsi="Times New Roman" w:eastAsia="宋体" w:cs="Times New Roman"/>
                <w:b w:val="0"/>
                <w:bCs/>
                <w:sz w:val="21"/>
                <w:szCs w:val="21"/>
                <w:lang w:val="en-US" w:eastAsia="zh-CN"/>
              </w:rPr>
              <w:t>8.53E-5</w:t>
            </w:r>
          </w:p>
        </w:tc>
      </w:tr>
    </w:tbl>
    <w:p w14:paraId="0368697D">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bookmarkStart w:id="29" w:name="_Toc6685"/>
      <w:bookmarkStart w:id="30" w:name="_Toc177715711"/>
      <w:r>
        <w:rPr>
          <w:rFonts w:ascii="Times New Roman" w:hAnsi="Times New Roman" w:eastAsia="楷体" w:cs="Times New Roman"/>
          <w:b/>
          <w:bCs/>
          <w:kern w:val="2"/>
          <w:sz w:val="32"/>
          <w:szCs w:val="32"/>
          <w:lang w:val="en-US" w:eastAsia="zh-CN" w:bidi="ar-SA"/>
          <w14:ligatures w14:val="standardContextual"/>
        </w:rPr>
        <w:t>4.</w:t>
      </w:r>
      <w:r>
        <w:rPr>
          <w:rFonts w:hint="eastAsia" w:ascii="Times New Roman" w:hAnsi="Times New Roman" w:eastAsia="楷体" w:cs="Times New Roman"/>
          <w:b/>
          <w:bCs/>
          <w:kern w:val="2"/>
          <w:sz w:val="32"/>
          <w:szCs w:val="32"/>
          <w:lang w:val="en-US" w:eastAsia="zh-CN" w:bidi="ar-SA"/>
          <w14:ligatures w14:val="standardContextual"/>
        </w:rPr>
        <w:t>2</w:t>
      </w:r>
      <w:r>
        <w:rPr>
          <w:rFonts w:hint="eastAsia" w:ascii="楷体" w:hAnsi="楷体" w:eastAsia="楷体" w:cstheme="minorBidi"/>
          <w:b/>
          <w:bCs/>
          <w:kern w:val="2"/>
          <w:sz w:val="32"/>
          <w:szCs w:val="32"/>
          <w:lang w:val="en-US" w:eastAsia="zh-CN" w:bidi="ar-SA"/>
          <w14:ligatures w14:val="standardContextual"/>
        </w:rPr>
        <w:t>事故后果模拟</w:t>
      </w:r>
      <w:bookmarkEnd w:id="29"/>
      <w:bookmarkEnd w:id="30"/>
    </w:p>
    <w:p w14:paraId="312FF6CF">
      <w:pPr>
        <w:pStyle w:val="38"/>
        <w:tabs>
          <w:tab w:val="center" w:pos="4153"/>
        </w:tabs>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输出距离是距离装置原点的距离</w:t>
      </w:r>
    </w:p>
    <w:p w14:paraId="118A9ABB">
      <w:pPr>
        <w:keepNext/>
        <w:keepLines/>
        <w:widowControl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4.2-1</w:t>
      </w:r>
      <w:r>
        <w:rPr>
          <w:rFonts w:hint="eastAsia" w:ascii="黑体" w:hAnsi="黑体" w:eastAsia="黑体" w:cstheme="minorBidi"/>
          <w:kern w:val="2"/>
          <w:sz w:val="24"/>
          <w:szCs w:val="24"/>
          <w:lang w:val="en-US" w:eastAsia="zh-CN" w:bidi="ar-SA"/>
          <w14:ligatures w14:val="standardContextual"/>
        </w:rPr>
        <w:t xml:space="preserve">  事故后果数据表1</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148"/>
        <w:gridCol w:w="1148"/>
        <w:gridCol w:w="1148"/>
        <w:gridCol w:w="1148"/>
        <w:gridCol w:w="1148"/>
        <w:gridCol w:w="1148"/>
        <w:gridCol w:w="1148"/>
        <w:gridCol w:w="1148"/>
      </w:tblGrid>
      <w:tr w14:paraId="5F020EC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vMerge w:val="restart"/>
            <w:shd w:val="clear" w:color="auto" w:fill="auto"/>
            <w:vAlign w:val="center"/>
          </w:tcPr>
          <w:p w14:paraId="631263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175" w:type="dxa"/>
            <w:vMerge w:val="restart"/>
            <w:shd w:val="clear" w:color="auto" w:fill="auto"/>
            <w:vAlign w:val="center"/>
          </w:tcPr>
          <w:p w14:paraId="1CA286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175" w:type="dxa"/>
            <w:vMerge w:val="restart"/>
            <w:shd w:val="clear" w:color="auto" w:fill="auto"/>
            <w:vAlign w:val="center"/>
          </w:tcPr>
          <w:p w14:paraId="074802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175" w:type="dxa"/>
            <w:vMerge w:val="restart"/>
            <w:shd w:val="clear" w:color="auto" w:fill="auto"/>
            <w:vAlign w:val="center"/>
          </w:tcPr>
          <w:p w14:paraId="5B0B6B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4700" w:type="dxa"/>
            <w:gridSpan w:val="4"/>
            <w:shd w:val="clear" w:color="auto" w:fill="auto"/>
            <w:vAlign w:val="center"/>
          </w:tcPr>
          <w:p w14:paraId="251371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71C67EA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vMerge w:val="continue"/>
            <w:shd w:val="clear" w:color="auto" w:fill="auto"/>
            <w:vAlign w:val="center"/>
          </w:tcPr>
          <w:p w14:paraId="3071EE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175" w:type="dxa"/>
            <w:vMerge w:val="continue"/>
            <w:shd w:val="clear" w:color="auto" w:fill="auto"/>
            <w:vAlign w:val="center"/>
          </w:tcPr>
          <w:p w14:paraId="051DE9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175" w:type="dxa"/>
            <w:vMerge w:val="continue"/>
            <w:shd w:val="clear" w:color="auto" w:fill="auto"/>
            <w:vAlign w:val="center"/>
          </w:tcPr>
          <w:p w14:paraId="2C6C2C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175" w:type="dxa"/>
            <w:vMerge w:val="continue"/>
            <w:shd w:val="clear" w:color="auto" w:fill="auto"/>
            <w:vAlign w:val="center"/>
          </w:tcPr>
          <w:p w14:paraId="0FCC30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175" w:type="dxa"/>
            <w:shd w:val="clear" w:color="auto" w:fill="auto"/>
            <w:vAlign w:val="center"/>
          </w:tcPr>
          <w:p w14:paraId="428F50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死亡半径</w:t>
            </w:r>
          </w:p>
        </w:tc>
        <w:tc>
          <w:tcPr>
            <w:tcW w:w="1175" w:type="dxa"/>
            <w:shd w:val="clear" w:color="auto" w:fill="auto"/>
            <w:vAlign w:val="center"/>
          </w:tcPr>
          <w:p w14:paraId="7B0427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重伤半径</w:t>
            </w:r>
          </w:p>
        </w:tc>
        <w:tc>
          <w:tcPr>
            <w:tcW w:w="1175" w:type="dxa"/>
            <w:shd w:val="clear" w:color="auto" w:fill="auto"/>
            <w:vAlign w:val="center"/>
          </w:tcPr>
          <w:p w14:paraId="14F135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轻伤半径</w:t>
            </w:r>
          </w:p>
        </w:tc>
        <w:tc>
          <w:tcPr>
            <w:tcW w:w="1175" w:type="dxa"/>
            <w:shd w:val="clear" w:color="auto" w:fill="auto"/>
            <w:vAlign w:val="center"/>
          </w:tcPr>
          <w:p w14:paraId="7A476F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财产损失半径</w:t>
            </w:r>
          </w:p>
        </w:tc>
      </w:tr>
      <w:tr w14:paraId="75CC2B5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shd w:val="clear" w:color="auto" w:fill="auto"/>
            <w:vAlign w:val="center"/>
          </w:tcPr>
          <w:p w14:paraId="0C207E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1#液氯库-液氯储罐</w:t>
            </w:r>
          </w:p>
        </w:tc>
        <w:tc>
          <w:tcPr>
            <w:tcW w:w="1175" w:type="dxa"/>
            <w:shd w:val="clear" w:color="auto" w:fill="auto"/>
            <w:vAlign w:val="center"/>
          </w:tcPr>
          <w:p w14:paraId="1A2243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75" w:type="dxa"/>
            <w:shd w:val="clear" w:color="auto" w:fill="auto"/>
            <w:vAlign w:val="center"/>
          </w:tcPr>
          <w:p w14:paraId="7662C9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175" w:type="dxa"/>
            <w:shd w:val="clear" w:color="auto" w:fill="auto"/>
            <w:vAlign w:val="center"/>
          </w:tcPr>
          <w:p w14:paraId="7DB431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175" w:type="dxa"/>
            <w:shd w:val="clear" w:color="auto" w:fill="auto"/>
            <w:vAlign w:val="center"/>
          </w:tcPr>
          <w:p w14:paraId="5941B9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1BD795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7315FC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13A066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r>
      <w:tr w14:paraId="2F9BBE6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shd w:val="clear" w:color="auto" w:fill="auto"/>
            <w:vAlign w:val="center"/>
          </w:tcPr>
          <w:p w14:paraId="3E1331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1#液氯库-液氯储罐</w:t>
            </w:r>
          </w:p>
        </w:tc>
        <w:tc>
          <w:tcPr>
            <w:tcW w:w="1175" w:type="dxa"/>
            <w:shd w:val="clear" w:color="auto" w:fill="auto"/>
            <w:vAlign w:val="center"/>
          </w:tcPr>
          <w:p w14:paraId="3FB3BC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75" w:type="dxa"/>
            <w:shd w:val="clear" w:color="auto" w:fill="auto"/>
            <w:vAlign w:val="center"/>
          </w:tcPr>
          <w:p w14:paraId="2F6283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175" w:type="dxa"/>
            <w:shd w:val="clear" w:color="auto" w:fill="auto"/>
            <w:vAlign w:val="center"/>
          </w:tcPr>
          <w:p w14:paraId="43069E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175" w:type="dxa"/>
            <w:shd w:val="clear" w:color="auto" w:fill="auto"/>
            <w:vAlign w:val="center"/>
          </w:tcPr>
          <w:p w14:paraId="628B93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22B725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7D8A07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281FE1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r>
      <w:tr w14:paraId="3CCD6A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shd w:val="clear" w:color="auto" w:fill="auto"/>
            <w:vAlign w:val="center"/>
          </w:tcPr>
          <w:p w14:paraId="3CBB0F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1#液氯库-液氯储罐</w:t>
            </w:r>
          </w:p>
        </w:tc>
        <w:tc>
          <w:tcPr>
            <w:tcW w:w="1175" w:type="dxa"/>
            <w:shd w:val="clear" w:color="auto" w:fill="auto"/>
            <w:vAlign w:val="center"/>
          </w:tcPr>
          <w:p w14:paraId="1AF202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75" w:type="dxa"/>
            <w:shd w:val="clear" w:color="auto" w:fill="auto"/>
            <w:vAlign w:val="center"/>
          </w:tcPr>
          <w:p w14:paraId="6E303B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175" w:type="dxa"/>
            <w:shd w:val="clear" w:color="auto" w:fill="auto"/>
            <w:vAlign w:val="center"/>
          </w:tcPr>
          <w:p w14:paraId="740214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175" w:type="dxa"/>
            <w:shd w:val="clear" w:color="auto" w:fill="auto"/>
            <w:vAlign w:val="center"/>
          </w:tcPr>
          <w:p w14:paraId="282D6D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56B19B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44A487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10C868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r>
      <w:tr w14:paraId="06313FF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shd w:val="clear" w:color="auto" w:fill="auto"/>
            <w:vAlign w:val="center"/>
          </w:tcPr>
          <w:p w14:paraId="081A0B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1#液氯库-液氯储罐</w:t>
            </w:r>
          </w:p>
        </w:tc>
        <w:tc>
          <w:tcPr>
            <w:tcW w:w="1175" w:type="dxa"/>
            <w:shd w:val="clear" w:color="auto" w:fill="auto"/>
            <w:vAlign w:val="center"/>
          </w:tcPr>
          <w:p w14:paraId="77CDDD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75" w:type="dxa"/>
            <w:shd w:val="clear" w:color="auto" w:fill="auto"/>
            <w:vAlign w:val="center"/>
          </w:tcPr>
          <w:p w14:paraId="799F46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175" w:type="dxa"/>
            <w:shd w:val="clear" w:color="auto" w:fill="auto"/>
            <w:vAlign w:val="center"/>
          </w:tcPr>
          <w:p w14:paraId="12BCA7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175" w:type="dxa"/>
            <w:shd w:val="clear" w:color="auto" w:fill="auto"/>
            <w:vAlign w:val="center"/>
          </w:tcPr>
          <w:p w14:paraId="1D6310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3001A2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767EB1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393C85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r>
      <w:tr w14:paraId="3AA1183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shd w:val="clear" w:color="auto" w:fill="auto"/>
            <w:vAlign w:val="center"/>
          </w:tcPr>
          <w:p w14:paraId="541A44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1#液氯库-液氯储罐</w:t>
            </w:r>
          </w:p>
        </w:tc>
        <w:tc>
          <w:tcPr>
            <w:tcW w:w="1175" w:type="dxa"/>
            <w:shd w:val="clear" w:color="auto" w:fill="auto"/>
            <w:vAlign w:val="center"/>
          </w:tcPr>
          <w:p w14:paraId="5E0727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75" w:type="dxa"/>
            <w:shd w:val="clear" w:color="auto" w:fill="auto"/>
            <w:vAlign w:val="center"/>
          </w:tcPr>
          <w:p w14:paraId="3433F9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175" w:type="dxa"/>
            <w:shd w:val="clear" w:color="auto" w:fill="auto"/>
            <w:vAlign w:val="center"/>
          </w:tcPr>
          <w:p w14:paraId="746475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175" w:type="dxa"/>
            <w:shd w:val="clear" w:color="auto" w:fill="auto"/>
            <w:vAlign w:val="center"/>
          </w:tcPr>
          <w:p w14:paraId="31F225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178787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42E989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679BE8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r>
      <w:tr w14:paraId="656B62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shd w:val="clear" w:color="auto" w:fill="auto"/>
            <w:vAlign w:val="center"/>
          </w:tcPr>
          <w:p w14:paraId="6BB5DC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lang w:eastAsia="zh-CN"/>
              </w:rPr>
            </w:pPr>
            <w:r>
              <w:rPr>
                <w:rFonts w:hint="default" w:ascii="Times New Roman" w:hAnsi="Times New Roman" w:eastAsia="宋体" w:cs="Times New Roman"/>
                <w:b w:val="0"/>
                <w:bCs/>
                <w:sz w:val="21"/>
                <w:szCs w:val="21"/>
              </w:rPr>
              <w:t>1#液氯库-液氯储罐</w:t>
            </w:r>
          </w:p>
        </w:tc>
        <w:tc>
          <w:tcPr>
            <w:tcW w:w="1175" w:type="dxa"/>
            <w:shd w:val="clear" w:color="auto" w:fill="auto"/>
            <w:vAlign w:val="center"/>
          </w:tcPr>
          <w:p w14:paraId="04819C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75" w:type="dxa"/>
            <w:shd w:val="clear" w:color="auto" w:fill="auto"/>
            <w:vAlign w:val="center"/>
          </w:tcPr>
          <w:p w14:paraId="469EA2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175" w:type="dxa"/>
            <w:shd w:val="clear" w:color="auto" w:fill="auto"/>
            <w:vAlign w:val="center"/>
          </w:tcPr>
          <w:p w14:paraId="1B9982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175" w:type="dxa"/>
            <w:shd w:val="clear" w:color="auto" w:fill="auto"/>
            <w:vAlign w:val="center"/>
          </w:tcPr>
          <w:p w14:paraId="339CC5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4E7DFB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39B0AE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4CE395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r>
      <w:tr w14:paraId="2D9A65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175" w:type="dxa"/>
            <w:shd w:val="clear" w:color="auto" w:fill="auto"/>
            <w:vAlign w:val="center"/>
          </w:tcPr>
          <w:p w14:paraId="4E8A3B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lang w:eastAsia="zh-CN"/>
              </w:rPr>
            </w:pPr>
            <w:r>
              <w:rPr>
                <w:rFonts w:hint="default" w:ascii="Times New Roman" w:hAnsi="Times New Roman" w:eastAsia="宋体" w:cs="Times New Roman"/>
                <w:b w:val="0"/>
                <w:bCs/>
                <w:sz w:val="21"/>
                <w:szCs w:val="21"/>
              </w:rPr>
              <w:t>1#液氯库-液氯储罐</w:t>
            </w:r>
          </w:p>
        </w:tc>
        <w:tc>
          <w:tcPr>
            <w:tcW w:w="1175" w:type="dxa"/>
            <w:shd w:val="clear" w:color="auto" w:fill="auto"/>
            <w:vAlign w:val="center"/>
          </w:tcPr>
          <w:p w14:paraId="331022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175" w:type="dxa"/>
            <w:shd w:val="clear" w:color="auto" w:fill="auto"/>
            <w:vAlign w:val="center"/>
          </w:tcPr>
          <w:p w14:paraId="3245E0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175" w:type="dxa"/>
            <w:shd w:val="clear" w:color="auto" w:fill="auto"/>
            <w:vAlign w:val="center"/>
          </w:tcPr>
          <w:p w14:paraId="2EE6A7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压力容器物理爆炸</w:t>
            </w:r>
          </w:p>
        </w:tc>
        <w:tc>
          <w:tcPr>
            <w:tcW w:w="1175" w:type="dxa"/>
            <w:shd w:val="clear" w:color="auto" w:fill="auto"/>
            <w:vAlign w:val="center"/>
          </w:tcPr>
          <w:p w14:paraId="34BDEC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2846AA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2A31A0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c>
          <w:tcPr>
            <w:tcW w:w="1175" w:type="dxa"/>
            <w:shd w:val="clear" w:color="auto" w:fill="auto"/>
            <w:vAlign w:val="center"/>
          </w:tcPr>
          <w:p w14:paraId="18A1EF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0.50</w:t>
            </w:r>
          </w:p>
        </w:tc>
      </w:tr>
    </w:tbl>
    <w:p w14:paraId="3885B3AB">
      <w:pPr>
        <w:keepNext/>
        <w:keepLines/>
        <w:widowControl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eastAsia" w:ascii="黑体" w:hAnsi="黑体" w:eastAsia="黑体" w:cstheme="minorBidi"/>
          <w:kern w:val="2"/>
          <w:sz w:val="24"/>
          <w:szCs w:val="24"/>
          <w:lang w:val="en-US" w:eastAsia="zh-CN" w:bidi="ar-SA"/>
          <w14:ligatures w14:val="standardContextual"/>
        </w:rPr>
        <w:t>表</w:t>
      </w:r>
      <w:r>
        <w:rPr>
          <w:rFonts w:hint="eastAsia" w:ascii="Times New Roman" w:hAnsi="Times New Roman" w:eastAsia="黑体" w:cs="Times New Roman"/>
          <w:kern w:val="2"/>
          <w:sz w:val="24"/>
          <w:szCs w:val="24"/>
          <w:lang w:val="en-US" w:eastAsia="zh-CN" w:bidi="ar-SA"/>
          <w14:ligatures w14:val="standardContextual"/>
        </w:rPr>
        <w:t>4.2-2</w:t>
      </w:r>
      <w:r>
        <w:rPr>
          <w:rFonts w:hint="eastAsia" w:ascii="黑体" w:hAnsi="黑体" w:eastAsia="黑体" w:cstheme="minorBidi"/>
          <w:kern w:val="2"/>
          <w:sz w:val="24"/>
          <w:szCs w:val="24"/>
          <w:lang w:val="en-US" w:eastAsia="zh-CN" w:bidi="ar-SA"/>
          <w14:ligatures w14:val="standardContextual"/>
        </w:rPr>
        <w:t xml:space="preserve">  事故后果数据表2</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29"/>
        <w:gridCol w:w="1529"/>
        <w:gridCol w:w="1530"/>
        <w:gridCol w:w="1530"/>
        <w:gridCol w:w="1530"/>
        <w:gridCol w:w="1530"/>
      </w:tblGrid>
      <w:tr w14:paraId="72106AF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shd w:val="clear" w:color="auto" w:fill="auto"/>
            <w:vAlign w:val="center"/>
          </w:tcPr>
          <w:p w14:paraId="7AB30A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566" w:type="dxa"/>
            <w:shd w:val="clear" w:color="auto" w:fill="auto"/>
            <w:vAlign w:val="center"/>
          </w:tcPr>
          <w:p w14:paraId="5BC361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567" w:type="dxa"/>
            <w:shd w:val="clear" w:color="auto" w:fill="auto"/>
            <w:vAlign w:val="center"/>
          </w:tcPr>
          <w:p w14:paraId="075F76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567" w:type="dxa"/>
            <w:shd w:val="clear" w:color="auto" w:fill="auto"/>
            <w:vAlign w:val="center"/>
          </w:tcPr>
          <w:p w14:paraId="3C1FDB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1567" w:type="dxa"/>
            <w:shd w:val="clear" w:color="auto" w:fill="auto"/>
            <w:vAlign w:val="center"/>
          </w:tcPr>
          <w:p w14:paraId="71CA1A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事故发生概率</w:t>
            </w:r>
          </w:p>
        </w:tc>
        <w:tc>
          <w:tcPr>
            <w:tcW w:w="1567" w:type="dxa"/>
            <w:shd w:val="clear" w:color="auto" w:fill="auto"/>
            <w:vAlign w:val="center"/>
          </w:tcPr>
          <w:p w14:paraId="16A59B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2B41BB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restart"/>
            <w:shd w:val="clear" w:color="auto" w:fill="auto"/>
            <w:vAlign w:val="center"/>
          </w:tcPr>
          <w:p w14:paraId="4E7D6A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eastAsia="zh-CN"/>
              </w:rPr>
              <w:t>1#</w:t>
            </w:r>
            <w:r>
              <w:rPr>
                <w:rFonts w:hint="default" w:ascii="Times New Roman" w:hAnsi="Times New Roman" w:eastAsia="宋体" w:cs="Times New Roman"/>
                <w:b w:val="0"/>
                <w:bCs/>
                <w:sz w:val="21"/>
                <w:szCs w:val="21"/>
              </w:rPr>
              <w:t>液氯库-液氯储罐</w:t>
            </w:r>
          </w:p>
        </w:tc>
        <w:tc>
          <w:tcPr>
            <w:tcW w:w="1566" w:type="dxa"/>
            <w:shd w:val="clear" w:color="auto" w:fill="auto"/>
            <w:vAlign w:val="center"/>
          </w:tcPr>
          <w:p w14:paraId="5D3587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567" w:type="dxa"/>
            <w:shd w:val="clear" w:color="auto" w:fill="auto"/>
            <w:vAlign w:val="center"/>
          </w:tcPr>
          <w:p w14:paraId="50916E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567" w:type="dxa"/>
            <w:shd w:val="clear" w:color="auto" w:fill="auto"/>
            <w:vAlign w:val="center"/>
          </w:tcPr>
          <w:p w14:paraId="6052AA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26FFEE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4.00E-5</w:t>
            </w:r>
          </w:p>
        </w:tc>
        <w:tc>
          <w:tcPr>
            <w:tcW w:w="1567" w:type="dxa"/>
            <w:shd w:val="clear" w:color="auto" w:fill="auto"/>
            <w:vAlign w:val="center"/>
          </w:tcPr>
          <w:p w14:paraId="1EE9FE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下风向中毒影响最远距离（m）：47.00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下风向中毒影响最远距离形成所需时间（秒）：15.00</w:t>
            </w:r>
          </w:p>
        </w:tc>
      </w:tr>
      <w:tr w14:paraId="418FEAA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1EA0EB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5868DD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567" w:type="dxa"/>
            <w:shd w:val="clear" w:color="auto" w:fill="auto"/>
            <w:vAlign w:val="center"/>
          </w:tcPr>
          <w:p w14:paraId="6E285C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567" w:type="dxa"/>
            <w:shd w:val="clear" w:color="auto" w:fill="auto"/>
            <w:vAlign w:val="center"/>
          </w:tcPr>
          <w:p w14:paraId="2312FE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46B927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1.00E-4</w:t>
            </w:r>
          </w:p>
        </w:tc>
        <w:tc>
          <w:tcPr>
            <w:tcW w:w="1567" w:type="dxa"/>
            <w:shd w:val="clear" w:color="auto" w:fill="auto"/>
            <w:vAlign w:val="center"/>
          </w:tcPr>
          <w:p w14:paraId="6B4A61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下风向中毒影响最远距离形成所需时间（秒）：57.00</w:t>
            </w:r>
          </w:p>
        </w:tc>
      </w:tr>
      <w:tr w14:paraId="3622379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44E05E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0D5140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567" w:type="dxa"/>
            <w:shd w:val="clear" w:color="auto" w:fill="auto"/>
            <w:vAlign w:val="center"/>
          </w:tcPr>
          <w:p w14:paraId="175321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567" w:type="dxa"/>
            <w:shd w:val="clear" w:color="auto" w:fill="auto"/>
            <w:vAlign w:val="center"/>
          </w:tcPr>
          <w:p w14:paraId="57309B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19A678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1.00E-5</w:t>
            </w:r>
          </w:p>
        </w:tc>
        <w:tc>
          <w:tcPr>
            <w:tcW w:w="1567" w:type="dxa"/>
            <w:shd w:val="clear" w:color="auto" w:fill="auto"/>
            <w:vAlign w:val="center"/>
          </w:tcPr>
          <w:p w14:paraId="71252D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下风向中毒影响最远距离（m）：629.00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下风向中毒影响最远距离形成所需时间（秒）：209.67</w:t>
            </w:r>
          </w:p>
        </w:tc>
      </w:tr>
      <w:tr w14:paraId="29D5E27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777472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590A76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567" w:type="dxa"/>
            <w:shd w:val="clear" w:color="auto" w:fill="auto"/>
            <w:vAlign w:val="center"/>
          </w:tcPr>
          <w:p w14:paraId="3DF72B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567" w:type="dxa"/>
            <w:shd w:val="clear" w:color="auto" w:fill="auto"/>
            <w:vAlign w:val="center"/>
          </w:tcPr>
          <w:p w14:paraId="03A3EC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40995D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6.00E-6</w:t>
            </w:r>
          </w:p>
        </w:tc>
        <w:tc>
          <w:tcPr>
            <w:tcW w:w="1567" w:type="dxa"/>
            <w:shd w:val="clear" w:color="auto" w:fill="auto"/>
            <w:vAlign w:val="center"/>
          </w:tcPr>
          <w:p w14:paraId="32822B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下风向中毒影响最远距离（m）：2315.00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下风向中毒影响最远距离形成所需时间（秒）：771.67</w:t>
            </w:r>
          </w:p>
        </w:tc>
      </w:tr>
      <w:tr w14:paraId="373C496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restart"/>
            <w:shd w:val="clear" w:color="auto" w:fill="auto"/>
            <w:vAlign w:val="center"/>
          </w:tcPr>
          <w:p w14:paraId="664AE3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eastAsia="zh-CN"/>
              </w:rPr>
              <w:t>1#</w:t>
            </w:r>
            <w:r>
              <w:rPr>
                <w:rFonts w:hint="default" w:ascii="Times New Roman" w:hAnsi="Times New Roman" w:eastAsia="宋体" w:cs="Times New Roman"/>
                <w:b w:val="0"/>
                <w:bCs/>
                <w:sz w:val="21"/>
                <w:szCs w:val="21"/>
              </w:rPr>
              <w:t>液氯库-液氯储罐</w:t>
            </w:r>
          </w:p>
        </w:tc>
        <w:tc>
          <w:tcPr>
            <w:tcW w:w="1566" w:type="dxa"/>
            <w:shd w:val="clear" w:color="auto" w:fill="auto"/>
            <w:vAlign w:val="center"/>
          </w:tcPr>
          <w:p w14:paraId="0D6AAD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567" w:type="dxa"/>
            <w:shd w:val="clear" w:color="auto" w:fill="auto"/>
            <w:vAlign w:val="center"/>
          </w:tcPr>
          <w:p w14:paraId="127870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567" w:type="dxa"/>
            <w:shd w:val="clear" w:color="auto" w:fill="auto"/>
            <w:vAlign w:val="center"/>
          </w:tcPr>
          <w:p w14:paraId="2EF01A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086C0B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4.00E-5</w:t>
            </w:r>
          </w:p>
        </w:tc>
        <w:tc>
          <w:tcPr>
            <w:tcW w:w="1567" w:type="dxa"/>
            <w:shd w:val="clear" w:color="auto" w:fill="auto"/>
            <w:vAlign w:val="center"/>
          </w:tcPr>
          <w:p w14:paraId="0BCF88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下风向中毒影响最远距离（m）：47.00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下风向中毒影响最远距离形成所需时间（秒）：15.00</w:t>
            </w:r>
          </w:p>
        </w:tc>
      </w:tr>
      <w:tr w14:paraId="69F954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55392E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2412BA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567" w:type="dxa"/>
            <w:shd w:val="clear" w:color="auto" w:fill="auto"/>
            <w:vAlign w:val="center"/>
          </w:tcPr>
          <w:p w14:paraId="1CF239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567" w:type="dxa"/>
            <w:shd w:val="clear" w:color="auto" w:fill="auto"/>
            <w:vAlign w:val="center"/>
          </w:tcPr>
          <w:p w14:paraId="54B64D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39E9BF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1.00E-4</w:t>
            </w:r>
          </w:p>
        </w:tc>
        <w:tc>
          <w:tcPr>
            <w:tcW w:w="1567" w:type="dxa"/>
            <w:shd w:val="clear" w:color="auto" w:fill="auto"/>
            <w:vAlign w:val="center"/>
          </w:tcPr>
          <w:p w14:paraId="6CEE6D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下风向中毒影响最远距离形成所需时间（秒）：57.00</w:t>
            </w:r>
          </w:p>
        </w:tc>
      </w:tr>
      <w:tr w14:paraId="56252D8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688380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3EE748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567" w:type="dxa"/>
            <w:shd w:val="clear" w:color="auto" w:fill="auto"/>
            <w:vAlign w:val="center"/>
          </w:tcPr>
          <w:p w14:paraId="2F9977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567" w:type="dxa"/>
            <w:shd w:val="clear" w:color="auto" w:fill="auto"/>
            <w:vAlign w:val="center"/>
          </w:tcPr>
          <w:p w14:paraId="471EC3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72FA4E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1.00E-5</w:t>
            </w:r>
          </w:p>
        </w:tc>
        <w:tc>
          <w:tcPr>
            <w:tcW w:w="1567" w:type="dxa"/>
            <w:shd w:val="clear" w:color="auto" w:fill="auto"/>
            <w:vAlign w:val="center"/>
          </w:tcPr>
          <w:p w14:paraId="4E4CF6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下风向中毒影响最远距离（m）：629.00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下风向中毒影响最远距离形成所需时间（秒）：209.67</w:t>
            </w:r>
          </w:p>
        </w:tc>
      </w:tr>
      <w:tr w14:paraId="19509A9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768FB5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0C72CB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567" w:type="dxa"/>
            <w:shd w:val="clear" w:color="auto" w:fill="auto"/>
            <w:vAlign w:val="center"/>
          </w:tcPr>
          <w:p w14:paraId="571165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567" w:type="dxa"/>
            <w:shd w:val="clear" w:color="auto" w:fill="auto"/>
            <w:vAlign w:val="center"/>
          </w:tcPr>
          <w:p w14:paraId="55C44B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29668D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6.00E-6</w:t>
            </w:r>
          </w:p>
        </w:tc>
        <w:tc>
          <w:tcPr>
            <w:tcW w:w="1567" w:type="dxa"/>
            <w:shd w:val="clear" w:color="auto" w:fill="auto"/>
            <w:vAlign w:val="center"/>
          </w:tcPr>
          <w:p w14:paraId="19E1D9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下风向中毒影响最远距离（m）：2315.00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下风向中毒影响最远距离形成所需时间（秒）：771.67</w:t>
            </w:r>
          </w:p>
        </w:tc>
      </w:tr>
      <w:tr w14:paraId="709211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restart"/>
            <w:shd w:val="clear" w:color="auto" w:fill="auto"/>
            <w:vAlign w:val="center"/>
          </w:tcPr>
          <w:p w14:paraId="211F94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eastAsia="zh-CN"/>
              </w:rPr>
              <w:t>1#</w:t>
            </w:r>
            <w:r>
              <w:rPr>
                <w:rFonts w:hint="default" w:ascii="Times New Roman" w:hAnsi="Times New Roman" w:eastAsia="宋体" w:cs="Times New Roman"/>
                <w:b w:val="0"/>
                <w:bCs/>
                <w:sz w:val="21"/>
                <w:szCs w:val="21"/>
              </w:rPr>
              <w:t>液氯库-液氯储罐</w:t>
            </w:r>
          </w:p>
        </w:tc>
        <w:tc>
          <w:tcPr>
            <w:tcW w:w="1566" w:type="dxa"/>
            <w:shd w:val="clear" w:color="auto" w:fill="auto"/>
            <w:vAlign w:val="center"/>
          </w:tcPr>
          <w:p w14:paraId="760492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567" w:type="dxa"/>
            <w:shd w:val="clear" w:color="auto" w:fill="auto"/>
            <w:vAlign w:val="center"/>
          </w:tcPr>
          <w:p w14:paraId="54A66D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567" w:type="dxa"/>
            <w:shd w:val="clear" w:color="auto" w:fill="auto"/>
            <w:vAlign w:val="center"/>
          </w:tcPr>
          <w:p w14:paraId="1D65DB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17CBDD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4.00E-5</w:t>
            </w:r>
          </w:p>
        </w:tc>
        <w:tc>
          <w:tcPr>
            <w:tcW w:w="1567" w:type="dxa"/>
            <w:shd w:val="clear" w:color="auto" w:fill="auto"/>
            <w:vAlign w:val="center"/>
          </w:tcPr>
          <w:p w14:paraId="0FA011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下风向中毒影响最远距离（m）：47.00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下风向中毒影响最远距离形成所需时间（秒）：15.00</w:t>
            </w:r>
          </w:p>
        </w:tc>
      </w:tr>
      <w:tr w14:paraId="0881BD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33D134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10EA18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567" w:type="dxa"/>
            <w:shd w:val="clear" w:color="auto" w:fill="auto"/>
            <w:vAlign w:val="center"/>
          </w:tcPr>
          <w:p w14:paraId="0466B4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567" w:type="dxa"/>
            <w:shd w:val="clear" w:color="auto" w:fill="auto"/>
            <w:vAlign w:val="center"/>
          </w:tcPr>
          <w:p w14:paraId="63ED79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6B4EA3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1.00E-4</w:t>
            </w:r>
          </w:p>
        </w:tc>
        <w:tc>
          <w:tcPr>
            <w:tcW w:w="1567" w:type="dxa"/>
            <w:shd w:val="clear" w:color="auto" w:fill="auto"/>
            <w:vAlign w:val="center"/>
          </w:tcPr>
          <w:p w14:paraId="507261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下风向中毒影响最远距离形成所需时间（秒）：57.00</w:t>
            </w:r>
          </w:p>
        </w:tc>
      </w:tr>
      <w:tr w14:paraId="3D1221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1AE283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7D923C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567" w:type="dxa"/>
            <w:shd w:val="clear" w:color="auto" w:fill="auto"/>
            <w:vAlign w:val="center"/>
          </w:tcPr>
          <w:p w14:paraId="58459C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567" w:type="dxa"/>
            <w:shd w:val="clear" w:color="auto" w:fill="auto"/>
            <w:vAlign w:val="center"/>
          </w:tcPr>
          <w:p w14:paraId="1C3D72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4C5C9E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1.00E-5</w:t>
            </w:r>
          </w:p>
        </w:tc>
        <w:tc>
          <w:tcPr>
            <w:tcW w:w="1567" w:type="dxa"/>
            <w:shd w:val="clear" w:color="auto" w:fill="auto"/>
            <w:vAlign w:val="center"/>
          </w:tcPr>
          <w:p w14:paraId="24C347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下风向中毒影响最远距离（m）：629.00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下风向中毒影响最远距离形成所需时间（秒）：209.67</w:t>
            </w:r>
          </w:p>
        </w:tc>
      </w:tr>
      <w:tr w14:paraId="763E7DF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68C63B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5A0422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567" w:type="dxa"/>
            <w:shd w:val="clear" w:color="auto" w:fill="auto"/>
            <w:vAlign w:val="center"/>
          </w:tcPr>
          <w:p w14:paraId="46D698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567" w:type="dxa"/>
            <w:shd w:val="clear" w:color="auto" w:fill="auto"/>
            <w:vAlign w:val="center"/>
          </w:tcPr>
          <w:p w14:paraId="50DD7E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0F2D09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6.00E-6</w:t>
            </w:r>
          </w:p>
        </w:tc>
        <w:tc>
          <w:tcPr>
            <w:tcW w:w="1567" w:type="dxa"/>
            <w:shd w:val="clear" w:color="auto" w:fill="auto"/>
            <w:vAlign w:val="center"/>
          </w:tcPr>
          <w:p w14:paraId="0A5AD1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下风向中毒影响最远距离（m）：2315.00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下风向中毒影响最远距离形成所需时间（秒）：771.67</w:t>
            </w:r>
          </w:p>
        </w:tc>
      </w:tr>
      <w:tr w14:paraId="6D4935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restart"/>
            <w:shd w:val="clear" w:color="auto" w:fill="auto"/>
            <w:vAlign w:val="center"/>
          </w:tcPr>
          <w:p w14:paraId="00559D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eastAsia="zh-CN"/>
              </w:rPr>
              <w:t>1#</w:t>
            </w:r>
            <w:r>
              <w:rPr>
                <w:rFonts w:hint="default" w:ascii="Times New Roman" w:hAnsi="Times New Roman" w:eastAsia="宋体" w:cs="Times New Roman"/>
                <w:b w:val="0"/>
                <w:bCs/>
                <w:sz w:val="21"/>
                <w:szCs w:val="21"/>
              </w:rPr>
              <w:t>液氯库-液氯储罐</w:t>
            </w:r>
          </w:p>
        </w:tc>
        <w:tc>
          <w:tcPr>
            <w:tcW w:w="1566" w:type="dxa"/>
            <w:shd w:val="clear" w:color="auto" w:fill="auto"/>
            <w:vAlign w:val="center"/>
          </w:tcPr>
          <w:p w14:paraId="40CB57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567" w:type="dxa"/>
            <w:shd w:val="clear" w:color="auto" w:fill="auto"/>
            <w:vAlign w:val="center"/>
          </w:tcPr>
          <w:p w14:paraId="342FBF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567" w:type="dxa"/>
            <w:shd w:val="clear" w:color="auto" w:fill="auto"/>
            <w:vAlign w:val="center"/>
          </w:tcPr>
          <w:p w14:paraId="60FBD8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3CBDF1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4.00E-5</w:t>
            </w:r>
          </w:p>
        </w:tc>
        <w:tc>
          <w:tcPr>
            <w:tcW w:w="1567" w:type="dxa"/>
            <w:shd w:val="clear" w:color="auto" w:fill="auto"/>
            <w:vAlign w:val="center"/>
          </w:tcPr>
          <w:p w14:paraId="6B8088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下风向中毒影响最远距离（m）：47.00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下风向中毒影响最远距离形成所需时间（秒）：15.00</w:t>
            </w:r>
          </w:p>
        </w:tc>
      </w:tr>
      <w:tr w14:paraId="0A5415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1BB2F5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318332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567" w:type="dxa"/>
            <w:shd w:val="clear" w:color="auto" w:fill="auto"/>
            <w:vAlign w:val="center"/>
          </w:tcPr>
          <w:p w14:paraId="03F0B5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567" w:type="dxa"/>
            <w:shd w:val="clear" w:color="auto" w:fill="auto"/>
            <w:vAlign w:val="center"/>
          </w:tcPr>
          <w:p w14:paraId="421889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1794CE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1.00E-4</w:t>
            </w:r>
          </w:p>
        </w:tc>
        <w:tc>
          <w:tcPr>
            <w:tcW w:w="1567" w:type="dxa"/>
            <w:shd w:val="clear" w:color="auto" w:fill="auto"/>
            <w:vAlign w:val="center"/>
          </w:tcPr>
          <w:p w14:paraId="2C54C0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下风向中毒影响最远距离形成所需时间（秒）：57.00</w:t>
            </w:r>
          </w:p>
        </w:tc>
      </w:tr>
      <w:tr w14:paraId="3234CCD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169038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0DD3D0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567" w:type="dxa"/>
            <w:shd w:val="clear" w:color="auto" w:fill="auto"/>
            <w:vAlign w:val="center"/>
          </w:tcPr>
          <w:p w14:paraId="6E4E00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567" w:type="dxa"/>
            <w:shd w:val="clear" w:color="auto" w:fill="auto"/>
            <w:vAlign w:val="center"/>
          </w:tcPr>
          <w:p w14:paraId="262CB0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2D958F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1.00E-5</w:t>
            </w:r>
          </w:p>
        </w:tc>
        <w:tc>
          <w:tcPr>
            <w:tcW w:w="1567" w:type="dxa"/>
            <w:shd w:val="clear" w:color="auto" w:fill="auto"/>
            <w:vAlign w:val="center"/>
          </w:tcPr>
          <w:p w14:paraId="74B041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下风向中毒影响最远距离（m）：629.00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下风向中毒影响最远距离形成所需时间（秒）：209.67</w:t>
            </w:r>
          </w:p>
        </w:tc>
      </w:tr>
      <w:tr w14:paraId="07AAC08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53A8F3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761397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567" w:type="dxa"/>
            <w:shd w:val="clear" w:color="auto" w:fill="auto"/>
            <w:vAlign w:val="center"/>
          </w:tcPr>
          <w:p w14:paraId="558F9E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567" w:type="dxa"/>
            <w:shd w:val="clear" w:color="auto" w:fill="auto"/>
            <w:vAlign w:val="center"/>
          </w:tcPr>
          <w:p w14:paraId="502FC8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0DADDA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6.00E-6</w:t>
            </w:r>
          </w:p>
        </w:tc>
        <w:tc>
          <w:tcPr>
            <w:tcW w:w="1567" w:type="dxa"/>
            <w:shd w:val="clear" w:color="auto" w:fill="auto"/>
            <w:vAlign w:val="center"/>
          </w:tcPr>
          <w:p w14:paraId="519B8B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下风向中毒影响最远距离（m）：2315.00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下风向中毒影响最远距离形成所需时间（秒）：771.67</w:t>
            </w:r>
          </w:p>
        </w:tc>
      </w:tr>
      <w:tr w14:paraId="77E20C9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restart"/>
            <w:shd w:val="clear" w:color="auto" w:fill="auto"/>
            <w:vAlign w:val="center"/>
          </w:tcPr>
          <w:p w14:paraId="373CD4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eastAsia="zh-CN"/>
              </w:rPr>
              <w:t>1#</w:t>
            </w:r>
            <w:r>
              <w:rPr>
                <w:rFonts w:hint="default" w:ascii="Times New Roman" w:hAnsi="Times New Roman" w:eastAsia="宋体" w:cs="Times New Roman"/>
                <w:b w:val="0"/>
                <w:bCs/>
                <w:sz w:val="21"/>
                <w:szCs w:val="21"/>
              </w:rPr>
              <w:t>液氯库-液氯储罐</w:t>
            </w:r>
          </w:p>
        </w:tc>
        <w:tc>
          <w:tcPr>
            <w:tcW w:w="1566" w:type="dxa"/>
            <w:shd w:val="clear" w:color="auto" w:fill="auto"/>
            <w:vAlign w:val="center"/>
          </w:tcPr>
          <w:p w14:paraId="4B174A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567" w:type="dxa"/>
            <w:shd w:val="clear" w:color="auto" w:fill="auto"/>
            <w:vAlign w:val="center"/>
          </w:tcPr>
          <w:p w14:paraId="2BF12C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567" w:type="dxa"/>
            <w:shd w:val="clear" w:color="auto" w:fill="auto"/>
            <w:vAlign w:val="center"/>
          </w:tcPr>
          <w:p w14:paraId="6DCE3E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697C30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4.00E-5</w:t>
            </w:r>
          </w:p>
        </w:tc>
        <w:tc>
          <w:tcPr>
            <w:tcW w:w="1567" w:type="dxa"/>
            <w:shd w:val="clear" w:color="auto" w:fill="auto"/>
            <w:vAlign w:val="center"/>
          </w:tcPr>
          <w:p w14:paraId="07B4DC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下风向中毒影响最远距离（m）：47.00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下风向中毒影响最远距离形成所需时间（秒）：15.00</w:t>
            </w:r>
          </w:p>
        </w:tc>
      </w:tr>
      <w:tr w14:paraId="283963F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7FE045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7C1533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567" w:type="dxa"/>
            <w:shd w:val="clear" w:color="auto" w:fill="auto"/>
            <w:vAlign w:val="center"/>
          </w:tcPr>
          <w:p w14:paraId="4D7A2E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567" w:type="dxa"/>
            <w:shd w:val="clear" w:color="auto" w:fill="auto"/>
            <w:vAlign w:val="center"/>
          </w:tcPr>
          <w:p w14:paraId="266988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0530A5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1.00E-4</w:t>
            </w:r>
          </w:p>
        </w:tc>
        <w:tc>
          <w:tcPr>
            <w:tcW w:w="1567" w:type="dxa"/>
            <w:shd w:val="clear" w:color="auto" w:fill="auto"/>
            <w:vAlign w:val="center"/>
          </w:tcPr>
          <w:p w14:paraId="48F84B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下风向中毒影响最远距离形成所需时间（秒）：57.00</w:t>
            </w:r>
          </w:p>
        </w:tc>
      </w:tr>
      <w:tr w14:paraId="5DEAD01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0CC6A1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329842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567" w:type="dxa"/>
            <w:shd w:val="clear" w:color="auto" w:fill="auto"/>
            <w:vAlign w:val="center"/>
          </w:tcPr>
          <w:p w14:paraId="4E7485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567" w:type="dxa"/>
            <w:shd w:val="clear" w:color="auto" w:fill="auto"/>
            <w:vAlign w:val="center"/>
          </w:tcPr>
          <w:p w14:paraId="470E95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543184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1.00E-5</w:t>
            </w:r>
          </w:p>
        </w:tc>
        <w:tc>
          <w:tcPr>
            <w:tcW w:w="1567" w:type="dxa"/>
            <w:shd w:val="clear" w:color="auto" w:fill="auto"/>
            <w:vAlign w:val="center"/>
          </w:tcPr>
          <w:p w14:paraId="4E6022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下风向中毒影响最远距离（m）：629.00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下风向中毒影响最远距离形成所需时间（秒）：209.67</w:t>
            </w:r>
          </w:p>
        </w:tc>
      </w:tr>
      <w:tr w14:paraId="3DAD170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1A5157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6D6F7F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567" w:type="dxa"/>
            <w:shd w:val="clear" w:color="auto" w:fill="auto"/>
            <w:vAlign w:val="center"/>
          </w:tcPr>
          <w:p w14:paraId="577C68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567" w:type="dxa"/>
            <w:shd w:val="clear" w:color="auto" w:fill="auto"/>
            <w:vAlign w:val="center"/>
          </w:tcPr>
          <w:p w14:paraId="7F45B3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408098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6.00E-6</w:t>
            </w:r>
          </w:p>
        </w:tc>
        <w:tc>
          <w:tcPr>
            <w:tcW w:w="1567" w:type="dxa"/>
            <w:shd w:val="clear" w:color="auto" w:fill="auto"/>
            <w:vAlign w:val="center"/>
          </w:tcPr>
          <w:p w14:paraId="1D7C7F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下风向中毒影响最远距离（m）：2315.00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下风向中毒影响最远距离形成所需时间（秒）：771.67</w:t>
            </w:r>
          </w:p>
        </w:tc>
      </w:tr>
      <w:tr w14:paraId="55CC043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restart"/>
            <w:shd w:val="clear" w:color="auto" w:fill="auto"/>
            <w:vAlign w:val="center"/>
          </w:tcPr>
          <w:p w14:paraId="7B9370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eastAsia="zh-CN"/>
              </w:rPr>
              <w:t>1#</w:t>
            </w:r>
            <w:r>
              <w:rPr>
                <w:rFonts w:hint="default" w:ascii="Times New Roman" w:hAnsi="Times New Roman" w:eastAsia="宋体" w:cs="Times New Roman"/>
                <w:b w:val="0"/>
                <w:bCs/>
                <w:sz w:val="21"/>
                <w:szCs w:val="21"/>
              </w:rPr>
              <w:t>液氯库-液氯储罐</w:t>
            </w:r>
          </w:p>
        </w:tc>
        <w:tc>
          <w:tcPr>
            <w:tcW w:w="1566" w:type="dxa"/>
            <w:shd w:val="clear" w:color="auto" w:fill="auto"/>
            <w:vAlign w:val="center"/>
          </w:tcPr>
          <w:p w14:paraId="5D1FED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567" w:type="dxa"/>
            <w:shd w:val="clear" w:color="auto" w:fill="auto"/>
            <w:vAlign w:val="center"/>
          </w:tcPr>
          <w:p w14:paraId="231A08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567" w:type="dxa"/>
            <w:shd w:val="clear" w:color="auto" w:fill="auto"/>
            <w:vAlign w:val="center"/>
          </w:tcPr>
          <w:p w14:paraId="69A602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5CCE22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4.00E-5</w:t>
            </w:r>
          </w:p>
        </w:tc>
        <w:tc>
          <w:tcPr>
            <w:tcW w:w="1567" w:type="dxa"/>
            <w:shd w:val="clear" w:color="auto" w:fill="auto"/>
            <w:vAlign w:val="center"/>
          </w:tcPr>
          <w:p w14:paraId="1E7E76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下风向中毒影响最远距离（m）：47.00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下风向中毒影响最远距离形成所需时间（秒）：15.00</w:t>
            </w:r>
          </w:p>
        </w:tc>
      </w:tr>
      <w:tr w14:paraId="7AB2C0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4613E4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7C78D3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567" w:type="dxa"/>
            <w:shd w:val="clear" w:color="auto" w:fill="auto"/>
            <w:vAlign w:val="center"/>
          </w:tcPr>
          <w:p w14:paraId="79ED8F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567" w:type="dxa"/>
            <w:shd w:val="clear" w:color="auto" w:fill="auto"/>
            <w:vAlign w:val="center"/>
          </w:tcPr>
          <w:p w14:paraId="16FE60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6AB16C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1.00E-4</w:t>
            </w:r>
          </w:p>
        </w:tc>
        <w:tc>
          <w:tcPr>
            <w:tcW w:w="1567" w:type="dxa"/>
            <w:shd w:val="clear" w:color="auto" w:fill="auto"/>
            <w:vAlign w:val="center"/>
          </w:tcPr>
          <w:p w14:paraId="640FDC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下风向中毒影响最远距离形成所需时间（秒）：57.00</w:t>
            </w:r>
          </w:p>
        </w:tc>
      </w:tr>
      <w:tr w14:paraId="1910581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5126B0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4B8311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567" w:type="dxa"/>
            <w:shd w:val="clear" w:color="auto" w:fill="auto"/>
            <w:vAlign w:val="center"/>
          </w:tcPr>
          <w:p w14:paraId="34E6BA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567" w:type="dxa"/>
            <w:shd w:val="clear" w:color="auto" w:fill="auto"/>
            <w:vAlign w:val="center"/>
          </w:tcPr>
          <w:p w14:paraId="49E69B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2D9D6E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1.00E-5</w:t>
            </w:r>
          </w:p>
        </w:tc>
        <w:tc>
          <w:tcPr>
            <w:tcW w:w="1567" w:type="dxa"/>
            <w:shd w:val="clear" w:color="auto" w:fill="auto"/>
            <w:vAlign w:val="center"/>
          </w:tcPr>
          <w:p w14:paraId="696B25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下风向中毒影响最远距离（m）：629.00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下风向中毒影响最远距离形成所需时间（秒）：209.67</w:t>
            </w:r>
          </w:p>
        </w:tc>
      </w:tr>
      <w:tr w14:paraId="51C5B4E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089472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57C285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567" w:type="dxa"/>
            <w:shd w:val="clear" w:color="auto" w:fill="auto"/>
            <w:vAlign w:val="center"/>
          </w:tcPr>
          <w:p w14:paraId="0BF9CD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567" w:type="dxa"/>
            <w:shd w:val="clear" w:color="auto" w:fill="auto"/>
            <w:vAlign w:val="center"/>
          </w:tcPr>
          <w:p w14:paraId="5B7330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05A833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6.00E-6</w:t>
            </w:r>
          </w:p>
        </w:tc>
        <w:tc>
          <w:tcPr>
            <w:tcW w:w="1567" w:type="dxa"/>
            <w:shd w:val="clear" w:color="auto" w:fill="auto"/>
            <w:vAlign w:val="center"/>
          </w:tcPr>
          <w:p w14:paraId="6F908E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下风向中毒影响最远距离（m）：2315.00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下风向中毒影响最远距离形成所需时间（秒）：771.67</w:t>
            </w:r>
          </w:p>
        </w:tc>
      </w:tr>
      <w:tr w14:paraId="3F3858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restart"/>
            <w:shd w:val="clear" w:color="auto" w:fill="auto"/>
            <w:vAlign w:val="center"/>
          </w:tcPr>
          <w:p w14:paraId="675006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eastAsia="zh-CN"/>
              </w:rPr>
              <w:t>1#</w:t>
            </w:r>
            <w:r>
              <w:rPr>
                <w:rFonts w:hint="default" w:ascii="Times New Roman" w:hAnsi="Times New Roman" w:eastAsia="宋体" w:cs="Times New Roman"/>
                <w:b w:val="0"/>
                <w:bCs/>
                <w:sz w:val="21"/>
                <w:szCs w:val="21"/>
              </w:rPr>
              <w:t>液氯库-液氯储罐</w:t>
            </w:r>
          </w:p>
        </w:tc>
        <w:tc>
          <w:tcPr>
            <w:tcW w:w="1566" w:type="dxa"/>
            <w:shd w:val="clear" w:color="auto" w:fill="auto"/>
            <w:vAlign w:val="center"/>
          </w:tcPr>
          <w:p w14:paraId="2B0C53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小孔泄漏</w:t>
            </w:r>
          </w:p>
        </w:tc>
        <w:tc>
          <w:tcPr>
            <w:tcW w:w="1567" w:type="dxa"/>
            <w:shd w:val="clear" w:color="auto" w:fill="auto"/>
            <w:vAlign w:val="center"/>
          </w:tcPr>
          <w:p w14:paraId="4F6062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567" w:type="dxa"/>
            <w:shd w:val="clear" w:color="auto" w:fill="auto"/>
            <w:vAlign w:val="center"/>
          </w:tcPr>
          <w:p w14:paraId="130B72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286D15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4.00E-5</w:t>
            </w:r>
          </w:p>
        </w:tc>
        <w:tc>
          <w:tcPr>
            <w:tcW w:w="1567" w:type="dxa"/>
            <w:shd w:val="clear" w:color="auto" w:fill="auto"/>
            <w:vAlign w:val="center"/>
          </w:tcPr>
          <w:p w14:paraId="4C2E2F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下风向中毒影响最远距离（m）：47.00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下风向中毒影响最远距离形成所需时间（秒）：15.00</w:t>
            </w:r>
          </w:p>
        </w:tc>
      </w:tr>
      <w:tr w14:paraId="48B7DC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143002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6E84FD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中孔泄漏</w:t>
            </w:r>
          </w:p>
        </w:tc>
        <w:tc>
          <w:tcPr>
            <w:tcW w:w="1567" w:type="dxa"/>
            <w:shd w:val="clear" w:color="auto" w:fill="auto"/>
            <w:vAlign w:val="center"/>
          </w:tcPr>
          <w:p w14:paraId="755389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567" w:type="dxa"/>
            <w:shd w:val="clear" w:color="auto" w:fill="auto"/>
            <w:vAlign w:val="center"/>
          </w:tcPr>
          <w:p w14:paraId="09CD2F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3EA2CF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1.00E-4</w:t>
            </w:r>
          </w:p>
        </w:tc>
        <w:tc>
          <w:tcPr>
            <w:tcW w:w="1567" w:type="dxa"/>
            <w:shd w:val="clear" w:color="auto" w:fill="auto"/>
            <w:vAlign w:val="center"/>
          </w:tcPr>
          <w:p w14:paraId="371C9E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下风向中毒影响最远距离（m）：171.00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下风向中毒影响最远距离形成所需时间（秒）：57.00</w:t>
            </w:r>
          </w:p>
        </w:tc>
      </w:tr>
      <w:tr w14:paraId="37083C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1A3A14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43B17E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大孔泄漏</w:t>
            </w:r>
          </w:p>
        </w:tc>
        <w:tc>
          <w:tcPr>
            <w:tcW w:w="1567" w:type="dxa"/>
            <w:shd w:val="clear" w:color="auto" w:fill="auto"/>
            <w:vAlign w:val="center"/>
          </w:tcPr>
          <w:p w14:paraId="5C06DE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567" w:type="dxa"/>
            <w:shd w:val="clear" w:color="auto" w:fill="auto"/>
            <w:vAlign w:val="center"/>
          </w:tcPr>
          <w:p w14:paraId="367D7F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72E576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1.00E-5</w:t>
            </w:r>
          </w:p>
        </w:tc>
        <w:tc>
          <w:tcPr>
            <w:tcW w:w="1567" w:type="dxa"/>
            <w:shd w:val="clear" w:color="auto" w:fill="auto"/>
            <w:vAlign w:val="center"/>
          </w:tcPr>
          <w:p w14:paraId="05E37B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下风向中毒影响最远距离（m）：629.00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下风向中毒影响最远距离形成所需时间（秒）：209.67</w:t>
            </w:r>
          </w:p>
        </w:tc>
      </w:tr>
      <w:tr w14:paraId="1DBE98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566" w:type="dxa"/>
            <w:vMerge w:val="continue"/>
            <w:shd w:val="clear" w:color="auto" w:fill="auto"/>
            <w:vAlign w:val="center"/>
          </w:tcPr>
          <w:p w14:paraId="180335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566" w:type="dxa"/>
            <w:shd w:val="clear" w:color="auto" w:fill="auto"/>
            <w:vAlign w:val="center"/>
          </w:tcPr>
          <w:p w14:paraId="0D081C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完全破裂</w:t>
            </w:r>
          </w:p>
        </w:tc>
        <w:tc>
          <w:tcPr>
            <w:tcW w:w="1567" w:type="dxa"/>
            <w:shd w:val="clear" w:color="auto" w:fill="auto"/>
            <w:vAlign w:val="center"/>
          </w:tcPr>
          <w:p w14:paraId="4B64F6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0.000006</w:t>
            </w:r>
          </w:p>
        </w:tc>
        <w:tc>
          <w:tcPr>
            <w:tcW w:w="1567" w:type="dxa"/>
            <w:shd w:val="clear" w:color="auto" w:fill="auto"/>
            <w:vAlign w:val="center"/>
          </w:tcPr>
          <w:p w14:paraId="65A0CD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有毒有害物质泄漏</w:t>
            </w:r>
          </w:p>
        </w:tc>
        <w:tc>
          <w:tcPr>
            <w:tcW w:w="1567" w:type="dxa"/>
            <w:shd w:val="clear" w:color="auto" w:fill="auto"/>
            <w:vAlign w:val="center"/>
          </w:tcPr>
          <w:p w14:paraId="018291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6.00E-6</w:t>
            </w:r>
          </w:p>
        </w:tc>
        <w:tc>
          <w:tcPr>
            <w:tcW w:w="1567" w:type="dxa"/>
            <w:shd w:val="clear" w:color="auto" w:fill="auto"/>
            <w:vAlign w:val="center"/>
          </w:tcPr>
          <w:p w14:paraId="05AC30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下风向中毒影响最远距离（m）：2315.00</w:t>
            </w:r>
            <w:r>
              <w:rPr>
                <w:rFonts w:hint="default" w:ascii="Times New Roman" w:hAnsi="Times New Roman" w:eastAsia="宋体" w:cs="Times New Roman"/>
                <w:b w:val="0"/>
                <w:bCs/>
                <w:sz w:val="21"/>
                <w:szCs w:val="21"/>
              </w:rPr>
              <w:br w:type="textWrapping"/>
            </w:r>
            <w:r>
              <w:rPr>
                <w:rFonts w:hint="default" w:ascii="Times New Roman" w:hAnsi="Times New Roman" w:eastAsia="宋体" w:cs="Times New Roman"/>
                <w:b w:val="0"/>
                <w:bCs/>
                <w:sz w:val="21"/>
                <w:szCs w:val="21"/>
              </w:rPr>
              <w:t>下风向中毒影响最远距离形成所需时间（秒）：771.67</w:t>
            </w:r>
          </w:p>
        </w:tc>
      </w:tr>
    </w:tbl>
    <w:p w14:paraId="508DF5F4">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bookmarkStart w:id="31" w:name="_Toc8683"/>
      <w:r>
        <w:rPr>
          <w:rFonts w:hint="eastAsia" w:ascii="Times New Roman" w:hAnsi="Times New Roman" w:eastAsia="宋体" w:cstheme="minorBidi"/>
          <w:kern w:val="2"/>
          <w:sz w:val="28"/>
          <w:szCs w:val="24"/>
          <w:lang w:val="en-US" w:eastAsia="zh-CN" w:bidi="ar-SA"/>
          <w14:ligatures w14:val="standardContextual"/>
        </w:rPr>
        <w:t>小结：朝阳金达钛业股份有限公司1#液氯库的液氯储罐发生压力容器爆炸事故时的死亡半径为0.5m，重伤半径为0.5m，轻伤半径为0.5m，对周边环境及企业无影</w:t>
      </w:r>
    </w:p>
    <w:p w14:paraId="1064490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r>
        <w:rPr>
          <w:rFonts w:hint="eastAsia" w:eastAsia="楷体" w:cs="Times New Roman"/>
          <w:b/>
          <w:bCs/>
          <w:sz w:val="32"/>
          <w:szCs w:val="32"/>
          <w:lang w:val="en-US" w:eastAsia="zh-CN"/>
        </w:rPr>
        <w:t>4.3</w:t>
      </w:r>
      <w:r>
        <w:rPr>
          <w:rFonts w:hint="eastAsia" w:ascii="楷体" w:hAnsi="楷体" w:eastAsia="楷体"/>
          <w:b/>
          <w:bCs/>
          <w:sz w:val="32"/>
          <w:szCs w:val="32"/>
        </w:rPr>
        <w:t>外部安全防护距离</w:t>
      </w:r>
      <w:bookmarkEnd w:id="31"/>
    </w:p>
    <w:p w14:paraId="6B06D614">
      <w:pPr>
        <w:adjustRightInd w:val="0"/>
        <w:snapToGrid w:val="0"/>
        <w:spacing w:after="0" w:line="360" w:lineRule="auto"/>
        <w:ind w:firstLine="560" w:firstLineChars="200"/>
        <w:jc w:val="both"/>
        <w:rPr>
          <w:rFonts w:hint="eastAsia" w:ascii="Times New Roman" w:hAnsi="Times New Roman" w:eastAsia="宋体"/>
          <w:sz w:val="28"/>
          <w:szCs w:val="28"/>
        </w:rPr>
      </w:pPr>
      <w:r>
        <w:rPr>
          <w:rFonts w:hint="eastAsia" w:ascii="Times New Roman" w:hAnsi="Times New Roman" w:eastAsia="宋体"/>
          <w:sz w:val="28"/>
          <w:szCs w:val="28"/>
        </w:rPr>
        <w:t>以下是</w:t>
      </w:r>
      <w:r>
        <w:rPr>
          <w:rFonts w:hint="eastAsia" w:ascii="Times New Roman" w:hAnsi="Times New Roman" w:eastAsia="宋体"/>
          <w:sz w:val="28"/>
          <w:szCs w:val="28"/>
          <w:lang w:val="en-US" w:eastAsia="zh-CN"/>
        </w:rPr>
        <w:t>区域定量风险分析报告</w:t>
      </w:r>
      <w:r>
        <w:rPr>
          <w:rFonts w:hint="eastAsia" w:ascii="Times New Roman" w:hAnsi="Times New Roman" w:eastAsia="宋体"/>
          <w:sz w:val="28"/>
          <w:szCs w:val="28"/>
        </w:rPr>
        <w:t>基于风险的</w:t>
      </w:r>
      <w:r>
        <w:rPr>
          <w:rFonts w:hint="eastAsia" w:ascii="Times New Roman" w:hAnsi="Times New Roman" w:eastAsia="宋体"/>
          <w:sz w:val="28"/>
          <w:szCs w:val="28"/>
          <w:lang w:val="en-US" w:eastAsia="zh-Hans"/>
        </w:rPr>
        <w:t>区域总体外部</w:t>
      </w:r>
      <w:r>
        <w:rPr>
          <w:rFonts w:hint="eastAsia" w:ascii="Times New Roman" w:hAnsi="Times New Roman" w:eastAsia="宋体"/>
          <w:sz w:val="28"/>
          <w:szCs w:val="28"/>
        </w:rPr>
        <w:t>安全防护距离：</w:t>
      </w:r>
    </w:p>
    <w:p w14:paraId="0ACF7E0A">
      <w:pPr>
        <w:jc w:val="center"/>
        <w:rPr>
          <w:rFonts w:hint="eastAsia" w:ascii="微软雅黑" w:hAnsi="微软雅黑" w:eastAsia="微软雅黑"/>
          <w:lang w:val="en-US" w:eastAsia="zh-CN"/>
        </w:rPr>
      </w:pPr>
      <w:r>
        <w:rPr>
          <w:rFonts w:hint="eastAsia" w:ascii="微软雅黑" w:hAnsi="微软雅黑" w:eastAsia="微软雅黑"/>
          <w:lang w:val="en-US" w:eastAsia="zh-CN"/>
        </w:rPr>
        <w:drawing>
          <wp:inline distT="0" distB="0" distL="0" distR="0">
            <wp:extent cx="3962400" cy="3086100"/>
            <wp:effectExtent l="0" t="0" r="0" b="0"/>
            <wp:docPr id="32" name="Drawing 30"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Drawing 30" descr="Generated"/>
                    <pic:cNvPicPr>
                      <a:picLocks noChangeAspect="1"/>
                    </pic:cNvPicPr>
                  </pic:nvPicPr>
                  <pic:blipFill>
                    <a:blip r:embed="rId11"/>
                    <a:stretch>
                      <a:fillRect/>
                    </a:stretch>
                  </pic:blipFill>
                  <pic:spPr>
                    <a:xfrm>
                      <a:off x="0" y="0"/>
                      <a:ext cx="3962400" cy="3086100"/>
                    </a:xfrm>
                    <a:prstGeom prst="rect">
                      <a:avLst/>
                    </a:prstGeom>
                  </pic:spPr>
                </pic:pic>
              </a:graphicData>
            </a:graphic>
          </wp:inline>
        </w:drawing>
      </w:r>
    </w:p>
    <w:p w14:paraId="5B1924B7">
      <w:pPr>
        <w:pStyle w:val="21"/>
        <w:adjustRightInd w:val="0"/>
        <w:snapToGrid w:val="0"/>
        <w:spacing w:before="156" w:beforeLines="50" w:after="156" w:afterLines="50" w:line="240" w:lineRule="auto"/>
        <w:ind w:firstLine="0" w:firstLineChars="0"/>
        <w:jc w:val="center"/>
        <w:rPr>
          <w:rFonts w:hint="default" w:ascii="Times New Roman" w:hAnsi="Times New Roman" w:eastAsia="黑体" w:cs="Times New Roman"/>
          <w:sz w:val="24"/>
          <w:lang w:val="en-US" w:eastAsia="zh-CN"/>
        </w:rPr>
      </w:pPr>
      <w:r>
        <w:rPr>
          <w:rFonts w:hint="default" w:ascii="Times New Roman" w:hAnsi="Times New Roman" w:eastAsia="黑体" w:cs="Times New Roman"/>
          <w:sz w:val="24"/>
          <w:lang w:val="en-US" w:eastAsia="zh-CN"/>
        </w:rPr>
        <w:t>图4.3-1  外部安全防护距离图</w:t>
      </w:r>
    </w:p>
    <w:p w14:paraId="38639564">
      <w:pPr>
        <w:keepNext/>
        <w:keepLines/>
        <w:widowControl w:val="0"/>
        <w:spacing w:before="156" w:beforeLines="50" w:after="156" w:afterLines="50" w:line="240" w:lineRule="auto"/>
        <w:ind w:firstLine="0" w:firstLineChars="0"/>
        <w:jc w:val="center"/>
        <w:rPr>
          <w:rFonts w:hint="eastAsia" w:ascii="黑体" w:hAnsi="黑体" w:eastAsia="黑体" w:cs="Times New Roman"/>
          <w:kern w:val="2"/>
          <w:sz w:val="24"/>
          <w:szCs w:val="24"/>
          <w:lang w:val="en-US" w:eastAsia="zh-CN" w:bidi="ar-SA"/>
          <w14:ligatures w14:val="none"/>
        </w:rPr>
      </w:pPr>
      <w:r>
        <w:rPr>
          <w:rFonts w:hint="default" w:ascii="Times New Roman" w:hAnsi="Times New Roman" w:eastAsia="黑体" w:cs="Times New Roman"/>
          <w:kern w:val="2"/>
          <w:sz w:val="24"/>
          <w:szCs w:val="24"/>
          <w:lang w:val="en-US" w:eastAsia="zh-CN" w:bidi="ar-SA"/>
          <w14:ligatures w14:val="none"/>
        </w:rPr>
        <w:t>表</w:t>
      </w:r>
      <w:r>
        <w:rPr>
          <w:rFonts w:hint="eastAsia" w:ascii="Times New Roman" w:hAnsi="Times New Roman" w:eastAsia="黑体" w:cs="Times New Roman"/>
          <w:kern w:val="2"/>
          <w:sz w:val="24"/>
          <w:szCs w:val="24"/>
          <w:lang w:val="en-US" w:eastAsia="zh-CN" w:bidi="ar-SA"/>
          <w14:ligatures w14:val="none"/>
        </w:rPr>
        <w:t xml:space="preserve">4.3-1  </w:t>
      </w:r>
      <w:r>
        <w:rPr>
          <w:rFonts w:hint="default" w:ascii="Times New Roman" w:hAnsi="Times New Roman" w:eastAsia="黑体" w:cs="Times New Roman"/>
          <w:kern w:val="2"/>
          <w:sz w:val="24"/>
          <w:szCs w:val="24"/>
          <w:lang w:val="en-US" w:eastAsia="zh-CN" w:bidi="ar-SA"/>
          <w14:ligatures w14:val="none"/>
        </w:rPr>
        <w:t>外部安全防</w:t>
      </w:r>
      <w:r>
        <w:rPr>
          <w:rFonts w:hint="eastAsia" w:ascii="黑体" w:hAnsi="黑体" w:eastAsia="黑体" w:cs="Times New Roman"/>
          <w:kern w:val="2"/>
          <w:sz w:val="24"/>
          <w:szCs w:val="24"/>
          <w:lang w:val="en-US" w:eastAsia="zh-CN" w:bidi="ar-SA"/>
          <w14:ligatures w14:val="none"/>
        </w:rPr>
        <w:t>护距离数据表</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2295"/>
        <w:gridCol w:w="2295"/>
        <w:gridCol w:w="2295"/>
        <w:gridCol w:w="2295"/>
      </w:tblGrid>
      <w:tr w14:paraId="20E8DA7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shd w:val="clear" w:color="auto" w:fill="auto"/>
            <w:vAlign w:val="center"/>
          </w:tcPr>
          <w:p w14:paraId="681B91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起点名称</w:t>
            </w:r>
          </w:p>
        </w:tc>
        <w:tc>
          <w:tcPr>
            <w:tcW w:w="2073" w:type="dxa"/>
            <w:shd w:val="clear" w:color="auto" w:fill="auto"/>
            <w:vAlign w:val="center"/>
          </w:tcPr>
          <w:p w14:paraId="4A8221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方向</w:t>
            </w:r>
          </w:p>
        </w:tc>
        <w:tc>
          <w:tcPr>
            <w:tcW w:w="4146" w:type="dxa"/>
            <w:gridSpan w:val="2"/>
            <w:shd w:val="clear" w:color="auto" w:fill="auto"/>
            <w:vAlign w:val="center"/>
          </w:tcPr>
          <w:p w14:paraId="57034F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风险基准值对应的外部安全防护距离(m)</w:t>
            </w:r>
          </w:p>
        </w:tc>
      </w:tr>
      <w:tr w14:paraId="209C639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restart"/>
            <w:shd w:val="clear" w:color="auto" w:fill="auto"/>
            <w:vAlign w:val="center"/>
          </w:tcPr>
          <w:p w14:paraId="11202E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起点1</w:t>
            </w:r>
          </w:p>
        </w:tc>
        <w:tc>
          <w:tcPr>
            <w:tcW w:w="2073" w:type="dxa"/>
            <w:vMerge w:val="restart"/>
            <w:shd w:val="clear" w:color="auto" w:fill="auto"/>
            <w:vAlign w:val="center"/>
          </w:tcPr>
          <w:p w14:paraId="7C38A0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北北东</w:t>
            </w:r>
          </w:p>
        </w:tc>
        <w:tc>
          <w:tcPr>
            <w:tcW w:w="2073" w:type="dxa"/>
            <w:shd w:val="clear" w:color="auto" w:fill="auto"/>
            <w:vAlign w:val="center"/>
          </w:tcPr>
          <w:p w14:paraId="728BA6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19229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200.09</w:t>
            </w:r>
          </w:p>
        </w:tc>
      </w:tr>
      <w:tr w14:paraId="57B6F4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E41E8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F5027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1FA95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0DDB93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206.37</w:t>
            </w:r>
          </w:p>
        </w:tc>
      </w:tr>
      <w:tr w14:paraId="4C3BF3B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09D08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40898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242E1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08D9AA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209.51</w:t>
            </w:r>
          </w:p>
        </w:tc>
      </w:tr>
      <w:tr w14:paraId="6B3CE40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7C2FC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E758B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南南东</w:t>
            </w:r>
          </w:p>
        </w:tc>
        <w:tc>
          <w:tcPr>
            <w:tcW w:w="2073" w:type="dxa"/>
            <w:shd w:val="clear" w:color="auto" w:fill="auto"/>
            <w:vAlign w:val="center"/>
          </w:tcPr>
          <w:p w14:paraId="2159B4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25D44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94.96</w:t>
            </w:r>
          </w:p>
        </w:tc>
      </w:tr>
      <w:tr w14:paraId="06E3B1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4CC68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19A5E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8863A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35C8F6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107.52</w:t>
            </w:r>
          </w:p>
        </w:tc>
      </w:tr>
      <w:tr w14:paraId="5F4C795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90210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460BA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61F85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095D9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116.94</w:t>
            </w:r>
          </w:p>
        </w:tc>
      </w:tr>
      <w:tr w14:paraId="42AB08D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38033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8174A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南西</w:t>
            </w:r>
          </w:p>
        </w:tc>
        <w:tc>
          <w:tcPr>
            <w:tcW w:w="2073" w:type="dxa"/>
            <w:shd w:val="clear" w:color="auto" w:fill="auto"/>
            <w:vAlign w:val="center"/>
          </w:tcPr>
          <w:p w14:paraId="285C93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16FF07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29.29</w:t>
            </w:r>
          </w:p>
        </w:tc>
      </w:tr>
      <w:tr w14:paraId="400299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EB5F8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9CF17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0767A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7F900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45.70</w:t>
            </w:r>
          </w:p>
        </w:tc>
      </w:tr>
      <w:tr w14:paraId="4534A02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E779A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C73F6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F9BC7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8FBDB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56.18</w:t>
            </w:r>
          </w:p>
        </w:tc>
      </w:tr>
      <w:tr w14:paraId="22A311F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0B35D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94420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w:t>
            </w:r>
          </w:p>
        </w:tc>
        <w:tc>
          <w:tcPr>
            <w:tcW w:w="2073" w:type="dxa"/>
            <w:shd w:val="clear" w:color="auto" w:fill="auto"/>
            <w:vAlign w:val="center"/>
          </w:tcPr>
          <w:p w14:paraId="4394E7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10E8C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147.49</w:t>
            </w:r>
          </w:p>
        </w:tc>
      </w:tr>
      <w:tr w14:paraId="397A697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21B51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3AFA7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B3DD3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E3C5E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179.39</w:t>
            </w:r>
          </w:p>
        </w:tc>
      </w:tr>
      <w:tr w14:paraId="015344D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17B94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7D43F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1F61B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3DFE8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188.09</w:t>
            </w:r>
          </w:p>
        </w:tc>
      </w:tr>
      <w:tr w14:paraId="2FA6F88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5FC11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7FB980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w:t>
            </w:r>
          </w:p>
        </w:tc>
        <w:tc>
          <w:tcPr>
            <w:tcW w:w="2073" w:type="dxa"/>
            <w:shd w:val="clear" w:color="auto" w:fill="auto"/>
            <w:vAlign w:val="center"/>
          </w:tcPr>
          <w:p w14:paraId="64F059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9B02F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92.48</w:t>
            </w:r>
          </w:p>
        </w:tc>
      </w:tr>
      <w:tr w14:paraId="14925B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6D3C8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C6A05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7103F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5FC89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162.08</w:t>
            </w:r>
          </w:p>
        </w:tc>
      </w:tr>
      <w:tr w14:paraId="40B3CD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3DEA6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67CA8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023C5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49DF5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179.06</w:t>
            </w:r>
          </w:p>
        </w:tc>
      </w:tr>
      <w:tr w14:paraId="159DAC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D9A40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3C121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西西北</w:t>
            </w:r>
          </w:p>
        </w:tc>
        <w:tc>
          <w:tcPr>
            <w:tcW w:w="2073" w:type="dxa"/>
            <w:shd w:val="clear" w:color="auto" w:fill="auto"/>
            <w:vAlign w:val="center"/>
          </w:tcPr>
          <w:p w14:paraId="1F47E2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B6887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38.11</w:t>
            </w:r>
          </w:p>
        </w:tc>
      </w:tr>
      <w:tr w14:paraId="3FC8C00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7510C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A0F37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F0F0C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EA740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50.67</w:t>
            </w:r>
          </w:p>
        </w:tc>
      </w:tr>
      <w:tr w14:paraId="33F59D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2896C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BFC93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00221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45863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60.09</w:t>
            </w:r>
          </w:p>
        </w:tc>
      </w:tr>
      <w:tr w14:paraId="29D2F9D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D1F90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71948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南东</w:t>
            </w:r>
          </w:p>
        </w:tc>
        <w:tc>
          <w:tcPr>
            <w:tcW w:w="2073" w:type="dxa"/>
            <w:shd w:val="clear" w:color="auto" w:fill="auto"/>
            <w:vAlign w:val="center"/>
          </w:tcPr>
          <w:p w14:paraId="6EED18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E1F0C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123.27</w:t>
            </w:r>
          </w:p>
        </w:tc>
      </w:tr>
      <w:tr w14:paraId="69ECCFA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55AE3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64E8C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96F84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01745D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135.57</w:t>
            </w:r>
          </w:p>
        </w:tc>
      </w:tr>
      <w:tr w14:paraId="38886C4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FA132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83285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8C185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C90A2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144.58</w:t>
            </w:r>
          </w:p>
        </w:tc>
      </w:tr>
      <w:tr w14:paraId="3BFE9F0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683B4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458FE1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w:t>
            </w:r>
          </w:p>
        </w:tc>
        <w:tc>
          <w:tcPr>
            <w:tcW w:w="2073" w:type="dxa"/>
            <w:shd w:val="clear" w:color="auto" w:fill="auto"/>
            <w:vAlign w:val="center"/>
          </w:tcPr>
          <w:p w14:paraId="641B1E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03F3C6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67.85</w:t>
            </w:r>
          </w:p>
        </w:tc>
      </w:tr>
      <w:tr w14:paraId="3284BC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99FC7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EC7F6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1222C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C95BE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79.45</w:t>
            </w:r>
          </w:p>
        </w:tc>
      </w:tr>
      <w:tr w14:paraId="2436E8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399DE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E3659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DE414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569AFD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90.64</w:t>
            </w:r>
          </w:p>
        </w:tc>
      </w:tr>
      <w:tr w14:paraId="66B312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5D71F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28B839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东南东</w:t>
            </w:r>
          </w:p>
        </w:tc>
        <w:tc>
          <w:tcPr>
            <w:tcW w:w="2073" w:type="dxa"/>
            <w:shd w:val="clear" w:color="auto" w:fill="auto"/>
            <w:vAlign w:val="center"/>
          </w:tcPr>
          <w:p w14:paraId="7441E5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81BA1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126.76</w:t>
            </w:r>
          </w:p>
        </w:tc>
      </w:tr>
      <w:tr w14:paraId="04F5ACD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39553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FABB7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801E2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6FB4F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162.28</w:t>
            </w:r>
          </w:p>
        </w:tc>
      </w:tr>
      <w:tr w14:paraId="41F1E58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E0612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8D518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8EE3E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4C3DC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172.20</w:t>
            </w:r>
          </w:p>
        </w:tc>
      </w:tr>
      <w:tr w14:paraId="3DE8E3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7FA4F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8092B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南南西</w:t>
            </w:r>
          </w:p>
        </w:tc>
        <w:tc>
          <w:tcPr>
            <w:tcW w:w="2073" w:type="dxa"/>
            <w:shd w:val="clear" w:color="auto" w:fill="auto"/>
            <w:vAlign w:val="center"/>
          </w:tcPr>
          <w:p w14:paraId="55A459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6CFE40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46.55</w:t>
            </w:r>
          </w:p>
        </w:tc>
      </w:tr>
      <w:tr w14:paraId="08D47A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BF589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71777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BD83E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43B46C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61.70</w:t>
            </w:r>
          </w:p>
        </w:tc>
      </w:tr>
      <w:tr w14:paraId="30CDBF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8F627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F43A6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589FE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38728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69.69</w:t>
            </w:r>
          </w:p>
        </w:tc>
      </w:tr>
      <w:tr w14:paraId="755134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B3EA1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487DF9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西北北</w:t>
            </w:r>
          </w:p>
        </w:tc>
        <w:tc>
          <w:tcPr>
            <w:tcW w:w="2073" w:type="dxa"/>
            <w:shd w:val="clear" w:color="auto" w:fill="auto"/>
            <w:vAlign w:val="center"/>
          </w:tcPr>
          <w:p w14:paraId="16C898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0C650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46.36</w:t>
            </w:r>
          </w:p>
        </w:tc>
      </w:tr>
      <w:tr w14:paraId="24A3C09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6B0BF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A8D42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DF17E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99847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99.63</w:t>
            </w:r>
          </w:p>
        </w:tc>
      </w:tr>
      <w:tr w14:paraId="54C06A9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9B08B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21B9D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3D7EE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9E754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130.70</w:t>
            </w:r>
          </w:p>
        </w:tc>
      </w:tr>
      <w:tr w14:paraId="6E16B9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4ACE9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F4139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北东</w:t>
            </w:r>
          </w:p>
        </w:tc>
        <w:tc>
          <w:tcPr>
            <w:tcW w:w="2073" w:type="dxa"/>
            <w:shd w:val="clear" w:color="auto" w:fill="auto"/>
            <w:vAlign w:val="center"/>
          </w:tcPr>
          <w:p w14:paraId="194BAC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282E8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210.40</w:t>
            </w:r>
          </w:p>
        </w:tc>
      </w:tr>
      <w:tr w14:paraId="50458FC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C7CBC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E63E0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DE1A9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879CE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218.60</w:t>
            </w:r>
          </w:p>
        </w:tc>
      </w:tr>
      <w:tr w14:paraId="7C3B65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34009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E9233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163BB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4757E1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224.76</w:t>
            </w:r>
          </w:p>
        </w:tc>
      </w:tr>
      <w:tr w14:paraId="535267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CB9DC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D01A2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w:t>
            </w:r>
          </w:p>
        </w:tc>
        <w:tc>
          <w:tcPr>
            <w:tcW w:w="2073" w:type="dxa"/>
            <w:shd w:val="clear" w:color="auto" w:fill="auto"/>
            <w:vAlign w:val="center"/>
          </w:tcPr>
          <w:p w14:paraId="61D562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15D69F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33.05</w:t>
            </w:r>
          </w:p>
        </w:tc>
      </w:tr>
      <w:tr w14:paraId="23073B3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7B509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799AB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7D8CF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8D2B2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43.91</w:t>
            </w:r>
          </w:p>
        </w:tc>
      </w:tr>
      <w:tr w14:paraId="4C38ADC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74EB1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D9E90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7A9DB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80F2C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52.61</w:t>
            </w:r>
          </w:p>
        </w:tc>
      </w:tr>
      <w:tr w14:paraId="0D0F76F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A95D1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21E99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2073" w:type="dxa"/>
            <w:shd w:val="clear" w:color="auto" w:fill="auto"/>
            <w:vAlign w:val="center"/>
          </w:tcPr>
          <w:p w14:paraId="66F968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517BE4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46.93</w:t>
            </w:r>
          </w:p>
        </w:tc>
      </w:tr>
      <w:tr w14:paraId="288B02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CB3C3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8388C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034BD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547529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67.44</w:t>
            </w:r>
          </w:p>
        </w:tc>
      </w:tr>
      <w:tr w14:paraId="216AA2A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46A3E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8CE45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C6A42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9B355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94.91</w:t>
            </w:r>
          </w:p>
        </w:tc>
      </w:tr>
      <w:tr w14:paraId="78FA4A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PrEx>
        <w:trPr>
          <w:trHeight w:val="454" w:hRule="atLeast"/>
        </w:trPr>
        <w:tc>
          <w:tcPr>
            <w:tcW w:w="2073" w:type="dxa"/>
            <w:vMerge w:val="continue"/>
            <w:shd w:val="clear" w:color="auto" w:fill="auto"/>
            <w:vAlign w:val="center"/>
          </w:tcPr>
          <w:p w14:paraId="7A42A3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DEDA5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西南西</w:t>
            </w:r>
          </w:p>
        </w:tc>
        <w:tc>
          <w:tcPr>
            <w:tcW w:w="2073" w:type="dxa"/>
            <w:shd w:val="clear" w:color="auto" w:fill="auto"/>
            <w:vAlign w:val="center"/>
          </w:tcPr>
          <w:p w14:paraId="4A26BA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0265F9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27.52</w:t>
            </w:r>
          </w:p>
        </w:tc>
      </w:tr>
      <w:tr w14:paraId="7933032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A86F5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617E5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73BEB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1D61F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41.25</w:t>
            </w:r>
          </w:p>
        </w:tc>
      </w:tr>
      <w:tr w14:paraId="575FBFC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F39C2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27F00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D309B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47039D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50.67</w:t>
            </w:r>
          </w:p>
        </w:tc>
      </w:tr>
      <w:tr w14:paraId="224B3E2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BEA96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55DEB4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东北东</w:t>
            </w:r>
          </w:p>
        </w:tc>
        <w:tc>
          <w:tcPr>
            <w:tcW w:w="2073" w:type="dxa"/>
            <w:shd w:val="clear" w:color="auto" w:fill="auto"/>
            <w:vAlign w:val="center"/>
          </w:tcPr>
          <w:p w14:paraId="4F3CEF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1BCCC0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166.72</w:t>
            </w:r>
          </w:p>
        </w:tc>
      </w:tr>
      <w:tr w14:paraId="5C0CD5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E4E7E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089AE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867EF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5C0CB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194.17</w:t>
            </w:r>
          </w:p>
        </w:tc>
      </w:tr>
      <w:tr w14:paraId="6133C84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52602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A9E48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80EBA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0AA12F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206.72</w:t>
            </w:r>
          </w:p>
        </w:tc>
      </w:tr>
      <w:tr w14:paraId="000F7E8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restart"/>
            <w:shd w:val="clear" w:color="auto" w:fill="auto"/>
            <w:vAlign w:val="center"/>
          </w:tcPr>
          <w:p w14:paraId="4E177B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起点2</w:t>
            </w:r>
          </w:p>
        </w:tc>
        <w:tc>
          <w:tcPr>
            <w:tcW w:w="2073" w:type="dxa"/>
            <w:vMerge w:val="restart"/>
            <w:shd w:val="clear" w:color="auto" w:fill="auto"/>
            <w:vAlign w:val="center"/>
          </w:tcPr>
          <w:p w14:paraId="0B9897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北北东</w:t>
            </w:r>
          </w:p>
        </w:tc>
        <w:tc>
          <w:tcPr>
            <w:tcW w:w="2073" w:type="dxa"/>
            <w:shd w:val="clear" w:color="auto" w:fill="auto"/>
            <w:vAlign w:val="center"/>
          </w:tcPr>
          <w:p w14:paraId="079079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E0BC2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170.21</w:t>
            </w:r>
          </w:p>
        </w:tc>
      </w:tr>
      <w:tr w14:paraId="39EF306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878C1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3B7CC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1FFA7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6F4C97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179.08</w:t>
            </w:r>
          </w:p>
        </w:tc>
      </w:tr>
      <w:tr w14:paraId="56DBE8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778C9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EACA3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050A8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5490C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185.74</w:t>
            </w:r>
          </w:p>
        </w:tc>
      </w:tr>
      <w:tr w14:paraId="51A2C9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A91F8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681C81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南南东</w:t>
            </w:r>
          </w:p>
        </w:tc>
        <w:tc>
          <w:tcPr>
            <w:tcW w:w="2073" w:type="dxa"/>
            <w:shd w:val="clear" w:color="auto" w:fill="auto"/>
            <w:vAlign w:val="center"/>
          </w:tcPr>
          <w:p w14:paraId="7A6891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6732D3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49.61</w:t>
            </w:r>
          </w:p>
        </w:tc>
      </w:tr>
      <w:tr w14:paraId="451FF9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3ED9D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4682F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3C1AD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6713BB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81.09</w:t>
            </w:r>
          </w:p>
        </w:tc>
      </w:tr>
      <w:tr w14:paraId="202496A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25440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0CCE9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112FD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53C4A1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93.65</w:t>
            </w:r>
          </w:p>
        </w:tc>
      </w:tr>
      <w:tr w14:paraId="025BCF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BA1DD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AC6E9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南西</w:t>
            </w:r>
          </w:p>
        </w:tc>
        <w:tc>
          <w:tcPr>
            <w:tcW w:w="2073" w:type="dxa"/>
            <w:shd w:val="clear" w:color="auto" w:fill="auto"/>
            <w:vAlign w:val="center"/>
          </w:tcPr>
          <w:p w14:paraId="4C9B04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D85A1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97.75</w:t>
            </w:r>
          </w:p>
        </w:tc>
      </w:tr>
      <w:tr w14:paraId="563B5F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BE619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054B9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BB6CA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54071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107.28</w:t>
            </w:r>
          </w:p>
        </w:tc>
      </w:tr>
      <w:tr w14:paraId="374E4BC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0D9E9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81935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A3613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D89A4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115.48</w:t>
            </w:r>
          </w:p>
        </w:tc>
      </w:tr>
      <w:tr w14:paraId="6657AD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319A9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7D0509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w:t>
            </w:r>
          </w:p>
        </w:tc>
        <w:tc>
          <w:tcPr>
            <w:tcW w:w="2073" w:type="dxa"/>
            <w:shd w:val="clear" w:color="auto" w:fill="auto"/>
            <w:vAlign w:val="center"/>
          </w:tcPr>
          <w:p w14:paraId="1C3A8E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4A50C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56.60</w:t>
            </w:r>
          </w:p>
        </w:tc>
      </w:tr>
      <w:tr w14:paraId="73FC48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26AE1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1D83C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F37CC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3C9F45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91.40</w:t>
            </w:r>
          </w:p>
        </w:tc>
      </w:tr>
      <w:tr w14:paraId="4111913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57F22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40BE7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BFC00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9232F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100.10</w:t>
            </w:r>
          </w:p>
        </w:tc>
      </w:tr>
      <w:tr w14:paraId="555768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B4EE2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778351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w:t>
            </w:r>
          </w:p>
        </w:tc>
        <w:tc>
          <w:tcPr>
            <w:tcW w:w="2073" w:type="dxa"/>
            <w:shd w:val="clear" w:color="auto" w:fill="auto"/>
            <w:vAlign w:val="center"/>
          </w:tcPr>
          <w:p w14:paraId="2A7BBC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3CCE12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194.78</w:t>
            </w:r>
          </w:p>
        </w:tc>
      </w:tr>
      <w:tr w14:paraId="3BB52BE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91F67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4ADED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7D8FB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3B4E21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199.18</w:t>
            </w:r>
          </w:p>
        </w:tc>
      </w:tr>
      <w:tr w14:paraId="799A750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753BB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54164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6C21E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8D711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203.48</w:t>
            </w:r>
          </w:p>
        </w:tc>
      </w:tr>
      <w:tr w14:paraId="784D53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86808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7A1C0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西西北</w:t>
            </w:r>
          </w:p>
        </w:tc>
        <w:tc>
          <w:tcPr>
            <w:tcW w:w="2073" w:type="dxa"/>
            <w:shd w:val="clear" w:color="auto" w:fill="auto"/>
            <w:vAlign w:val="center"/>
          </w:tcPr>
          <w:p w14:paraId="66EED1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329B08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125.73</w:t>
            </w:r>
          </w:p>
        </w:tc>
      </w:tr>
      <w:tr w14:paraId="38EE1D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C7D5E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C0E34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F09F5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3DE1A9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145.71</w:t>
            </w:r>
          </w:p>
        </w:tc>
      </w:tr>
      <w:tr w14:paraId="5BD6EBB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B32A6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298DA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65E34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52830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161.60</w:t>
            </w:r>
          </w:p>
        </w:tc>
      </w:tr>
      <w:tr w14:paraId="654D7A5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rPr>
          <w:trHeight w:val="454" w:hRule="atLeast"/>
        </w:trPr>
        <w:tc>
          <w:tcPr>
            <w:tcW w:w="2073" w:type="dxa"/>
            <w:vMerge w:val="continue"/>
            <w:shd w:val="clear" w:color="auto" w:fill="auto"/>
            <w:vAlign w:val="center"/>
          </w:tcPr>
          <w:p w14:paraId="4E0105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2464BB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南东</w:t>
            </w:r>
          </w:p>
        </w:tc>
        <w:tc>
          <w:tcPr>
            <w:tcW w:w="2073" w:type="dxa"/>
            <w:shd w:val="clear" w:color="auto" w:fill="auto"/>
            <w:vAlign w:val="center"/>
          </w:tcPr>
          <w:p w14:paraId="280B78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5FBD5F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49.94</w:t>
            </w:r>
          </w:p>
        </w:tc>
      </w:tr>
      <w:tr w14:paraId="4AD36D6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596FA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5A5C1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AE2F9B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3FAD1B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82.75</w:t>
            </w:r>
          </w:p>
        </w:tc>
      </w:tr>
      <w:tr w14:paraId="069C3B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C1526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2EA57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D84B2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0D099C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93.00</w:t>
            </w:r>
          </w:p>
        </w:tc>
      </w:tr>
      <w:tr w14:paraId="612E84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FEA6C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5FCB66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w:t>
            </w:r>
          </w:p>
        </w:tc>
        <w:tc>
          <w:tcPr>
            <w:tcW w:w="2073" w:type="dxa"/>
            <w:shd w:val="clear" w:color="auto" w:fill="auto"/>
            <w:vAlign w:val="center"/>
          </w:tcPr>
          <w:p w14:paraId="64858D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68D8A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79.32</w:t>
            </w:r>
          </w:p>
        </w:tc>
      </w:tr>
      <w:tr w14:paraId="6579A22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244D2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8C3B0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E8B50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C0746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90.92</w:t>
            </w:r>
          </w:p>
        </w:tc>
      </w:tr>
      <w:tr w14:paraId="5E1DDE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49AEA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9AA5C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2224B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C9E69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98.12</w:t>
            </w:r>
          </w:p>
        </w:tc>
      </w:tr>
      <w:tr w14:paraId="33743B8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159C0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43B5FC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东南东</w:t>
            </w:r>
          </w:p>
        </w:tc>
        <w:tc>
          <w:tcPr>
            <w:tcW w:w="2073" w:type="dxa"/>
            <w:shd w:val="clear" w:color="auto" w:fill="auto"/>
            <w:vAlign w:val="center"/>
          </w:tcPr>
          <w:p w14:paraId="37287C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113105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51.83</w:t>
            </w:r>
          </w:p>
        </w:tc>
      </w:tr>
      <w:tr w14:paraId="6FD43D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85579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FC60B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332FE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6AA6AB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85.13</w:t>
            </w:r>
          </w:p>
        </w:tc>
      </w:tr>
      <w:tr w14:paraId="433F143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730B0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F0B29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48695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1C38EF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94.00</w:t>
            </w:r>
          </w:p>
        </w:tc>
      </w:tr>
      <w:tr w14:paraId="401EE3F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368C9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2C254D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南南西</w:t>
            </w:r>
          </w:p>
        </w:tc>
        <w:tc>
          <w:tcPr>
            <w:tcW w:w="2073" w:type="dxa"/>
            <w:shd w:val="clear" w:color="auto" w:fill="auto"/>
            <w:vAlign w:val="center"/>
          </w:tcPr>
          <w:p w14:paraId="0C4B8A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3289D7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87.37</w:t>
            </w:r>
          </w:p>
        </w:tc>
      </w:tr>
      <w:tr w14:paraId="0079B9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A9296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8A925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AB367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71095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98.36</w:t>
            </w:r>
          </w:p>
        </w:tc>
      </w:tr>
      <w:tr w14:paraId="29E32F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51FEB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40F55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118E1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2041EC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106.20</w:t>
            </w:r>
          </w:p>
        </w:tc>
      </w:tr>
      <w:tr w14:paraId="351373F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DC837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77924B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西北北</w:t>
            </w:r>
          </w:p>
        </w:tc>
        <w:tc>
          <w:tcPr>
            <w:tcW w:w="2073" w:type="dxa"/>
            <w:shd w:val="clear" w:color="auto" w:fill="auto"/>
            <w:vAlign w:val="center"/>
          </w:tcPr>
          <w:p w14:paraId="0D5074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3AE3DF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152.37</w:t>
            </w:r>
          </w:p>
        </w:tc>
      </w:tr>
      <w:tr w14:paraId="20E6341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CA309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2BBFE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1AA47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187D2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196.76</w:t>
            </w:r>
          </w:p>
        </w:tc>
      </w:tr>
      <w:tr w14:paraId="5603D81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B26CA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CE71F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3BCC1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42CF0D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207.69</w:t>
            </w:r>
          </w:p>
        </w:tc>
      </w:tr>
      <w:tr w14:paraId="715453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4420B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67AF52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北东</w:t>
            </w:r>
          </w:p>
        </w:tc>
        <w:tc>
          <w:tcPr>
            <w:tcW w:w="2073" w:type="dxa"/>
            <w:shd w:val="clear" w:color="auto" w:fill="auto"/>
            <w:vAlign w:val="center"/>
          </w:tcPr>
          <w:p w14:paraId="53FC81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6A82BB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71.84</w:t>
            </w:r>
          </w:p>
        </w:tc>
      </w:tr>
      <w:tr w14:paraId="778DE8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02B4F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5E0EA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050C3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311D03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129.26</w:t>
            </w:r>
          </w:p>
        </w:tc>
      </w:tr>
      <w:tr w14:paraId="12045A9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75095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8DC08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FD239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32E61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147.00</w:t>
            </w:r>
          </w:p>
        </w:tc>
      </w:tr>
      <w:tr w14:paraId="0D67EB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D5302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0D8D2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w:t>
            </w:r>
          </w:p>
        </w:tc>
        <w:tc>
          <w:tcPr>
            <w:tcW w:w="2073" w:type="dxa"/>
            <w:shd w:val="clear" w:color="auto" w:fill="auto"/>
            <w:vAlign w:val="center"/>
          </w:tcPr>
          <w:p w14:paraId="2F10FE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1EC76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111.12</w:t>
            </w:r>
          </w:p>
        </w:tc>
      </w:tr>
      <w:tr w14:paraId="63FB6C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DB2B8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08B70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DAF9D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19BAA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126.10</w:t>
            </w:r>
          </w:p>
        </w:tc>
      </w:tr>
      <w:tr w14:paraId="1DB30E9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B6A59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325E1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F30F7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55EE5F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134.80</w:t>
            </w:r>
          </w:p>
        </w:tc>
      </w:tr>
      <w:tr w14:paraId="5B3C58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70793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7162E2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2073" w:type="dxa"/>
            <w:shd w:val="clear" w:color="auto" w:fill="auto"/>
            <w:vAlign w:val="center"/>
          </w:tcPr>
          <w:p w14:paraId="62303B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5874B4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132.57</w:t>
            </w:r>
          </w:p>
        </w:tc>
      </w:tr>
      <w:tr w14:paraId="65C213E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8A9C8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41EBC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DCF2B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598695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155.13</w:t>
            </w:r>
          </w:p>
        </w:tc>
      </w:tr>
      <w:tr w14:paraId="5E0367F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6E31F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408B5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02A57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084389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189.98</w:t>
            </w:r>
          </w:p>
        </w:tc>
      </w:tr>
      <w:tr w14:paraId="46949A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EBD56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354652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西南西</w:t>
            </w:r>
          </w:p>
        </w:tc>
        <w:tc>
          <w:tcPr>
            <w:tcW w:w="2073" w:type="dxa"/>
            <w:shd w:val="clear" w:color="auto" w:fill="auto"/>
            <w:vAlign w:val="center"/>
          </w:tcPr>
          <w:p w14:paraId="7986AC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18FB4C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108.24</w:t>
            </w:r>
          </w:p>
        </w:tc>
      </w:tr>
      <w:tr w14:paraId="70079E6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75164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A3203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5FC91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007D5C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118.34</w:t>
            </w:r>
          </w:p>
        </w:tc>
      </w:tr>
      <w:tr w14:paraId="3850281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98A14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23798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6D9B2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4440CA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127.07</w:t>
            </w:r>
          </w:p>
        </w:tc>
      </w:tr>
      <w:tr w14:paraId="4E1EC7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B58D2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741378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东北东</w:t>
            </w:r>
          </w:p>
        </w:tc>
        <w:tc>
          <w:tcPr>
            <w:tcW w:w="2073" w:type="dxa"/>
            <w:shd w:val="clear" w:color="auto" w:fill="auto"/>
            <w:vAlign w:val="center"/>
          </w:tcPr>
          <w:p w14:paraId="330202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34A3B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67.54</w:t>
            </w:r>
          </w:p>
        </w:tc>
      </w:tr>
      <w:tr w14:paraId="084D77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D64FB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5D782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55CF1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51F77C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105.21</w:t>
            </w:r>
          </w:p>
        </w:tc>
      </w:tr>
      <w:tr w14:paraId="188419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C71D4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3E19F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66300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06E354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114.63</w:t>
            </w:r>
          </w:p>
        </w:tc>
      </w:tr>
      <w:tr w14:paraId="43AD388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restart"/>
            <w:shd w:val="clear" w:color="auto" w:fill="auto"/>
            <w:vAlign w:val="center"/>
          </w:tcPr>
          <w:p w14:paraId="203575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起点3</w:t>
            </w:r>
          </w:p>
        </w:tc>
        <w:tc>
          <w:tcPr>
            <w:tcW w:w="2073" w:type="dxa"/>
            <w:vMerge w:val="restart"/>
            <w:shd w:val="clear" w:color="auto" w:fill="auto"/>
            <w:vAlign w:val="center"/>
          </w:tcPr>
          <w:p w14:paraId="23DC74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北北东</w:t>
            </w:r>
          </w:p>
        </w:tc>
        <w:tc>
          <w:tcPr>
            <w:tcW w:w="2073" w:type="dxa"/>
            <w:shd w:val="clear" w:color="auto" w:fill="auto"/>
            <w:vAlign w:val="center"/>
          </w:tcPr>
          <w:p w14:paraId="6CB076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34C552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84.09</w:t>
            </w:r>
          </w:p>
        </w:tc>
      </w:tr>
      <w:tr w14:paraId="550AA6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B1667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13B84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B8AA2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597B83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91.49</w:t>
            </w:r>
          </w:p>
        </w:tc>
      </w:tr>
      <w:tr w14:paraId="1F445C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6C84C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BE71A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07EA2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18269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97.41</w:t>
            </w:r>
          </w:p>
        </w:tc>
      </w:tr>
      <w:tr w14:paraId="68C078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0C7C6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EF227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南南东</w:t>
            </w:r>
          </w:p>
        </w:tc>
        <w:tc>
          <w:tcPr>
            <w:tcW w:w="2073" w:type="dxa"/>
            <w:shd w:val="clear" w:color="auto" w:fill="auto"/>
            <w:vAlign w:val="center"/>
          </w:tcPr>
          <w:p w14:paraId="11674D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6E899E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112.29</w:t>
            </w:r>
          </w:p>
        </w:tc>
      </w:tr>
      <w:tr w14:paraId="745AB01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D84A1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561ED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D8D54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43A71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156.68</w:t>
            </w:r>
          </w:p>
        </w:tc>
      </w:tr>
      <w:tr w14:paraId="7CABEF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807C7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1954F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6D50E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100BF0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165.56</w:t>
            </w:r>
          </w:p>
        </w:tc>
      </w:tr>
      <w:tr w14:paraId="33DBA9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E768B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62CEFB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南西</w:t>
            </w:r>
          </w:p>
        </w:tc>
        <w:tc>
          <w:tcPr>
            <w:tcW w:w="2073" w:type="dxa"/>
            <w:shd w:val="clear" w:color="auto" w:fill="auto"/>
            <w:vAlign w:val="center"/>
          </w:tcPr>
          <w:p w14:paraId="07CFC0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8D458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161.02</w:t>
            </w:r>
          </w:p>
        </w:tc>
      </w:tr>
      <w:tr w14:paraId="629DF00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9C9D0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FB49B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F7AE4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339D2A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178.64</w:t>
            </w:r>
          </w:p>
        </w:tc>
      </w:tr>
      <w:tr w14:paraId="62B4936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25499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6B27B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D71C0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5E1283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188.89</w:t>
            </w:r>
          </w:p>
        </w:tc>
      </w:tr>
      <w:tr w14:paraId="5A6EEF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89F73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68EB1C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w:t>
            </w:r>
          </w:p>
        </w:tc>
        <w:tc>
          <w:tcPr>
            <w:tcW w:w="2073" w:type="dxa"/>
            <w:shd w:val="clear" w:color="auto" w:fill="auto"/>
            <w:vAlign w:val="center"/>
          </w:tcPr>
          <w:p w14:paraId="3AB1F6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1CE58C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66.36</w:t>
            </w:r>
          </w:p>
        </w:tc>
      </w:tr>
      <w:tr w14:paraId="321281D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D735D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1D9A1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40027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18076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77.54</w:t>
            </w:r>
          </w:p>
        </w:tc>
      </w:tr>
      <w:tr w14:paraId="1C79E49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39726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D4A03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AD48C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1AE2E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94.94</w:t>
            </w:r>
          </w:p>
        </w:tc>
      </w:tr>
      <w:tr w14:paraId="4AB305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60361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472D43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w:t>
            </w:r>
          </w:p>
        </w:tc>
        <w:tc>
          <w:tcPr>
            <w:tcW w:w="2073" w:type="dxa"/>
            <w:shd w:val="clear" w:color="auto" w:fill="auto"/>
            <w:vAlign w:val="center"/>
          </w:tcPr>
          <w:p w14:paraId="04A813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E13C8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93.22</w:t>
            </w:r>
          </w:p>
        </w:tc>
      </w:tr>
      <w:tr w14:paraId="249FAC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F53B6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68416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A922D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484E9C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99.02</w:t>
            </w:r>
          </w:p>
        </w:tc>
      </w:tr>
      <w:tr w14:paraId="04523A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6ACE2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D43EB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CE8EB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2015C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101.92</w:t>
            </w:r>
          </w:p>
        </w:tc>
      </w:tr>
      <w:tr w14:paraId="7D5C83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8B085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4A3897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西西北</w:t>
            </w:r>
          </w:p>
        </w:tc>
        <w:tc>
          <w:tcPr>
            <w:tcW w:w="2073" w:type="dxa"/>
            <w:shd w:val="clear" w:color="auto" w:fill="auto"/>
            <w:vAlign w:val="center"/>
          </w:tcPr>
          <w:p w14:paraId="44DEA2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D0DF0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87.47</w:t>
            </w:r>
          </w:p>
        </w:tc>
      </w:tr>
      <w:tr w14:paraId="61635C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A337D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639C5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945F2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60820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116.96</w:t>
            </w:r>
          </w:p>
        </w:tc>
      </w:tr>
      <w:tr w14:paraId="6A23B83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459F2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0CE49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22954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618A9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147.40</w:t>
            </w:r>
          </w:p>
        </w:tc>
      </w:tr>
      <w:tr w14:paraId="0EFB20F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972F6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7647D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南东</w:t>
            </w:r>
          </w:p>
        </w:tc>
        <w:tc>
          <w:tcPr>
            <w:tcW w:w="2073" w:type="dxa"/>
            <w:shd w:val="clear" w:color="auto" w:fill="auto"/>
            <w:vAlign w:val="center"/>
          </w:tcPr>
          <w:p w14:paraId="531E03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0720D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58.63</w:t>
            </w:r>
          </w:p>
        </w:tc>
      </w:tr>
      <w:tr w14:paraId="040E0FF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0106F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AD8A1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EC2B9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F630E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120.15</w:t>
            </w:r>
          </w:p>
        </w:tc>
      </w:tr>
      <w:tr w14:paraId="0A5CAC7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27430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1730C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FF453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E6B8B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130.16</w:t>
            </w:r>
          </w:p>
        </w:tc>
      </w:tr>
      <w:tr w14:paraId="1F382B6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54E26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F6680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w:t>
            </w:r>
          </w:p>
        </w:tc>
        <w:tc>
          <w:tcPr>
            <w:tcW w:w="2073" w:type="dxa"/>
            <w:shd w:val="clear" w:color="auto" w:fill="auto"/>
            <w:vAlign w:val="center"/>
          </w:tcPr>
          <w:p w14:paraId="67256A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5A774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167.02</w:t>
            </w:r>
          </w:p>
        </w:tc>
      </w:tr>
      <w:tr w14:paraId="1ABAAE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721A7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43485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AB0E2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E06E7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184.42</w:t>
            </w:r>
          </w:p>
        </w:tc>
      </w:tr>
      <w:tr w14:paraId="7C34A96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1B312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573A6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024F0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02AE3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193.88</w:t>
            </w:r>
          </w:p>
        </w:tc>
      </w:tr>
      <w:tr w14:paraId="3C09F8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CC76B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EF189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东南东</w:t>
            </w:r>
          </w:p>
        </w:tc>
        <w:tc>
          <w:tcPr>
            <w:tcW w:w="2073" w:type="dxa"/>
            <w:shd w:val="clear" w:color="auto" w:fill="auto"/>
            <w:vAlign w:val="center"/>
          </w:tcPr>
          <w:p w14:paraId="192221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491B8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63.46</w:t>
            </w:r>
          </w:p>
        </w:tc>
      </w:tr>
      <w:tr w14:paraId="2B57529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BCBCD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D5873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64FA5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6A672D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93.35</w:t>
            </w:r>
          </w:p>
        </w:tc>
      </w:tr>
      <w:tr w14:paraId="6B3F9A1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B3E5E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11A14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EB656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1C0AF6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102.76</w:t>
            </w:r>
          </w:p>
        </w:tc>
      </w:tr>
      <w:tr w14:paraId="64B1CBB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D73E7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4EF204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南南西</w:t>
            </w:r>
          </w:p>
        </w:tc>
        <w:tc>
          <w:tcPr>
            <w:tcW w:w="2073" w:type="dxa"/>
            <w:shd w:val="clear" w:color="auto" w:fill="auto"/>
            <w:vAlign w:val="center"/>
          </w:tcPr>
          <w:p w14:paraId="0025C0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1AA84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184.74</w:t>
            </w:r>
          </w:p>
        </w:tc>
      </w:tr>
      <w:tr w14:paraId="099791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rPr>
          <w:trHeight w:val="454" w:hRule="atLeast"/>
        </w:trPr>
        <w:tc>
          <w:tcPr>
            <w:tcW w:w="2073" w:type="dxa"/>
            <w:vMerge w:val="continue"/>
            <w:shd w:val="clear" w:color="auto" w:fill="auto"/>
            <w:vAlign w:val="center"/>
          </w:tcPr>
          <w:p w14:paraId="3D9AB9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5C5EC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55831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1F8D8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197.29</w:t>
            </w:r>
          </w:p>
        </w:tc>
      </w:tr>
      <w:tr w14:paraId="2AED751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C6E41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ECF23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9FDFE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0B017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203.57</w:t>
            </w:r>
          </w:p>
        </w:tc>
      </w:tr>
      <w:tr w14:paraId="70F115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8AB27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BDF9C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西北北</w:t>
            </w:r>
          </w:p>
        </w:tc>
        <w:tc>
          <w:tcPr>
            <w:tcW w:w="2073" w:type="dxa"/>
            <w:shd w:val="clear" w:color="auto" w:fill="auto"/>
            <w:vAlign w:val="center"/>
          </w:tcPr>
          <w:p w14:paraId="2BEBA4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E0262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104.04</w:t>
            </w:r>
          </w:p>
        </w:tc>
      </w:tr>
      <w:tr w14:paraId="437C07F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rPr>
          <w:trHeight w:val="454" w:hRule="atLeast"/>
        </w:trPr>
        <w:tc>
          <w:tcPr>
            <w:tcW w:w="2073" w:type="dxa"/>
            <w:vMerge w:val="continue"/>
            <w:shd w:val="clear" w:color="auto" w:fill="auto"/>
            <w:vAlign w:val="center"/>
          </w:tcPr>
          <w:p w14:paraId="66B026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C135B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AC0AC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329EC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110.32</w:t>
            </w:r>
          </w:p>
        </w:tc>
      </w:tr>
      <w:tr w14:paraId="4C4A7DE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53611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C61FA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2F412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16911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113.46</w:t>
            </w:r>
          </w:p>
        </w:tc>
      </w:tr>
      <w:tr w14:paraId="2E40400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D0FBB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638E0E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北东</w:t>
            </w:r>
          </w:p>
        </w:tc>
        <w:tc>
          <w:tcPr>
            <w:tcW w:w="2073" w:type="dxa"/>
            <w:shd w:val="clear" w:color="auto" w:fill="auto"/>
            <w:vAlign w:val="center"/>
          </w:tcPr>
          <w:p w14:paraId="38DBC4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2E0FC3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76.85</w:t>
            </w:r>
          </w:p>
        </w:tc>
      </w:tr>
      <w:tr w14:paraId="1FC83D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ABEE8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19390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3ED4C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4BED86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87.94</w:t>
            </w:r>
          </w:p>
        </w:tc>
      </w:tr>
      <w:tr w14:paraId="148C722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D398C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06B83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BA754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DB0BB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94.09</w:t>
            </w:r>
          </w:p>
        </w:tc>
      </w:tr>
      <w:tr w14:paraId="265B1FF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635D8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727A78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w:t>
            </w:r>
          </w:p>
        </w:tc>
        <w:tc>
          <w:tcPr>
            <w:tcW w:w="2073" w:type="dxa"/>
            <w:shd w:val="clear" w:color="auto" w:fill="auto"/>
            <w:vAlign w:val="center"/>
          </w:tcPr>
          <w:p w14:paraId="2093A2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29D87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99.78</w:t>
            </w:r>
          </w:p>
        </w:tc>
      </w:tr>
      <w:tr w14:paraId="7A76A86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0B495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A6CF3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06738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1D7EC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137.48</w:t>
            </w:r>
          </w:p>
        </w:tc>
      </w:tr>
      <w:tr w14:paraId="721C37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540D7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09945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67B49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2D8DA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160.26</w:t>
            </w:r>
          </w:p>
        </w:tc>
      </w:tr>
      <w:tr w14:paraId="378E02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D5D5D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5000F1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2073" w:type="dxa"/>
            <w:shd w:val="clear" w:color="auto" w:fill="auto"/>
            <w:vAlign w:val="center"/>
          </w:tcPr>
          <w:p w14:paraId="211972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600EB4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79.00</w:t>
            </w:r>
          </w:p>
        </w:tc>
      </w:tr>
      <w:tr w14:paraId="5E6D29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D4393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2A12B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10A4C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2AE11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119.53</w:t>
            </w:r>
          </w:p>
        </w:tc>
      </w:tr>
      <w:tr w14:paraId="235EB95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8641F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ABDDD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CC74E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BA4CB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130.02</w:t>
            </w:r>
          </w:p>
        </w:tc>
      </w:tr>
      <w:tr w14:paraId="1A0768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15559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3B17AB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西南西</w:t>
            </w:r>
          </w:p>
        </w:tc>
        <w:tc>
          <w:tcPr>
            <w:tcW w:w="2073" w:type="dxa"/>
            <w:shd w:val="clear" w:color="auto" w:fill="auto"/>
            <w:vAlign w:val="center"/>
          </w:tcPr>
          <w:p w14:paraId="320F2D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05A422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138.93</w:t>
            </w:r>
          </w:p>
        </w:tc>
      </w:tr>
      <w:tr w14:paraId="282AC93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6C7B3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6B460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007FF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56D084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157.77</w:t>
            </w:r>
          </w:p>
        </w:tc>
      </w:tr>
      <w:tr w14:paraId="3E9AA64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52738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B8BBB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874EB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1EF5C4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164.51</w:t>
            </w:r>
          </w:p>
        </w:tc>
      </w:tr>
      <w:tr w14:paraId="43FEF9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B2FDD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E45AB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东北东</w:t>
            </w:r>
          </w:p>
        </w:tc>
        <w:tc>
          <w:tcPr>
            <w:tcW w:w="2073" w:type="dxa"/>
            <w:shd w:val="clear" w:color="auto" w:fill="auto"/>
            <w:vAlign w:val="center"/>
          </w:tcPr>
          <w:p w14:paraId="4769DA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04959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64.11</w:t>
            </w:r>
          </w:p>
        </w:tc>
      </w:tr>
      <w:tr w14:paraId="3F1E116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AF22D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8AF2F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EB81B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E25BE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74.51</w:t>
            </w:r>
          </w:p>
        </w:tc>
      </w:tr>
      <w:tr w14:paraId="3F4463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0BE89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B76EF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D27DC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817AD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90.75</w:t>
            </w:r>
          </w:p>
        </w:tc>
      </w:tr>
      <w:tr w14:paraId="45D6F9B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restart"/>
            <w:shd w:val="clear" w:color="auto" w:fill="auto"/>
            <w:vAlign w:val="center"/>
          </w:tcPr>
          <w:p w14:paraId="11C039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起点4</w:t>
            </w:r>
          </w:p>
        </w:tc>
        <w:tc>
          <w:tcPr>
            <w:tcW w:w="2073" w:type="dxa"/>
            <w:vMerge w:val="restart"/>
            <w:shd w:val="clear" w:color="auto" w:fill="auto"/>
            <w:vAlign w:val="center"/>
          </w:tcPr>
          <w:p w14:paraId="175911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北北东</w:t>
            </w:r>
          </w:p>
        </w:tc>
        <w:tc>
          <w:tcPr>
            <w:tcW w:w="2073" w:type="dxa"/>
            <w:shd w:val="clear" w:color="auto" w:fill="auto"/>
            <w:vAlign w:val="center"/>
          </w:tcPr>
          <w:p w14:paraId="2831D5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A89BD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30.80</w:t>
            </w:r>
          </w:p>
        </w:tc>
      </w:tr>
      <w:tr w14:paraId="6FA657E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B7C08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865DF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FF6F2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51128C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98.46</w:t>
            </w:r>
          </w:p>
        </w:tc>
      </w:tr>
      <w:tr w14:paraId="701C25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CFF0D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A9E71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AA684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C8FFE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101.59</w:t>
            </w:r>
          </w:p>
        </w:tc>
      </w:tr>
      <w:tr w14:paraId="1B8CD5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81D7D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21417F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南南东</w:t>
            </w:r>
          </w:p>
        </w:tc>
        <w:tc>
          <w:tcPr>
            <w:tcW w:w="2073" w:type="dxa"/>
            <w:shd w:val="clear" w:color="auto" w:fill="auto"/>
            <w:vAlign w:val="center"/>
          </w:tcPr>
          <w:p w14:paraId="3C520B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6C6EDA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202.54</w:t>
            </w:r>
          </w:p>
        </w:tc>
      </w:tr>
      <w:tr w14:paraId="02C7B8A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DAE19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EF811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5F56B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0BDF36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213.64</w:t>
            </w:r>
          </w:p>
        </w:tc>
      </w:tr>
      <w:tr w14:paraId="3D280A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02A2C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3959F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35C31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252AD8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222.52</w:t>
            </w:r>
          </w:p>
        </w:tc>
      </w:tr>
      <w:tr w14:paraId="3E6E71C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9989B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4AC9A6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南西</w:t>
            </w:r>
          </w:p>
        </w:tc>
        <w:tc>
          <w:tcPr>
            <w:tcW w:w="2073" w:type="dxa"/>
            <w:shd w:val="clear" w:color="auto" w:fill="auto"/>
            <w:vAlign w:val="center"/>
          </w:tcPr>
          <w:p w14:paraId="3F357D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1169B3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26.18</w:t>
            </w:r>
          </w:p>
        </w:tc>
      </w:tr>
      <w:tr w14:paraId="661CC3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82087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C22C0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5172F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0143C0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83.59</w:t>
            </w:r>
          </w:p>
        </w:tc>
      </w:tr>
      <w:tr w14:paraId="131368C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4CA4F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D2C0F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E3ADE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2C1185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95.90</w:t>
            </w:r>
          </w:p>
        </w:tc>
      </w:tr>
      <w:tr w14:paraId="25D0580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2F991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071B87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w:t>
            </w:r>
          </w:p>
        </w:tc>
        <w:tc>
          <w:tcPr>
            <w:tcW w:w="2073" w:type="dxa"/>
            <w:shd w:val="clear" w:color="auto" w:fill="auto"/>
            <w:vAlign w:val="center"/>
          </w:tcPr>
          <w:p w14:paraId="5D1781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0FEFAF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152.59</w:t>
            </w:r>
          </w:p>
        </w:tc>
      </w:tr>
      <w:tr w14:paraId="4FAB364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10BFB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14D82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2D40A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3A9FE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161.29</w:t>
            </w:r>
          </w:p>
        </w:tc>
      </w:tr>
      <w:tr w14:paraId="0E87FFE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66B42C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4809D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2D2ED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F4823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178.69</w:t>
            </w:r>
          </w:p>
        </w:tc>
      </w:tr>
      <w:tr w14:paraId="56AD30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EACC9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5521D8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w:t>
            </w:r>
          </w:p>
        </w:tc>
        <w:tc>
          <w:tcPr>
            <w:tcW w:w="2073" w:type="dxa"/>
            <w:shd w:val="clear" w:color="auto" w:fill="auto"/>
            <w:vAlign w:val="center"/>
          </w:tcPr>
          <w:p w14:paraId="5D1358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AB690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16.67</w:t>
            </w:r>
          </w:p>
        </w:tc>
      </w:tr>
      <w:tr w14:paraId="78E03F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DC008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40486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0676B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85C58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71.77</w:t>
            </w:r>
          </w:p>
        </w:tc>
      </w:tr>
      <w:tr w14:paraId="3EFFA63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8D570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9D360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7614D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0859C8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83.37</w:t>
            </w:r>
          </w:p>
        </w:tc>
      </w:tr>
      <w:tr w14:paraId="052AD1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627E0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6E3A85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西西北</w:t>
            </w:r>
          </w:p>
        </w:tc>
        <w:tc>
          <w:tcPr>
            <w:tcW w:w="2073" w:type="dxa"/>
            <w:shd w:val="clear" w:color="auto" w:fill="auto"/>
            <w:vAlign w:val="center"/>
          </w:tcPr>
          <w:p w14:paraId="459411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0ED55A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4.34</w:t>
            </w:r>
          </w:p>
        </w:tc>
      </w:tr>
      <w:tr w14:paraId="48C1374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2EDBC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FC645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BC81A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1C7051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26.31</w:t>
            </w:r>
          </w:p>
        </w:tc>
      </w:tr>
      <w:tr w14:paraId="21D661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349E3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0530F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3BB6F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02A71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63.81</w:t>
            </w:r>
          </w:p>
        </w:tc>
      </w:tr>
      <w:tr w14:paraId="10ED44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16C61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4EF1A3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南东</w:t>
            </w:r>
          </w:p>
        </w:tc>
        <w:tc>
          <w:tcPr>
            <w:tcW w:w="2073" w:type="dxa"/>
            <w:shd w:val="clear" w:color="auto" w:fill="auto"/>
            <w:vAlign w:val="center"/>
          </w:tcPr>
          <w:p w14:paraId="7CA627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56260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178.89</w:t>
            </w:r>
          </w:p>
        </w:tc>
      </w:tr>
      <w:tr w14:paraId="4F6BB5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0C66C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B007D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24BE3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923A4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211.73</w:t>
            </w:r>
          </w:p>
        </w:tc>
      </w:tr>
      <w:tr w14:paraId="4F62652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0A052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637C1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A5CE0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601531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221.98</w:t>
            </w:r>
          </w:p>
        </w:tc>
      </w:tr>
      <w:tr w14:paraId="27CA7C7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9C828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56CD8B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w:t>
            </w:r>
          </w:p>
        </w:tc>
        <w:tc>
          <w:tcPr>
            <w:tcW w:w="2073" w:type="dxa"/>
            <w:shd w:val="clear" w:color="auto" w:fill="auto"/>
            <w:vAlign w:val="center"/>
          </w:tcPr>
          <w:p w14:paraId="131A18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0F164B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174.05</w:t>
            </w:r>
          </w:p>
        </w:tc>
      </w:tr>
      <w:tr w14:paraId="36D76EC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FEC25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A67C6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60861B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5C1BCC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185.65</w:t>
            </w:r>
          </w:p>
        </w:tc>
      </w:tr>
      <w:tr w14:paraId="77630E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53553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88FB8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0FA85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4B8DD4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194.35</w:t>
            </w:r>
          </w:p>
        </w:tc>
      </w:tr>
      <w:tr w14:paraId="0654C25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3A7373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2B8506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东南东</w:t>
            </w:r>
          </w:p>
        </w:tc>
        <w:tc>
          <w:tcPr>
            <w:tcW w:w="2073" w:type="dxa"/>
            <w:shd w:val="clear" w:color="auto" w:fill="auto"/>
            <w:vAlign w:val="center"/>
          </w:tcPr>
          <w:p w14:paraId="5C6533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B03F7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138.17</w:t>
            </w:r>
          </w:p>
        </w:tc>
      </w:tr>
      <w:tr w14:paraId="56F3ED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C752A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E425F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978CE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10B78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187.14</w:t>
            </w:r>
          </w:p>
        </w:tc>
      </w:tr>
      <w:tr w14:paraId="5C196DC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BC852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1C824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777B69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57F4B3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196.56</w:t>
            </w:r>
          </w:p>
        </w:tc>
      </w:tr>
      <w:tr w14:paraId="72858E4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4DBDC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208413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南南西</w:t>
            </w:r>
          </w:p>
        </w:tc>
        <w:tc>
          <w:tcPr>
            <w:tcW w:w="2073" w:type="dxa"/>
            <w:shd w:val="clear" w:color="auto" w:fill="auto"/>
            <w:vAlign w:val="center"/>
          </w:tcPr>
          <w:p w14:paraId="6B1969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B0D9E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187.91，但第84.25至第100.85内安全</w:t>
            </w:r>
          </w:p>
        </w:tc>
      </w:tr>
      <w:tr w14:paraId="4DA3535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FEDDF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396FC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58849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2F5D1C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124.33</w:t>
            </w:r>
          </w:p>
        </w:tc>
      </w:tr>
      <w:tr w14:paraId="4E884F7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5E9BF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FF707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E24A3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27C8D2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139.30</w:t>
            </w:r>
          </w:p>
        </w:tc>
      </w:tr>
      <w:tr w14:paraId="009CC1A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04A04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5F3A5D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西北北</w:t>
            </w:r>
          </w:p>
        </w:tc>
        <w:tc>
          <w:tcPr>
            <w:tcW w:w="2073" w:type="dxa"/>
            <w:shd w:val="clear" w:color="auto" w:fill="auto"/>
            <w:vAlign w:val="center"/>
          </w:tcPr>
          <w:p w14:paraId="51C1BE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31CAE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10.47</w:t>
            </w:r>
          </w:p>
        </w:tc>
      </w:tr>
      <w:tr w14:paraId="39D1538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322CA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092E3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35FC0A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757673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50.49</w:t>
            </w:r>
          </w:p>
        </w:tc>
      </w:tr>
      <w:tr w14:paraId="60DE99B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BE87F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938D9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3CCEF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1F501F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72.69</w:t>
            </w:r>
          </w:p>
        </w:tc>
      </w:tr>
      <w:tr w14:paraId="385C3B1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B50E9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3065A8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北东</w:t>
            </w:r>
          </w:p>
        </w:tc>
        <w:tc>
          <w:tcPr>
            <w:tcW w:w="2073" w:type="dxa"/>
            <w:shd w:val="clear" w:color="auto" w:fill="auto"/>
            <w:vAlign w:val="center"/>
          </w:tcPr>
          <w:p w14:paraId="794964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457CB6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116.34</w:t>
            </w:r>
          </w:p>
        </w:tc>
      </w:tr>
      <w:tr w14:paraId="3430CC7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593F5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D9132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EAF49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66B130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124.54</w:t>
            </w:r>
          </w:p>
        </w:tc>
      </w:tr>
      <w:tr w14:paraId="59B894C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810ED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0ABDB0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DCEB2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7E466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128.64</w:t>
            </w:r>
          </w:p>
        </w:tc>
      </w:tr>
      <w:tr w14:paraId="36765C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764BE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7B92F3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w:t>
            </w:r>
          </w:p>
        </w:tc>
        <w:tc>
          <w:tcPr>
            <w:tcW w:w="2073" w:type="dxa"/>
            <w:shd w:val="clear" w:color="auto" w:fill="auto"/>
            <w:vAlign w:val="center"/>
          </w:tcPr>
          <w:p w14:paraId="2FD0C3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5ECBAF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4.01</w:t>
            </w:r>
          </w:p>
        </w:tc>
      </w:tr>
      <w:tr w14:paraId="3B2B454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DE40D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144CC4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1747E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6A68E5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34.07</w:t>
            </w:r>
          </w:p>
        </w:tc>
      </w:tr>
      <w:tr w14:paraId="64165E2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4FEF5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5C6824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D1ED9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2A2774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68.87</w:t>
            </w:r>
          </w:p>
        </w:tc>
      </w:tr>
      <w:tr w14:paraId="130607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9374B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1B9638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西北</w:t>
            </w:r>
          </w:p>
        </w:tc>
        <w:tc>
          <w:tcPr>
            <w:tcW w:w="2073" w:type="dxa"/>
            <w:shd w:val="clear" w:color="auto" w:fill="auto"/>
            <w:vAlign w:val="center"/>
          </w:tcPr>
          <w:p w14:paraId="26C2D7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093EAB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5.67</w:t>
            </w:r>
          </w:p>
        </w:tc>
      </w:tr>
      <w:tr w14:paraId="070923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ED03F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87D4B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59E77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43AD24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30.28</w:t>
            </w:r>
          </w:p>
        </w:tc>
      </w:tr>
      <w:tr w14:paraId="7ED6D5B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75B468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3DCECA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143D48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C986B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67.15</w:t>
            </w:r>
          </w:p>
        </w:tc>
      </w:tr>
      <w:tr w14:paraId="096281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41189F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371253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西南西</w:t>
            </w:r>
          </w:p>
        </w:tc>
        <w:tc>
          <w:tcPr>
            <w:tcW w:w="2073" w:type="dxa"/>
            <w:shd w:val="clear" w:color="auto" w:fill="auto"/>
            <w:vAlign w:val="center"/>
          </w:tcPr>
          <w:p w14:paraId="4A7095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35D659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4.34</w:t>
            </w:r>
          </w:p>
        </w:tc>
      </w:tr>
      <w:tr w14:paraId="3506C5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19DEBA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62A322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4C4453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66FF29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60.84</w:t>
            </w:r>
          </w:p>
        </w:tc>
      </w:tr>
      <w:tr w14:paraId="02DE122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298619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484504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5C43F6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7CDCE9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82.81</w:t>
            </w:r>
          </w:p>
        </w:tc>
      </w:tr>
      <w:tr w14:paraId="495ECB1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4639D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restart"/>
            <w:shd w:val="clear" w:color="auto" w:fill="auto"/>
            <w:vAlign w:val="center"/>
          </w:tcPr>
          <w:p w14:paraId="6162F0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东北东</w:t>
            </w:r>
          </w:p>
        </w:tc>
        <w:tc>
          <w:tcPr>
            <w:tcW w:w="2073" w:type="dxa"/>
            <w:shd w:val="clear" w:color="auto" w:fill="auto"/>
            <w:vAlign w:val="center"/>
          </w:tcPr>
          <w:p w14:paraId="2A83E9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一级风险(1.0E-5)对应的外部安全防护距离</w:t>
            </w:r>
          </w:p>
        </w:tc>
        <w:tc>
          <w:tcPr>
            <w:tcW w:w="2073" w:type="dxa"/>
            <w:shd w:val="clear" w:color="auto" w:fill="auto"/>
            <w:vAlign w:val="center"/>
          </w:tcPr>
          <w:p w14:paraId="7189CB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144.23</w:t>
            </w:r>
          </w:p>
        </w:tc>
      </w:tr>
      <w:tr w14:paraId="100E05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5E83A9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7BB86C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08D815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二级风险(3.0E-6)对应的外部安全防护距离</w:t>
            </w:r>
          </w:p>
        </w:tc>
        <w:tc>
          <w:tcPr>
            <w:tcW w:w="2073" w:type="dxa"/>
            <w:shd w:val="clear" w:color="auto" w:fill="auto"/>
            <w:vAlign w:val="center"/>
          </w:tcPr>
          <w:p w14:paraId="45659B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153.11</w:t>
            </w:r>
          </w:p>
        </w:tc>
      </w:tr>
      <w:tr w14:paraId="6789EF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073" w:type="dxa"/>
            <w:vMerge w:val="continue"/>
            <w:shd w:val="clear" w:color="auto" w:fill="auto"/>
            <w:vAlign w:val="center"/>
          </w:tcPr>
          <w:p w14:paraId="06A24C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vMerge w:val="continue"/>
            <w:shd w:val="clear" w:color="auto" w:fill="auto"/>
            <w:vAlign w:val="center"/>
          </w:tcPr>
          <w:p w14:paraId="254437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2073" w:type="dxa"/>
            <w:shd w:val="clear" w:color="auto" w:fill="auto"/>
            <w:vAlign w:val="center"/>
          </w:tcPr>
          <w:p w14:paraId="2EF00C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三级风险(3.0E-7)对应的外部安全防护距离</w:t>
            </w:r>
          </w:p>
        </w:tc>
        <w:tc>
          <w:tcPr>
            <w:tcW w:w="2073" w:type="dxa"/>
            <w:shd w:val="clear" w:color="auto" w:fill="auto"/>
            <w:vAlign w:val="center"/>
          </w:tcPr>
          <w:p w14:paraId="3AF101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159.77</w:t>
            </w:r>
          </w:p>
        </w:tc>
      </w:tr>
    </w:tbl>
    <w:p w14:paraId="7CE875EF">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left="0" w:firstLine="560" w:firstLineChars="200"/>
        <w:jc w:val="both"/>
        <w:textAlignment w:val="auto"/>
        <w:rPr>
          <w:rFonts w:hint="eastAsia"/>
          <w:lang w:val="en-US" w:eastAsia="zh-CN"/>
        </w:rPr>
      </w:pPr>
      <w:bookmarkStart w:id="32" w:name="_Toc14012"/>
      <w:r>
        <w:rPr>
          <w:rFonts w:hint="eastAsia" w:ascii="Times New Roman" w:hAnsi="Times New Roman" w:eastAsia="宋体" w:cs="Times New Roman"/>
          <w:kern w:val="2"/>
          <w:sz w:val="28"/>
          <w:szCs w:val="28"/>
          <w:highlight w:val="none"/>
          <w:lang w:val="en-US" w:eastAsia="zh-CN" w:bidi="ar-SA"/>
          <w14:ligatures w14:val="none"/>
        </w:rPr>
        <w:t>小结：从图及表中可知，外部防护距离符合要求。</w:t>
      </w:r>
    </w:p>
    <w:p w14:paraId="788FB7FB">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r>
        <w:rPr>
          <w:rFonts w:hint="eastAsia" w:ascii="Times New Roman" w:hAnsi="Times New Roman" w:eastAsia="楷体" w:cs="Times New Roman"/>
          <w:b/>
          <w:bCs/>
          <w:kern w:val="2"/>
          <w:sz w:val="32"/>
          <w:szCs w:val="32"/>
          <w:lang w:val="en-US" w:eastAsia="zh-CN" w:bidi="ar-SA"/>
          <w14:ligatures w14:val="standardContextual"/>
        </w:rPr>
        <w:t>4.4</w:t>
      </w:r>
      <w:r>
        <w:rPr>
          <w:rFonts w:hint="eastAsia" w:ascii="楷体" w:hAnsi="楷体" w:eastAsia="楷体" w:cstheme="minorBidi"/>
          <w:b/>
          <w:bCs/>
          <w:kern w:val="2"/>
          <w:sz w:val="32"/>
          <w:szCs w:val="32"/>
          <w:lang w:val="en-US" w:eastAsia="zh-CN" w:bidi="ar-SA"/>
          <w14:ligatures w14:val="standardContextual"/>
        </w:rPr>
        <w:t>多米诺半径</w:t>
      </w:r>
      <w:bookmarkEnd w:id="32"/>
    </w:p>
    <w:p w14:paraId="7C8DC64A">
      <w:pPr>
        <w:bidi w:val="0"/>
        <w:jc w:val="center"/>
        <w:rPr>
          <w:rFonts w:hint="eastAsia" w:ascii="黑体" w:hAnsi="黑体" w:eastAsia="黑体" w:cs="Times New Roman"/>
          <w:kern w:val="2"/>
          <w:sz w:val="24"/>
          <w:szCs w:val="24"/>
          <w:lang w:val="en-US" w:eastAsia="zh-CN" w:bidi="ar-SA"/>
        </w:rPr>
      </w:pPr>
      <w:r>
        <w:rPr>
          <w:rFonts w:hint="default" w:ascii="Times New Roman" w:hAnsi="Times New Roman" w:eastAsia="黑体" w:cs="Times New Roman"/>
          <w:kern w:val="2"/>
          <w:sz w:val="24"/>
          <w:szCs w:val="24"/>
          <w:lang w:val="en-US" w:eastAsia="zh-CN" w:bidi="ar-SA"/>
        </w:rPr>
        <w:t>表</w:t>
      </w:r>
      <w:r>
        <w:rPr>
          <w:rFonts w:hint="eastAsia" w:ascii="Times New Roman" w:hAnsi="Times New Roman" w:eastAsia="黑体" w:cs="Times New Roman"/>
          <w:kern w:val="2"/>
          <w:sz w:val="24"/>
          <w:szCs w:val="24"/>
          <w:lang w:val="en-US" w:eastAsia="zh-CN" w:bidi="ar-SA"/>
        </w:rPr>
        <w:t xml:space="preserve">4.4-1  </w:t>
      </w:r>
      <w:r>
        <w:rPr>
          <w:rFonts w:hint="eastAsia" w:ascii="黑体" w:hAnsi="黑体" w:eastAsia="黑体" w:cs="Times New Roman"/>
          <w:kern w:val="2"/>
          <w:sz w:val="24"/>
          <w:szCs w:val="24"/>
          <w:lang w:val="en-US" w:eastAsia="zh-CN" w:bidi="ar-SA"/>
        </w:rPr>
        <w:t>多米诺半径数据表</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836"/>
        <w:gridCol w:w="1836"/>
        <w:gridCol w:w="1836"/>
        <w:gridCol w:w="1836"/>
        <w:gridCol w:w="1836"/>
      </w:tblGrid>
      <w:tr w14:paraId="2145EE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680D1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装置名称</w:t>
            </w:r>
          </w:p>
        </w:tc>
        <w:tc>
          <w:tcPr>
            <w:tcW w:w="1658" w:type="dxa"/>
            <w:shd w:val="clear" w:color="auto" w:fill="auto"/>
            <w:vAlign w:val="center"/>
          </w:tcPr>
          <w:p w14:paraId="6BCA25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泄漏模式</w:t>
            </w:r>
          </w:p>
        </w:tc>
        <w:tc>
          <w:tcPr>
            <w:tcW w:w="1658" w:type="dxa"/>
            <w:shd w:val="clear" w:color="auto" w:fill="auto"/>
            <w:vAlign w:val="center"/>
          </w:tcPr>
          <w:p w14:paraId="552319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事故类型</w:t>
            </w:r>
          </w:p>
        </w:tc>
        <w:tc>
          <w:tcPr>
            <w:tcW w:w="1658" w:type="dxa"/>
            <w:shd w:val="clear" w:color="auto" w:fill="auto"/>
            <w:vAlign w:val="center"/>
          </w:tcPr>
          <w:p w14:paraId="16C300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目标装置类型</w:t>
            </w:r>
          </w:p>
        </w:tc>
        <w:tc>
          <w:tcPr>
            <w:tcW w:w="1658" w:type="dxa"/>
            <w:shd w:val="clear" w:color="auto" w:fill="auto"/>
            <w:vAlign w:val="center"/>
          </w:tcPr>
          <w:p w14:paraId="4091B5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b/>
                <w:sz w:val="21"/>
                <w:szCs w:val="21"/>
              </w:rPr>
              <w:t>多米诺半径（m）</w:t>
            </w:r>
          </w:p>
        </w:tc>
      </w:tr>
      <w:tr w14:paraId="1251401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CC330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1C6DA5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6ED129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1E77CD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常压容器</w:t>
            </w:r>
          </w:p>
        </w:tc>
        <w:tc>
          <w:tcPr>
            <w:tcW w:w="1658" w:type="dxa"/>
            <w:shd w:val="clear" w:color="auto" w:fill="auto"/>
            <w:vAlign w:val="center"/>
          </w:tcPr>
          <w:p w14:paraId="4E3CD1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0.43</w:t>
            </w:r>
          </w:p>
        </w:tc>
      </w:tr>
      <w:tr w14:paraId="5E77602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6C321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2FAB1C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232B23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7A71DC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w:t>
            </w:r>
          </w:p>
        </w:tc>
        <w:tc>
          <w:tcPr>
            <w:tcW w:w="1658" w:type="dxa"/>
            <w:shd w:val="clear" w:color="auto" w:fill="auto"/>
            <w:vAlign w:val="center"/>
          </w:tcPr>
          <w:p w14:paraId="199944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0.51</w:t>
            </w:r>
          </w:p>
        </w:tc>
      </w:tr>
      <w:tr w14:paraId="196DFEF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026802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136CBE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345813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3D1FE4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长型设备</w:t>
            </w:r>
          </w:p>
        </w:tc>
        <w:tc>
          <w:tcPr>
            <w:tcW w:w="1658" w:type="dxa"/>
            <w:shd w:val="clear" w:color="auto" w:fill="auto"/>
            <w:vAlign w:val="center"/>
          </w:tcPr>
          <w:p w14:paraId="2393A6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0.34</w:t>
            </w:r>
          </w:p>
        </w:tc>
      </w:tr>
      <w:tr w14:paraId="1EF7D59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53423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6FFCE5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01AA74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5B012D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小型设备</w:t>
            </w:r>
          </w:p>
        </w:tc>
        <w:tc>
          <w:tcPr>
            <w:tcW w:w="1658" w:type="dxa"/>
            <w:shd w:val="clear" w:color="auto" w:fill="auto"/>
            <w:vAlign w:val="center"/>
          </w:tcPr>
          <w:p w14:paraId="2076CC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0.31</w:t>
            </w:r>
          </w:p>
        </w:tc>
      </w:tr>
      <w:tr w14:paraId="32772C2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C9E16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044EE5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007B7A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17A191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常压容器</w:t>
            </w:r>
          </w:p>
        </w:tc>
        <w:tc>
          <w:tcPr>
            <w:tcW w:w="1658" w:type="dxa"/>
            <w:shd w:val="clear" w:color="auto" w:fill="auto"/>
            <w:vAlign w:val="center"/>
          </w:tcPr>
          <w:p w14:paraId="4C487B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0.43</w:t>
            </w:r>
          </w:p>
        </w:tc>
      </w:tr>
      <w:tr w14:paraId="42F466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59213B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6C0BF3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2F3AF4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6AB994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w:t>
            </w:r>
          </w:p>
        </w:tc>
        <w:tc>
          <w:tcPr>
            <w:tcW w:w="1658" w:type="dxa"/>
            <w:shd w:val="clear" w:color="auto" w:fill="auto"/>
            <w:vAlign w:val="center"/>
          </w:tcPr>
          <w:p w14:paraId="213C1C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0.51</w:t>
            </w:r>
          </w:p>
        </w:tc>
      </w:tr>
      <w:tr w14:paraId="560D71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E843B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435D98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3952B2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67A62A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长型设备</w:t>
            </w:r>
          </w:p>
        </w:tc>
        <w:tc>
          <w:tcPr>
            <w:tcW w:w="1658" w:type="dxa"/>
            <w:shd w:val="clear" w:color="auto" w:fill="auto"/>
            <w:vAlign w:val="center"/>
          </w:tcPr>
          <w:p w14:paraId="6627D0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0.34</w:t>
            </w:r>
          </w:p>
        </w:tc>
      </w:tr>
      <w:tr w14:paraId="47A813F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5F169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030E63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14CEA8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16DA36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小型设备</w:t>
            </w:r>
          </w:p>
        </w:tc>
        <w:tc>
          <w:tcPr>
            <w:tcW w:w="1658" w:type="dxa"/>
            <w:shd w:val="clear" w:color="auto" w:fill="auto"/>
            <w:vAlign w:val="center"/>
          </w:tcPr>
          <w:p w14:paraId="0F2573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0.31</w:t>
            </w:r>
          </w:p>
        </w:tc>
      </w:tr>
      <w:tr w14:paraId="0CC71F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00522D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68D904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2EC8DA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4AA11A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常压容器</w:t>
            </w:r>
          </w:p>
        </w:tc>
        <w:tc>
          <w:tcPr>
            <w:tcW w:w="1658" w:type="dxa"/>
            <w:shd w:val="clear" w:color="auto" w:fill="auto"/>
            <w:vAlign w:val="center"/>
          </w:tcPr>
          <w:p w14:paraId="450A7A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0.43</w:t>
            </w:r>
          </w:p>
        </w:tc>
      </w:tr>
      <w:tr w14:paraId="73AA13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0386D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4D31DF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73E6E5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00607B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w:t>
            </w:r>
          </w:p>
        </w:tc>
        <w:tc>
          <w:tcPr>
            <w:tcW w:w="1658" w:type="dxa"/>
            <w:shd w:val="clear" w:color="auto" w:fill="auto"/>
            <w:vAlign w:val="center"/>
          </w:tcPr>
          <w:p w14:paraId="469B2F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0.51</w:t>
            </w:r>
          </w:p>
        </w:tc>
      </w:tr>
      <w:tr w14:paraId="54AAE2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41B95D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740849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27263C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58CB47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长型设备</w:t>
            </w:r>
          </w:p>
        </w:tc>
        <w:tc>
          <w:tcPr>
            <w:tcW w:w="1658" w:type="dxa"/>
            <w:shd w:val="clear" w:color="auto" w:fill="auto"/>
            <w:vAlign w:val="center"/>
          </w:tcPr>
          <w:p w14:paraId="70D4B6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0.34</w:t>
            </w:r>
          </w:p>
        </w:tc>
      </w:tr>
      <w:tr w14:paraId="2856E53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54F55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3C3AE6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0408CB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405A09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小型设备</w:t>
            </w:r>
          </w:p>
        </w:tc>
        <w:tc>
          <w:tcPr>
            <w:tcW w:w="1658" w:type="dxa"/>
            <w:shd w:val="clear" w:color="auto" w:fill="auto"/>
            <w:vAlign w:val="center"/>
          </w:tcPr>
          <w:p w14:paraId="7E35A0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0.31</w:t>
            </w:r>
          </w:p>
        </w:tc>
      </w:tr>
      <w:tr w14:paraId="4FDEA7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54ECE6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721AEE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49DD91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1A7687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常压容器</w:t>
            </w:r>
          </w:p>
        </w:tc>
        <w:tc>
          <w:tcPr>
            <w:tcW w:w="1658" w:type="dxa"/>
            <w:shd w:val="clear" w:color="auto" w:fill="auto"/>
            <w:vAlign w:val="center"/>
          </w:tcPr>
          <w:p w14:paraId="24AF03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0.43</w:t>
            </w:r>
          </w:p>
        </w:tc>
      </w:tr>
      <w:tr w14:paraId="3F6313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D49B0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18E9AB3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64C491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1BB083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w:t>
            </w:r>
          </w:p>
        </w:tc>
        <w:tc>
          <w:tcPr>
            <w:tcW w:w="1658" w:type="dxa"/>
            <w:shd w:val="clear" w:color="auto" w:fill="auto"/>
            <w:vAlign w:val="center"/>
          </w:tcPr>
          <w:p w14:paraId="0D8E8A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0.51</w:t>
            </w:r>
          </w:p>
        </w:tc>
      </w:tr>
      <w:tr w14:paraId="2A2F09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5BFB74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5F67EE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792532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263FC3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长型设备</w:t>
            </w:r>
          </w:p>
        </w:tc>
        <w:tc>
          <w:tcPr>
            <w:tcW w:w="1658" w:type="dxa"/>
            <w:shd w:val="clear" w:color="auto" w:fill="auto"/>
            <w:vAlign w:val="center"/>
          </w:tcPr>
          <w:p w14:paraId="73E366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0.34</w:t>
            </w:r>
          </w:p>
        </w:tc>
      </w:tr>
      <w:tr w14:paraId="72A2DFA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7DCC81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1CAB05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1DBDB6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5921D3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小型设备</w:t>
            </w:r>
          </w:p>
        </w:tc>
        <w:tc>
          <w:tcPr>
            <w:tcW w:w="1658" w:type="dxa"/>
            <w:shd w:val="clear" w:color="auto" w:fill="auto"/>
            <w:vAlign w:val="center"/>
          </w:tcPr>
          <w:p w14:paraId="47DD83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0.31</w:t>
            </w:r>
          </w:p>
        </w:tc>
      </w:tr>
      <w:tr w14:paraId="211B67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8767C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485E34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748D8A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70CB7D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常压容器</w:t>
            </w:r>
          </w:p>
        </w:tc>
        <w:tc>
          <w:tcPr>
            <w:tcW w:w="1658" w:type="dxa"/>
            <w:shd w:val="clear" w:color="auto" w:fill="auto"/>
            <w:vAlign w:val="center"/>
          </w:tcPr>
          <w:p w14:paraId="11F7E9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0.43</w:t>
            </w:r>
          </w:p>
        </w:tc>
      </w:tr>
      <w:tr w14:paraId="43EBE23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7739CD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4D3A32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169555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36A35C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w:t>
            </w:r>
          </w:p>
        </w:tc>
        <w:tc>
          <w:tcPr>
            <w:tcW w:w="1658" w:type="dxa"/>
            <w:shd w:val="clear" w:color="auto" w:fill="auto"/>
            <w:vAlign w:val="center"/>
          </w:tcPr>
          <w:p w14:paraId="20F0F2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0.51</w:t>
            </w:r>
          </w:p>
        </w:tc>
      </w:tr>
      <w:tr w14:paraId="155A58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2509B2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121B88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161F67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016B3F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长型设备</w:t>
            </w:r>
          </w:p>
        </w:tc>
        <w:tc>
          <w:tcPr>
            <w:tcW w:w="1658" w:type="dxa"/>
            <w:shd w:val="clear" w:color="auto" w:fill="auto"/>
            <w:vAlign w:val="center"/>
          </w:tcPr>
          <w:p w14:paraId="5D41FD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0.34</w:t>
            </w:r>
          </w:p>
        </w:tc>
      </w:tr>
      <w:tr w14:paraId="3E8851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62730C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205629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1E7FDD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7324C3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小型设备</w:t>
            </w:r>
          </w:p>
        </w:tc>
        <w:tc>
          <w:tcPr>
            <w:tcW w:w="1658" w:type="dxa"/>
            <w:shd w:val="clear" w:color="auto" w:fill="auto"/>
            <w:vAlign w:val="center"/>
          </w:tcPr>
          <w:p w14:paraId="00126B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0.31</w:t>
            </w:r>
          </w:p>
        </w:tc>
      </w:tr>
      <w:tr w14:paraId="380080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E23DA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2850BA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57BCEA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1190F9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常压容器</w:t>
            </w:r>
          </w:p>
        </w:tc>
        <w:tc>
          <w:tcPr>
            <w:tcW w:w="1658" w:type="dxa"/>
            <w:shd w:val="clear" w:color="auto" w:fill="auto"/>
            <w:vAlign w:val="center"/>
          </w:tcPr>
          <w:p w14:paraId="5DC2E1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0.43</w:t>
            </w:r>
          </w:p>
        </w:tc>
      </w:tr>
      <w:tr w14:paraId="3793A8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46404A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54AAD0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36E541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49322B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w:t>
            </w:r>
          </w:p>
        </w:tc>
        <w:tc>
          <w:tcPr>
            <w:tcW w:w="1658" w:type="dxa"/>
            <w:shd w:val="clear" w:color="auto" w:fill="auto"/>
            <w:vAlign w:val="center"/>
          </w:tcPr>
          <w:p w14:paraId="6FD57D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0.51</w:t>
            </w:r>
          </w:p>
        </w:tc>
      </w:tr>
      <w:tr w14:paraId="2FF549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658" w:type="dxa"/>
            <w:shd w:val="clear" w:color="auto" w:fill="auto"/>
            <w:vAlign w:val="center"/>
          </w:tcPr>
          <w:p w14:paraId="20C959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085E6A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0F4CBD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660A14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长型设备</w:t>
            </w:r>
          </w:p>
        </w:tc>
        <w:tc>
          <w:tcPr>
            <w:tcW w:w="1658" w:type="dxa"/>
            <w:shd w:val="clear" w:color="auto" w:fill="auto"/>
            <w:vAlign w:val="center"/>
          </w:tcPr>
          <w:p w14:paraId="4EBEB3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0.34</w:t>
            </w:r>
          </w:p>
        </w:tc>
      </w:tr>
      <w:tr w14:paraId="7C56F3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1A9B44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2BEEE2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234EAC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589957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小型设备</w:t>
            </w:r>
          </w:p>
        </w:tc>
        <w:tc>
          <w:tcPr>
            <w:tcW w:w="1658" w:type="dxa"/>
            <w:shd w:val="clear" w:color="auto" w:fill="auto"/>
            <w:vAlign w:val="center"/>
          </w:tcPr>
          <w:p w14:paraId="3FA48A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0.31</w:t>
            </w:r>
          </w:p>
        </w:tc>
      </w:tr>
      <w:tr w14:paraId="0728450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02BB0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3923A8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253DBD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664803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常压容器</w:t>
            </w:r>
          </w:p>
        </w:tc>
        <w:tc>
          <w:tcPr>
            <w:tcW w:w="1658" w:type="dxa"/>
            <w:shd w:val="clear" w:color="auto" w:fill="auto"/>
            <w:vAlign w:val="center"/>
          </w:tcPr>
          <w:p w14:paraId="3751F7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0.43</w:t>
            </w:r>
          </w:p>
        </w:tc>
      </w:tr>
      <w:tr w14:paraId="5B26747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0D0C19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208BCE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0898DB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193DF4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w:t>
            </w:r>
          </w:p>
        </w:tc>
        <w:tc>
          <w:tcPr>
            <w:tcW w:w="1658" w:type="dxa"/>
            <w:shd w:val="clear" w:color="auto" w:fill="auto"/>
            <w:vAlign w:val="center"/>
          </w:tcPr>
          <w:p w14:paraId="603059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0.51</w:t>
            </w:r>
          </w:p>
        </w:tc>
      </w:tr>
      <w:tr w14:paraId="306B67D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213A6B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76937C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41D786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2A4E4F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长型设备</w:t>
            </w:r>
          </w:p>
        </w:tc>
        <w:tc>
          <w:tcPr>
            <w:tcW w:w="1658" w:type="dxa"/>
            <w:shd w:val="clear" w:color="auto" w:fill="auto"/>
            <w:vAlign w:val="center"/>
          </w:tcPr>
          <w:p w14:paraId="0ADE80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0.34</w:t>
            </w:r>
          </w:p>
        </w:tc>
      </w:tr>
      <w:tr w14:paraId="5AAFF6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658" w:type="dxa"/>
            <w:shd w:val="clear" w:color="auto" w:fill="auto"/>
            <w:vAlign w:val="center"/>
          </w:tcPr>
          <w:p w14:paraId="302337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1#液氯库-液氯储罐</w:t>
            </w:r>
          </w:p>
        </w:tc>
        <w:tc>
          <w:tcPr>
            <w:tcW w:w="1658" w:type="dxa"/>
            <w:shd w:val="clear" w:color="auto" w:fill="auto"/>
            <w:vAlign w:val="center"/>
          </w:tcPr>
          <w:p w14:paraId="108224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完全破裂</w:t>
            </w:r>
          </w:p>
        </w:tc>
        <w:tc>
          <w:tcPr>
            <w:tcW w:w="1658" w:type="dxa"/>
            <w:shd w:val="clear" w:color="auto" w:fill="auto"/>
            <w:vAlign w:val="center"/>
          </w:tcPr>
          <w:p w14:paraId="6DDEF1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压力容器物理爆炸</w:t>
            </w:r>
          </w:p>
        </w:tc>
        <w:tc>
          <w:tcPr>
            <w:tcW w:w="1658" w:type="dxa"/>
            <w:shd w:val="clear" w:color="auto" w:fill="auto"/>
            <w:vAlign w:val="center"/>
          </w:tcPr>
          <w:p w14:paraId="687CCD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小型设备</w:t>
            </w:r>
          </w:p>
        </w:tc>
        <w:tc>
          <w:tcPr>
            <w:tcW w:w="1658" w:type="dxa"/>
            <w:shd w:val="clear" w:color="auto" w:fill="auto"/>
            <w:vAlign w:val="center"/>
          </w:tcPr>
          <w:p w14:paraId="662BB1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0.31</w:t>
            </w:r>
          </w:p>
        </w:tc>
      </w:tr>
    </w:tbl>
    <w:p w14:paraId="154440BE">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firstLineChars="200"/>
        <w:textAlignment w:val="auto"/>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rPr>
        <w:t>小结：通过多米诺效应计算结果可以看出，</w:t>
      </w:r>
      <w:r>
        <w:rPr>
          <w:rFonts w:hint="eastAsia"/>
          <w:lang w:val="en-US" w:eastAsia="zh-CN"/>
        </w:rPr>
        <w:t>液氯储罐发生压力容器物理爆炸</w:t>
      </w:r>
      <w:r>
        <w:rPr>
          <w:rFonts w:hint="eastAsia"/>
        </w:rPr>
        <w:t>时，其多米诺半径为</w:t>
      </w:r>
      <w:r>
        <w:rPr>
          <w:rFonts w:hint="eastAsia"/>
          <w:lang w:val="en-US" w:eastAsia="zh-CN"/>
        </w:rPr>
        <w:t>0.49</w:t>
      </w:r>
      <w:r>
        <w:rPr>
          <w:rFonts w:hint="eastAsia"/>
        </w:rPr>
        <w:t>m</w:t>
      </w:r>
      <w:r>
        <w:rPr>
          <w:rFonts w:hint="eastAsia"/>
          <w:lang w:eastAsia="zh-CN"/>
        </w:rPr>
        <w:t>，</w:t>
      </w:r>
      <w:r>
        <w:rPr>
          <w:rFonts w:hint="eastAsia"/>
          <w:lang w:val="en-US" w:eastAsia="zh-CN"/>
        </w:rPr>
        <w:t>未</w:t>
      </w:r>
      <w:r>
        <w:rPr>
          <w:rFonts w:hint="eastAsia"/>
        </w:rPr>
        <w:t>超出厂区用地边界</w:t>
      </w:r>
      <w:r>
        <w:rPr>
          <w:rFonts w:hint="eastAsia"/>
          <w:lang w:eastAsia="zh-CN"/>
        </w:rPr>
        <w:t>，</w:t>
      </w:r>
      <w:r>
        <w:rPr>
          <w:rFonts w:hint="eastAsia"/>
        </w:rPr>
        <w:t>不会产生多米诺效应。</w:t>
      </w:r>
    </w:p>
    <w:p w14:paraId="4BBCB6F0">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3" w:name="_Toc9417"/>
      <w:r>
        <w:rPr>
          <w:rFonts w:eastAsia="黑体" w:cs="Times New Roman"/>
          <w:b/>
          <w:bCs/>
          <w:sz w:val="32"/>
          <w:szCs w:val="32"/>
        </w:rPr>
        <w:t>5</w:t>
      </w:r>
      <w:r>
        <w:rPr>
          <w:rFonts w:hint="eastAsia" w:ascii="黑体" w:hAnsi="黑体" w:eastAsia="黑体"/>
          <w:b/>
          <w:bCs/>
          <w:sz w:val="32"/>
          <w:szCs w:val="32"/>
        </w:rPr>
        <w:t>可能受事故影响的周边场所、人员情况</w:t>
      </w:r>
      <w:bookmarkEnd w:id="33"/>
    </w:p>
    <w:p w14:paraId="19EDBB23">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4" w:name="_Toc401"/>
      <w:r>
        <w:rPr>
          <w:rFonts w:eastAsia="楷体" w:cs="Times New Roman"/>
          <w:b/>
          <w:bCs/>
          <w:sz w:val="32"/>
          <w:szCs w:val="32"/>
        </w:rPr>
        <w:t>5.1</w:t>
      </w:r>
      <w:r>
        <w:rPr>
          <w:rFonts w:hint="eastAsia" w:ascii="楷体" w:hAnsi="楷体" w:eastAsia="楷体"/>
          <w:b/>
          <w:bCs/>
          <w:sz w:val="32"/>
          <w:szCs w:val="32"/>
        </w:rPr>
        <w:t>项目周边24小时经营和生活情况</w:t>
      </w:r>
      <w:bookmarkEnd w:id="34"/>
    </w:p>
    <w:p w14:paraId="3BFE9940">
      <w:pPr>
        <w:pStyle w:val="21"/>
        <w:adjustRightInd w:val="0"/>
        <w:snapToGrid w:val="0"/>
        <w:ind w:firstLine="560"/>
        <w:rPr>
          <w:rFonts w:hint="eastAsia"/>
          <w:lang w:eastAsia="zh-CN"/>
        </w:rPr>
      </w:pPr>
      <w:r>
        <w:rPr>
          <w:rFonts w:hint="eastAsia"/>
          <w:lang w:eastAsia="zh-CN"/>
        </w:rPr>
        <w:t>1#液氯</w:t>
      </w:r>
      <w:r>
        <w:rPr>
          <w:rFonts w:hint="eastAsia"/>
          <w:lang w:val="en-US" w:eastAsia="zh-CN"/>
        </w:rPr>
        <w:t>库</w:t>
      </w:r>
      <w:r>
        <w:rPr>
          <w:rFonts w:hint="eastAsia"/>
          <w:lang w:eastAsia="zh-CN"/>
        </w:rPr>
        <w:t>位于朝阳金达钛业股份有限公司厂区现有空地内，厂区东侧为空地，东南侧为朝阳金达钼业有限责任公司，西侧，北侧为青山一路，隔路为空地，南侧为空地。</w:t>
      </w:r>
    </w:p>
    <w:p w14:paraId="50BA9BDC">
      <w:pPr>
        <w:pStyle w:val="21"/>
        <w:adjustRightInd w:val="0"/>
        <w:snapToGrid w:val="0"/>
        <w:ind w:firstLine="560"/>
        <w:rPr>
          <w:rFonts w:hint="eastAsia"/>
          <w:lang w:eastAsia="zh-CN"/>
        </w:rPr>
      </w:pPr>
      <w:r>
        <w:rPr>
          <w:rFonts w:hint="eastAsia"/>
          <w:lang w:eastAsia="zh-CN"/>
        </w:rPr>
        <w:t>周边500m内无居民区、商业中心、公园等人口密集区域；学校、医院、影剧院、体育场（馆）等公共设施；供水水源、水厂及水源保护区；车站、码头（按照国家规定，经批准，专门从事危险化学品装卸作业的除外）、机场以及公路、铁路、水路交通干线、地铁风亭及出入口；基本农田保护区、畜牧区和种子、种畜、水产苗种生产基地；河流、湖泊、风景名胜区和自然保护区；军事禁区、军事管理区；法律、行政法规规定予以保护的其他区域的距离符合国家标准或者国家有关规定。</w:t>
      </w:r>
    </w:p>
    <w:p w14:paraId="78D9228A">
      <w:pPr>
        <w:pStyle w:val="21"/>
        <w:adjustRightInd w:val="0"/>
        <w:snapToGrid w:val="0"/>
        <w:ind w:firstLine="560"/>
        <w:rPr>
          <w:rFonts w:hint="eastAsia"/>
          <w:lang w:eastAsia="zh-CN"/>
        </w:rPr>
      </w:pPr>
      <w:r>
        <w:rPr>
          <w:rFonts w:hint="eastAsia"/>
          <w:lang w:eastAsia="zh-CN"/>
        </w:rPr>
        <w:t>综上所述，该生产企业周边环境能够满足安全生产要求。</w:t>
      </w:r>
    </w:p>
    <w:p w14:paraId="67443F55">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5" w:name="_Toc12574"/>
      <w:r>
        <w:rPr>
          <w:rFonts w:eastAsia="楷体" w:cs="Times New Roman"/>
          <w:b/>
          <w:bCs/>
          <w:sz w:val="32"/>
          <w:szCs w:val="32"/>
        </w:rPr>
        <w:t>5.2</w:t>
      </w:r>
      <w:r>
        <w:rPr>
          <w:rFonts w:hint="eastAsia" w:ascii="楷体" w:hAnsi="楷体" w:eastAsia="楷体"/>
          <w:b/>
          <w:bCs/>
          <w:sz w:val="32"/>
          <w:szCs w:val="32"/>
        </w:rPr>
        <w:t>项目与周边单位生产、经营活动</w:t>
      </w:r>
      <w:r>
        <w:rPr>
          <w:rFonts w:hint="eastAsia" w:ascii="楷体" w:hAnsi="楷体" w:eastAsia="楷体"/>
          <w:b/>
          <w:bCs/>
          <w:sz w:val="32"/>
          <w:szCs w:val="32"/>
          <w:lang w:val="en-US" w:eastAsia="zh-CN"/>
        </w:rPr>
        <w:t>和</w:t>
      </w:r>
      <w:r>
        <w:rPr>
          <w:rFonts w:hint="eastAsia" w:ascii="楷体" w:hAnsi="楷体" w:eastAsia="楷体"/>
          <w:b/>
          <w:bCs/>
          <w:sz w:val="32"/>
          <w:szCs w:val="32"/>
        </w:rPr>
        <w:t>居民生活的影响情况</w:t>
      </w:r>
      <w:bookmarkEnd w:id="35"/>
    </w:p>
    <w:p w14:paraId="1D169A8B">
      <w:pPr>
        <w:pStyle w:val="21"/>
        <w:adjustRightInd w:val="0"/>
        <w:snapToGrid w:val="0"/>
        <w:ind w:firstLine="560"/>
        <w:rPr>
          <w:rFonts w:hint="eastAsia"/>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lang w:val="en-US" w:eastAsia="zh-CN"/>
        </w:rPr>
        <w:t>液氯储罐的外部安全防护距离满足要求，如果其发生事故，对周边环境及企业影响较小。</w:t>
      </w:r>
    </w:p>
    <w:p w14:paraId="2C178110">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6" w:name="_Toc24764"/>
      <w:r>
        <w:rPr>
          <w:rFonts w:eastAsia="黑体" w:cs="Times New Roman"/>
          <w:b/>
          <w:bCs/>
          <w:sz w:val="32"/>
          <w:szCs w:val="32"/>
        </w:rPr>
        <w:t>6</w:t>
      </w:r>
      <w:r>
        <w:rPr>
          <w:rFonts w:hint="eastAsia" w:ascii="黑体" w:hAnsi="黑体" w:eastAsia="黑体"/>
          <w:b/>
          <w:bCs/>
          <w:sz w:val="32"/>
          <w:szCs w:val="32"/>
        </w:rPr>
        <w:t>重大危险源辨识、分级的符合性分析</w:t>
      </w:r>
      <w:bookmarkEnd w:id="36"/>
    </w:p>
    <w:p w14:paraId="38CA1DC0">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7" w:name="_Toc10047"/>
      <w:r>
        <w:rPr>
          <w:rFonts w:eastAsia="楷体" w:cs="Times New Roman"/>
          <w:b/>
          <w:bCs/>
          <w:sz w:val="32"/>
          <w:szCs w:val="32"/>
        </w:rPr>
        <w:t>6.1</w:t>
      </w:r>
      <w:r>
        <w:rPr>
          <w:rFonts w:hint="eastAsia" w:ascii="楷体" w:hAnsi="楷体" w:eastAsia="楷体"/>
          <w:b/>
          <w:bCs/>
          <w:sz w:val="32"/>
          <w:szCs w:val="32"/>
        </w:rPr>
        <w:t>重大危险源单元的划分的符合性</w:t>
      </w:r>
      <w:bookmarkEnd w:id="37"/>
    </w:p>
    <w:p w14:paraId="35762D87">
      <w:pPr>
        <w:pStyle w:val="21"/>
        <w:adjustRightInd w:val="0"/>
        <w:snapToGrid w:val="0"/>
        <w:ind w:firstLine="560"/>
      </w:pPr>
      <w:r>
        <w:rPr>
          <w:rFonts w:hint="eastAsia"/>
        </w:rPr>
        <w:t>本评估报告对危险化学品重大危险源的辨识主要是依据《危险化学品重大危险源辨识》（GB 18218-2018）。</w:t>
      </w:r>
    </w:p>
    <w:p w14:paraId="11BD5F20">
      <w:pPr>
        <w:pStyle w:val="21"/>
        <w:adjustRightInd w:val="0"/>
        <w:snapToGrid w:val="0"/>
        <w:ind w:firstLine="560"/>
      </w:pPr>
      <w:r>
        <w:rPr>
          <w:rFonts w:hint="eastAsia"/>
        </w:rPr>
        <w:t>根据《危险化学品重大危险源辨识》的要求，危险化学品重大危险源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0F1C0082">
      <w:pPr>
        <w:pStyle w:val="21"/>
        <w:adjustRightInd w:val="0"/>
        <w:snapToGrid w:val="0"/>
        <w:ind w:firstLine="560"/>
      </w:pPr>
      <w:r>
        <w:rPr>
          <w:rFonts w:hint="eastAsia"/>
          <w:lang w:eastAsia="zh-CN"/>
        </w:rPr>
        <w:t>朝阳金达钛业股份有限公司</w:t>
      </w:r>
      <w:r>
        <w:rPr>
          <w:rFonts w:hint="eastAsia"/>
          <w:lang w:val="en-US" w:eastAsia="zh-CN"/>
        </w:rPr>
        <w:t>1</w:t>
      </w:r>
      <w:r>
        <w:rPr>
          <w:rFonts w:hint="eastAsia"/>
          <w:lang w:eastAsia="zh-CN"/>
        </w:rPr>
        <w:t>#液氯库分为1个单元，为液氯储罐及液氯气化区单元进行辨识，符合《危险化学品重大危险源辨识》（GB 18218-2018）有关辨识单元划分的具体要求</w:t>
      </w:r>
      <w:r>
        <w:rPr>
          <w:rFonts w:hint="eastAsia"/>
        </w:rPr>
        <w:t>。</w:t>
      </w:r>
    </w:p>
    <w:p w14:paraId="1C9FD632">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8" w:name="_Toc25359"/>
      <w:r>
        <w:rPr>
          <w:rFonts w:eastAsia="楷体" w:cs="Times New Roman"/>
          <w:b/>
          <w:bCs/>
          <w:sz w:val="32"/>
          <w:szCs w:val="32"/>
        </w:rPr>
        <w:t>6.2</w:t>
      </w:r>
      <w:r>
        <w:rPr>
          <w:rFonts w:hint="eastAsia" w:ascii="楷体" w:hAnsi="楷体" w:eastAsia="楷体"/>
          <w:b/>
          <w:bCs/>
          <w:sz w:val="32"/>
          <w:szCs w:val="32"/>
        </w:rPr>
        <w:t>危险化学品重大危险源分级的符合性</w:t>
      </w:r>
      <w:bookmarkEnd w:id="38"/>
    </w:p>
    <w:p w14:paraId="73513176">
      <w:pPr>
        <w:pStyle w:val="21"/>
        <w:adjustRightInd w:val="0"/>
        <w:snapToGrid w:val="0"/>
        <w:ind w:firstLine="560"/>
      </w:pPr>
      <w:r>
        <w:rPr>
          <w:rFonts w:hint="eastAsia"/>
        </w:rPr>
        <w:t>本评估报告根据《危险化学品重大危险源监督管理暂行规定》和《危险化学品重大危险源辨识》（GB 18218-2018）的要求，对构成危险化学品重大危险源的单元进行分级。</w:t>
      </w:r>
    </w:p>
    <w:p w14:paraId="12121249">
      <w:pPr>
        <w:pStyle w:val="21"/>
        <w:adjustRightInd w:val="0"/>
        <w:snapToGrid w:val="0"/>
        <w:ind w:firstLine="560"/>
        <w:rPr>
          <w:highlight w:val="none"/>
        </w:rPr>
      </w:pPr>
      <w:r>
        <w:rPr>
          <w:rFonts w:hint="eastAsia"/>
        </w:rPr>
        <w:t>根据</w:t>
      </w:r>
      <w:r>
        <w:rPr>
          <w:rFonts w:hint="eastAsia"/>
          <w:lang w:eastAsia="zh-CN"/>
        </w:rPr>
        <w:t>朝阳金达钛业股份有限公司</w:t>
      </w:r>
      <w:r>
        <w:rPr>
          <w:rFonts w:hint="eastAsia"/>
        </w:rPr>
        <w:t>厂区周边人员分布、生产工艺特点、涉及危险化学品重大危险源辨识的物料性质，以及《危险化学品重大危险源辨识》的要求，对校正系数α、β取值，本项目厂区边界向外扩展500m范围内</w:t>
      </w:r>
      <w:r>
        <w:rPr>
          <w:rFonts w:hint="eastAsia"/>
          <w:lang w:val="en-US" w:eastAsia="zh-CN"/>
        </w:rPr>
        <w:t>无</w:t>
      </w:r>
      <w:r>
        <w:rPr>
          <w:rFonts w:hint="eastAsia"/>
        </w:rPr>
        <w:t>常驻人口</w:t>
      </w:r>
      <w:r>
        <w:rPr>
          <w:rFonts w:hint="eastAsia"/>
          <w:highlight w:val="none"/>
        </w:rPr>
        <w:t>，因此根据表2.</w:t>
      </w:r>
      <w:r>
        <w:rPr>
          <w:rFonts w:hint="eastAsia"/>
          <w:highlight w:val="none"/>
          <w:lang w:val="en-US" w:eastAsia="zh-CN"/>
        </w:rPr>
        <w:t>2-4</w:t>
      </w:r>
      <w:r>
        <w:rPr>
          <w:rFonts w:hint="eastAsia"/>
          <w:highlight w:val="none"/>
        </w:rPr>
        <w:t>，α取值为</w:t>
      </w:r>
      <w:r>
        <w:rPr>
          <w:rFonts w:hint="eastAsia"/>
          <w:highlight w:val="none"/>
          <w:lang w:val="en-US" w:eastAsia="zh-CN"/>
        </w:rPr>
        <w:t>0.5</w:t>
      </w:r>
      <w:r>
        <w:rPr>
          <w:rFonts w:hint="eastAsia"/>
          <w:highlight w:val="none"/>
        </w:rPr>
        <w:t>；</w:t>
      </w:r>
      <w:r>
        <w:rPr>
          <w:rFonts w:hint="eastAsia"/>
          <w:highlight w:val="none"/>
          <w:lang w:val="en-US" w:eastAsia="zh-CN"/>
        </w:rPr>
        <w:t>氯</w:t>
      </w:r>
      <w:r>
        <w:rPr>
          <w:rFonts w:hint="eastAsia"/>
          <w:highlight w:val="none"/>
        </w:rPr>
        <w:t>根据表2.</w:t>
      </w:r>
      <w:r>
        <w:rPr>
          <w:rFonts w:hint="eastAsia"/>
          <w:highlight w:val="none"/>
          <w:lang w:val="en-US" w:eastAsia="zh-CN"/>
        </w:rPr>
        <w:t>2</w:t>
      </w:r>
      <w:r>
        <w:rPr>
          <w:rFonts w:hint="eastAsia"/>
          <w:highlight w:val="none"/>
        </w:rPr>
        <w:t>-</w:t>
      </w:r>
      <w:r>
        <w:rPr>
          <w:rFonts w:hint="eastAsia"/>
          <w:highlight w:val="none"/>
          <w:lang w:val="en-US" w:eastAsia="zh-CN"/>
        </w:rPr>
        <w:t>3</w:t>
      </w:r>
      <w:r>
        <w:rPr>
          <w:rFonts w:hint="eastAsia"/>
          <w:highlight w:val="none"/>
        </w:rPr>
        <w:t>，β取值为</w:t>
      </w:r>
      <w:r>
        <w:rPr>
          <w:rFonts w:hint="eastAsia"/>
          <w:highlight w:val="none"/>
          <w:lang w:val="en-US" w:eastAsia="zh-CN"/>
        </w:rPr>
        <w:t>4，</w:t>
      </w:r>
      <w:r>
        <w:rPr>
          <w:rFonts w:hint="eastAsia"/>
          <w:highlight w:val="none"/>
        </w:rPr>
        <w:t>R值为</w:t>
      </w:r>
      <w:r>
        <w:rPr>
          <w:rFonts w:hint="eastAsia"/>
          <w:highlight w:val="none"/>
          <w:lang w:val="en-US" w:eastAsia="zh-CN"/>
        </w:rPr>
        <w:t>152.49</w:t>
      </w:r>
      <w:r>
        <w:rPr>
          <w:rFonts w:hint="eastAsia"/>
          <w:highlight w:val="none"/>
        </w:rPr>
        <w:t>，对应表2.</w:t>
      </w:r>
      <w:r>
        <w:rPr>
          <w:rFonts w:hint="eastAsia"/>
          <w:highlight w:val="none"/>
          <w:lang w:val="en-US" w:eastAsia="zh-CN"/>
        </w:rPr>
        <w:t>2</w:t>
      </w:r>
      <w:r>
        <w:rPr>
          <w:rFonts w:hint="eastAsia"/>
          <w:highlight w:val="none"/>
        </w:rPr>
        <w:t>-5查得，</w:t>
      </w:r>
      <w:r>
        <w:rPr>
          <w:rFonts w:hint="eastAsia"/>
          <w:highlight w:val="none"/>
          <w:lang w:val="en-US" w:eastAsia="zh-CN"/>
        </w:rPr>
        <w:t>1</w:t>
      </w:r>
      <w:r>
        <w:rPr>
          <w:rFonts w:hint="eastAsia"/>
          <w:highlight w:val="none"/>
        </w:rPr>
        <w:t>#液氯储罐及液氯气化区单元为</w:t>
      </w:r>
      <w:r>
        <w:rPr>
          <w:rFonts w:hint="eastAsia"/>
          <w:highlight w:val="none"/>
          <w:lang w:val="en-US" w:eastAsia="zh-CN"/>
        </w:rPr>
        <w:t>一</w:t>
      </w:r>
      <w:r>
        <w:rPr>
          <w:rFonts w:hint="eastAsia"/>
          <w:highlight w:val="none"/>
        </w:rPr>
        <w:t>级重大危险源，符合《危险化学品重大危险源辨识》（GB 18218-2018）有关重大危险源分级的具体要求。</w:t>
      </w:r>
    </w:p>
    <w:p w14:paraId="3A05C308">
      <w:pPr>
        <w:pStyle w:val="21"/>
        <w:ind w:firstLine="560"/>
        <w:rPr>
          <w:highlight w:val="none"/>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1ED022A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9" w:name="_Toc4932"/>
      <w:r>
        <w:rPr>
          <w:rFonts w:eastAsia="黑体" w:cs="Times New Roman"/>
          <w:b/>
          <w:bCs/>
          <w:sz w:val="32"/>
          <w:szCs w:val="32"/>
        </w:rPr>
        <w:t>7</w:t>
      </w:r>
      <w:r>
        <w:rPr>
          <w:rFonts w:hint="eastAsia" w:ascii="黑体" w:hAnsi="黑体" w:eastAsia="黑体"/>
          <w:b/>
          <w:bCs/>
          <w:sz w:val="32"/>
          <w:szCs w:val="32"/>
        </w:rPr>
        <w:t>安全管理措施、安全技术和监控措施</w:t>
      </w:r>
      <w:bookmarkEnd w:id="39"/>
    </w:p>
    <w:p w14:paraId="72D64F28">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0" w:name="_Toc25252"/>
      <w:r>
        <w:rPr>
          <w:rFonts w:eastAsia="楷体" w:cs="Times New Roman"/>
          <w:b/>
          <w:bCs/>
          <w:sz w:val="32"/>
          <w:szCs w:val="32"/>
        </w:rPr>
        <w:t>7.1</w:t>
      </w:r>
      <w:r>
        <w:rPr>
          <w:rFonts w:hint="eastAsia" w:ascii="楷体" w:hAnsi="楷体" w:eastAsia="楷体"/>
          <w:b/>
          <w:bCs/>
          <w:sz w:val="32"/>
          <w:szCs w:val="32"/>
        </w:rPr>
        <w:t>重大危险源安全管理措施</w:t>
      </w:r>
      <w:bookmarkEnd w:id="40"/>
    </w:p>
    <w:p w14:paraId="2881BEA2">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7.1.1</w:t>
      </w:r>
      <w:r>
        <w:rPr>
          <w:rFonts w:hint="eastAsia" w:ascii="黑体" w:hAnsi="黑体" w:eastAsia="黑体"/>
          <w:b/>
          <w:bCs/>
        </w:rPr>
        <w:t>重大危险源安全管理</w:t>
      </w:r>
    </w:p>
    <w:p w14:paraId="05FC0FE0">
      <w:pPr>
        <w:pStyle w:val="21"/>
        <w:adjustRightInd w:val="0"/>
        <w:snapToGrid w:val="0"/>
        <w:ind w:firstLine="560"/>
      </w:pPr>
      <w:r>
        <w:rPr>
          <w:rFonts w:hint="eastAsia"/>
        </w:rPr>
        <w:t>（1）该企业各级人员按照《危险化学品重大危险源监督管理暂行规定》熟悉各项安全管理规章制度，岗位操作人员熟知安全操作规程的内容，并对生产过程中的危险、有害因素有深刻认识，并熟练掌握本岗位的灭火、自救常识。</w:t>
      </w:r>
    </w:p>
    <w:p w14:paraId="31F9A532">
      <w:pPr>
        <w:pStyle w:val="21"/>
        <w:adjustRightInd w:val="0"/>
        <w:snapToGrid w:val="0"/>
        <w:ind w:firstLine="560"/>
      </w:pPr>
      <w:r>
        <w:rPr>
          <w:rFonts w:hint="eastAsia"/>
        </w:rPr>
        <w:t>（2）该企业对已确定的危险化学品重大危险源按照《危险化学品重大危险源监督管理暂行规定》落实重大危险源中关键生产设备、重点部位的责任人或者责任机构，并强化对重大危险源的安全生产状况进行定期检查，及时采取措施消除事故隐患。事故隐患难以立即排除的，应当及时制定治理方案，落实整改措施、责任、资金、时限和预案。</w:t>
      </w:r>
    </w:p>
    <w:p w14:paraId="51433812">
      <w:pPr>
        <w:pStyle w:val="21"/>
        <w:adjustRightInd w:val="0"/>
        <w:snapToGrid w:val="0"/>
        <w:ind w:firstLine="560"/>
      </w:pPr>
      <w:r>
        <w:rPr>
          <w:rFonts w:hint="eastAsia"/>
        </w:rPr>
        <w:t>（3）该企业按照《危险化学品重大危险源监督管理暂行规定》对重大危险源的管理和操作岗位人员进行安全操作技能培训，使其了解重大危险源的危险特性，熟悉重大危险源安全管理规章制度和安全操作规程，掌握本岗位的安全操作技能和应急措施。</w:t>
      </w:r>
    </w:p>
    <w:p w14:paraId="1ACADA44">
      <w:pPr>
        <w:pStyle w:val="21"/>
        <w:adjustRightInd w:val="0"/>
        <w:snapToGrid w:val="0"/>
        <w:ind w:firstLine="560"/>
      </w:pPr>
      <w:r>
        <w:rPr>
          <w:rFonts w:hint="eastAsia"/>
        </w:rPr>
        <w:t>（4）该企业的专职安全管理人员具有大专以上学历。企业内部定期开展岗位操作人员的安全知识和技能培训，提高岗位操作人员操作技能和安全意识。</w:t>
      </w:r>
    </w:p>
    <w:p w14:paraId="3D955F2D">
      <w:pPr>
        <w:pStyle w:val="21"/>
        <w:adjustRightInd w:val="0"/>
        <w:snapToGrid w:val="0"/>
        <w:ind w:firstLine="560"/>
      </w:pPr>
      <w:r>
        <w:rPr>
          <w:rFonts w:hint="eastAsia"/>
        </w:rPr>
        <w:t>（5）该企业根据本企业所涉及的危险化学品特性和《个体防护装备选用规范》的要求，为岗位操作人员发放适宜的劳动防护用品。通过现场勘察，岗位操作人员在进入生产现场时佩戴适合作业场所安全要求和作业特点的劳动防护用品。并且，现场定点存放的防护器具有专人负责保管，定期检查、维护和定期校验。</w:t>
      </w:r>
    </w:p>
    <w:p w14:paraId="4A737F35">
      <w:pPr>
        <w:pStyle w:val="21"/>
        <w:adjustRightInd w:val="0"/>
        <w:snapToGrid w:val="0"/>
        <w:ind w:firstLine="560"/>
      </w:pPr>
      <w:r>
        <w:rPr>
          <w:rFonts w:hint="eastAsia"/>
        </w:rPr>
        <w:t>（6）根据《危险化学品企业重大危险源安全包保责任制办法（试行）》第四条，该企业重大危险源的主要负责人对所包保的重大危险源履行下列安全职责：</w:t>
      </w:r>
      <w:r>
        <w:rPr>
          <w:rFonts w:hint="eastAsia" w:ascii="宋体" w:hAnsi="宋体"/>
        </w:rPr>
        <w:t>①</w:t>
      </w:r>
      <w:r>
        <w:rPr>
          <w:rFonts w:hint="eastAsia"/>
        </w:rPr>
        <w:t>组织建立重大危险源安全包保责任制并指定对重大危险源负有安全包保责任的技术负责人；</w:t>
      </w:r>
      <w:r>
        <w:rPr>
          <w:rFonts w:hint="eastAsia" w:ascii="宋体" w:hAnsi="宋体"/>
        </w:rPr>
        <w:t>②</w:t>
      </w:r>
      <w:r>
        <w:rPr>
          <w:rFonts w:hint="eastAsia"/>
        </w:rPr>
        <w:t>组织制定重大危险源安全生产规章制度和操作规程，并采取有效措施保证其得到执行；</w:t>
      </w:r>
      <w:r>
        <w:rPr>
          <w:rFonts w:hint="eastAsia" w:ascii="宋体" w:hAnsi="宋体"/>
        </w:rPr>
        <w:t>③</w:t>
      </w:r>
      <w:r>
        <w:rPr>
          <w:rFonts w:hint="eastAsia"/>
        </w:rPr>
        <w:t>组织对重大危险源的管理和操作岗位人员进行安全技能培训；</w:t>
      </w:r>
      <w:r>
        <w:rPr>
          <w:rFonts w:hint="eastAsia" w:ascii="宋体" w:hAnsi="宋体"/>
        </w:rPr>
        <w:t>④</w:t>
      </w:r>
      <w:r>
        <w:rPr>
          <w:rFonts w:hint="eastAsia"/>
        </w:rPr>
        <w:t>保证重大危险源安全生产所必需的安全投入；</w:t>
      </w:r>
      <w:r>
        <w:rPr>
          <w:rFonts w:hint="eastAsia" w:ascii="宋体" w:hAnsi="宋体"/>
        </w:rPr>
        <w:t>⑤</w:t>
      </w:r>
      <w:r>
        <w:rPr>
          <w:rFonts w:hint="eastAsia"/>
        </w:rPr>
        <w:t>督促、检查重大危险源安全生产工作；</w:t>
      </w:r>
      <w:r>
        <w:rPr>
          <w:rFonts w:hint="eastAsia" w:ascii="宋体" w:hAnsi="宋体"/>
        </w:rPr>
        <w:t>⑥</w:t>
      </w:r>
      <w:r>
        <w:rPr>
          <w:rFonts w:hint="eastAsia"/>
        </w:rPr>
        <w:t>组织制定并实施重大危险源生产安全事故应急救援预案；</w:t>
      </w:r>
      <w:r>
        <w:rPr>
          <w:rFonts w:hint="eastAsia" w:ascii="宋体" w:hAnsi="宋体"/>
        </w:rPr>
        <w:t>⑦</w:t>
      </w:r>
      <w:r>
        <w:rPr>
          <w:rFonts w:hint="eastAsia"/>
        </w:rPr>
        <w:t>组织通过危险化学品登记信息管理系统填报重大危险源有关信息，保证重大危险源安全监测监控有关数据接入危险化学品安全生产风险监测预警系统。</w:t>
      </w:r>
    </w:p>
    <w:p w14:paraId="6B6C0804">
      <w:pPr>
        <w:pStyle w:val="21"/>
        <w:adjustRightInd w:val="0"/>
        <w:snapToGrid w:val="0"/>
        <w:ind w:firstLine="560"/>
      </w:pPr>
      <w:r>
        <w:rPr>
          <w:rFonts w:hint="eastAsia"/>
        </w:rPr>
        <w:t>（7）根据《危险化学品企业重大危险源安全包保责任制办法（试行）》第五条，该企业重大危险源的技术负责人对所包保的重大危险源履行下列安全职责：</w:t>
      </w:r>
      <w:r>
        <w:rPr>
          <w:rFonts w:hint="eastAsia" w:ascii="宋体" w:hAnsi="宋体"/>
        </w:rPr>
        <w:t>①</w:t>
      </w:r>
      <w:r>
        <w:rPr>
          <w:rFonts w:hint="eastAsia"/>
        </w:rPr>
        <w:t>组织实施重大危险源安全监测监控体系建设，完善控制措施，保证安全监测监控系统符合国家标准或者行业标准的规定；</w:t>
      </w:r>
      <w:r>
        <w:rPr>
          <w:rFonts w:hint="eastAsia" w:ascii="宋体" w:hAnsi="宋体"/>
        </w:rPr>
        <w:t>②</w:t>
      </w:r>
      <w:r>
        <w:rPr>
          <w:rFonts w:hint="eastAsia"/>
        </w:rPr>
        <w:t>组织定期对安全设施和监测监控系统进行检测、检验，并进行经常性维护、保养，保证有效、可靠运行；</w:t>
      </w:r>
      <w:r>
        <w:rPr>
          <w:rFonts w:hint="eastAsia" w:ascii="宋体" w:hAnsi="宋体"/>
        </w:rPr>
        <w:t>③</w:t>
      </w:r>
      <w:r>
        <w:rPr>
          <w:rFonts w:hint="eastAsia"/>
        </w:rPr>
        <w:t>对于超过个人和社会可容许风险值限值标准的重大危险源，组织采取相应的降低风险措施，直至风险满足可容许风险标准要求；</w:t>
      </w:r>
      <w:r>
        <w:rPr>
          <w:rFonts w:hint="eastAsia" w:ascii="宋体" w:hAnsi="宋体"/>
        </w:rPr>
        <w:t>④</w:t>
      </w:r>
      <w:r>
        <w:rPr>
          <w:rFonts w:hint="eastAsia"/>
        </w:rPr>
        <w:t>组织审查涉及重大危险源的外来施工单位及人员的相关资质、安全管理等情况，审查涉及重大危险源的变更管理；</w:t>
      </w:r>
      <w:r>
        <w:rPr>
          <w:rFonts w:hint="eastAsia" w:ascii="宋体" w:hAnsi="宋体"/>
        </w:rPr>
        <w:t>⑤</w:t>
      </w:r>
      <w:r>
        <w:rPr>
          <w:rFonts w:hint="eastAsia"/>
        </w:rPr>
        <w:t>每季度至少组织对重大危险源进行一次针对性安全风险隐患排查，重大活动、重点时段和节假日前必须进行重大危险源安全风险隐患排查，制定管控措施和治理方案并监督落实；</w:t>
      </w:r>
      <w:r>
        <w:rPr>
          <w:rFonts w:hint="eastAsia" w:ascii="宋体" w:hAnsi="宋体"/>
        </w:rPr>
        <w:t>⑥</w:t>
      </w:r>
      <w:r>
        <w:rPr>
          <w:rFonts w:hint="eastAsia"/>
        </w:rPr>
        <w:t>组织演练重大危险源专项应急预案和现场处置方案。</w:t>
      </w:r>
    </w:p>
    <w:p w14:paraId="1FE78249">
      <w:pPr>
        <w:pStyle w:val="21"/>
        <w:adjustRightInd w:val="0"/>
        <w:snapToGrid w:val="0"/>
        <w:ind w:firstLine="560"/>
      </w:pPr>
      <w:r>
        <w:rPr>
          <w:rFonts w:hint="eastAsia"/>
        </w:rPr>
        <w:t>（8）根据《危险化学品企业重大危险源安全包保责任制办法（试行）》第六条，该企业重大危险源</w:t>
      </w:r>
      <w:r>
        <w:rPr>
          <w:rFonts w:hint="eastAsia"/>
          <w:highlight w:val="none"/>
        </w:rPr>
        <w:t>的操作负责人对所包</w:t>
      </w:r>
      <w:r>
        <w:rPr>
          <w:rFonts w:hint="eastAsia"/>
        </w:rPr>
        <w:t>保的重大危险源履行下列安全职责：</w:t>
      </w:r>
      <w:r>
        <w:rPr>
          <w:rFonts w:hint="eastAsia" w:ascii="宋体" w:hAnsi="宋体"/>
        </w:rPr>
        <w:t>①</w:t>
      </w:r>
      <w:r>
        <w:rPr>
          <w:rFonts w:hint="eastAsia"/>
        </w:rPr>
        <w:t>负责督促检查各岗位严格执行重大危险源安全生产规章制度和操作规程；</w:t>
      </w:r>
      <w:r>
        <w:rPr>
          <w:rFonts w:hint="eastAsia" w:ascii="宋体" w:hAnsi="宋体"/>
        </w:rPr>
        <w:t>②</w:t>
      </w:r>
      <w:r>
        <w:rPr>
          <w:rFonts w:hint="eastAsia"/>
        </w:rPr>
        <w:t>对涉及重大危险源的特殊作业、检维修作业等进行监督检查，督促落实作业安全管控措施；</w:t>
      </w:r>
      <w:r>
        <w:rPr>
          <w:rFonts w:hint="eastAsia" w:ascii="宋体" w:hAnsi="宋体"/>
        </w:rPr>
        <w:t>③</w:t>
      </w:r>
      <w:r>
        <w:rPr>
          <w:rFonts w:hint="eastAsia"/>
        </w:rPr>
        <w:t>每周至少组织一次重大危险源安全风险隐患排查；</w:t>
      </w:r>
      <w:r>
        <w:rPr>
          <w:rFonts w:hint="eastAsia" w:ascii="宋体" w:hAnsi="宋体"/>
        </w:rPr>
        <w:t>④</w:t>
      </w:r>
      <w:r>
        <w:rPr>
          <w:rFonts w:hint="eastAsia"/>
        </w:rPr>
        <w:t>及时采取措施消除重大危险源事故隐患。</w:t>
      </w:r>
    </w:p>
    <w:p w14:paraId="5328762C">
      <w:pPr>
        <w:pStyle w:val="21"/>
        <w:adjustRightInd w:val="0"/>
        <w:snapToGrid w:val="0"/>
        <w:ind w:firstLine="560"/>
        <w:rPr>
          <w:highlight w:val="none"/>
        </w:rPr>
      </w:pPr>
      <w:r>
        <w:rPr>
          <w:rFonts w:hint="eastAsia"/>
          <w:highlight w:val="none"/>
        </w:rPr>
        <w:t>（9）根据《危险化学品企业重大危险源安全包保责任制办法（试行）》第七条，该企业在重大危险源安全警示标志位置设立公示牌，写明重大危险源的主要负责人、技术负责人、操作负责人姓名、对应的安全包保职责及联系方式，接受员工监督。</w:t>
      </w:r>
    </w:p>
    <w:p w14:paraId="03357C80">
      <w:pPr>
        <w:pStyle w:val="21"/>
        <w:adjustRightInd w:val="0"/>
        <w:snapToGrid w:val="0"/>
        <w:ind w:firstLine="560"/>
      </w:pPr>
      <w:r>
        <w:rPr>
          <w:rFonts w:hint="eastAsia"/>
        </w:rPr>
        <w:t>重大危险源安全包保责任人、联系方式录入全国危险化学品登记信息管理系统，并向所在地应急管理部门报备，相关信息变更的，应当于变更后5日内在全国危险化学品登记信息管理系统中更新。</w:t>
      </w:r>
    </w:p>
    <w:p w14:paraId="33A48504">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7.1.2</w:t>
      </w:r>
      <w:r>
        <w:rPr>
          <w:rFonts w:hint="eastAsia" w:ascii="黑体" w:hAnsi="黑体" w:eastAsia="黑体"/>
          <w:b/>
          <w:bCs/>
        </w:rPr>
        <w:t>重大危险源应急管理</w:t>
      </w:r>
    </w:p>
    <w:p w14:paraId="222F7963">
      <w:pPr>
        <w:pStyle w:val="21"/>
        <w:adjustRightInd w:val="0"/>
        <w:snapToGrid w:val="0"/>
        <w:ind w:firstLine="560"/>
      </w:pPr>
      <w:r>
        <w:rPr>
          <w:rFonts w:hint="eastAsia"/>
        </w:rPr>
        <w:t>（1）</w:t>
      </w:r>
      <w:r>
        <w:rPr>
          <w:rFonts w:hint="eastAsia"/>
          <w:lang w:eastAsia="zh-CN"/>
        </w:rPr>
        <w:t>朝阳金达钛业股份有限公司</w:t>
      </w:r>
      <w:r>
        <w:rPr>
          <w:rFonts w:hint="eastAsia"/>
        </w:rPr>
        <w:t>将重大危险源可能发生的事故后果和应急措施等信息告知周边的企业。</w:t>
      </w:r>
    </w:p>
    <w:p w14:paraId="1250A2A2">
      <w:pPr>
        <w:pStyle w:val="21"/>
        <w:adjustRightInd w:val="0"/>
        <w:snapToGrid w:val="0"/>
        <w:ind w:firstLine="560"/>
      </w:pPr>
      <w:r>
        <w:rPr>
          <w:rFonts w:hint="eastAsia"/>
        </w:rPr>
        <w:t>（2）</w:t>
      </w:r>
      <w:r>
        <w:rPr>
          <w:rFonts w:hint="eastAsia"/>
          <w:lang w:eastAsia="zh-CN"/>
        </w:rPr>
        <w:t>朝阳金达钛业股份有限公司</w:t>
      </w:r>
      <w:r>
        <w:rPr>
          <w:rFonts w:hint="eastAsia"/>
        </w:rPr>
        <w:t>按照《危险化学品重大危险源监督管理暂行规定》的规定制定危险化学品重大危险源专项事故应急预案，组建应急救援组织或者配备应急救援人员，配备必要的防护装备及应急救援器材、设备、物资，并保障其完好和方便使用；并配合当地应急管理部门制定所在地区涉及本单位的危险化学品事故应急预案。</w:t>
      </w:r>
    </w:p>
    <w:p w14:paraId="3A7BE842">
      <w:pPr>
        <w:pStyle w:val="21"/>
        <w:adjustRightInd w:val="0"/>
        <w:snapToGrid w:val="0"/>
        <w:ind w:firstLine="560"/>
      </w:pPr>
      <w:r>
        <w:rPr>
          <w:rFonts w:hint="eastAsia"/>
        </w:rPr>
        <w:t>（3）</w:t>
      </w:r>
      <w:r>
        <w:rPr>
          <w:rFonts w:hint="eastAsia"/>
          <w:lang w:eastAsia="zh-CN"/>
        </w:rPr>
        <w:t>朝阳金达钛业股份有限公司</w:t>
      </w:r>
      <w:r>
        <w:rPr>
          <w:rFonts w:hint="eastAsia"/>
        </w:rPr>
        <w:t>按照《危险化学品重大危险源监督管理暂行规定》的规定编制重大危险源事故应急预案演练计划，每年进行事故应急预案演练。应急预案演练结束后，</w:t>
      </w:r>
      <w:r>
        <w:rPr>
          <w:rFonts w:hint="eastAsia"/>
          <w:lang w:eastAsia="zh-CN"/>
        </w:rPr>
        <w:t>朝阳金达钛业股份有限公司</w:t>
      </w:r>
      <w:r>
        <w:rPr>
          <w:rFonts w:hint="eastAsia"/>
        </w:rPr>
        <w:t>对应急预案演练效果进行评估，并编写应急预案演练评估报告，分析存在的问题，对应急预案提出修订意见，并及时修订完善。</w:t>
      </w:r>
    </w:p>
    <w:p w14:paraId="22D4AC75">
      <w:pPr>
        <w:pStyle w:val="21"/>
        <w:adjustRightInd w:val="0"/>
        <w:snapToGrid w:val="0"/>
        <w:ind w:firstLine="560"/>
      </w:pPr>
      <w:r>
        <w:rPr>
          <w:rFonts w:hint="eastAsia"/>
        </w:rPr>
        <w:t>（4）</w:t>
      </w:r>
      <w:r>
        <w:rPr>
          <w:rFonts w:hint="eastAsia"/>
          <w:lang w:eastAsia="zh-CN"/>
        </w:rPr>
        <w:t>朝阳金达钛业股份有限公司</w:t>
      </w:r>
      <w:r>
        <w:rPr>
          <w:rFonts w:hint="eastAsia"/>
        </w:rPr>
        <w:t>的应急管理注重强化事故应急前期处置，注重现场安全风险科学评估和精准管控，力争在最短时间内将事故消灭在萌芽状态，控制在最小范围内，避免盲目施救和处置不当导致事故后果升级扩大。</w:t>
      </w:r>
    </w:p>
    <w:p w14:paraId="39F3125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7.1.3</w:t>
      </w:r>
      <w:r>
        <w:rPr>
          <w:rFonts w:hint="eastAsia" w:ascii="黑体" w:hAnsi="黑体" w:eastAsia="黑体"/>
          <w:b/>
          <w:bCs/>
        </w:rPr>
        <w:t>重大危险源档案管理</w:t>
      </w:r>
    </w:p>
    <w:p w14:paraId="269FAD01">
      <w:pPr>
        <w:pStyle w:val="21"/>
        <w:adjustRightInd w:val="0"/>
        <w:snapToGrid w:val="0"/>
        <w:ind w:firstLine="560"/>
      </w:pPr>
      <w:r>
        <w:rPr>
          <w:rFonts w:hint="eastAsia"/>
        </w:rPr>
        <w:t>（1）</w:t>
      </w:r>
      <w:r>
        <w:rPr>
          <w:rFonts w:hint="eastAsia"/>
          <w:lang w:eastAsia="zh-CN"/>
        </w:rPr>
        <w:t>朝阳金达钛业股份有限公司</w:t>
      </w:r>
      <w:r>
        <w:rPr>
          <w:rFonts w:hint="eastAsia"/>
        </w:rPr>
        <w:t>按照《危险化学品重大危险源监督管理暂行规定》对危险化学品重大危险源进行登记建档。完善重大危险源档案下列文件、资料：</w:t>
      </w:r>
    </w:p>
    <w:p w14:paraId="56BCC964">
      <w:pPr>
        <w:pStyle w:val="21"/>
        <w:adjustRightInd w:val="0"/>
        <w:snapToGrid w:val="0"/>
        <w:ind w:firstLine="560"/>
      </w:pPr>
      <w:r>
        <w:rPr>
          <w:rFonts w:hint="eastAsia" w:ascii="宋体" w:hAnsi="宋体"/>
        </w:rPr>
        <w:t>①</w:t>
      </w:r>
      <w:r>
        <w:rPr>
          <w:rFonts w:hint="eastAsia"/>
        </w:rPr>
        <w:t>辨识、分级记录；</w:t>
      </w:r>
    </w:p>
    <w:p w14:paraId="2386ECDA">
      <w:pPr>
        <w:pStyle w:val="21"/>
        <w:adjustRightInd w:val="0"/>
        <w:snapToGrid w:val="0"/>
        <w:ind w:firstLine="560"/>
      </w:pPr>
      <w:r>
        <w:rPr>
          <w:rFonts w:hint="eastAsia" w:ascii="宋体" w:hAnsi="宋体"/>
        </w:rPr>
        <w:t>②</w:t>
      </w:r>
      <w:r>
        <w:rPr>
          <w:rFonts w:hint="eastAsia"/>
        </w:rPr>
        <w:t>重大危险源基本特征表；</w:t>
      </w:r>
    </w:p>
    <w:p w14:paraId="0A3933C7">
      <w:pPr>
        <w:pStyle w:val="21"/>
        <w:adjustRightInd w:val="0"/>
        <w:snapToGrid w:val="0"/>
        <w:ind w:firstLine="560"/>
      </w:pPr>
      <w:r>
        <w:rPr>
          <w:rFonts w:hint="eastAsia" w:ascii="宋体" w:hAnsi="宋体"/>
        </w:rPr>
        <w:t>③</w:t>
      </w:r>
      <w:r>
        <w:rPr>
          <w:rFonts w:hint="eastAsia"/>
        </w:rPr>
        <w:t>涉及的所有化学品安全技术说明书；</w:t>
      </w:r>
    </w:p>
    <w:p w14:paraId="4F83FED5">
      <w:pPr>
        <w:pStyle w:val="21"/>
        <w:adjustRightInd w:val="0"/>
        <w:snapToGrid w:val="0"/>
        <w:ind w:firstLine="560"/>
      </w:pPr>
      <w:r>
        <w:rPr>
          <w:rFonts w:hint="eastAsia" w:ascii="宋体" w:hAnsi="宋体"/>
        </w:rPr>
        <w:t>④</w:t>
      </w:r>
      <w:r>
        <w:rPr>
          <w:rFonts w:hint="eastAsia"/>
        </w:rPr>
        <w:t>区域位置图、平面布置图、工艺流程图和主要设备一览表；</w:t>
      </w:r>
    </w:p>
    <w:p w14:paraId="15D40B4C">
      <w:pPr>
        <w:pStyle w:val="21"/>
        <w:adjustRightInd w:val="0"/>
        <w:snapToGrid w:val="0"/>
        <w:ind w:firstLine="560"/>
      </w:pPr>
      <w:r>
        <w:rPr>
          <w:rFonts w:hint="eastAsia" w:ascii="宋体" w:hAnsi="宋体"/>
        </w:rPr>
        <w:t>⑤</w:t>
      </w:r>
      <w:r>
        <w:rPr>
          <w:rFonts w:hint="eastAsia"/>
        </w:rPr>
        <w:t>重大危险源安全管理规章制度及安全操作规程；</w:t>
      </w:r>
    </w:p>
    <w:p w14:paraId="02C214E4">
      <w:pPr>
        <w:pStyle w:val="21"/>
        <w:adjustRightInd w:val="0"/>
        <w:snapToGrid w:val="0"/>
        <w:ind w:firstLine="560"/>
      </w:pPr>
      <w:r>
        <w:rPr>
          <w:rFonts w:hint="eastAsia" w:ascii="宋体" w:hAnsi="宋体"/>
        </w:rPr>
        <w:t>⑥</w:t>
      </w:r>
      <w:r>
        <w:rPr>
          <w:rFonts w:hint="eastAsia"/>
        </w:rPr>
        <w:t>安全监测监控系统、措施说明、检测、检验结果；</w:t>
      </w:r>
    </w:p>
    <w:p w14:paraId="6AA81DBB">
      <w:pPr>
        <w:pStyle w:val="21"/>
        <w:adjustRightInd w:val="0"/>
        <w:snapToGrid w:val="0"/>
        <w:ind w:firstLine="560"/>
      </w:pPr>
      <w:r>
        <w:rPr>
          <w:rFonts w:hint="eastAsia" w:ascii="宋体" w:hAnsi="宋体"/>
        </w:rPr>
        <w:t>⑦</w:t>
      </w:r>
      <w:r>
        <w:rPr>
          <w:rFonts w:hint="eastAsia"/>
        </w:rPr>
        <w:t>重大危险源事故应急预案、评审意见、演练计划和评估报告；</w:t>
      </w:r>
    </w:p>
    <w:p w14:paraId="4E8983E6">
      <w:pPr>
        <w:pStyle w:val="21"/>
        <w:adjustRightInd w:val="0"/>
        <w:snapToGrid w:val="0"/>
        <w:ind w:firstLine="560"/>
      </w:pPr>
      <w:r>
        <w:rPr>
          <w:rFonts w:hint="eastAsia" w:ascii="宋体" w:hAnsi="宋体"/>
        </w:rPr>
        <w:t>⑧</w:t>
      </w:r>
      <w:r>
        <w:rPr>
          <w:rFonts w:hint="eastAsia"/>
        </w:rPr>
        <w:t>重大危险源安全评估报告；</w:t>
      </w:r>
    </w:p>
    <w:p w14:paraId="552F2258">
      <w:pPr>
        <w:pStyle w:val="21"/>
        <w:adjustRightInd w:val="0"/>
        <w:snapToGrid w:val="0"/>
        <w:ind w:firstLine="560"/>
        <w:rPr>
          <w:rFonts w:hint="eastAsia" w:eastAsia="宋体"/>
          <w:lang w:eastAsia="zh-CN"/>
        </w:rPr>
      </w:pPr>
      <w:r>
        <w:rPr>
          <w:rFonts w:hint="eastAsia" w:ascii="宋体" w:hAnsi="宋体"/>
        </w:rPr>
        <w:t>⑨</w:t>
      </w:r>
      <w:r>
        <w:rPr>
          <w:rFonts w:hint="eastAsia"/>
        </w:rPr>
        <w:t>重大危险源关键装置、重点部位的责任人、责任机构名称</w:t>
      </w:r>
      <w:r>
        <w:rPr>
          <w:rFonts w:hint="eastAsia"/>
          <w:lang w:eastAsia="zh-CN"/>
        </w:rPr>
        <w:t>；</w:t>
      </w:r>
    </w:p>
    <w:p w14:paraId="44435D4D">
      <w:pPr>
        <w:pStyle w:val="21"/>
        <w:adjustRightInd w:val="0"/>
        <w:snapToGrid w:val="0"/>
        <w:ind w:firstLine="560"/>
      </w:pPr>
      <w:r>
        <w:rPr>
          <w:rFonts w:hint="eastAsia" w:ascii="宋体" w:hAnsi="宋体"/>
        </w:rPr>
        <w:t>⑩</w:t>
      </w:r>
      <w:r>
        <w:rPr>
          <w:rFonts w:hint="eastAsia"/>
        </w:rPr>
        <w:t>重大危险源场所安全警示标志的设置情况；</w:t>
      </w:r>
    </w:p>
    <w:p w14:paraId="675F3C3F">
      <w:pPr>
        <w:pStyle w:val="21"/>
        <w:adjustRightInd w:val="0"/>
        <w:snapToGrid w:val="0"/>
        <w:ind w:firstLine="560"/>
      </w:pPr>
      <w:r>
        <w:rPr>
          <w:rFonts w:hint="eastAsia" w:ascii="宋体" w:hAnsi="宋体" w:eastAsia="宋体"/>
        </w:rPr>
        <w:t>⑪</w:t>
      </w:r>
      <w:r>
        <w:rPr>
          <w:rFonts w:hint="eastAsia"/>
        </w:rPr>
        <w:t>其他重大危险源相关文件、资料。</w:t>
      </w:r>
    </w:p>
    <w:p w14:paraId="08F2007E">
      <w:pPr>
        <w:pStyle w:val="21"/>
        <w:adjustRightInd w:val="0"/>
        <w:snapToGrid w:val="0"/>
        <w:ind w:firstLine="560"/>
      </w:pPr>
      <w:r>
        <w:rPr>
          <w:rFonts w:hint="eastAsia"/>
        </w:rPr>
        <w:t>（2）</w:t>
      </w:r>
      <w:r>
        <w:rPr>
          <w:rFonts w:hint="eastAsia"/>
          <w:lang w:eastAsia="zh-CN"/>
        </w:rPr>
        <w:t>朝阳金达钛业股份有限公司</w:t>
      </w:r>
      <w:r>
        <w:rPr>
          <w:rFonts w:hint="eastAsia"/>
        </w:rPr>
        <w:t>按照《危险化学品重大危险源监督管理暂行规定》完成重大危险源的辨识、安全评估和分级、登记建档工作，并向所在地县级以上人民政府应急管理部门备案，并做好每三年重新进行一次评估。</w:t>
      </w:r>
    </w:p>
    <w:p w14:paraId="777A7573">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7.1.4</w:t>
      </w:r>
      <w:r>
        <w:rPr>
          <w:rFonts w:hint="eastAsia" w:ascii="黑体" w:hAnsi="黑体" w:eastAsia="黑体"/>
          <w:b/>
          <w:bCs/>
        </w:rPr>
        <w:t>重大危险源隐患管理</w:t>
      </w:r>
    </w:p>
    <w:p w14:paraId="3BD5FAAF">
      <w:pPr>
        <w:pStyle w:val="21"/>
        <w:adjustRightInd w:val="0"/>
        <w:snapToGrid w:val="0"/>
        <w:ind w:firstLine="560"/>
      </w:pPr>
      <w:r>
        <w:rPr>
          <w:rFonts w:hint="eastAsia"/>
        </w:rPr>
        <w:t>（1）建立和完善排查风险和隐患的方式方法与体制机制，确保排查深入、科学、准确、全面。具体内容如下：</w:t>
      </w:r>
    </w:p>
    <w:p w14:paraId="1AFEDE99">
      <w:pPr>
        <w:pStyle w:val="21"/>
        <w:adjustRightInd w:val="0"/>
        <w:snapToGrid w:val="0"/>
        <w:ind w:firstLine="560"/>
      </w:pPr>
      <w:r>
        <w:rPr>
          <w:rFonts w:hint="eastAsia" w:ascii="宋体" w:hAnsi="宋体"/>
        </w:rPr>
        <w:t>①</w:t>
      </w:r>
      <w:r>
        <w:rPr>
          <w:rFonts w:hint="eastAsia"/>
        </w:rPr>
        <w:t>及时收集、认真分析国内外各类典型事故案例，对照实际情况，借鉴事故教训，举一反三，查找存在的风险漏洞与薄弱环节。</w:t>
      </w:r>
    </w:p>
    <w:p w14:paraId="3EAE50F3">
      <w:pPr>
        <w:pStyle w:val="21"/>
        <w:adjustRightInd w:val="0"/>
        <w:snapToGrid w:val="0"/>
        <w:ind w:firstLine="560"/>
      </w:pPr>
      <w:r>
        <w:rPr>
          <w:rFonts w:hint="eastAsia" w:ascii="宋体" w:hAnsi="宋体"/>
        </w:rPr>
        <w:t>②</w:t>
      </w:r>
      <w:r>
        <w:rPr>
          <w:rFonts w:hint="eastAsia"/>
        </w:rPr>
        <w:t>抓住泄漏、火灾、爆炸、中毒、窒息等致灾因素，结合危险化学品存在量大小，科学、准确的评估事故可能影响范围，排查可能存在的重大风险和隐患。</w:t>
      </w:r>
    </w:p>
    <w:p w14:paraId="40644B0D">
      <w:pPr>
        <w:pStyle w:val="21"/>
        <w:adjustRightInd w:val="0"/>
        <w:snapToGrid w:val="0"/>
        <w:ind w:firstLine="560"/>
      </w:pPr>
      <w:r>
        <w:rPr>
          <w:rFonts w:hint="eastAsia" w:ascii="宋体" w:hAnsi="宋体"/>
        </w:rPr>
        <w:t>③</w:t>
      </w:r>
      <w:r>
        <w:rPr>
          <w:rFonts w:hint="eastAsia"/>
        </w:rPr>
        <w:t>盯紧动火、受限空间作业等特殊作业环节，排查特殊作业的风险评价、控制措施和安全规程。</w:t>
      </w:r>
    </w:p>
    <w:p w14:paraId="62A00438">
      <w:pPr>
        <w:pStyle w:val="21"/>
        <w:adjustRightInd w:val="0"/>
        <w:snapToGrid w:val="0"/>
        <w:ind w:firstLine="560"/>
      </w:pPr>
      <w:r>
        <w:rPr>
          <w:rFonts w:hint="eastAsia" w:ascii="宋体" w:hAnsi="宋体"/>
        </w:rPr>
        <w:t>④</w:t>
      </w:r>
      <w:r>
        <w:rPr>
          <w:rFonts w:hint="eastAsia"/>
        </w:rPr>
        <w:t>坚持底线思维，按照事故后果最大化原则，排查可能存在的风险和隐患，严防“想不到”的问题现象。</w:t>
      </w:r>
    </w:p>
    <w:p w14:paraId="2FCEB1A9">
      <w:pPr>
        <w:pStyle w:val="21"/>
        <w:adjustRightInd w:val="0"/>
        <w:snapToGrid w:val="0"/>
        <w:ind w:firstLine="560"/>
      </w:pPr>
      <w:r>
        <w:rPr>
          <w:rFonts w:hint="eastAsia"/>
        </w:rPr>
        <w:t>（2）</w:t>
      </w:r>
      <w:r>
        <w:rPr>
          <w:rFonts w:hint="eastAsia"/>
          <w:lang w:eastAsia="zh-CN"/>
        </w:rPr>
        <w:t>朝阳金达钛业股份有限公司</w:t>
      </w:r>
      <w:r>
        <w:rPr>
          <w:rFonts w:hint="eastAsia"/>
        </w:rPr>
        <w:t>按照《危险化学品重大危险源监督管理暂行规定》检查本单位重大危险源安全管理情况，对于不符合规定的，立即组织整改。</w:t>
      </w:r>
    </w:p>
    <w:p w14:paraId="278267A7">
      <w:pPr>
        <w:pStyle w:val="21"/>
        <w:adjustRightInd w:val="0"/>
        <w:snapToGrid w:val="0"/>
        <w:ind w:firstLine="560"/>
      </w:pPr>
      <w:r>
        <w:rPr>
          <w:rFonts w:hint="eastAsia"/>
        </w:rPr>
        <w:t>（3）</w:t>
      </w:r>
      <w:r>
        <w:rPr>
          <w:rFonts w:hint="eastAsia"/>
          <w:lang w:eastAsia="zh-CN"/>
        </w:rPr>
        <w:t>朝阳金达钛业股份有限公司</w:t>
      </w:r>
      <w:r>
        <w:rPr>
          <w:rFonts w:hint="eastAsia"/>
        </w:rPr>
        <w:t>应不断加强安全管理。按照《化工企业工艺安全管理实施导则》的要求，注重收集危险化学品的安全信息、开展化工过程危害分析、完善操作规程、加强人员培训、加强承包商安全管理、加强动火及进入受限空间等特殊作业管理、机械仪表电气设备完好性、公用工程可靠性、变更管理、事故查处及应急管理等方面，逐步提高化工生产过程安全管理水平。</w:t>
      </w:r>
    </w:p>
    <w:p w14:paraId="50CF418A">
      <w:pPr>
        <w:pStyle w:val="21"/>
        <w:adjustRightInd w:val="0"/>
        <w:snapToGrid w:val="0"/>
        <w:ind w:firstLine="560"/>
      </w:pPr>
      <w:r>
        <w:rPr>
          <w:rFonts w:hint="eastAsia"/>
        </w:rPr>
        <w:t>（4）</w:t>
      </w:r>
      <w:r>
        <w:rPr>
          <w:rFonts w:hint="eastAsia"/>
          <w:lang w:eastAsia="zh-CN"/>
        </w:rPr>
        <w:t>朝阳金达钛业股份有限公司</w:t>
      </w:r>
      <w:r>
        <w:rPr>
          <w:rFonts w:hint="eastAsia"/>
        </w:rPr>
        <w:t>应全面开展隐患排查治理工作，明确责任部门、完善工作制度，确保隐患排查治理横向到边、纵向到底、全面覆盖、不留死角，实现隐患排查治理工作制度化、规范化、常态化。</w:t>
      </w:r>
    </w:p>
    <w:p w14:paraId="2C8AEFC7">
      <w:pPr>
        <w:pStyle w:val="21"/>
        <w:adjustRightInd w:val="0"/>
        <w:snapToGrid w:val="0"/>
        <w:ind w:firstLine="560"/>
      </w:pPr>
      <w:r>
        <w:rPr>
          <w:rFonts w:hint="eastAsia"/>
        </w:rPr>
        <w:t>（5）根据《国务院安委会办公室关于印发标本兼治遏制重特大事故工作指南的通知》，</w:t>
      </w:r>
      <w:r>
        <w:rPr>
          <w:rFonts w:hint="eastAsia"/>
          <w:lang w:eastAsia="zh-CN"/>
        </w:rPr>
        <w:t>朝阳金达钛业股份有限公司</w:t>
      </w:r>
      <w:r>
        <w:rPr>
          <w:rFonts w:hint="eastAsia"/>
        </w:rPr>
        <w:t>持标本兼治、综合治理，把安全风险管控挺在隐患前面，把隐患排查治理挺在事故前面，扎实构建事故应急救援最后一道防线。加强过程管控，通过构建隐患排查治理体系和闭环管理制度，及时发现和消除各类事故隐患，防患于未然。</w:t>
      </w:r>
    </w:p>
    <w:p w14:paraId="5D3DDCF7">
      <w:pPr>
        <w:pStyle w:val="21"/>
        <w:adjustRightInd w:val="0"/>
        <w:snapToGrid w:val="0"/>
        <w:ind w:firstLine="560"/>
      </w:pPr>
      <w:r>
        <w:rPr>
          <w:rFonts w:hint="eastAsia"/>
        </w:rPr>
        <w:t>（6）</w:t>
      </w:r>
      <w:r>
        <w:rPr>
          <w:rFonts w:hint="eastAsia"/>
          <w:lang w:eastAsia="zh-CN"/>
        </w:rPr>
        <w:t>朝阳金达钛业股份有限公司</w:t>
      </w:r>
      <w:r>
        <w:rPr>
          <w:rFonts w:hint="eastAsia"/>
        </w:rPr>
        <w:t>应当结合安全生产标准化建设、风险分级管控和隐患排查治理体系建设，运用信息化工具，加强重大危险源安全管理。</w:t>
      </w:r>
    </w:p>
    <w:p w14:paraId="5A94E4E9">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1" w:name="_Toc29628"/>
      <w:r>
        <w:rPr>
          <w:rFonts w:eastAsia="楷体" w:cs="Times New Roman"/>
          <w:b/>
          <w:bCs/>
          <w:sz w:val="32"/>
          <w:szCs w:val="32"/>
        </w:rPr>
        <w:t>7.2</w:t>
      </w:r>
      <w:r>
        <w:rPr>
          <w:rFonts w:hint="eastAsia" w:ascii="楷体" w:hAnsi="楷体" w:eastAsia="楷体"/>
          <w:b/>
          <w:bCs/>
          <w:sz w:val="32"/>
          <w:szCs w:val="32"/>
        </w:rPr>
        <w:t>安全技术和监控措施</w:t>
      </w:r>
      <w:bookmarkEnd w:id="41"/>
    </w:p>
    <w:p w14:paraId="23E26D4F">
      <w:pPr>
        <w:pStyle w:val="21"/>
        <w:adjustRightInd w:val="0"/>
        <w:snapToGrid w:val="0"/>
        <w:ind w:firstLine="560"/>
        <w:rPr>
          <w:rFonts w:hint="eastAsia"/>
        </w:rPr>
      </w:pPr>
      <w:r>
        <w:rPr>
          <w:rFonts w:hint="eastAsia"/>
        </w:rPr>
        <w:t>（1）生产装置工艺技术措施</w:t>
      </w:r>
    </w:p>
    <w:p w14:paraId="6FE3C5E3">
      <w:pPr>
        <w:pStyle w:val="21"/>
        <w:adjustRightInd w:val="0"/>
        <w:snapToGrid w:val="0"/>
        <w:ind w:firstLine="560"/>
        <w:rPr>
          <w:rFonts w:hint="eastAsia"/>
        </w:rPr>
      </w:pPr>
      <w:r>
        <w:rPr>
          <w:rFonts w:hint="eastAsia"/>
          <w:lang w:eastAsia="zh-CN"/>
        </w:rPr>
        <w:t>朝阳金达钛业股份有限公司</w:t>
      </w:r>
      <w:r>
        <w:rPr>
          <w:rFonts w:hint="eastAsia"/>
        </w:rPr>
        <w:t>采用的工艺均为国内具有多年运行经验的成熟工艺，不存在国家明令淘汰的落后工艺和技术。</w:t>
      </w:r>
    </w:p>
    <w:p w14:paraId="27D60B5B">
      <w:pPr>
        <w:pStyle w:val="21"/>
        <w:adjustRightInd w:val="0"/>
        <w:snapToGrid w:val="0"/>
        <w:ind w:firstLine="560"/>
        <w:rPr>
          <w:rFonts w:hint="eastAsia"/>
        </w:rPr>
      </w:pPr>
      <w:r>
        <w:rPr>
          <w:rFonts w:hint="eastAsia"/>
        </w:rPr>
        <w:t>（2）设备安全措施</w:t>
      </w:r>
    </w:p>
    <w:p w14:paraId="069E9F69">
      <w:pPr>
        <w:pStyle w:val="21"/>
        <w:adjustRightInd w:val="0"/>
        <w:snapToGrid w:val="0"/>
        <w:ind w:firstLine="560"/>
        <w:rPr>
          <w:rFonts w:hint="eastAsia"/>
        </w:rPr>
      </w:pPr>
      <w:r>
        <w:rPr>
          <w:rFonts w:hint="eastAsia"/>
        </w:rPr>
        <w:t>①储罐、管道等设备及配件的选用严格执行了有关工程设计规范，符合安全工艺条件。</w:t>
      </w:r>
    </w:p>
    <w:p w14:paraId="4A952AE2">
      <w:pPr>
        <w:pStyle w:val="21"/>
        <w:adjustRightInd w:val="0"/>
        <w:snapToGrid w:val="0"/>
        <w:ind w:firstLine="560"/>
        <w:rPr>
          <w:rFonts w:hint="eastAsia"/>
        </w:rPr>
      </w:pPr>
      <w:r>
        <w:rPr>
          <w:rFonts w:hint="eastAsia"/>
        </w:rPr>
        <w:t>②企业安全管理部门根据设备设施情况编制了设备设施管理制度，现场设备管理符合其相关制度规定，实行挂牌、巡检，有巡检记录、操作记录和交接班日记，场地清洁，无明显泄漏。</w:t>
      </w:r>
    </w:p>
    <w:p w14:paraId="12773312">
      <w:pPr>
        <w:pStyle w:val="21"/>
        <w:adjustRightInd w:val="0"/>
        <w:snapToGrid w:val="0"/>
        <w:ind w:firstLine="560"/>
        <w:rPr>
          <w:rFonts w:hint="eastAsia"/>
        </w:rPr>
      </w:pPr>
      <w:r>
        <w:rPr>
          <w:rFonts w:hint="eastAsia"/>
        </w:rPr>
        <w:t>③其安全附件定期校验。</w:t>
      </w:r>
    </w:p>
    <w:p w14:paraId="0207FCA6">
      <w:pPr>
        <w:pStyle w:val="21"/>
        <w:adjustRightInd w:val="0"/>
        <w:snapToGrid w:val="0"/>
        <w:ind w:firstLine="560"/>
        <w:rPr>
          <w:rFonts w:hint="eastAsia"/>
        </w:rPr>
      </w:pPr>
      <w:r>
        <w:rPr>
          <w:rFonts w:hint="eastAsia"/>
        </w:rPr>
        <w:t>（</w:t>
      </w:r>
      <w:r>
        <w:rPr>
          <w:rFonts w:hint="eastAsia"/>
          <w:lang w:val="en-US" w:eastAsia="zh-CN"/>
        </w:rPr>
        <w:t>3</w:t>
      </w:r>
      <w:r>
        <w:rPr>
          <w:rFonts w:hint="eastAsia"/>
        </w:rPr>
        <w:t>）装置、设备和设施的运行</w:t>
      </w:r>
    </w:p>
    <w:p w14:paraId="48A1ABC9">
      <w:pPr>
        <w:pStyle w:val="21"/>
        <w:adjustRightInd w:val="0"/>
        <w:snapToGrid w:val="0"/>
        <w:ind w:firstLine="560"/>
        <w:rPr>
          <w:rFonts w:hint="eastAsia"/>
        </w:rPr>
      </w:pPr>
      <w:r>
        <w:rPr>
          <w:rFonts w:hint="eastAsia"/>
          <w:lang w:eastAsia="zh-CN"/>
        </w:rPr>
        <w:t>朝阳金达钛业股份有限公司</w:t>
      </w:r>
      <w:r>
        <w:rPr>
          <w:rFonts w:hint="eastAsia"/>
          <w:lang w:val="en-US" w:eastAsia="zh-CN"/>
        </w:rPr>
        <w:t>1#液氯库</w:t>
      </w:r>
      <w:r>
        <w:rPr>
          <w:rFonts w:hint="eastAsia"/>
        </w:rPr>
        <w:t>的生产装置、设备和设施目前均运行正常，装置采用的设备均为成熟的工业设备，不存在使用样机的现象，设备的容量等技术参数满足生产工艺的要求；储罐、压力管道选材考虑到了压力和设计温度以及磨蚀裕量。</w:t>
      </w:r>
    </w:p>
    <w:p w14:paraId="0766835D">
      <w:pPr>
        <w:pStyle w:val="21"/>
        <w:adjustRightInd w:val="0"/>
        <w:snapToGrid w:val="0"/>
        <w:ind w:firstLine="560"/>
        <w:rPr>
          <w:rFonts w:hint="eastAsia"/>
        </w:rPr>
      </w:pPr>
      <w:r>
        <w:rPr>
          <w:rFonts w:hint="eastAsia"/>
        </w:rPr>
        <w:t>（</w:t>
      </w:r>
      <w:r>
        <w:rPr>
          <w:rFonts w:hint="eastAsia"/>
          <w:lang w:val="en-US" w:eastAsia="zh-CN"/>
        </w:rPr>
        <w:t>4</w:t>
      </w:r>
      <w:r>
        <w:rPr>
          <w:rFonts w:hint="eastAsia"/>
        </w:rPr>
        <w:t>）装置、设备和设施的检修、维护</w:t>
      </w:r>
    </w:p>
    <w:p w14:paraId="033897A2">
      <w:pPr>
        <w:pStyle w:val="21"/>
        <w:adjustRightInd w:val="0"/>
        <w:snapToGrid w:val="0"/>
        <w:ind w:firstLine="560"/>
        <w:rPr>
          <w:rFonts w:hint="eastAsia"/>
        </w:rPr>
      </w:pPr>
      <w:r>
        <w:rPr>
          <w:rFonts w:hint="eastAsia"/>
        </w:rPr>
        <w:t>公司对所有设备均编制了保养规程，每月均对设备、设施进行维护、保养，为公司的安全生产提供了保障。</w:t>
      </w:r>
    </w:p>
    <w:p w14:paraId="119EC927">
      <w:pPr>
        <w:pStyle w:val="21"/>
        <w:adjustRightInd w:val="0"/>
        <w:snapToGrid w:val="0"/>
        <w:ind w:firstLine="560"/>
        <w:rPr>
          <w:rFonts w:hint="eastAsia"/>
        </w:rPr>
      </w:pPr>
      <w:r>
        <w:rPr>
          <w:rFonts w:hint="eastAsia"/>
        </w:rPr>
        <w:t>设备管理实行挂牌、巡检，现场设备整洁，无明显泄漏。</w:t>
      </w:r>
    </w:p>
    <w:p w14:paraId="274A635B">
      <w:pPr>
        <w:pStyle w:val="21"/>
        <w:adjustRightInd w:val="0"/>
        <w:snapToGrid w:val="0"/>
        <w:ind w:firstLine="560"/>
        <w:rPr>
          <w:rFonts w:hint="eastAsia"/>
        </w:rPr>
      </w:pPr>
      <w:r>
        <w:rPr>
          <w:rFonts w:hint="eastAsia"/>
        </w:rPr>
        <w:t>（</w:t>
      </w:r>
      <w:r>
        <w:rPr>
          <w:rFonts w:hint="eastAsia"/>
          <w:lang w:val="en-US" w:eastAsia="zh-CN"/>
        </w:rPr>
        <w:t>5</w:t>
      </w:r>
      <w:r>
        <w:rPr>
          <w:rFonts w:hint="eastAsia"/>
        </w:rPr>
        <w:t>）装置、设备和设施的法定检验、检测情况及其变更设备、设施的配套措施</w:t>
      </w:r>
    </w:p>
    <w:p w14:paraId="7F1CED6A">
      <w:pPr>
        <w:pStyle w:val="21"/>
        <w:adjustRightInd w:val="0"/>
        <w:snapToGrid w:val="0"/>
        <w:ind w:firstLine="560"/>
        <w:rPr>
          <w:rFonts w:hint="eastAsia"/>
        </w:rPr>
      </w:pPr>
      <w:r>
        <w:rPr>
          <w:rFonts w:hint="eastAsia"/>
          <w:lang w:eastAsia="zh-CN"/>
        </w:rPr>
        <w:t>朝阳金达钛业股份有限公司</w:t>
      </w:r>
      <w:r>
        <w:rPr>
          <w:rFonts w:hint="eastAsia"/>
          <w:lang w:val="en-US" w:eastAsia="zh-CN"/>
        </w:rPr>
        <w:t>1#液氯库</w:t>
      </w:r>
      <w:r>
        <w:rPr>
          <w:rFonts w:hint="eastAsia"/>
        </w:rPr>
        <w:t>涉及的法定检测、检验设备包括压力表、</w:t>
      </w:r>
      <w:r>
        <w:rPr>
          <w:rFonts w:hint="eastAsia"/>
          <w:lang w:val="en-US" w:eastAsia="zh-CN"/>
        </w:rPr>
        <w:t>压力管道、安全阀、有毒</w:t>
      </w:r>
      <w:r>
        <w:rPr>
          <w:rFonts w:hint="eastAsia"/>
        </w:rPr>
        <w:t>气体检测报警器。所有法定检测、检验设备均经有资质的检测、检验单位检测、检验合格。</w:t>
      </w:r>
    </w:p>
    <w:p w14:paraId="4A0A8FDA">
      <w:pPr>
        <w:pStyle w:val="21"/>
        <w:adjustRightInd w:val="0"/>
        <w:snapToGrid w:val="0"/>
        <w:ind w:firstLine="560"/>
        <w:rPr>
          <w:rFonts w:hint="eastAsia"/>
          <w:highlight w:val="none"/>
        </w:rPr>
      </w:pPr>
      <w:r>
        <w:rPr>
          <w:rFonts w:hint="eastAsia"/>
          <w:highlight w:val="none"/>
        </w:rPr>
        <w:t>（</w:t>
      </w:r>
      <w:r>
        <w:rPr>
          <w:rFonts w:hint="eastAsia"/>
          <w:highlight w:val="none"/>
          <w:lang w:val="en-US" w:eastAsia="zh-CN"/>
        </w:rPr>
        <w:t>6</w:t>
      </w:r>
      <w:r>
        <w:rPr>
          <w:rFonts w:hint="eastAsia"/>
          <w:highlight w:val="none"/>
        </w:rPr>
        <w:t>）危险化学品储存过程控制系统及安全联锁系统等运行情况</w:t>
      </w:r>
    </w:p>
    <w:p w14:paraId="188E0466">
      <w:pPr>
        <w:pStyle w:val="21"/>
        <w:adjustRightInd w:val="0"/>
        <w:snapToGrid w:val="0"/>
        <w:ind w:left="0" w:leftChars="0" w:firstLine="560" w:firstLineChars="200"/>
        <w:rPr>
          <w:rFonts w:hint="eastAsia" w:eastAsia="宋体"/>
          <w:lang w:eastAsia="zh-CN"/>
        </w:rPr>
      </w:pPr>
      <w:r>
        <w:rPr>
          <w:rFonts w:hint="eastAsia"/>
        </w:rPr>
        <w:t>液氯储罐液位与液氯储罐进料阀及回流阀实现超液位联锁，液氯汽化器压力与液氯汽化器进氯阀实现超压联锁。</w:t>
      </w:r>
    </w:p>
    <w:p w14:paraId="0AACECB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2" w:name="_Toc9538"/>
      <w:r>
        <w:rPr>
          <w:rFonts w:eastAsia="楷体" w:cs="Times New Roman"/>
          <w:b/>
          <w:bCs/>
          <w:sz w:val="32"/>
          <w:szCs w:val="32"/>
        </w:rPr>
        <w:t>7.3</w:t>
      </w:r>
      <w:r>
        <w:rPr>
          <w:rFonts w:hint="eastAsia" w:ascii="楷体" w:hAnsi="楷体" w:eastAsia="楷体"/>
          <w:b/>
          <w:bCs/>
          <w:sz w:val="32"/>
          <w:szCs w:val="32"/>
        </w:rPr>
        <w:t>符合性评价</w:t>
      </w:r>
      <w:bookmarkEnd w:id="42"/>
    </w:p>
    <w:p w14:paraId="7586F695">
      <w:pPr>
        <w:pStyle w:val="21"/>
        <w:adjustRightInd w:val="0"/>
        <w:snapToGrid w:val="0"/>
        <w:ind w:firstLine="560"/>
      </w:pPr>
      <w:r>
        <w:rPr>
          <w:rFonts w:hint="eastAsia"/>
        </w:rPr>
        <w:t>采用安全检查表法对其重大危险源基本情况、安全管理措施、安全技术和监控措施、应急措施等进行评价。具体评价结果，见表7.3-1。</w:t>
      </w:r>
    </w:p>
    <w:p w14:paraId="71680DEB">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7.3-1</w:t>
      </w:r>
      <w:r>
        <w:rPr>
          <w:rFonts w:hint="eastAsia" w:ascii="黑体" w:hAnsi="黑体" w:eastAsia="黑体"/>
          <w:sz w:val="24"/>
        </w:rPr>
        <w:t xml:space="preserve">  重大危险源符合性检查评估结果</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0"/>
        <w:gridCol w:w="3103"/>
        <w:gridCol w:w="2200"/>
        <w:gridCol w:w="2281"/>
        <w:gridCol w:w="1110"/>
      </w:tblGrid>
      <w:tr w14:paraId="3170C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262" w:type="pct"/>
            <w:noWrap w:val="0"/>
            <w:vAlign w:val="center"/>
          </w:tcPr>
          <w:p w14:paraId="6FCCADB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序号</w:t>
            </w:r>
          </w:p>
        </w:tc>
        <w:tc>
          <w:tcPr>
            <w:tcW w:w="1691" w:type="pct"/>
            <w:noWrap w:val="0"/>
            <w:vAlign w:val="center"/>
          </w:tcPr>
          <w:p w14:paraId="5385FDD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检查内容</w:t>
            </w:r>
          </w:p>
        </w:tc>
        <w:tc>
          <w:tcPr>
            <w:tcW w:w="1199" w:type="pct"/>
            <w:noWrap w:val="0"/>
            <w:vAlign w:val="center"/>
          </w:tcPr>
          <w:p w14:paraId="6879232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依据规范</w:t>
            </w:r>
          </w:p>
        </w:tc>
        <w:tc>
          <w:tcPr>
            <w:tcW w:w="1243" w:type="pct"/>
            <w:noWrap w:val="0"/>
            <w:vAlign w:val="center"/>
          </w:tcPr>
          <w:p w14:paraId="21F1195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实际情况</w:t>
            </w:r>
          </w:p>
        </w:tc>
        <w:tc>
          <w:tcPr>
            <w:tcW w:w="603" w:type="pct"/>
            <w:noWrap w:val="0"/>
            <w:vAlign w:val="center"/>
          </w:tcPr>
          <w:p w14:paraId="4C803E7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b w:val="0"/>
                <w:bCs/>
                <w:sz w:val="21"/>
                <w:szCs w:val="21"/>
                <w14:ligatures w14:val="none"/>
              </w:rPr>
            </w:pPr>
            <w:r>
              <w:rPr>
                <w:rFonts w:hint="default" w:ascii="Times New Roman" w:hAnsi="Times New Roman" w:eastAsia="宋体" w:cs="Times New Roman"/>
                <w:b w:val="0"/>
                <w:bCs/>
                <w:sz w:val="21"/>
                <w:szCs w:val="21"/>
                <w14:ligatures w14:val="none"/>
              </w:rPr>
              <w:t>符合性</w:t>
            </w:r>
          </w:p>
        </w:tc>
      </w:tr>
      <w:tr w14:paraId="3AAA4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03697F16">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一、安全基础管理</w:t>
            </w:r>
          </w:p>
        </w:tc>
      </w:tr>
      <w:tr w14:paraId="4E22D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33AD5A1">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451C75A">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明确每一处重大危险源的主要负责人、技术负责人和操作负责人。</w:t>
            </w:r>
          </w:p>
        </w:tc>
        <w:tc>
          <w:tcPr>
            <w:tcW w:w="1199" w:type="pct"/>
            <w:noWrap w:val="0"/>
            <w:vAlign w:val="center"/>
          </w:tcPr>
          <w:p w14:paraId="79D2D9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《应急管理部办公厅关于印发危险化学品企业重大危险源安全包保责任制办法（试行）的通知》（应急厅〔2021〕12号）第三条</w:t>
            </w:r>
          </w:p>
        </w:tc>
        <w:tc>
          <w:tcPr>
            <w:tcW w:w="1243" w:type="pct"/>
            <w:noWrap w:val="0"/>
            <w:vAlign w:val="center"/>
          </w:tcPr>
          <w:p w14:paraId="7D48054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highlight w:val="none"/>
                <w:lang w:val="en-US" w:eastAsia="zh-CN"/>
                <w14:ligatures w14:val="none"/>
              </w:rPr>
            </w:pPr>
            <w:r>
              <w:rPr>
                <w:rFonts w:hint="default" w:ascii="Times New Roman" w:hAnsi="Times New Roman" w:eastAsia="宋体" w:cs="Times New Roman"/>
                <w:kern w:val="0"/>
                <w:sz w:val="21"/>
                <w:szCs w:val="21"/>
                <w:highlight w:val="none"/>
                <w14:ligatures w14:val="none"/>
              </w:rPr>
              <w:t>重大危险源</w:t>
            </w:r>
            <w:r>
              <w:rPr>
                <w:rFonts w:hint="eastAsia" w:ascii="Times New Roman" w:hAnsi="Times New Roman" w:eastAsia="宋体" w:cs="Times New Roman"/>
                <w:kern w:val="0"/>
                <w:sz w:val="21"/>
                <w:szCs w:val="21"/>
                <w:highlight w:val="none"/>
                <w:lang w:eastAsia="zh-CN"/>
                <w14:ligatures w14:val="none"/>
              </w:rPr>
              <w:t>的</w:t>
            </w:r>
            <w:r>
              <w:rPr>
                <w:rFonts w:hint="eastAsia" w:ascii="Times New Roman" w:hAnsi="Times New Roman" w:eastAsia="宋体" w:cs="Times New Roman"/>
                <w:kern w:val="0"/>
                <w:sz w:val="21"/>
                <w:szCs w:val="21"/>
                <w:highlight w:val="none"/>
                <w:lang w:val="en-US" w:eastAsia="zh-CN"/>
                <w14:ligatures w14:val="none"/>
              </w:rPr>
              <w:t>主要负责人、技术负责人、操作负责人明确</w:t>
            </w:r>
          </w:p>
        </w:tc>
        <w:tc>
          <w:tcPr>
            <w:tcW w:w="603" w:type="pct"/>
            <w:noWrap w:val="0"/>
            <w:vAlign w:val="center"/>
          </w:tcPr>
          <w:p w14:paraId="28618B5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14:ligatures w14:val="none"/>
              </w:rPr>
            </w:pPr>
            <w:r>
              <w:rPr>
                <w:rFonts w:hint="default" w:ascii="Times New Roman" w:hAnsi="Times New Roman" w:eastAsia="宋体" w:cs="Times New Roman"/>
                <w:sz w:val="21"/>
                <w:szCs w:val="21"/>
                <w:highlight w:val="none"/>
                <w14:ligatures w14:val="none"/>
              </w:rPr>
              <w:t>符合</w:t>
            </w:r>
          </w:p>
        </w:tc>
      </w:tr>
      <w:tr w14:paraId="5C098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B2D41A8">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6814AAC">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重大危险源的主要负责人，应当由危险化学品企业的主要负责人担任。重大危险源的主要负责人应当由主管的负有安全生产监督管理职责的部门对其安全生产知识和管理能力考核合格。</w:t>
            </w:r>
          </w:p>
        </w:tc>
        <w:tc>
          <w:tcPr>
            <w:tcW w:w="1199" w:type="pct"/>
            <w:noWrap w:val="0"/>
            <w:vAlign w:val="center"/>
          </w:tcPr>
          <w:p w14:paraId="787334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十五条；《安全生产法》第二十七条；《生产经营单位安全培训规定》（国家安全生产监督管理总局令第3号）第九条</w:t>
            </w:r>
          </w:p>
        </w:tc>
        <w:tc>
          <w:tcPr>
            <w:tcW w:w="1243" w:type="pct"/>
            <w:noWrap w:val="0"/>
            <w:vAlign w:val="center"/>
          </w:tcPr>
          <w:p w14:paraId="68B82A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重大危险源的主要负责人</w:t>
            </w:r>
            <w:r>
              <w:rPr>
                <w:rFonts w:hint="eastAsia" w:ascii="Times New Roman" w:hAnsi="Times New Roman" w:eastAsia="宋体" w:cs="Times New Roman"/>
                <w:kern w:val="0"/>
                <w:sz w:val="21"/>
                <w:szCs w:val="21"/>
                <w:lang w:val="en-US" w:eastAsia="zh-CN"/>
                <w14:ligatures w14:val="none"/>
              </w:rPr>
              <w:t>为</w:t>
            </w:r>
            <w:r>
              <w:rPr>
                <w:rFonts w:hint="default" w:ascii="Times New Roman" w:hAnsi="Times New Roman" w:eastAsia="宋体" w:cs="Times New Roman"/>
                <w:kern w:val="0"/>
                <w:sz w:val="21"/>
                <w:szCs w:val="21"/>
                <w14:ligatures w14:val="none"/>
              </w:rPr>
              <w:t>企业的主要负责人</w:t>
            </w:r>
            <w:r>
              <w:rPr>
                <w:rFonts w:hint="eastAsia" w:ascii="Times New Roman" w:hAnsi="Times New Roman" w:eastAsia="宋体" w:cs="Times New Roman"/>
                <w:kern w:val="0"/>
                <w:sz w:val="21"/>
                <w:szCs w:val="21"/>
                <w:lang w:val="en-US" w:eastAsia="zh-CN"/>
                <w14:ligatures w14:val="none"/>
              </w:rPr>
              <w:t>并经考核合格</w:t>
            </w:r>
          </w:p>
        </w:tc>
        <w:tc>
          <w:tcPr>
            <w:tcW w:w="603" w:type="pct"/>
            <w:noWrap w:val="0"/>
            <w:vAlign w:val="center"/>
          </w:tcPr>
          <w:p w14:paraId="4CD2495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ED11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14BE22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CC68A3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重大危险源的主要负责人督促、检查重大危险源安全生产工作。</w:t>
            </w:r>
          </w:p>
        </w:tc>
        <w:tc>
          <w:tcPr>
            <w:tcW w:w="1199" w:type="pct"/>
            <w:noWrap w:val="0"/>
            <w:vAlign w:val="center"/>
          </w:tcPr>
          <w:p w14:paraId="7A406C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《应急管理部办公厅关于印发危险化学品企业重大危险源安全包保责任制办法（试行）的通知》（应急厅〔2021〕12号）第四条</w:t>
            </w:r>
          </w:p>
        </w:tc>
        <w:tc>
          <w:tcPr>
            <w:tcW w:w="1243" w:type="pct"/>
            <w:noWrap w:val="0"/>
            <w:vAlign w:val="center"/>
          </w:tcPr>
          <w:p w14:paraId="19D826E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重大危险源的主要负责人督促、检查重大危险源安全生产工作</w:t>
            </w:r>
          </w:p>
        </w:tc>
        <w:tc>
          <w:tcPr>
            <w:tcW w:w="603" w:type="pct"/>
            <w:noWrap w:val="0"/>
            <w:vAlign w:val="center"/>
          </w:tcPr>
          <w:p w14:paraId="4437617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8320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3403E591">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00F318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1.通过危险化学品登记信息管理系统填报重大危险源有关信息。</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2.重大危险源的安全监测监控有关数据按要求接入危险化学品安全生产风险监测预警系统。</w:t>
            </w:r>
          </w:p>
        </w:tc>
        <w:tc>
          <w:tcPr>
            <w:tcW w:w="1199" w:type="pct"/>
            <w:noWrap w:val="0"/>
            <w:vAlign w:val="center"/>
          </w:tcPr>
          <w:p w14:paraId="22C88E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《应急管理部办公厅关于印发危险化学品企业重大危险源安全包保责任制办法（试行）的通知》（应急厅〔2021〕12号）第四条</w:t>
            </w:r>
          </w:p>
        </w:tc>
        <w:tc>
          <w:tcPr>
            <w:tcW w:w="1243" w:type="pct"/>
            <w:noWrap w:val="0"/>
            <w:vAlign w:val="center"/>
          </w:tcPr>
          <w:p w14:paraId="6E004F8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1.通过危险化学品登记信息管理系统填报重大危险源有关信息。</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2.重大危险源的安全监测监控有关数据按要求接入危险化学品安全生产风险监测预警系统。</w:t>
            </w:r>
          </w:p>
        </w:tc>
        <w:tc>
          <w:tcPr>
            <w:tcW w:w="603" w:type="pct"/>
            <w:noWrap w:val="0"/>
            <w:vAlign w:val="center"/>
          </w:tcPr>
          <w:p w14:paraId="49F62F6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BD27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592EA84">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1BD51E4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技术负责人应当由企业层面技术、生产、设备等分管负责人或者二级单位（分厂）层面有关负责人担任；操作负责人应当由重大危险源生产单元、储存单元所在车间、单位的现场直接管理人员担任，如车间主任。</w:t>
            </w:r>
          </w:p>
        </w:tc>
        <w:tc>
          <w:tcPr>
            <w:tcW w:w="1199" w:type="pct"/>
            <w:noWrap w:val="0"/>
            <w:vAlign w:val="center"/>
          </w:tcPr>
          <w:p w14:paraId="2A9428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《应急管理部办公厅关于印发危险化学品企业重大危险源安全包保责任制办法（试行）的通知》（应急厅〔2021〕12号）第十五条</w:t>
            </w:r>
          </w:p>
        </w:tc>
        <w:tc>
          <w:tcPr>
            <w:tcW w:w="1243" w:type="pct"/>
            <w:noWrap w:val="0"/>
            <w:vAlign w:val="center"/>
          </w:tcPr>
          <w:p w14:paraId="4396BE0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highlight w:val="none"/>
                <w14:ligatures w14:val="none"/>
              </w:rPr>
            </w:pPr>
            <w:r>
              <w:rPr>
                <w:rFonts w:hint="default" w:ascii="Times New Roman" w:hAnsi="Times New Roman" w:eastAsia="宋体" w:cs="Times New Roman"/>
                <w:kern w:val="0"/>
                <w:sz w:val="21"/>
                <w:szCs w:val="21"/>
                <w:highlight w:val="none"/>
                <w14:ligatures w14:val="none"/>
              </w:rPr>
              <w:t>重大危险源的技术负责人由企业分管负责人担任；操作负责人由现场直接管理人员担任</w:t>
            </w:r>
          </w:p>
        </w:tc>
        <w:tc>
          <w:tcPr>
            <w:tcW w:w="603" w:type="pct"/>
            <w:noWrap w:val="0"/>
            <w:vAlign w:val="center"/>
          </w:tcPr>
          <w:p w14:paraId="3D87EBC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14:ligatures w14:val="none"/>
              </w:rPr>
            </w:pPr>
            <w:r>
              <w:rPr>
                <w:rFonts w:hint="default" w:ascii="Times New Roman" w:hAnsi="Times New Roman" w:eastAsia="宋体" w:cs="Times New Roman"/>
                <w:sz w:val="21"/>
                <w:szCs w:val="21"/>
                <w:highlight w:val="none"/>
                <w14:ligatures w14:val="none"/>
              </w:rPr>
              <w:t>符合</w:t>
            </w:r>
          </w:p>
        </w:tc>
      </w:tr>
      <w:tr w14:paraId="2AA61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097B004">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3FDE323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企业应按照安全风险分级管控和隐患排查治理工作要求，突出重大危险源，对辨识的安全风险采取有效管控措施，对排查的事故隐患实行整改闭环管理并建立台账。</w:t>
            </w:r>
          </w:p>
        </w:tc>
        <w:tc>
          <w:tcPr>
            <w:tcW w:w="1199" w:type="pct"/>
            <w:noWrap w:val="0"/>
            <w:vAlign w:val="center"/>
          </w:tcPr>
          <w:p w14:paraId="21CBD7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危险化学品企业安全风险隐患排查治理工作的要求</w:t>
            </w:r>
          </w:p>
        </w:tc>
        <w:tc>
          <w:tcPr>
            <w:tcW w:w="1243" w:type="pct"/>
            <w:noWrap w:val="0"/>
            <w:vAlign w:val="center"/>
          </w:tcPr>
          <w:p w14:paraId="0917085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企业</w:t>
            </w:r>
            <w:r>
              <w:rPr>
                <w:rFonts w:hint="eastAsia" w:ascii="Times New Roman" w:hAnsi="Times New Roman" w:eastAsia="宋体" w:cs="Times New Roman"/>
                <w:kern w:val="0"/>
                <w:sz w:val="21"/>
                <w:szCs w:val="21"/>
                <w:lang w:val="en-US" w:eastAsia="zh-CN"/>
                <w14:ligatures w14:val="none"/>
              </w:rPr>
              <w:t>对</w:t>
            </w:r>
            <w:r>
              <w:rPr>
                <w:rFonts w:hint="default" w:ascii="Times New Roman" w:hAnsi="Times New Roman" w:eastAsia="宋体" w:cs="Times New Roman"/>
                <w:kern w:val="0"/>
                <w:sz w:val="21"/>
                <w:szCs w:val="21"/>
                <w14:ligatures w14:val="none"/>
              </w:rPr>
              <w:t>排查的事故隐患实行整改闭环管理并建立台账</w:t>
            </w:r>
          </w:p>
        </w:tc>
        <w:tc>
          <w:tcPr>
            <w:tcW w:w="603" w:type="pct"/>
            <w:noWrap w:val="0"/>
            <w:vAlign w:val="center"/>
          </w:tcPr>
          <w:p w14:paraId="7296A6E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98A1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32AE6793">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9D1FF69">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建立重大危险源主要负责人、技术负责人、操作负责人的安全包保履职记录，安全管理机构应当对包保责任人履职情况进行评估，纳入企业安全生产责任制考核与绩效管理。</w:t>
            </w:r>
          </w:p>
        </w:tc>
        <w:tc>
          <w:tcPr>
            <w:tcW w:w="1199" w:type="pct"/>
            <w:noWrap w:val="0"/>
            <w:vAlign w:val="center"/>
          </w:tcPr>
          <w:p w14:paraId="7F51E5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《应急管理部办公厅关于印发危险化学品企业重大危险源安全包保责任制办法（试行）的通知》（应急厅〔2021〕12号）第九条</w:t>
            </w:r>
          </w:p>
        </w:tc>
        <w:tc>
          <w:tcPr>
            <w:tcW w:w="1243" w:type="pct"/>
            <w:noWrap w:val="0"/>
            <w:vAlign w:val="center"/>
          </w:tcPr>
          <w:p w14:paraId="10461A0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建立重大危险源主要负责人、技术负责人、操作负责人的安全包保履职记录</w:t>
            </w:r>
          </w:p>
        </w:tc>
        <w:tc>
          <w:tcPr>
            <w:tcW w:w="603" w:type="pct"/>
            <w:noWrap w:val="0"/>
            <w:vAlign w:val="center"/>
          </w:tcPr>
          <w:p w14:paraId="509B1E4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F385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E6060DD">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4F9DE9B">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技术负责人每季度至少组织对重大危险源进行一次针对性安全风险隐患排查。操作负责人每周至少组织一次重大危险源安全风险隐患排查。</w:t>
            </w:r>
          </w:p>
        </w:tc>
        <w:tc>
          <w:tcPr>
            <w:tcW w:w="1199" w:type="pct"/>
            <w:noWrap w:val="0"/>
            <w:vAlign w:val="center"/>
          </w:tcPr>
          <w:p w14:paraId="262DFB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《应急管理部办公厅关于印发危险化学品企业重大危险源安全包保责任制办法（试行）的通知》（应急厅〔2021〕12号）第五条、第六条</w:t>
            </w:r>
          </w:p>
        </w:tc>
        <w:tc>
          <w:tcPr>
            <w:tcW w:w="1243" w:type="pct"/>
            <w:noWrap w:val="0"/>
            <w:vAlign w:val="center"/>
          </w:tcPr>
          <w:p w14:paraId="14188C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t>技术负责人每季度组织对重大危险源进行一次针对性安全风险隐患排查</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操作负责人每周组织一次重大危险源安全风险隐患排查</w:t>
            </w:r>
          </w:p>
        </w:tc>
        <w:tc>
          <w:tcPr>
            <w:tcW w:w="603" w:type="pct"/>
            <w:noWrap w:val="0"/>
            <w:vAlign w:val="center"/>
          </w:tcPr>
          <w:p w14:paraId="30B5B1C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AF05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EA33660">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65E5318">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应当在</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"https://baike.baidu.com/item/%E9%87%8D%E5%A4%A7%E5%8D%B1%E9%99%A9%E6%BA%90/10983922"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重大危险源</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所在场所设置明显的安全警示标志，写明紧急情况下的应急处置办法。应当在重大危险源安全警示标志位置设立公示牌，写明重大危险源的主要负责人、技术负责人、操作负责人姓名、对应的安全包保职责及联系方式，接受员工监督。</w:t>
            </w:r>
          </w:p>
        </w:tc>
        <w:tc>
          <w:tcPr>
            <w:tcW w:w="1199" w:type="pct"/>
            <w:noWrap w:val="0"/>
            <w:vAlign w:val="center"/>
          </w:tcPr>
          <w:p w14:paraId="247DD2F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八条；《应急管理部办公厅关于印发危险化学品企业重大危险源安全包保责任制办法（试行）的通知》（应急厅〔2021〕12号）第七条</w:t>
            </w:r>
          </w:p>
        </w:tc>
        <w:tc>
          <w:tcPr>
            <w:tcW w:w="1243" w:type="pct"/>
            <w:noWrap w:val="0"/>
            <w:vAlign w:val="center"/>
          </w:tcPr>
          <w:p w14:paraId="5C5BA20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"https://baike.baidu.com/item/%E9%87%8D%E5%A4%A7%E5%8D%B1%E9%99%A9%E6%BA%90/10983922"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重大危险源</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所在场所设置明显的安全警示标志</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危险源公示牌写明重大危险源的主要负责人、技术负责人、操作负责人姓名、对应的安全包保职责及联系方式</w:t>
            </w:r>
          </w:p>
        </w:tc>
        <w:tc>
          <w:tcPr>
            <w:tcW w:w="603" w:type="pct"/>
            <w:noWrap w:val="0"/>
            <w:vAlign w:val="center"/>
          </w:tcPr>
          <w:p w14:paraId="4151FB2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07A5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34F1282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61A9BC2">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1.企业应建立安全风险研判与承诺公告管理制度，主要负责人应每天签署安全承诺，并在工厂主门外向社会公告。</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2.安全承诺公告牌企业承诺内容中应包含落实重大危险源安全包保责任的相关内容。</w:t>
            </w:r>
          </w:p>
        </w:tc>
        <w:tc>
          <w:tcPr>
            <w:tcW w:w="1199" w:type="pct"/>
            <w:noWrap w:val="0"/>
            <w:vAlign w:val="center"/>
          </w:tcPr>
          <w:p w14:paraId="79F9E0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急管理部关于全面实施危险化学品企业安全风险研判与承诺公告制度的通知》（应急〔2018〕74号）；《应急管理部办公厅关于印发危险化学品企业重大危险源安全包保责任制办法（试行）的通知》（应急厅〔2021〕12号）第八条</w:t>
            </w:r>
          </w:p>
        </w:tc>
        <w:tc>
          <w:tcPr>
            <w:tcW w:w="1243" w:type="pct"/>
            <w:noWrap w:val="0"/>
            <w:vAlign w:val="center"/>
          </w:tcPr>
          <w:p w14:paraId="3A32C03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t>建立安全风险研判与承诺公告管理制度</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公告牌包含落实重大危险源安全包保责任的相关内容</w:t>
            </w:r>
          </w:p>
        </w:tc>
        <w:tc>
          <w:tcPr>
            <w:tcW w:w="603" w:type="pct"/>
            <w:noWrap w:val="0"/>
            <w:vAlign w:val="center"/>
          </w:tcPr>
          <w:p w14:paraId="6B54C8E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AFDF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550A0F3">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3F691B83">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企业应当对重大危险源的管理和操作岗位人员进行安全操作技能培训，使其了解重大危险源的危险特性，熟悉重大危险源安全管理规章制度和安全操作规程，掌握本岗位的安全操作技能和应急措施。</w:t>
            </w:r>
          </w:p>
        </w:tc>
        <w:tc>
          <w:tcPr>
            <w:tcW w:w="1199" w:type="pct"/>
            <w:noWrap w:val="0"/>
            <w:vAlign w:val="center"/>
          </w:tcPr>
          <w:p w14:paraId="2AE54A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《危险化学品重大危险源监督管理暂行规定》（国家安全生产监督管理总局令第40号）第十七条</w:t>
            </w:r>
          </w:p>
        </w:tc>
        <w:tc>
          <w:tcPr>
            <w:tcW w:w="1243" w:type="pct"/>
            <w:noWrap w:val="0"/>
            <w:vAlign w:val="center"/>
          </w:tcPr>
          <w:p w14:paraId="4A5F840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对重大危险源的管理和操作岗位人员进行安全操作技能培训</w:t>
            </w:r>
          </w:p>
        </w:tc>
        <w:tc>
          <w:tcPr>
            <w:tcW w:w="603" w:type="pct"/>
            <w:noWrap w:val="0"/>
            <w:vAlign w:val="center"/>
          </w:tcPr>
          <w:p w14:paraId="795E3E9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5830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313C42E">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2BFCE75">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企业应当按照《</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"https://baike.baidu.com/item/%E5%8D%B1%E9%99%A9%E5%8C%96%E5%AD%A6%E5%93%81%E9%87%8D%E5%A4%A7%E5%8D%B1%E9%99%A9%E6%BA%90%E8%BE%A8%E8%AF%86/6438883"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危险化学品重大危险源辨识</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》标准，对本单位的危险化学品生产、经营、储存和使用装置、设施或者场所进行重大危险源辨识，对</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"https://baike.baidu.com/item/%E9%87%8D%E5%A4%A7%E5%8D%B1%E9%99%A9%E6%BA%90/10983922"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重大危险源</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进行</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"https://baike.baidu.com/item/%E5%AE%89%E5%85%A8%E8%AF%84%E4%BC%B0/3971370"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安全评估</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并确定重大危险源等级。</w:t>
            </w:r>
          </w:p>
        </w:tc>
        <w:tc>
          <w:tcPr>
            <w:tcW w:w="1199" w:type="pct"/>
            <w:noWrap w:val="0"/>
            <w:vAlign w:val="center"/>
          </w:tcPr>
          <w:p w14:paraId="7C5503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《危险化学品重大危险源监督管理暂行规定》（国家安全生产监督管理总局令第40号）第七条、第八条；《危险化学品重大危险源辨识》（GB 18218-2018）</w:t>
            </w:r>
          </w:p>
        </w:tc>
        <w:tc>
          <w:tcPr>
            <w:tcW w:w="1243" w:type="pct"/>
            <w:noWrap w:val="0"/>
            <w:vAlign w:val="center"/>
          </w:tcPr>
          <w:p w14:paraId="4337CCE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对装置、设施或者场所进行重大危险源辨识，对</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"https://baike.baidu.com/item/%E9%87%8D%E5%A4%A7%E5%8D%B1%E9%99%A9%E6%BA%90/10983922"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重大危险源</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进行</w:t>
            </w:r>
            <w:r>
              <w:rPr>
                <w:rFonts w:hint="default" w:ascii="Times New Roman" w:hAnsi="Times New Roman" w:eastAsia="宋体" w:cs="Times New Roman"/>
                <w:kern w:val="0"/>
                <w:sz w:val="21"/>
                <w:szCs w:val="21"/>
                <w14:ligatures w14:val="none"/>
              </w:rPr>
              <w:fldChar w:fldCharType="begin"/>
            </w:r>
            <w:r>
              <w:rPr>
                <w:rFonts w:hint="default" w:ascii="Times New Roman" w:hAnsi="Times New Roman" w:eastAsia="宋体" w:cs="Times New Roman"/>
                <w:kern w:val="0"/>
                <w:sz w:val="21"/>
                <w:szCs w:val="21"/>
                <w14:ligatures w14:val="none"/>
              </w:rPr>
              <w:instrText xml:space="preserve"> HYPERLINK "https://baike.baidu.com/item/%E5%AE%89%E5%85%A8%E8%AF%84%E4%BC%B0/3971370" \t "/home/user/文档\\x/_blank" </w:instrText>
            </w:r>
            <w:r>
              <w:rPr>
                <w:rFonts w:hint="default" w:ascii="Times New Roman" w:hAnsi="Times New Roman" w:eastAsia="宋体" w:cs="Times New Roman"/>
                <w:kern w:val="0"/>
                <w:sz w:val="21"/>
                <w:szCs w:val="21"/>
                <w14:ligatures w14:val="none"/>
              </w:rPr>
              <w:fldChar w:fldCharType="separate"/>
            </w:r>
            <w:r>
              <w:rPr>
                <w:rFonts w:hint="default" w:ascii="Times New Roman" w:hAnsi="Times New Roman" w:eastAsia="宋体" w:cs="Times New Roman"/>
                <w:kern w:val="0"/>
                <w:sz w:val="21"/>
                <w:szCs w:val="21"/>
                <w14:ligatures w14:val="none"/>
              </w:rPr>
              <w:t>安全评估</w:t>
            </w:r>
            <w:r>
              <w:rPr>
                <w:rFonts w:hint="default" w:ascii="Times New Roman" w:hAnsi="Times New Roman" w:eastAsia="宋体" w:cs="Times New Roman"/>
                <w:kern w:val="0"/>
                <w:sz w:val="21"/>
                <w:szCs w:val="21"/>
                <w14:ligatures w14:val="none"/>
              </w:rPr>
              <w:fldChar w:fldCharType="end"/>
            </w:r>
            <w:r>
              <w:rPr>
                <w:rFonts w:hint="default" w:ascii="Times New Roman" w:hAnsi="Times New Roman" w:eastAsia="宋体" w:cs="Times New Roman"/>
                <w:kern w:val="0"/>
                <w:sz w:val="21"/>
                <w:szCs w:val="21"/>
                <w14:ligatures w14:val="none"/>
              </w:rPr>
              <w:t>并确定重大危险源等级</w:t>
            </w:r>
          </w:p>
        </w:tc>
        <w:tc>
          <w:tcPr>
            <w:tcW w:w="603" w:type="pct"/>
            <w:noWrap w:val="0"/>
            <w:vAlign w:val="center"/>
          </w:tcPr>
          <w:p w14:paraId="4355E7D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7E86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C371C82">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3E09E64">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对符合下列情形的重大危险源，应当重新进行辨识、安全评估及分级：</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1.重大危险源安全评估已满三年的；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2.构成重大危险源的装置、设施或者场所进行新建、改建、扩建的；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3.危险化学品种类、数量、生产、使用工艺或者储存方式及重要设备、设施等发生变化，影响重大危险源级别或者风险程度的；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4.外界生产安全环境因素发生变化，影响重大危险源级别和风险程度的；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5.发生危险化学品事故造成人员死亡，或者10人以上受伤，或者影响到公共安全的；</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6.有关重大危险源辨识和安全评估的国家标准、行业标准发生变化的。</w:t>
            </w:r>
          </w:p>
        </w:tc>
        <w:tc>
          <w:tcPr>
            <w:tcW w:w="1199" w:type="pct"/>
            <w:noWrap w:val="0"/>
            <w:vAlign w:val="center"/>
          </w:tcPr>
          <w:p w14:paraId="5E978A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《危险化学品重大危险源监督管理暂行规定》（国家安全生产监督管理总局令第40号）第十一条</w:t>
            </w:r>
          </w:p>
        </w:tc>
        <w:tc>
          <w:tcPr>
            <w:tcW w:w="1243" w:type="pct"/>
            <w:noWrap w:val="0"/>
            <w:vAlign w:val="center"/>
          </w:tcPr>
          <w:p w14:paraId="1739685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重大危险源安全评估已</w:t>
            </w:r>
            <w:r>
              <w:rPr>
                <w:rFonts w:hint="eastAsia" w:ascii="Times New Roman" w:hAnsi="Times New Roman" w:eastAsia="宋体" w:cs="Times New Roman"/>
                <w:kern w:val="0"/>
                <w:sz w:val="21"/>
                <w:szCs w:val="21"/>
                <w:lang w:val="en-US" w:eastAsia="zh-CN"/>
                <w14:ligatures w14:val="none"/>
              </w:rPr>
              <w:t>接近</w:t>
            </w:r>
            <w:r>
              <w:rPr>
                <w:rFonts w:hint="default" w:ascii="Times New Roman" w:hAnsi="Times New Roman" w:eastAsia="宋体" w:cs="Times New Roman"/>
                <w:kern w:val="0"/>
                <w:sz w:val="21"/>
                <w:szCs w:val="21"/>
                <w14:ligatures w14:val="none"/>
              </w:rPr>
              <w:t>三年</w:t>
            </w:r>
            <w:r>
              <w:rPr>
                <w:rFonts w:hint="eastAsia" w:ascii="Times New Roman" w:hAnsi="Times New Roman" w:eastAsia="宋体" w:cs="Times New Roman"/>
                <w:kern w:val="0"/>
                <w:sz w:val="21"/>
                <w:szCs w:val="21"/>
                <w:lang w:eastAsia="zh-CN"/>
                <w14:ligatures w14:val="none"/>
              </w:rPr>
              <w:t>，</w:t>
            </w:r>
            <w:r>
              <w:rPr>
                <w:rFonts w:hint="eastAsia" w:ascii="Times New Roman" w:hAnsi="Times New Roman" w:eastAsia="宋体" w:cs="Times New Roman"/>
                <w:sz w:val="21"/>
                <w:szCs w:val="21"/>
                <w:lang w:val="en-US" w:eastAsia="zh-CN"/>
                <w14:ligatures w14:val="none"/>
              </w:rPr>
              <w:t>正在进行重大危险源备案</w:t>
            </w:r>
          </w:p>
        </w:tc>
        <w:tc>
          <w:tcPr>
            <w:tcW w:w="603" w:type="pct"/>
            <w:noWrap w:val="0"/>
            <w:vAlign w:val="center"/>
          </w:tcPr>
          <w:p w14:paraId="4D9F82A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AEC5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7F687C5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二、本质安全设计</w:t>
            </w:r>
          </w:p>
        </w:tc>
      </w:tr>
      <w:tr w14:paraId="2673B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553E73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D88E84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 xml:space="preserve">重大危险源应按照GB/T 37243、GB 36894等标准规范确定外部安全防护距离。 </w:t>
            </w:r>
          </w:p>
        </w:tc>
        <w:tc>
          <w:tcPr>
            <w:tcW w:w="1199" w:type="pct"/>
            <w:noWrap w:val="0"/>
            <w:vAlign w:val="center"/>
          </w:tcPr>
          <w:p w14:paraId="2ACFC52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《危险化学品生产装置和储存设施外部安全防护距离》（GB/T 37243-2019）；《危险化学品生产装置和储存设施风险基准》（GB 36894-2018）</w:t>
            </w:r>
          </w:p>
        </w:tc>
        <w:tc>
          <w:tcPr>
            <w:tcW w:w="1243" w:type="pct"/>
            <w:noWrap w:val="0"/>
            <w:vAlign w:val="center"/>
          </w:tcPr>
          <w:p w14:paraId="7D1954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外部安全防护距离</w:t>
            </w:r>
            <w:r>
              <w:rPr>
                <w:rFonts w:hint="eastAsia" w:ascii="Times New Roman" w:hAnsi="Times New Roman" w:eastAsia="宋体" w:cs="Times New Roman"/>
                <w:kern w:val="0"/>
                <w:sz w:val="21"/>
                <w:szCs w:val="21"/>
                <w:lang w:val="en-US" w:eastAsia="zh-CN"/>
                <w14:ligatures w14:val="none"/>
              </w:rPr>
              <w:t>符合相关规范要求</w:t>
            </w:r>
          </w:p>
        </w:tc>
        <w:tc>
          <w:tcPr>
            <w:tcW w:w="603" w:type="pct"/>
            <w:noWrap w:val="0"/>
            <w:vAlign w:val="center"/>
          </w:tcPr>
          <w:p w14:paraId="13FE055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502B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08D30B9">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1F4D5C0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重大危险源建设项目应严格履行安全审查手续。</w:t>
            </w:r>
          </w:p>
        </w:tc>
        <w:tc>
          <w:tcPr>
            <w:tcW w:w="1199" w:type="pct"/>
            <w:noWrap w:val="0"/>
            <w:vAlign w:val="center"/>
          </w:tcPr>
          <w:p w14:paraId="6387D6F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危险化学品建设项目安全监督管理工作要求</w:t>
            </w:r>
          </w:p>
        </w:tc>
        <w:tc>
          <w:tcPr>
            <w:tcW w:w="1243" w:type="pct"/>
            <w:noWrap w:val="0"/>
            <w:vAlign w:val="center"/>
          </w:tcPr>
          <w:p w14:paraId="11E0FE0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履行安全审查手续</w:t>
            </w:r>
          </w:p>
        </w:tc>
        <w:tc>
          <w:tcPr>
            <w:tcW w:w="603" w:type="pct"/>
            <w:noWrap w:val="0"/>
            <w:vAlign w:val="center"/>
          </w:tcPr>
          <w:p w14:paraId="54F76F8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53FF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A784039">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7869CB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光气、氯气等剧毒气体及硫化氢气体管道穿越除厂区(包括化工园区、工业园区）外的公共区域。</w:t>
            </w:r>
          </w:p>
        </w:tc>
        <w:tc>
          <w:tcPr>
            <w:tcW w:w="1199" w:type="pct"/>
            <w:noWrap w:val="0"/>
            <w:vAlign w:val="center"/>
          </w:tcPr>
          <w:p w14:paraId="2B283B0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《化工和危险化学品生产经营单位重大生产安全事故隐患判定标准（试行）》（安监总管三〔2017〕121号）第八条</w:t>
            </w:r>
          </w:p>
        </w:tc>
        <w:tc>
          <w:tcPr>
            <w:tcW w:w="1243" w:type="pct"/>
            <w:noWrap w:val="0"/>
            <w:vAlign w:val="center"/>
          </w:tcPr>
          <w:p w14:paraId="79175F4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氯气未穿越厂区外的公共区域</w:t>
            </w:r>
          </w:p>
        </w:tc>
        <w:tc>
          <w:tcPr>
            <w:tcW w:w="603" w:type="pct"/>
            <w:noWrap w:val="0"/>
            <w:vAlign w:val="center"/>
          </w:tcPr>
          <w:p w14:paraId="4D35E63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5961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689F608">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D16B53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危险化学品建设项目必须由具备相应资质和相关设计经验的设计单位负责设计。</w:t>
            </w:r>
          </w:p>
        </w:tc>
        <w:tc>
          <w:tcPr>
            <w:tcW w:w="1199" w:type="pct"/>
            <w:noWrap w:val="0"/>
            <w:vAlign w:val="center"/>
          </w:tcPr>
          <w:p w14:paraId="5CFCD85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 国家发展改革委员会 工业和信息化部 住房和城乡建设部关于开展提升危险化学品领域本质安全水平专项行动的通知》（安监总管三〔2012〕87号）</w:t>
            </w:r>
          </w:p>
        </w:tc>
        <w:tc>
          <w:tcPr>
            <w:tcW w:w="1243" w:type="pct"/>
            <w:noWrap w:val="0"/>
            <w:vAlign w:val="center"/>
          </w:tcPr>
          <w:p w14:paraId="6B04125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1#液氯库由</w:t>
            </w:r>
            <w:r>
              <w:rPr>
                <w:rFonts w:hint="default" w:ascii="Times New Roman" w:hAnsi="Times New Roman" w:eastAsia="宋体" w:cs="Times New Roman"/>
                <w:kern w:val="0"/>
                <w:sz w:val="21"/>
                <w:szCs w:val="21"/>
                <w14:ligatures w14:val="none"/>
              </w:rPr>
              <w:t>具备相应资质和相关设计经验的设计单位负责设计。</w:t>
            </w:r>
          </w:p>
        </w:tc>
        <w:tc>
          <w:tcPr>
            <w:tcW w:w="603" w:type="pct"/>
            <w:noWrap w:val="0"/>
            <w:vAlign w:val="center"/>
          </w:tcPr>
          <w:p w14:paraId="0112530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9F58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735AA89">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3E81624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企业不得使用应当淘汰的危及生产安全的工艺、设备。</w:t>
            </w:r>
          </w:p>
        </w:tc>
        <w:tc>
          <w:tcPr>
            <w:tcW w:w="1199" w:type="pct"/>
            <w:noWrap w:val="0"/>
            <w:vAlign w:val="center"/>
          </w:tcPr>
          <w:p w14:paraId="40C5222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《安全生产法》第三十八条</w:t>
            </w:r>
          </w:p>
        </w:tc>
        <w:tc>
          <w:tcPr>
            <w:tcW w:w="1243" w:type="pct"/>
            <w:noWrap w:val="0"/>
            <w:vAlign w:val="center"/>
          </w:tcPr>
          <w:p w14:paraId="1B1E824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未使用</w:t>
            </w:r>
            <w:r>
              <w:rPr>
                <w:rFonts w:hint="default" w:ascii="Times New Roman" w:hAnsi="Times New Roman" w:eastAsia="宋体" w:cs="Times New Roman"/>
                <w:kern w:val="0"/>
                <w:sz w:val="21"/>
                <w:szCs w:val="21"/>
                <w14:ligatures w14:val="none"/>
              </w:rPr>
              <w:t>淘汰的危及生产安全的工艺、设备</w:t>
            </w:r>
          </w:p>
        </w:tc>
        <w:tc>
          <w:tcPr>
            <w:tcW w:w="603" w:type="pct"/>
            <w:noWrap w:val="0"/>
            <w:vAlign w:val="center"/>
          </w:tcPr>
          <w:p w14:paraId="3B61FF9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0504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3B36DC97">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3529D0D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甲、乙类生产场所（仓库）不应设置在地下或半地下。甲、乙、丙类中间仓库应采用防火墙和耐火极限不低于1.50 h的不燃性楼板与其他部位分隔。</w:t>
            </w:r>
          </w:p>
        </w:tc>
        <w:tc>
          <w:tcPr>
            <w:tcW w:w="1199" w:type="pct"/>
            <w:noWrap w:val="0"/>
            <w:vAlign w:val="center"/>
          </w:tcPr>
          <w:p w14:paraId="74DBB1F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《建筑设计防火规范（2018年版）》（GB 50016-2014）第3.3.4条、第3.3.6条</w:t>
            </w:r>
          </w:p>
        </w:tc>
        <w:tc>
          <w:tcPr>
            <w:tcW w:w="1243" w:type="pct"/>
            <w:noWrap w:val="0"/>
            <w:vAlign w:val="center"/>
          </w:tcPr>
          <w:p w14:paraId="09642BD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未设在地下、半地下</w:t>
            </w:r>
          </w:p>
        </w:tc>
        <w:tc>
          <w:tcPr>
            <w:tcW w:w="603" w:type="pct"/>
            <w:noWrap w:val="0"/>
            <w:vAlign w:val="center"/>
          </w:tcPr>
          <w:p w14:paraId="417AAC6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A307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6A8F86D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三、运行操作</w:t>
            </w:r>
          </w:p>
        </w:tc>
      </w:tr>
      <w:tr w14:paraId="3F20A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ECC8977">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64F92E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1.重大危险源配备温度、压力、液位、流量、组分等信息的不间断采集和监测系统以及可燃气体和有毒有害气体泄漏检测报警装置，具备信息远传、连续记录、事故预警、信息存储等功能；一级或者二级重大危险源，具备紧急停车功能。</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2.记录的电子数据的保存时间不少于30天。</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3.生产经营单位不得关闭、破坏直接关系生产安全的监控、报警、防护、救生设备、设施，或者篡改、隐瞒、销毁其相关数据、信息。</w:t>
            </w:r>
          </w:p>
        </w:tc>
        <w:tc>
          <w:tcPr>
            <w:tcW w:w="1199" w:type="pct"/>
            <w:noWrap w:val="0"/>
            <w:vAlign w:val="center"/>
          </w:tcPr>
          <w:p w14:paraId="113C423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《危险化学品重大危险源监督管理暂行规定》（国家安全生产监督管理总局令第40号）第十三条；《安全生产法》第三十六条</w:t>
            </w:r>
          </w:p>
        </w:tc>
        <w:tc>
          <w:tcPr>
            <w:tcW w:w="1243" w:type="pct"/>
            <w:noWrap w:val="0"/>
            <w:vAlign w:val="center"/>
          </w:tcPr>
          <w:p w14:paraId="1193698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重大危险源配备温度、压力、液位等信息的不间断采集和监测系统以及有毒有害气体泄漏检测报警装置，具备信息远传、连续记录、事故预警、信息存储等功能；具备紧急停车功能</w:t>
            </w:r>
          </w:p>
        </w:tc>
        <w:tc>
          <w:tcPr>
            <w:tcW w:w="603" w:type="pct"/>
            <w:noWrap w:val="0"/>
            <w:vAlign w:val="center"/>
          </w:tcPr>
          <w:p w14:paraId="6DC75B6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1765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E31E367">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9B391C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企业要装备自动化控制系统，对重要工艺参数进行实时监控预警；要采用在线安全监控、自动检测或人工分析数据等手段，及时判断发生异常工况的根源，评估可能产生的后果，制定安全处置方案，避免因处理不当造成事故。</w:t>
            </w:r>
          </w:p>
        </w:tc>
        <w:tc>
          <w:tcPr>
            <w:tcW w:w="1199" w:type="pct"/>
            <w:noWrap w:val="0"/>
            <w:vAlign w:val="center"/>
          </w:tcPr>
          <w:p w14:paraId="4691E01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w:t>
            </w:r>
            <w:r>
              <w:rPr>
                <w:rFonts w:hint="default"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九</w:t>
            </w:r>
            <w:r>
              <w:rPr>
                <w:rFonts w:hint="default"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条</w:t>
            </w:r>
          </w:p>
        </w:tc>
        <w:tc>
          <w:tcPr>
            <w:tcW w:w="1243" w:type="pct"/>
            <w:noWrap w:val="0"/>
            <w:vAlign w:val="center"/>
          </w:tcPr>
          <w:p w14:paraId="76C044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装备自动化控制系统，对重要工艺参数进行实时监控预警</w:t>
            </w:r>
          </w:p>
        </w:tc>
        <w:tc>
          <w:tcPr>
            <w:tcW w:w="603" w:type="pct"/>
            <w:noWrap w:val="0"/>
            <w:vAlign w:val="center"/>
          </w:tcPr>
          <w:p w14:paraId="1F8C935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5B34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45AA1FA">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A8061A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现场表指示数值、DCS控制值与工艺卡片控制值应保持一致。</w:t>
            </w:r>
          </w:p>
        </w:tc>
        <w:tc>
          <w:tcPr>
            <w:tcW w:w="1199" w:type="pct"/>
            <w:noWrap w:val="0"/>
            <w:vAlign w:val="center"/>
          </w:tcPr>
          <w:p w14:paraId="22C8C105">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243" w:type="pct"/>
            <w:noWrap w:val="0"/>
            <w:vAlign w:val="center"/>
          </w:tcPr>
          <w:p w14:paraId="233E703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现场表指示数值、DCS控制值与工艺卡片控制值保持一致</w:t>
            </w:r>
          </w:p>
        </w:tc>
        <w:tc>
          <w:tcPr>
            <w:tcW w:w="603" w:type="pct"/>
            <w:noWrap w:val="0"/>
            <w:vAlign w:val="center"/>
          </w:tcPr>
          <w:p w14:paraId="3870467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64A2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262" w:type="pct"/>
            <w:noWrap w:val="0"/>
            <w:vAlign w:val="center"/>
          </w:tcPr>
          <w:p w14:paraId="456BB79D">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C12398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企业要制订操作规程管理制度，规范操作规程内容，明确操作规程编写、审查、批准、分发、使用、控制、修改及废止的程序和职责。</w:t>
            </w:r>
          </w:p>
        </w:tc>
        <w:tc>
          <w:tcPr>
            <w:tcW w:w="1199" w:type="pct"/>
            <w:noWrap w:val="0"/>
            <w:vAlign w:val="center"/>
          </w:tcPr>
          <w:p w14:paraId="6E28BA4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《国家安全生产监督管理总局关于加强化工过程安全管理的指导意见》（安监总管三〔2013〕88号）第（八）条</w:t>
            </w:r>
          </w:p>
        </w:tc>
        <w:tc>
          <w:tcPr>
            <w:tcW w:w="1243" w:type="pct"/>
            <w:noWrap w:val="0"/>
            <w:vAlign w:val="center"/>
          </w:tcPr>
          <w:p w14:paraId="5BBD939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制订操作规程管理制度，规范操作规程内容，明确操作规程编写、审查、批准、分发、使用、控制、修改及废止的程序和职责</w:t>
            </w:r>
          </w:p>
        </w:tc>
        <w:tc>
          <w:tcPr>
            <w:tcW w:w="603" w:type="pct"/>
            <w:noWrap w:val="0"/>
            <w:vAlign w:val="center"/>
          </w:tcPr>
          <w:p w14:paraId="7390D43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D08D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33BDE9F">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0CD48D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操作规程的内容至少应包括：</w:t>
            </w:r>
            <w:r>
              <w:rPr>
                <w:rFonts w:hint="default" w:ascii="Times New Roman" w:hAnsi="Times New Roman" w:eastAsia="宋体" w:cs="Times New Roman"/>
                <w:kern w:val="0"/>
                <w:sz w:val="21"/>
                <w:szCs w:val="21"/>
                <w:highlight w:val="yellow"/>
                <w14:ligatures w14:val="none"/>
              </w:rPr>
              <w:br w:type="textWrapping"/>
            </w:r>
            <w:r>
              <w:rPr>
                <w:rFonts w:hint="default" w:ascii="Times New Roman" w:hAnsi="Times New Roman" w:eastAsia="宋体" w:cs="Times New Roman"/>
                <w:kern w:val="0"/>
                <w:sz w:val="21"/>
                <w:szCs w:val="21"/>
                <w14:ligatures w14:val="none"/>
              </w:rPr>
              <w:t>1.开车、正常操作、临时操作、应急操作、正常停车、紧急停车的操作步骤与安全要求；</w:t>
            </w:r>
          </w:p>
          <w:p w14:paraId="11F2E45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2.工艺参数的正常控制范围，偏离正常工况的后果，防止和纠正偏离正常工况的方法及步骤；</w:t>
            </w:r>
          </w:p>
          <w:p w14:paraId="23FBC0A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3.操作过程的人身安全保障、职业健康注意事项等。</w:t>
            </w:r>
          </w:p>
        </w:tc>
        <w:tc>
          <w:tcPr>
            <w:tcW w:w="1199" w:type="pct"/>
            <w:noWrap w:val="0"/>
            <w:vAlign w:val="center"/>
          </w:tcPr>
          <w:p w14:paraId="387D106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《国家安全生产监督管理总局关于加强化工过程安全管理的指导意见》（安监总管三〔2013〕88号）第（八）条</w:t>
            </w:r>
          </w:p>
        </w:tc>
        <w:tc>
          <w:tcPr>
            <w:tcW w:w="1243" w:type="pct"/>
            <w:noWrap w:val="0"/>
            <w:vAlign w:val="center"/>
          </w:tcPr>
          <w:p w14:paraId="28CD49C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操作规程</w:t>
            </w:r>
            <w:r>
              <w:rPr>
                <w:rFonts w:hint="eastAsia" w:ascii="Times New Roman" w:hAnsi="Times New Roman" w:eastAsia="宋体" w:cs="Times New Roman"/>
                <w:kern w:val="0"/>
                <w:sz w:val="21"/>
                <w:szCs w:val="21"/>
                <w:lang w:val="en-US" w:eastAsia="zh-CN"/>
                <w14:ligatures w14:val="none"/>
              </w:rPr>
              <w:t>符合相关规范要求</w:t>
            </w:r>
          </w:p>
        </w:tc>
        <w:tc>
          <w:tcPr>
            <w:tcW w:w="603" w:type="pct"/>
            <w:noWrap w:val="0"/>
            <w:vAlign w:val="center"/>
          </w:tcPr>
          <w:p w14:paraId="2F2DFCC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4575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262" w:type="pct"/>
            <w:noWrap w:val="0"/>
            <w:vAlign w:val="center"/>
          </w:tcPr>
          <w:p w14:paraId="1EC5CAE9">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1A4781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操作规程应及时反映安全生产信息、安全要求和注意事项的变化。企业每年要对操作规程的适应性和有效性进行确认，至少每3年要对操作规程进行审核修订。当工艺技术、设备发生重大变更时，要及时审核修订操作规程。</w:t>
            </w:r>
          </w:p>
        </w:tc>
        <w:tc>
          <w:tcPr>
            <w:tcW w:w="1199" w:type="pct"/>
            <w:noWrap w:val="0"/>
            <w:vAlign w:val="center"/>
          </w:tcPr>
          <w:p w14:paraId="28D4269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《国家安全生产监督管理总局关于加强化工过程安全管理的指导意见》（安监总管三〔2013〕88号）第（八）条</w:t>
            </w:r>
          </w:p>
        </w:tc>
        <w:tc>
          <w:tcPr>
            <w:tcW w:w="1243" w:type="pct"/>
            <w:noWrap w:val="0"/>
            <w:vAlign w:val="center"/>
          </w:tcPr>
          <w:p w14:paraId="373431A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t>操作规程及时反映安全生产信息、安全要求和注意事项的变化</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每年对操作规程的适应性和有效性进行确认</w:t>
            </w:r>
          </w:p>
        </w:tc>
        <w:tc>
          <w:tcPr>
            <w:tcW w:w="603" w:type="pct"/>
            <w:noWrap w:val="0"/>
            <w:vAlign w:val="center"/>
          </w:tcPr>
          <w:p w14:paraId="6B47F60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E623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EA43D59">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09C935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毒性气体的设施，设置泄漏物紧急处置装置。</w:t>
            </w:r>
          </w:p>
        </w:tc>
        <w:tc>
          <w:tcPr>
            <w:tcW w:w="1199" w:type="pct"/>
            <w:noWrap w:val="0"/>
            <w:vAlign w:val="center"/>
          </w:tcPr>
          <w:p w14:paraId="4F38F4D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《危险化学品重大危险源监督管理暂行规定》（国家安全生产监督管理总局令第40号）第十三条</w:t>
            </w:r>
          </w:p>
        </w:tc>
        <w:tc>
          <w:tcPr>
            <w:tcW w:w="1243" w:type="pct"/>
            <w:noWrap w:val="0"/>
            <w:vAlign w:val="center"/>
          </w:tcPr>
          <w:p w14:paraId="2B97843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设置事故吸收装置</w:t>
            </w:r>
          </w:p>
        </w:tc>
        <w:tc>
          <w:tcPr>
            <w:tcW w:w="603" w:type="pct"/>
            <w:noWrap w:val="0"/>
            <w:vAlign w:val="center"/>
          </w:tcPr>
          <w:p w14:paraId="3C64301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8CF6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8279A82">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A615C2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应按国家标准分区分类储存危险化学品，不得超量、超品种储存危险化学品，相互禁配物质不得混放混存。</w:t>
            </w:r>
          </w:p>
        </w:tc>
        <w:tc>
          <w:tcPr>
            <w:tcW w:w="1199" w:type="pct"/>
            <w:noWrap w:val="0"/>
            <w:vAlign w:val="center"/>
          </w:tcPr>
          <w:p w14:paraId="1F177A3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w:t>
            </w:r>
          </w:p>
        </w:tc>
        <w:tc>
          <w:tcPr>
            <w:tcW w:w="1243" w:type="pct"/>
            <w:noWrap w:val="0"/>
            <w:vAlign w:val="center"/>
          </w:tcPr>
          <w:p w14:paraId="31D8643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按国家标准分区分类储存危险化学品</w:t>
            </w:r>
          </w:p>
        </w:tc>
        <w:tc>
          <w:tcPr>
            <w:tcW w:w="603" w:type="pct"/>
            <w:noWrap w:val="0"/>
            <w:vAlign w:val="center"/>
          </w:tcPr>
          <w:p w14:paraId="5952E13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3752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35D8C3D">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F3BCD3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液氯仓库必须设置事故氯吸收（塔）装置，具备24小时连续运行的能力，并与电解故障停车、动力电失电联锁控制；至少满足紧急情况下处理能力，吸收液循环槽具备切换、备用和配液的条件，保证热备状态或有效运行。</w:t>
            </w:r>
          </w:p>
        </w:tc>
        <w:tc>
          <w:tcPr>
            <w:tcW w:w="1199" w:type="pct"/>
            <w:noWrap w:val="0"/>
            <w:vAlign w:val="center"/>
          </w:tcPr>
          <w:p w14:paraId="555147C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243" w:type="pct"/>
            <w:noWrap w:val="0"/>
            <w:vAlign w:val="center"/>
          </w:tcPr>
          <w:p w14:paraId="66950C7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液氯库设置事故氯吸收装置</w:t>
            </w:r>
          </w:p>
        </w:tc>
        <w:tc>
          <w:tcPr>
            <w:tcW w:w="603" w:type="pct"/>
            <w:noWrap w:val="0"/>
            <w:vAlign w:val="center"/>
          </w:tcPr>
          <w:p w14:paraId="6F2F8FB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13F3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70F101E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四、作业安全</w:t>
            </w:r>
          </w:p>
        </w:tc>
      </w:tr>
      <w:tr w14:paraId="60E1D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EB8048E">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E81E61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color w:val="333333"/>
                <w:kern w:val="0"/>
                <w:sz w:val="21"/>
                <w:szCs w:val="21"/>
                <w:shd w:val="clear" w:color="auto" w:fill="auto"/>
                <w14:ligatures w14:val="none"/>
              </w:rPr>
              <w:t>特种作业人员必须经专门的安全技术培训并考核合格，取得《中华人民共和国特种作业操作证》后，方可上岗作业。</w:t>
            </w:r>
          </w:p>
        </w:tc>
        <w:tc>
          <w:tcPr>
            <w:tcW w:w="1199" w:type="pct"/>
            <w:noWrap w:val="0"/>
            <w:vAlign w:val="center"/>
          </w:tcPr>
          <w:p w14:paraId="785782B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《特种作业人员安全技术培训考核管理规定》（国家安全生产监督管理总局令第30号）第五条</w:t>
            </w:r>
          </w:p>
        </w:tc>
        <w:tc>
          <w:tcPr>
            <w:tcW w:w="1243" w:type="pct"/>
            <w:noWrap w:val="0"/>
            <w:vAlign w:val="center"/>
          </w:tcPr>
          <w:p w14:paraId="5E73878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特种作业人员经</w:t>
            </w:r>
            <w:r>
              <w:rPr>
                <w:rFonts w:hint="default" w:ascii="Times New Roman" w:hAnsi="Times New Roman" w:eastAsia="宋体" w:cs="Times New Roman"/>
                <w:color w:val="333333"/>
                <w:kern w:val="0"/>
                <w:sz w:val="21"/>
                <w:szCs w:val="21"/>
                <w:shd w:val="clear" w:color="auto" w:fill="auto"/>
                <w14:ligatures w14:val="none"/>
              </w:rPr>
              <w:t>专门的安全技术培训并考核合格</w:t>
            </w:r>
          </w:p>
        </w:tc>
        <w:tc>
          <w:tcPr>
            <w:tcW w:w="603" w:type="pct"/>
            <w:noWrap w:val="0"/>
            <w:vAlign w:val="center"/>
          </w:tcPr>
          <w:p w14:paraId="7FF310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13FE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2BCE245">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3FE006C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应按照国家标准制定动火、进入受限空间等特殊作业管理制度并有效执行</w:t>
            </w:r>
            <w:r>
              <w:rPr>
                <w:rFonts w:hint="default" w:ascii="Times New Roman" w:hAnsi="Times New Roman" w:eastAsia="宋体" w:cs="Times New Roman"/>
                <w:kern w:val="0"/>
                <w:sz w:val="21"/>
                <w:szCs w:val="21"/>
                <w14:ligatures w14:val="none"/>
              </w:rPr>
              <w:br w:type="textWrapping"/>
            </w:r>
          </w:p>
        </w:tc>
        <w:tc>
          <w:tcPr>
            <w:tcW w:w="1199" w:type="pct"/>
            <w:noWrap w:val="0"/>
            <w:vAlign w:val="center"/>
          </w:tcPr>
          <w:p w14:paraId="159A03E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w:t>
            </w:r>
            <w:r>
              <w:rPr>
                <w:rFonts w:hint="default" w:ascii="Times New Roman" w:hAnsi="Times New Roman" w:eastAsia="宋体" w:cs="Times New Roman"/>
                <w:sz w:val="21"/>
                <w:szCs w:val="21"/>
                <w14:ligatures w14:val="none"/>
              </w:rPr>
              <w:t>（安监总管三〔2017〕121号）</w:t>
            </w:r>
            <w:r>
              <w:rPr>
                <w:rFonts w:hint="default" w:ascii="Times New Roman" w:hAnsi="Times New Roman" w:eastAsia="宋体" w:cs="Times New Roman"/>
                <w:kern w:val="0"/>
                <w:sz w:val="21"/>
                <w:szCs w:val="21"/>
                <w14:ligatures w14:val="none"/>
              </w:rPr>
              <w:t>第十八条；深刻吸取有关事故教训，进一步加强硝酸铵安全管理的措施</w:t>
            </w:r>
          </w:p>
        </w:tc>
        <w:tc>
          <w:tcPr>
            <w:tcW w:w="1243" w:type="pct"/>
            <w:noWrap w:val="0"/>
            <w:vAlign w:val="center"/>
          </w:tcPr>
          <w:p w14:paraId="0B5742F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制定动火、进入受限空间等特殊作业管理制度并有效执行</w:t>
            </w:r>
          </w:p>
        </w:tc>
        <w:tc>
          <w:tcPr>
            <w:tcW w:w="603" w:type="pct"/>
            <w:noWrap w:val="0"/>
            <w:vAlign w:val="center"/>
          </w:tcPr>
          <w:p w14:paraId="397665C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5088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0FEC89D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五、设备管理</w:t>
            </w:r>
          </w:p>
        </w:tc>
      </w:tr>
      <w:tr w14:paraId="61D26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A78E4D6">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41B67E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1.企业应对所有设备进行编号，建立设备设施台账、技术档案和备品配件管理制度，编制设备操作、维护规程；</w:t>
            </w:r>
          </w:p>
          <w:p w14:paraId="2BFC6EE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 xml:space="preserve">2.企业应建立安全附件台账。 </w:t>
            </w:r>
          </w:p>
        </w:tc>
        <w:tc>
          <w:tcPr>
            <w:tcW w:w="1199" w:type="pct"/>
            <w:noWrap w:val="0"/>
            <w:vAlign w:val="center"/>
          </w:tcPr>
          <w:p w14:paraId="0E5F912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《国家安全生产监督管理总局关于加强化工过程安全管理的指导意见》（安监总管三〔2013〕88号）第（十六）条；《危险化学品企业安全风险隐患排查治理导则》</w:t>
            </w:r>
          </w:p>
        </w:tc>
        <w:tc>
          <w:tcPr>
            <w:tcW w:w="1243" w:type="pct"/>
            <w:noWrap w:val="0"/>
            <w:vAlign w:val="center"/>
          </w:tcPr>
          <w:p w14:paraId="5A00813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对所有设备进行编号，建立设备设施台账、技术档案和备品配件管理制度，编制设备操作、维护规程</w:t>
            </w:r>
          </w:p>
        </w:tc>
        <w:tc>
          <w:tcPr>
            <w:tcW w:w="603" w:type="pct"/>
            <w:noWrap w:val="0"/>
            <w:vAlign w:val="center"/>
          </w:tcPr>
          <w:p w14:paraId="34DF542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FC69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58E076C">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AE920A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企业应建立并不断完善设备管理制度。</w:t>
            </w:r>
          </w:p>
        </w:tc>
        <w:tc>
          <w:tcPr>
            <w:tcW w:w="1199" w:type="pct"/>
            <w:noWrap w:val="0"/>
            <w:vAlign w:val="center"/>
          </w:tcPr>
          <w:p w14:paraId="14D161A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《国家安全生产监督管理总局关于加强化工过程安全管理的指导意见》（安监总管三〔2013〕88号）第（十六）条</w:t>
            </w:r>
          </w:p>
        </w:tc>
        <w:tc>
          <w:tcPr>
            <w:tcW w:w="1243" w:type="pct"/>
            <w:noWrap w:val="0"/>
            <w:vAlign w:val="center"/>
          </w:tcPr>
          <w:p w14:paraId="7E0DAC4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建立并不断完善设备管理制度</w:t>
            </w:r>
          </w:p>
        </w:tc>
        <w:tc>
          <w:tcPr>
            <w:tcW w:w="603" w:type="pct"/>
            <w:noWrap w:val="0"/>
            <w:vAlign w:val="center"/>
          </w:tcPr>
          <w:p w14:paraId="1D45A87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5F8C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28CC0106">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2C4C83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 xml:space="preserve">1.安全阀、压力表等安全附件应定期检验并在有效期内使用； </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2.压力表的选型应符合相关要求，压力范围及检定标记明显。</w:t>
            </w:r>
          </w:p>
        </w:tc>
        <w:tc>
          <w:tcPr>
            <w:tcW w:w="1199" w:type="pct"/>
            <w:noWrap w:val="0"/>
            <w:vAlign w:val="center"/>
          </w:tcPr>
          <w:p w14:paraId="1DAC7E2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《安全阀安全技术监察规程》（TSG  ZF001-2006）第B4.2（4）条；《固定式压力容器安全技术监察规程》（TSG 21-2016）第9.2.1条</w:t>
            </w:r>
          </w:p>
        </w:tc>
        <w:tc>
          <w:tcPr>
            <w:tcW w:w="1243" w:type="pct"/>
            <w:noWrap w:val="0"/>
            <w:vAlign w:val="center"/>
          </w:tcPr>
          <w:p w14:paraId="656E856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安全阀、压力表等安全附件定期检验并在有效期内使用</w:t>
            </w:r>
          </w:p>
        </w:tc>
        <w:tc>
          <w:tcPr>
            <w:tcW w:w="603" w:type="pct"/>
            <w:noWrap w:val="0"/>
            <w:vAlign w:val="center"/>
          </w:tcPr>
          <w:p w14:paraId="260E340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C759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2CBF335">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341160C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安全阀、爆破片等安全附件未正常投用。</w:t>
            </w:r>
          </w:p>
        </w:tc>
        <w:tc>
          <w:tcPr>
            <w:tcW w:w="1199" w:type="pct"/>
            <w:noWrap w:val="0"/>
            <w:vAlign w:val="center"/>
          </w:tcPr>
          <w:p w14:paraId="4E37D70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《化工和危险化学品生产经营单位重大生产安全事故隐患判定标准（试行）》第十五条</w:t>
            </w:r>
          </w:p>
        </w:tc>
        <w:tc>
          <w:tcPr>
            <w:tcW w:w="1243" w:type="pct"/>
            <w:noWrap w:val="0"/>
            <w:vAlign w:val="center"/>
          </w:tcPr>
          <w:p w14:paraId="7ACC62B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安全阀等安全附件正常投用</w:t>
            </w:r>
          </w:p>
        </w:tc>
        <w:tc>
          <w:tcPr>
            <w:tcW w:w="603" w:type="pct"/>
            <w:noWrap w:val="0"/>
            <w:vAlign w:val="center"/>
          </w:tcPr>
          <w:p w14:paraId="6BE7626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2343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262" w:type="pct"/>
            <w:noWrap w:val="0"/>
            <w:vAlign w:val="center"/>
          </w:tcPr>
          <w:p w14:paraId="6EF00BF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9B706B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液化烃、液氨、液氯等易燃易爆、有毒有害液化气体的充装未使用万向管道充装系统。</w:t>
            </w:r>
          </w:p>
        </w:tc>
        <w:tc>
          <w:tcPr>
            <w:tcW w:w="1199" w:type="pct"/>
            <w:noWrap w:val="0"/>
            <w:vAlign w:val="center"/>
          </w:tcPr>
          <w:p w14:paraId="127DDC5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《化工和危险化学品生产经营单位重大生产安全事故隐患判定标准（试行）》第七条</w:t>
            </w:r>
          </w:p>
        </w:tc>
        <w:tc>
          <w:tcPr>
            <w:tcW w:w="1243" w:type="pct"/>
            <w:noWrap w:val="0"/>
            <w:vAlign w:val="center"/>
          </w:tcPr>
          <w:p w14:paraId="1314B27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使用万向管道充装系统</w:t>
            </w:r>
          </w:p>
        </w:tc>
        <w:tc>
          <w:tcPr>
            <w:tcW w:w="603" w:type="pct"/>
            <w:noWrap w:val="0"/>
            <w:vAlign w:val="center"/>
          </w:tcPr>
          <w:p w14:paraId="3704A29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A686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3937F93">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B0C6CD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在涉及易燃、易爆、有毒介质设备和管线的排放口、采样口等排放部位，应通过加装盲板、丝堵、管帽、双阀等措施，减少泄漏的可能性。</w:t>
            </w:r>
          </w:p>
        </w:tc>
        <w:tc>
          <w:tcPr>
            <w:tcW w:w="1199" w:type="pct"/>
            <w:noWrap w:val="0"/>
            <w:vAlign w:val="center"/>
          </w:tcPr>
          <w:p w14:paraId="7D00BEC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《国家安全生产监督管理总局关于加强化工企业泄漏管理的指导意见》（安监总管三〔2014〕94号）；《石油化工金属管道布置设计规范》（SH/T 3012-2011）</w:t>
            </w:r>
          </w:p>
        </w:tc>
        <w:tc>
          <w:tcPr>
            <w:tcW w:w="1243" w:type="pct"/>
            <w:noWrap w:val="0"/>
            <w:vAlign w:val="center"/>
          </w:tcPr>
          <w:p w14:paraId="65E960F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eastAsia" w:ascii="Times New Roman" w:hAnsi="Times New Roman" w:eastAsia="宋体" w:cs="Times New Roman"/>
                <w:kern w:val="0"/>
                <w:sz w:val="21"/>
                <w:szCs w:val="21"/>
                <w14:ligatures w14:val="none"/>
              </w:rPr>
              <w:t>液氯储罐进出口接管采用双阀设置</w:t>
            </w:r>
          </w:p>
        </w:tc>
        <w:tc>
          <w:tcPr>
            <w:tcW w:w="603" w:type="pct"/>
            <w:noWrap w:val="0"/>
            <w:vAlign w:val="center"/>
          </w:tcPr>
          <w:p w14:paraId="28C437A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6DF1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F28A8C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E18264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承压部位的连接件螺栓配备应齐全、紧固到位。</w:t>
            </w:r>
          </w:p>
        </w:tc>
        <w:tc>
          <w:tcPr>
            <w:tcW w:w="1199" w:type="pct"/>
            <w:noWrap w:val="0"/>
            <w:vAlign w:val="center"/>
          </w:tcPr>
          <w:p w14:paraId="3EE99A0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243" w:type="pct"/>
            <w:noWrap w:val="0"/>
            <w:vAlign w:val="center"/>
          </w:tcPr>
          <w:p w14:paraId="41E5753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承压部位的连接件螺栓配备齐全、紧固到位</w:t>
            </w:r>
          </w:p>
        </w:tc>
        <w:tc>
          <w:tcPr>
            <w:tcW w:w="603" w:type="pct"/>
            <w:noWrap w:val="0"/>
            <w:vAlign w:val="center"/>
          </w:tcPr>
          <w:p w14:paraId="4E03DDF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4887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64FA906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六、电仪管理</w:t>
            </w:r>
          </w:p>
        </w:tc>
      </w:tr>
      <w:tr w14:paraId="23724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20A0B35">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3D43F49">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企业的供电电源应满足不同负荷等级的供电要求：</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1.一级负荷应由双重电源供电，当一电源发生故障时，另一电源不应同时受到损坏；</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2.一级负荷中特别重要的负荷供电，尚应增设应急电源，并严禁将其他负荷接入应急供电系统；设备的供电电源的切换时间，应满足设备允许中断供电的要求；</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3.二级负荷的供电系统，宜由两回线路供电。在负荷较小或地区供电条件困难时，二级负荷可由一回6 kV及以上专用的架空线路供电。</w:t>
            </w:r>
          </w:p>
        </w:tc>
        <w:tc>
          <w:tcPr>
            <w:tcW w:w="1199" w:type="pct"/>
            <w:noWrap w:val="0"/>
            <w:vAlign w:val="center"/>
          </w:tcPr>
          <w:p w14:paraId="0312AE04">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《供配电系统设计规范》（GB 50052-2009）第3.2条、第3.3条、第3.7条</w:t>
            </w:r>
          </w:p>
        </w:tc>
        <w:tc>
          <w:tcPr>
            <w:tcW w:w="1243" w:type="pct"/>
            <w:noWrap w:val="0"/>
            <w:vAlign w:val="center"/>
          </w:tcPr>
          <w:p w14:paraId="6095164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企业的供电电源满足不同负荷等级的供电要求</w:t>
            </w:r>
          </w:p>
        </w:tc>
        <w:tc>
          <w:tcPr>
            <w:tcW w:w="603" w:type="pct"/>
            <w:noWrap w:val="0"/>
            <w:vAlign w:val="center"/>
          </w:tcPr>
          <w:p w14:paraId="0A88B9D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F36A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FB51368">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DB35707">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企业应建立健全涉及重大危险源的仪表检查、维护、使用、检定等各类台账及仪表巡检记录。</w:t>
            </w:r>
          </w:p>
        </w:tc>
        <w:tc>
          <w:tcPr>
            <w:tcW w:w="1199" w:type="pct"/>
            <w:noWrap w:val="0"/>
            <w:vAlign w:val="center"/>
          </w:tcPr>
          <w:p w14:paraId="24A326F4">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企业重大危险源仪表维护要求</w:t>
            </w:r>
          </w:p>
        </w:tc>
        <w:tc>
          <w:tcPr>
            <w:tcW w:w="1243" w:type="pct"/>
            <w:noWrap w:val="0"/>
            <w:vAlign w:val="center"/>
          </w:tcPr>
          <w:p w14:paraId="41E7EA4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建立健全涉及重大危险源的仪表检查、维护、使用、检定等各类台账及仪表巡检记录</w:t>
            </w:r>
          </w:p>
        </w:tc>
        <w:tc>
          <w:tcPr>
            <w:tcW w:w="603" w:type="pct"/>
            <w:noWrap w:val="0"/>
            <w:vAlign w:val="center"/>
          </w:tcPr>
          <w:p w14:paraId="093F86E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6C9C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97A10A2">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0A42278">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在全面开展过程危险分析（如危险与可操作性分析）基础上，通过风险分析确定重大危险源的安全仪表功能及其风险降低要求。在评估基础上，制定安全仪表系统管理方案和定期检验测试计划。</w:t>
            </w:r>
          </w:p>
        </w:tc>
        <w:tc>
          <w:tcPr>
            <w:tcW w:w="1199" w:type="pct"/>
            <w:noWrap w:val="0"/>
            <w:vAlign w:val="center"/>
          </w:tcPr>
          <w:p w14:paraId="09E6412B">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《国家安全生产监督管理总局关于加强化工安全仪表系统管理的指导意见》（安监总管三〔2014〕116号）第四条、十三条、十四条</w:t>
            </w:r>
          </w:p>
        </w:tc>
        <w:tc>
          <w:tcPr>
            <w:tcW w:w="1243" w:type="pct"/>
            <w:noWrap w:val="0"/>
            <w:vAlign w:val="center"/>
          </w:tcPr>
          <w:p w14:paraId="2CB036B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在评估基础上，制定安全仪表系统管理方案和定期检验测试计划</w:t>
            </w:r>
          </w:p>
        </w:tc>
        <w:tc>
          <w:tcPr>
            <w:tcW w:w="603" w:type="pct"/>
            <w:noWrap w:val="0"/>
            <w:vAlign w:val="center"/>
          </w:tcPr>
          <w:p w14:paraId="2DEBE29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8BEC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DD3356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4806A43">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构成一级、二级重大危险源的危险化学品罐区应实现紧急切断功能，并处于投用状态。</w:t>
            </w:r>
          </w:p>
        </w:tc>
        <w:tc>
          <w:tcPr>
            <w:tcW w:w="1199" w:type="pct"/>
            <w:noWrap w:val="0"/>
            <w:vAlign w:val="center"/>
          </w:tcPr>
          <w:p w14:paraId="0EEBF8C6">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《应急管理部办公厅关于印发&lt;危险化学品重大危险源企业专项检查督导工作方案&gt;的通知》（应急厅〔2020〕23号）</w:t>
            </w:r>
          </w:p>
        </w:tc>
        <w:tc>
          <w:tcPr>
            <w:tcW w:w="1243" w:type="pct"/>
            <w:noWrap w:val="0"/>
            <w:vAlign w:val="center"/>
          </w:tcPr>
          <w:p w14:paraId="11823A1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实现紧急切断功能，并处于投用状态</w:t>
            </w:r>
          </w:p>
        </w:tc>
        <w:tc>
          <w:tcPr>
            <w:tcW w:w="603" w:type="pct"/>
            <w:noWrap w:val="0"/>
            <w:vAlign w:val="center"/>
          </w:tcPr>
          <w:p w14:paraId="4442CBA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29FA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3818A371">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1D49D945">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重大危险源的化工生产装置应装备满足安全生产要求的自动化控制系统。一级或者二级重大危险源，设置紧急停车系统。</w:t>
            </w:r>
          </w:p>
        </w:tc>
        <w:tc>
          <w:tcPr>
            <w:tcW w:w="1199" w:type="pct"/>
            <w:noWrap w:val="0"/>
            <w:vAlign w:val="center"/>
          </w:tcPr>
          <w:p w14:paraId="7F2CFEE1">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《危险化学品重大危险源监督管理暂行规定》（国家安全生产监督管理总局令第40号）第十三条</w:t>
            </w:r>
          </w:p>
        </w:tc>
        <w:tc>
          <w:tcPr>
            <w:tcW w:w="1243" w:type="pct"/>
            <w:noWrap w:val="0"/>
            <w:vAlign w:val="center"/>
          </w:tcPr>
          <w:p w14:paraId="4086A59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重大危险源的化工生产装置装备满足安全生产要求的自动化控制系统。设置紧急停车系统</w:t>
            </w:r>
          </w:p>
        </w:tc>
        <w:tc>
          <w:tcPr>
            <w:tcW w:w="603" w:type="pct"/>
            <w:noWrap w:val="0"/>
            <w:vAlign w:val="center"/>
          </w:tcPr>
          <w:p w14:paraId="51F2440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4FED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38EA4697">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F7F80D8">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1.对重大危险源中的毒性气体、剧毒液体和易燃气体等重点设施，设置紧急切断装置；</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2.对涉及毒性气体、液化气体、剧毒液体的一级或者二级重大危险源，配备独立的安全仪表系统。</w:t>
            </w:r>
          </w:p>
        </w:tc>
        <w:tc>
          <w:tcPr>
            <w:tcW w:w="1199" w:type="pct"/>
            <w:noWrap w:val="0"/>
            <w:vAlign w:val="center"/>
          </w:tcPr>
          <w:p w14:paraId="30BC1EB9">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《危险化学品重大危险源监督管理暂行规定》（国家安全生产监督管理总局令第40号）第十三条</w:t>
            </w:r>
          </w:p>
        </w:tc>
        <w:tc>
          <w:tcPr>
            <w:tcW w:w="1243" w:type="pct"/>
            <w:noWrap w:val="0"/>
            <w:vAlign w:val="center"/>
          </w:tcPr>
          <w:p w14:paraId="672F93D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eastAsia" w:ascii="Times New Roman" w:hAnsi="Times New Roman" w:eastAsia="宋体" w:cs="Times New Roman"/>
                <w:kern w:val="0"/>
                <w:sz w:val="21"/>
                <w:szCs w:val="21"/>
                <w:lang w:val="en-US" w:eastAsia="zh-CN"/>
                <w14:ligatures w14:val="none"/>
              </w:rPr>
              <w:t>1#液氯库</w:t>
            </w:r>
            <w:r>
              <w:rPr>
                <w:rFonts w:hint="eastAsia" w:ascii="Times New Roman" w:hAnsi="Times New Roman" w:eastAsia="宋体" w:cs="Times New Roman"/>
                <w:kern w:val="0"/>
                <w:sz w:val="21"/>
                <w:szCs w:val="21"/>
                <w14:ligatures w14:val="none"/>
              </w:rPr>
              <w:t>独立的安全仪表系统</w:t>
            </w:r>
          </w:p>
        </w:tc>
        <w:tc>
          <w:tcPr>
            <w:tcW w:w="603" w:type="pct"/>
            <w:noWrap w:val="0"/>
            <w:vAlign w:val="center"/>
          </w:tcPr>
          <w:p w14:paraId="3D8118D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E2EB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F095DAF">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AE86A52">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罐区储罐高高、低低液位报警信号的液位测量仪表应采用单独的液位连续测量仪表或液位开关，报警信号应传送至自动控制系统。</w:t>
            </w:r>
          </w:p>
        </w:tc>
        <w:tc>
          <w:tcPr>
            <w:tcW w:w="1199" w:type="pct"/>
            <w:noWrap w:val="0"/>
            <w:vAlign w:val="center"/>
          </w:tcPr>
          <w:p w14:paraId="1B114DC4">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《石油化工储运系统罐区设计规范》（SH/T 3007-2014）第5.4.5条</w:t>
            </w:r>
          </w:p>
        </w:tc>
        <w:tc>
          <w:tcPr>
            <w:tcW w:w="1243" w:type="pct"/>
            <w:noWrap w:val="0"/>
            <w:vAlign w:val="center"/>
          </w:tcPr>
          <w:p w14:paraId="0A126F8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罐区储罐高高、低低液位报警信号的液位测量仪表采用单独的液位连续测量仪表或液位开关，报警信号传送至自动控制系统</w:t>
            </w:r>
          </w:p>
        </w:tc>
        <w:tc>
          <w:tcPr>
            <w:tcW w:w="603" w:type="pct"/>
            <w:noWrap w:val="0"/>
            <w:vAlign w:val="center"/>
          </w:tcPr>
          <w:p w14:paraId="67CB643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3735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18FA899">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1D5358CC">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压力储罐应设压力就地指示仪表和压力远传仪表。压力就地指示仪表和压力远传仪表不得共用一个开口。</w:t>
            </w:r>
          </w:p>
        </w:tc>
        <w:tc>
          <w:tcPr>
            <w:tcW w:w="1199" w:type="pct"/>
            <w:noWrap w:val="0"/>
            <w:vAlign w:val="center"/>
          </w:tcPr>
          <w:p w14:paraId="598AB060">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《石油化工储运系统罐区设计规范》（SH/T 3007-2014）第6.3.1条</w:t>
            </w:r>
          </w:p>
        </w:tc>
        <w:tc>
          <w:tcPr>
            <w:tcW w:w="1243" w:type="pct"/>
            <w:noWrap w:val="0"/>
            <w:vAlign w:val="center"/>
          </w:tcPr>
          <w:p w14:paraId="7B1BC55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压力储罐设压力就地指示仪表和压力远传仪表</w:t>
            </w:r>
          </w:p>
        </w:tc>
        <w:tc>
          <w:tcPr>
            <w:tcW w:w="603" w:type="pct"/>
            <w:noWrap w:val="0"/>
            <w:vAlign w:val="center"/>
          </w:tcPr>
          <w:p w14:paraId="3DDE7F0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B7AE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262" w:type="pct"/>
            <w:noWrap w:val="0"/>
            <w:vAlign w:val="center"/>
          </w:tcPr>
          <w:p w14:paraId="25FD333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6F6766F">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可燃气体和有毒气体检测报警器的设置与报警值的设置应满足GB/T 50493要求，并完好、处于正常投用状态。</w:t>
            </w:r>
          </w:p>
        </w:tc>
        <w:tc>
          <w:tcPr>
            <w:tcW w:w="1199" w:type="pct"/>
            <w:noWrap w:val="0"/>
            <w:vAlign w:val="center"/>
          </w:tcPr>
          <w:p w14:paraId="6438849D">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《危险化学品企业安全风险隐患排查治理导则》；</w:t>
            </w:r>
          </w:p>
          <w:p w14:paraId="161E6556">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《石油化工可燃气体和有毒气体检测报警设计规范》（GB/T  50493-2019）</w:t>
            </w:r>
          </w:p>
        </w:tc>
        <w:tc>
          <w:tcPr>
            <w:tcW w:w="1243" w:type="pct"/>
            <w:noWrap w:val="0"/>
            <w:vAlign w:val="center"/>
          </w:tcPr>
          <w:p w14:paraId="0340076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有毒气体检测报警器的设置与报警值的设置满足GB/T 50493要求，并完好、处于正常投用状态</w:t>
            </w:r>
          </w:p>
        </w:tc>
        <w:tc>
          <w:tcPr>
            <w:tcW w:w="603" w:type="pct"/>
            <w:noWrap w:val="0"/>
            <w:vAlign w:val="center"/>
          </w:tcPr>
          <w:p w14:paraId="2FC286F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B358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262" w:type="pct"/>
            <w:noWrap w:val="0"/>
            <w:vAlign w:val="center"/>
          </w:tcPr>
          <w:p w14:paraId="1EF4276D">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940C407">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1.可燃气体和有毒气体检测报警系统应独立于其他系统单独设置；</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2.可燃气体和有毒气体检测报警信号应送至有人值守的现场控制室、中心控制室等进行显示报警，建立规范、统一的报警信息记录和处理程序，对报警及处理情况做好记录，对报警原因进行分析。</w:t>
            </w:r>
          </w:p>
        </w:tc>
        <w:tc>
          <w:tcPr>
            <w:tcW w:w="1199" w:type="pct"/>
            <w:noWrap w:val="0"/>
            <w:vAlign w:val="center"/>
          </w:tcPr>
          <w:p w14:paraId="070EA776">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《石油化工可燃气体和有毒气体检测报警设计规范》（GB/T 50493-2019）第3.0.3条、第3.0.8条；</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《国家安全监管总局关于加强化工企业泄漏管理的指导意见》（安监总管三〔2014〕94号）第十九条</w:t>
            </w:r>
          </w:p>
        </w:tc>
        <w:tc>
          <w:tcPr>
            <w:tcW w:w="1243" w:type="pct"/>
            <w:noWrap w:val="0"/>
            <w:vAlign w:val="center"/>
          </w:tcPr>
          <w:p w14:paraId="162EEFE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有毒气体检测报警系统独立于其他系统单独设置</w:t>
            </w:r>
          </w:p>
        </w:tc>
        <w:tc>
          <w:tcPr>
            <w:tcW w:w="603" w:type="pct"/>
            <w:noWrap w:val="0"/>
            <w:vAlign w:val="center"/>
          </w:tcPr>
          <w:p w14:paraId="024CFC7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655EE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2313470F">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5669822">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可燃气体、有毒气体检测报警器管理应满足以下要求：</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1.绘制可燃、有毒气体检测报警器检测点布置图；</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2.可燃、有毒气体检测报警器按规定周期进行检定或校准，周期一般不超过一年。</w:t>
            </w:r>
          </w:p>
        </w:tc>
        <w:tc>
          <w:tcPr>
            <w:tcW w:w="1199" w:type="pct"/>
            <w:noWrap w:val="0"/>
            <w:vAlign w:val="center"/>
          </w:tcPr>
          <w:p w14:paraId="6DADF78B">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《危险化学品企业安全风险隐患排查治理导则》</w:t>
            </w:r>
          </w:p>
        </w:tc>
        <w:tc>
          <w:tcPr>
            <w:tcW w:w="1243" w:type="pct"/>
            <w:noWrap w:val="0"/>
            <w:vAlign w:val="center"/>
          </w:tcPr>
          <w:p w14:paraId="5DF18DA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有毒气体检测报警器按规定周期进行检定或校准</w:t>
            </w:r>
          </w:p>
        </w:tc>
        <w:tc>
          <w:tcPr>
            <w:tcW w:w="603" w:type="pct"/>
            <w:noWrap w:val="0"/>
            <w:vAlign w:val="center"/>
          </w:tcPr>
          <w:p w14:paraId="5921D1B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AE5B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262" w:type="pct"/>
            <w:noWrap w:val="0"/>
            <w:vAlign w:val="center"/>
          </w:tcPr>
          <w:p w14:paraId="26CC2FD0">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A92B57E">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化工生产装置自动化控制系统应设置不间断电源，可燃有毒气体检测报警系统应设置不间断电源，后备电池的供电时间不小于30 min。</w:t>
            </w:r>
          </w:p>
        </w:tc>
        <w:tc>
          <w:tcPr>
            <w:tcW w:w="1199" w:type="pct"/>
            <w:noWrap w:val="0"/>
            <w:vAlign w:val="center"/>
          </w:tcPr>
          <w:p w14:paraId="4F54A28B">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《危险化学品企业安全风险隐患排查治理导则》；</w:t>
            </w:r>
          </w:p>
          <w:p w14:paraId="6A518C48">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《石油化工可燃气体和有毒气体检测报警设计规范》（GB/T 50493-2019）第3.0.9条；《仪表供电设计规范》（HG/T 20509-2014）第7.1.3条</w:t>
            </w:r>
          </w:p>
        </w:tc>
        <w:tc>
          <w:tcPr>
            <w:tcW w:w="1243" w:type="pct"/>
            <w:noWrap w:val="0"/>
            <w:vAlign w:val="center"/>
          </w:tcPr>
          <w:p w14:paraId="540934C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化工生产装置自动化控制系统设置不间断电源，有毒气体检测报警系统设置不间断电源，后备电池的供电时间不小于30 min</w:t>
            </w:r>
          </w:p>
        </w:tc>
        <w:tc>
          <w:tcPr>
            <w:tcW w:w="603" w:type="pct"/>
            <w:noWrap w:val="0"/>
            <w:vAlign w:val="center"/>
          </w:tcPr>
          <w:p w14:paraId="58646E1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3CC7D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330B53C">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A494E0A">
            <w:pPr>
              <w:keepNext w:val="0"/>
              <w:keepLines w:val="0"/>
              <w:pageBreakBefore w:val="0"/>
              <w:widowControl/>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危险化学品重大危险源罐区安全监控装备应符合要求：</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1.摄像头的设置个数和位置，应根据罐区现场的实际情况而定，既要覆盖全面，也要重点考虑危险性较大的区域；</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2.摄像头的安装高度应确保可以有效监控到储罐顶部；</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3.有防爆要求的应使用防爆摄像机或采取防爆措施；</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4.视频监控系统应完好，处于24小时投用状态。</w:t>
            </w:r>
          </w:p>
        </w:tc>
        <w:tc>
          <w:tcPr>
            <w:tcW w:w="1199" w:type="pct"/>
            <w:noWrap w:val="0"/>
            <w:vAlign w:val="center"/>
          </w:tcPr>
          <w:p w14:paraId="28A6A878">
            <w:pPr>
              <w:keepNext w:val="0"/>
              <w:keepLines w:val="0"/>
              <w:pageBreakBefore w:val="0"/>
              <w:widowControl/>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《危险化学品重大危险源罐区现场安全监控装备设置规范》（AQ 3036-2010）第10.1条</w:t>
            </w:r>
          </w:p>
        </w:tc>
        <w:tc>
          <w:tcPr>
            <w:tcW w:w="1243" w:type="pct"/>
            <w:noWrap w:val="0"/>
            <w:vAlign w:val="center"/>
          </w:tcPr>
          <w:p w14:paraId="5C81C8A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危险化学品重大危险源罐区安全监控装备符合要求</w:t>
            </w:r>
          </w:p>
        </w:tc>
        <w:tc>
          <w:tcPr>
            <w:tcW w:w="603" w:type="pct"/>
            <w:noWrap w:val="0"/>
            <w:vAlign w:val="center"/>
          </w:tcPr>
          <w:p w14:paraId="709EA1E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C1C7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5"/>
            <w:noWrap w:val="0"/>
            <w:vAlign w:val="center"/>
          </w:tcPr>
          <w:p w14:paraId="0AFD508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sz w:val="21"/>
                <w:szCs w:val="21"/>
                <w:lang w:val="en-US" w:eastAsia="zh-CN"/>
                <w14:ligatures w14:val="none"/>
              </w:rPr>
              <w:t>七、消防与应急处置</w:t>
            </w:r>
          </w:p>
        </w:tc>
      </w:tr>
      <w:tr w14:paraId="5EE39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6BC4E55">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8A844F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1.企业应拟订年度消防工作计划，组织实施日常消防安全管理工作；</w:t>
            </w:r>
          </w:p>
          <w:p w14:paraId="13AD693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2.企业应制订消防安全制度和保障消防安全的操作规程并落实；</w:t>
            </w:r>
          </w:p>
          <w:p w14:paraId="0850D41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3.企业应拟订消防安全工作的资金投入和组织保障方案；</w:t>
            </w:r>
          </w:p>
          <w:p w14:paraId="47C9B89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4.企业应组织实施防火检查和火灾隐患整改工作；</w:t>
            </w:r>
          </w:p>
          <w:p w14:paraId="507977B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5.企业应组织实施对本单位消防设施、灭火器材和消防安全标志的维护保养，确保其完好有效，确保疏散通道和安全出口畅通；</w:t>
            </w:r>
          </w:p>
          <w:p w14:paraId="1A75969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6.企业应依法建立、管理专职消防队和微型消防站，定期组织消防业务学习和灭火技能训练；</w:t>
            </w:r>
          </w:p>
          <w:p w14:paraId="4B8B071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7.企业应根据本单位火灾危险特性配备相应的消防装备器材，储备足够的灭火药剂和物资；</w:t>
            </w:r>
          </w:p>
          <w:p w14:paraId="125CAF1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8.企业应在员工中组织开展消防知识、技能的宣传教育和培训，组织灭火和应急疏散预案的实施和演练。</w:t>
            </w:r>
          </w:p>
        </w:tc>
        <w:tc>
          <w:tcPr>
            <w:tcW w:w="1199" w:type="pct"/>
            <w:noWrap w:val="0"/>
            <w:vAlign w:val="center"/>
          </w:tcPr>
          <w:p w14:paraId="68EFDDDE">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中华人民共和国消防法》第十六条；《机关、团体、企业、事业单位消防安全管理规定》（公安部令第61号）第七条；《国务院办公厅关于印发消防安全责任制实施办法的通知》（国办发〔2017〕87号）第十五、十六、十七条</w:t>
            </w:r>
          </w:p>
        </w:tc>
        <w:tc>
          <w:tcPr>
            <w:tcW w:w="1243" w:type="pct"/>
            <w:noWrap w:val="0"/>
            <w:vAlign w:val="center"/>
          </w:tcPr>
          <w:p w14:paraId="5E928B0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1.</w:t>
            </w:r>
            <w:r>
              <w:rPr>
                <w:rFonts w:hint="default" w:ascii="Times New Roman" w:hAnsi="Times New Roman" w:eastAsia="宋体" w:cs="Times New Roman"/>
                <w:kern w:val="0"/>
                <w:sz w:val="21"/>
                <w:szCs w:val="21"/>
                <w14:ligatures w14:val="none"/>
              </w:rPr>
              <w:t>企业</w:t>
            </w:r>
            <w:r>
              <w:rPr>
                <w:rFonts w:hint="eastAsia" w:ascii="Times New Roman" w:hAnsi="Times New Roman" w:eastAsia="宋体" w:cs="Times New Roman"/>
                <w:kern w:val="0"/>
                <w:sz w:val="21"/>
                <w:szCs w:val="21"/>
                <w:lang w:val="en-US" w:eastAsia="zh-CN"/>
                <w14:ligatures w14:val="none"/>
              </w:rPr>
              <w:t>制定</w:t>
            </w:r>
            <w:r>
              <w:rPr>
                <w:rFonts w:hint="default" w:ascii="Times New Roman" w:hAnsi="Times New Roman" w:eastAsia="宋体" w:cs="Times New Roman"/>
                <w:kern w:val="0"/>
                <w:sz w:val="21"/>
                <w:szCs w:val="21"/>
                <w14:ligatures w14:val="none"/>
              </w:rPr>
              <w:t>年度消防工作计划，组织实施日常消防安全管理工作；</w:t>
            </w:r>
          </w:p>
          <w:p w14:paraId="2D31E3D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2.企业制订消防安全制度和保障消防安全的操作规程并落实；</w:t>
            </w:r>
          </w:p>
          <w:p w14:paraId="5A1C672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3.企业</w:t>
            </w:r>
            <w:r>
              <w:rPr>
                <w:rFonts w:hint="eastAsia" w:ascii="Times New Roman" w:hAnsi="Times New Roman" w:eastAsia="宋体" w:cs="Times New Roman"/>
                <w:kern w:val="0"/>
                <w:sz w:val="21"/>
                <w:szCs w:val="21"/>
                <w:lang w:val="en-US" w:eastAsia="zh-CN"/>
                <w14:ligatures w14:val="none"/>
              </w:rPr>
              <w:t>制定</w:t>
            </w:r>
            <w:r>
              <w:rPr>
                <w:rFonts w:hint="default" w:ascii="Times New Roman" w:hAnsi="Times New Roman" w:eastAsia="宋体" w:cs="Times New Roman"/>
                <w:kern w:val="0"/>
                <w:sz w:val="21"/>
                <w:szCs w:val="21"/>
                <w14:ligatures w14:val="none"/>
              </w:rPr>
              <w:t>消防安全工作的资金投入和组织保障方案；</w:t>
            </w:r>
          </w:p>
          <w:p w14:paraId="33EC326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4.企业组织实施防火检查和火灾隐患整改工作；</w:t>
            </w:r>
          </w:p>
          <w:p w14:paraId="0CCE59A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5.企业组织实施对本单位消防设施、灭火器材和消防安全标志的维护保养，确保其完好有效，确保疏散通道和安全出口畅通；</w:t>
            </w:r>
          </w:p>
          <w:p w14:paraId="4D9AABD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6.企业依法建立、管理专职消防队和微型消防站，定期组织消防业务学习和灭火技能训练；</w:t>
            </w:r>
          </w:p>
          <w:p w14:paraId="03852AE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7.企业根据本单位火灾危险特性配备相应的消防装备器材，储备足够的灭火药剂和物资；</w:t>
            </w:r>
          </w:p>
          <w:p w14:paraId="2D1E7D8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8.企业在员工中组织开展消防知识、技能的宣传教育和培训，组织灭火和应急疏散预案的实施和演练</w:t>
            </w:r>
          </w:p>
        </w:tc>
        <w:tc>
          <w:tcPr>
            <w:tcW w:w="603" w:type="pct"/>
            <w:noWrap w:val="0"/>
            <w:vAlign w:val="center"/>
          </w:tcPr>
          <w:p w14:paraId="1126F02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657D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62D05A4">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2A5FBC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石化行业涉及过程控制的可燃气体探测器，可按现行国家标准《石油化工可燃气体和有毒气体检测报警设计规范》GB 50493的有关规定设置，但其报警信号应接入消防控制室。</w:t>
            </w:r>
          </w:p>
        </w:tc>
        <w:tc>
          <w:tcPr>
            <w:tcW w:w="1199" w:type="pct"/>
            <w:noWrap w:val="0"/>
            <w:vAlign w:val="center"/>
          </w:tcPr>
          <w:p w14:paraId="6DB8AC3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《火灾自动报警系统设计规范》（GB 50116-2013）8.1.3</w:t>
            </w:r>
          </w:p>
        </w:tc>
        <w:tc>
          <w:tcPr>
            <w:tcW w:w="1243" w:type="pct"/>
            <w:noWrap w:val="0"/>
            <w:vAlign w:val="center"/>
          </w:tcPr>
          <w:p w14:paraId="47BBE65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lang w:val="en-US" w:eastAsia="zh-CN"/>
                <w14:ligatures w14:val="none"/>
              </w:rPr>
            </w:pPr>
            <w:r>
              <w:rPr>
                <w:rFonts w:hint="default" w:ascii="Times New Roman" w:hAnsi="Times New Roman" w:eastAsia="宋体" w:cs="Times New Roman"/>
                <w:kern w:val="0"/>
                <w:sz w:val="21"/>
                <w:szCs w:val="21"/>
                <w14:ligatures w14:val="none"/>
              </w:rPr>
              <w:t>有毒气体检测报警</w:t>
            </w:r>
            <w:r>
              <w:rPr>
                <w:rFonts w:hint="eastAsia" w:ascii="Times New Roman" w:hAnsi="Times New Roman" w:eastAsia="宋体" w:cs="Times New Roman"/>
                <w:kern w:val="0"/>
                <w:sz w:val="21"/>
                <w:szCs w:val="21"/>
                <w:lang w:val="en-US" w:eastAsia="zh-CN"/>
                <w14:ligatures w14:val="none"/>
              </w:rPr>
              <w:t>设置符合规范要求</w:t>
            </w:r>
          </w:p>
        </w:tc>
        <w:tc>
          <w:tcPr>
            <w:tcW w:w="603" w:type="pct"/>
            <w:noWrap w:val="0"/>
            <w:vAlign w:val="center"/>
          </w:tcPr>
          <w:p w14:paraId="3C576BA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24285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7F89214">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857D41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企业应按照GB/T 29639的要求编制综合应急预案、专项应急预案、现场处置方案和应急处置卡。参照GB/T38315-2019的要求编制灭火和应急疏散预案。应急预案应符合企业实际。</w:t>
            </w:r>
          </w:p>
        </w:tc>
        <w:tc>
          <w:tcPr>
            <w:tcW w:w="1199" w:type="pct"/>
            <w:noWrap w:val="0"/>
            <w:vAlign w:val="center"/>
          </w:tcPr>
          <w:p w14:paraId="4D07A5E5">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《社会单位灭火和应急疏散预案编制及实施导则》（GB/T 38315-2019）第1条；《生产安全事故应急预案管理办法》（国家安全生产监督管理总局令第88号公布，根据应急管理部令第2号修正）第六、第十九条</w:t>
            </w:r>
          </w:p>
        </w:tc>
        <w:tc>
          <w:tcPr>
            <w:tcW w:w="1243" w:type="pct"/>
            <w:noWrap w:val="0"/>
            <w:vAlign w:val="center"/>
          </w:tcPr>
          <w:p w14:paraId="3B10EC5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按照GB/T 29639的要求编制综合应急预案、专项应急预案、现场处置方案和应急处置卡</w:t>
            </w:r>
          </w:p>
        </w:tc>
        <w:tc>
          <w:tcPr>
            <w:tcW w:w="603" w:type="pct"/>
            <w:noWrap w:val="0"/>
            <w:vAlign w:val="center"/>
          </w:tcPr>
          <w:p w14:paraId="48D3B5D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39A1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215B6C9F">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880759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1.企业应制定应急预案定期评估制度，应每三年进行一次应急预案评估，对应急预案内容的针对性和实用性进行分析，并对应急预案是否需要修订作出结论；</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2.企业应及时对应急预案进行修订；</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3.小型企业可以与邻近的应急救援队伍签订应急救援协议。</w:t>
            </w:r>
          </w:p>
        </w:tc>
        <w:tc>
          <w:tcPr>
            <w:tcW w:w="1199" w:type="pct"/>
            <w:noWrap w:val="0"/>
            <w:vAlign w:val="center"/>
          </w:tcPr>
          <w:p w14:paraId="41E0F96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《生产安全事故应急条例》（国务院令第708号）第六、十条；《生产安全事故应急预案管理办法》（国家安全生产监督管理总局令第88号公布，根据应急管理部令第2号修正）第三十五、第三十六条</w:t>
            </w:r>
          </w:p>
        </w:tc>
        <w:tc>
          <w:tcPr>
            <w:tcW w:w="1243" w:type="pct"/>
            <w:noWrap w:val="0"/>
            <w:vAlign w:val="center"/>
          </w:tcPr>
          <w:p w14:paraId="6D083EA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企业制定应急预案定期评估制度，每三年进行一次应急预案评估</w:t>
            </w:r>
          </w:p>
        </w:tc>
        <w:tc>
          <w:tcPr>
            <w:tcW w:w="603" w:type="pct"/>
            <w:noWrap w:val="0"/>
            <w:vAlign w:val="center"/>
          </w:tcPr>
          <w:p w14:paraId="366249A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70192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FC2B00F">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512F0A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企业应定期组织开展本单位的应急预案、应急知识、自救互救和避险逃生技能的培训活动，使有关人员了解应急预案内容，熟悉应急职责、应急处置程序和措施。</w:t>
            </w:r>
          </w:p>
        </w:tc>
        <w:tc>
          <w:tcPr>
            <w:tcW w:w="1199" w:type="pct"/>
            <w:noWrap w:val="0"/>
            <w:vAlign w:val="center"/>
          </w:tcPr>
          <w:p w14:paraId="723D421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《生产安全事故应急预案管理办法》（国家安全生产监督管理总局令第88号公布，根据应急管理部令第2号修正）第三十一条</w:t>
            </w:r>
          </w:p>
        </w:tc>
        <w:tc>
          <w:tcPr>
            <w:tcW w:w="1243" w:type="pct"/>
            <w:noWrap w:val="0"/>
            <w:vAlign w:val="center"/>
          </w:tcPr>
          <w:p w14:paraId="3C1D200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企业定期组织开展本单位的应急预案、应急知识、自救互救和避险逃生技能的培训活动</w:t>
            </w:r>
          </w:p>
        </w:tc>
        <w:tc>
          <w:tcPr>
            <w:tcW w:w="603" w:type="pct"/>
            <w:noWrap w:val="0"/>
            <w:vAlign w:val="center"/>
          </w:tcPr>
          <w:p w14:paraId="11E94E8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17F87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CF1D78F">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91BBEDE">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1.企业应制定本单位的应急预案演练计划，应当至少每半年组织1次生产安全事故应急救援预案演练；</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2.重大危险源包保责任人应参加预案演练。</w:t>
            </w:r>
          </w:p>
        </w:tc>
        <w:tc>
          <w:tcPr>
            <w:tcW w:w="1199" w:type="pct"/>
            <w:noWrap w:val="0"/>
            <w:vAlign w:val="center"/>
          </w:tcPr>
          <w:p w14:paraId="411ABB0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《生产安全事故应急条例》（国务院令第708号）第八条；《应急管理部办公厅关于印发危险化学品企业重大危险源安全包保责任制办法（试行）的通知》（应急厅〔2021〕12号）</w:t>
            </w:r>
          </w:p>
        </w:tc>
        <w:tc>
          <w:tcPr>
            <w:tcW w:w="1243" w:type="pct"/>
            <w:noWrap w:val="0"/>
            <w:vAlign w:val="center"/>
          </w:tcPr>
          <w:p w14:paraId="3349AF9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eastAsia" w:ascii="Times New Roman" w:hAnsi="Times New Roman" w:eastAsia="宋体" w:cs="Times New Roman"/>
                <w:sz w:val="21"/>
                <w:szCs w:val="21"/>
                <w:lang w:eastAsia="zh-CN"/>
                <w14:ligatures w14:val="none"/>
              </w:rPr>
            </w:pPr>
            <w:r>
              <w:rPr>
                <w:rFonts w:hint="default" w:ascii="Times New Roman" w:hAnsi="Times New Roman" w:eastAsia="宋体" w:cs="Times New Roman"/>
                <w:kern w:val="0"/>
                <w:sz w:val="21"/>
                <w:szCs w:val="21"/>
                <w14:ligatures w14:val="none"/>
              </w:rPr>
              <w:t>企业制定本单位的应急预案演练计划</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重大危险源包保责任人参加预案演练</w:t>
            </w:r>
          </w:p>
        </w:tc>
        <w:tc>
          <w:tcPr>
            <w:tcW w:w="603" w:type="pct"/>
            <w:noWrap w:val="0"/>
            <w:vAlign w:val="center"/>
          </w:tcPr>
          <w:p w14:paraId="6FEB490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01E80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09EAFE7">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C907C1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抽查一次现场处置方案演练记录，是否按计划组织演练，并评价演练效果（评价应急救援预案的充分性和有效性，并形成记录）。</w:t>
            </w:r>
          </w:p>
        </w:tc>
        <w:tc>
          <w:tcPr>
            <w:tcW w:w="1199" w:type="pct"/>
            <w:noWrap w:val="0"/>
            <w:vAlign w:val="center"/>
          </w:tcPr>
          <w:p w14:paraId="6F65442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《生产安全事故应急预案管理办法》（国家安全生产监督管理总局令第88号公布，根据应急管理部令第2号修正）第三十三条、第三十四条</w:t>
            </w:r>
          </w:p>
        </w:tc>
        <w:tc>
          <w:tcPr>
            <w:tcW w:w="1243" w:type="pct"/>
            <w:noWrap w:val="0"/>
            <w:vAlign w:val="center"/>
          </w:tcPr>
          <w:p w14:paraId="68CA3DB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按计划组织演练，并</w:t>
            </w:r>
            <w:r>
              <w:rPr>
                <w:rFonts w:hint="eastAsia" w:ascii="Times New Roman" w:hAnsi="Times New Roman" w:eastAsia="宋体" w:cs="Times New Roman"/>
                <w:kern w:val="0"/>
                <w:sz w:val="21"/>
                <w:szCs w:val="21"/>
                <w:lang w:val="en-US" w:eastAsia="zh-CN"/>
                <w14:ligatures w14:val="none"/>
              </w:rPr>
              <w:t>达到</w:t>
            </w:r>
            <w:r>
              <w:rPr>
                <w:rFonts w:hint="default" w:ascii="Times New Roman" w:hAnsi="Times New Roman" w:eastAsia="宋体" w:cs="Times New Roman"/>
                <w:kern w:val="0"/>
                <w:sz w:val="21"/>
                <w:szCs w:val="21"/>
                <w14:ligatures w14:val="none"/>
              </w:rPr>
              <w:t>演练效果</w:t>
            </w:r>
          </w:p>
        </w:tc>
        <w:tc>
          <w:tcPr>
            <w:tcW w:w="603" w:type="pct"/>
            <w:noWrap w:val="0"/>
            <w:vAlign w:val="center"/>
          </w:tcPr>
          <w:p w14:paraId="6FDE250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53831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ACE7269">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428FF5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企业应建立应急器材台账、维护保养记录，按照制度要求定期检查应急器材。</w:t>
            </w:r>
          </w:p>
        </w:tc>
        <w:tc>
          <w:tcPr>
            <w:tcW w:w="1199" w:type="pct"/>
            <w:noWrap w:val="0"/>
            <w:vAlign w:val="center"/>
          </w:tcPr>
          <w:p w14:paraId="2325F0AE">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default" w:ascii="Times New Roman" w:hAnsi="Times New Roman" w:eastAsia="宋体" w:cs="Times New Roman"/>
                <w:kern w:val="0"/>
                <w:sz w:val="21"/>
                <w:szCs w:val="21"/>
                <w14:ligatures w14:val="none"/>
              </w:rPr>
              <w:t>《危险化学品单位应急救援物资配备标准》（GB 30077-2013）第9.1、9.3条</w:t>
            </w:r>
          </w:p>
        </w:tc>
        <w:tc>
          <w:tcPr>
            <w:tcW w:w="1243" w:type="pct"/>
            <w:noWrap w:val="0"/>
            <w:vAlign w:val="center"/>
          </w:tcPr>
          <w:p w14:paraId="3ED686F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kern w:val="0"/>
                <w:sz w:val="21"/>
                <w:szCs w:val="21"/>
                <w14:ligatures w14:val="none"/>
              </w:rPr>
              <w:t>企业建立应急器材台账、维护保养记录，按照制度要求定期检查应急器材</w:t>
            </w:r>
          </w:p>
        </w:tc>
        <w:tc>
          <w:tcPr>
            <w:tcW w:w="603" w:type="pct"/>
            <w:noWrap w:val="0"/>
            <w:vAlign w:val="center"/>
          </w:tcPr>
          <w:p w14:paraId="67A73E1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r>
              <w:rPr>
                <w:rFonts w:hint="default" w:ascii="Times New Roman" w:hAnsi="Times New Roman" w:eastAsia="宋体" w:cs="Times New Roman"/>
                <w:sz w:val="21"/>
                <w:szCs w:val="21"/>
                <w14:ligatures w14:val="none"/>
              </w:rPr>
              <w:t>符合</w:t>
            </w:r>
          </w:p>
        </w:tc>
      </w:tr>
      <w:tr w14:paraId="419E7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60838C7">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2F5433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氯库的耐火等级是否不低于二级</w:t>
            </w:r>
          </w:p>
        </w:tc>
        <w:tc>
          <w:tcPr>
            <w:tcW w:w="1199" w:type="pct"/>
            <w:noWrap w:val="0"/>
            <w:vAlign w:val="center"/>
          </w:tcPr>
          <w:p w14:paraId="352EBE8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《建筑设计防火规范》第3.3.1条</w:t>
            </w:r>
          </w:p>
        </w:tc>
        <w:tc>
          <w:tcPr>
            <w:tcW w:w="1243" w:type="pct"/>
            <w:noWrap w:val="0"/>
            <w:vAlign w:val="center"/>
          </w:tcPr>
          <w:p w14:paraId="282E669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耐火等级为二级</w:t>
            </w:r>
          </w:p>
        </w:tc>
        <w:tc>
          <w:tcPr>
            <w:tcW w:w="603" w:type="pct"/>
            <w:noWrap w:val="0"/>
            <w:vAlign w:val="center"/>
          </w:tcPr>
          <w:p w14:paraId="17E5882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26155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B259121">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2979E0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氯库的防火分区面积是否不大于700m</w:t>
            </w:r>
            <w:r>
              <w:rPr>
                <w:rFonts w:hint="default" w:ascii="Times New Roman" w:hAnsi="Times New Roman" w:eastAsia="宋体" w:cs="Times New Roman"/>
                <w:kern w:val="0"/>
                <w:sz w:val="21"/>
                <w:szCs w:val="21"/>
                <w:vertAlign w:val="superscript"/>
                <w14:ligatures w14:val="none"/>
              </w:rPr>
              <w:t>2</w:t>
            </w:r>
          </w:p>
        </w:tc>
        <w:tc>
          <w:tcPr>
            <w:tcW w:w="1199" w:type="pct"/>
            <w:noWrap w:val="0"/>
            <w:vAlign w:val="center"/>
          </w:tcPr>
          <w:p w14:paraId="5CAC89A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 第3.3.2条</w:t>
            </w:r>
          </w:p>
        </w:tc>
        <w:tc>
          <w:tcPr>
            <w:tcW w:w="1243" w:type="pct"/>
            <w:noWrap w:val="0"/>
            <w:vAlign w:val="center"/>
          </w:tcPr>
          <w:p w14:paraId="50A19FF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氯库为单层建筑，防火分区面积小于700m</w:t>
            </w:r>
            <w:r>
              <w:rPr>
                <w:rFonts w:hint="default" w:ascii="Times New Roman" w:hAnsi="Times New Roman" w:eastAsia="宋体" w:cs="Times New Roman"/>
                <w:kern w:val="0"/>
                <w:sz w:val="21"/>
                <w:szCs w:val="21"/>
                <w:vertAlign w:val="superscript"/>
                <w14:ligatures w14:val="none"/>
              </w:rPr>
              <w:t>2</w:t>
            </w:r>
          </w:p>
        </w:tc>
        <w:tc>
          <w:tcPr>
            <w:tcW w:w="603" w:type="pct"/>
            <w:noWrap w:val="0"/>
            <w:vAlign w:val="center"/>
          </w:tcPr>
          <w:p w14:paraId="6F5A2DA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24656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1B5DFEE">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32F2984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液氯库区内是否未设置员工宿舍</w:t>
            </w:r>
          </w:p>
          <w:p w14:paraId="47C94FC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办公室、休息室等不应设置在甲、乙类厂房内，确需贴邻本厂房时，其耐火等级不应低于二级，并应采用耐火极限不低于3.00h的防爆墙与厂房分隔和设置独立的安全出口</w:t>
            </w:r>
          </w:p>
        </w:tc>
        <w:tc>
          <w:tcPr>
            <w:tcW w:w="1199" w:type="pct"/>
            <w:noWrap w:val="0"/>
            <w:vAlign w:val="center"/>
          </w:tcPr>
          <w:p w14:paraId="4A4E13A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《建筑设计防火规范》第3.3.5条</w:t>
            </w:r>
          </w:p>
        </w:tc>
        <w:tc>
          <w:tcPr>
            <w:tcW w:w="1243" w:type="pct"/>
            <w:noWrap w:val="0"/>
            <w:vAlign w:val="center"/>
          </w:tcPr>
          <w:p w14:paraId="280E5A9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未设置员工宿舍</w:t>
            </w:r>
          </w:p>
          <w:p w14:paraId="1F560B9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液氯库内没有无关房间</w:t>
            </w:r>
          </w:p>
        </w:tc>
        <w:tc>
          <w:tcPr>
            <w:tcW w:w="603" w:type="pct"/>
            <w:noWrap w:val="0"/>
            <w:vAlign w:val="center"/>
          </w:tcPr>
          <w:p w14:paraId="12850153">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30682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833AAB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9BBBD11">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液氯库的安全出口，是否不小于2个，其相邻2个安全出口最近边缘之间的水平距离是否不小于5m</w:t>
            </w:r>
          </w:p>
        </w:tc>
        <w:tc>
          <w:tcPr>
            <w:tcW w:w="1199" w:type="pct"/>
            <w:noWrap w:val="0"/>
            <w:vAlign w:val="center"/>
          </w:tcPr>
          <w:p w14:paraId="4F4D840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《建筑设计防火规范》第3.7.1条、3.7.2条</w:t>
            </w:r>
          </w:p>
        </w:tc>
        <w:tc>
          <w:tcPr>
            <w:tcW w:w="1243" w:type="pct"/>
            <w:noWrap w:val="0"/>
            <w:vAlign w:val="center"/>
          </w:tcPr>
          <w:p w14:paraId="4285899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设有</w:t>
            </w:r>
            <w:r>
              <w:rPr>
                <w:rFonts w:hint="eastAsia" w:ascii="Times New Roman" w:hAnsi="Times New Roman" w:eastAsia="宋体" w:cs="Times New Roman"/>
                <w:kern w:val="0"/>
                <w:sz w:val="21"/>
                <w:szCs w:val="21"/>
                <w:highlight w:val="none"/>
                <w:lang w:val="en-US" w:eastAsia="zh-CN"/>
                <w14:ligatures w14:val="none"/>
              </w:rPr>
              <w:t>3</w:t>
            </w:r>
            <w:r>
              <w:rPr>
                <w:rFonts w:hint="default" w:ascii="Times New Roman" w:hAnsi="Times New Roman" w:eastAsia="宋体" w:cs="Times New Roman"/>
                <w:kern w:val="0"/>
                <w:sz w:val="21"/>
                <w:szCs w:val="21"/>
                <w:highlight w:val="none"/>
                <w14:ligatures w14:val="none"/>
              </w:rPr>
              <w:t>个出口，相互间距不小于5m</w:t>
            </w:r>
          </w:p>
        </w:tc>
        <w:tc>
          <w:tcPr>
            <w:tcW w:w="603" w:type="pct"/>
            <w:noWrap w:val="0"/>
            <w:vAlign w:val="center"/>
          </w:tcPr>
          <w:p w14:paraId="5F2F5DB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符合</w:t>
            </w:r>
          </w:p>
        </w:tc>
      </w:tr>
      <w:tr w14:paraId="4FF59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2F3D481">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63F67C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液氯库任一点到最近安全出口的距离是否不大于75m</w:t>
            </w:r>
          </w:p>
        </w:tc>
        <w:tc>
          <w:tcPr>
            <w:tcW w:w="1199" w:type="pct"/>
            <w:noWrap w:val="0"/>
            <w:vAlign w:val="center"/>
          </w:tcPr>
          <w:p w14:paraId="0BF34BB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《建筑设计防火规范》第3.7.4条</w:t>
            </w:r>
          </w:p>
        </w:tc>
        <w:tc>
          <w:tcPr>
            <w:tcW w:w="1243" w:type="pct"/>
            <w:noWrap w:val="0"/>
            <w:vAlign w:val="center"/>
          </w:tcPr>
          <w:p w14:paraId="0FB074A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任一点到最近安全出口的最远距离为</w:t>
            </w:r>
            <w:r>
              <w:rPr>
                <w:rFonts w:hint="eastAsia" w:ascii="Times New Roman" w:hAnsi="Times New Roman" w:eastAsia="宋体" w:cs="Times New Roman"/>
                <w:kern w:val="0"/>
                <w:sz w:val="21"/>
                <w:szCs w:val="21"/>
                <w:highlight w:val="none"/>
                <w:lang w:val="en-US" w:eastAsia="zh-CN"/>
                <w14:ligatures w14:val="none"/>
              </w:rPr>
              <w:t>11</w:t>
            </w:r>
            <w:r>
              <w:rPr>
                <w:rFonts w:hint="default" w:ascii="Times New Roman" w:hAnsi="Times New Roman" w:eastAsia="宋体" w:cs="Times New Roman"/>
                <w:kern w:val="0"/>
                <w:sz w:val="21"/>
                <w:szCs w:val="21"/>
                <w:highlight w:val="none"/>
                <w14:ligatures w14:val="none"/>
              </w:rPr>
              <w:t>m</w:t>
            </w:r>
          </w:p>
        </w:tc>
        <w:tc>
          <w:tcPr>
            <w:tcW w:w="603" w:type="pct"/>
            <w:noWrap w:val="0"/>
            <w:vAlign w:val="center"/>
          </w:tcPr>
          <w:p w14:paraId="5662E343">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highlight w:val="none"/>
                <w14:ligatures w14:val="none"/>
              </w:rPr>
            </w:pPr>
            <w:r>
              <w:rPr>
                <w:rFonts w:hint="default" w:ascii="Times New Roman" w:hAnsi="Times New Roman" w:eastAsia="宋体" w:cs="Times New Roman"/>
                <w:kern w:val="0"/>
                <w:sz w:val="21"/>
                <w:szCs w:val="21"/>
                <w:highlight w:val="none"/>
                <w14:ligatures w14:val="none"/>
              </w:rPr>
              <w:t>符合</w:t>
            </w:r>
          </w:p>
        </w:tc>
      </w:tr>
      <w:tr w14:paraId="48B9F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54B35DFE">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8AC663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液氯库外门最小净宽是否不小于1.2m</w:t>
            </w:r>
          </w:p>
        </w:tc>
        <w:tc>
          <w:tcPr>
            <w:tcW w:w="1199" w:type="pct"/>
            <w:noWrap w:val="0"/>
            <w:vAlign w:val="center"/>
          </w:tcPr>
          <w:p w14:paraId="6E5EDB9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《建筑设计防火规范》第3.7.5条</w:t>
            </w:r>
          </w:p>
        </w:tc>
        <w:tc>
          <w:tcPr>
            <w:tcW w:w="1243" w:type="pct"/>
            <w:noWrap w:val="0"/>
            <w:vAlign w:val="center"/>
          </w:tcPr>
          <w:p w14:paraId="623B5C5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外门的最小净宽为1.2m</w:t>
            </w:r>
          </w:p>
        </w:tc>
        <w:tc>
          <w:tcPr>
            <w:tcW w:w="603" w:type="pct"/>
            <w:noWrap w:val="0"/>
            <w:vAlign w:val="center"/>
          </w:tcPr>
          <w:p w14:paraId="46BB8E5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210CD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2BF4BB5E">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AFC482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管道不宜穿过防火墙，确需穿过时，应采用防火封堵材料将墙与管道之间的空隙紧密填实，穿过防火墙处的管道保温材料，应釆用不燃材料；当管道为难燃及可燃材料时，应在防火墙两侧的管道上采取防火措施</w:t>
            </w:r>
          </w:p>
        </w:tc>
        <w:tc>
          <w:tcPr>
            <w:tcW w:w="1199" w:type="pct"/>
            <w:noWrap w:val="0"/>
            <w:vAlign w:val="center"/>
          </w:tcPr>
          <w:p w14:paraId="144BBFF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《建筑设计防火规范》第6.1.6条</w:t>
            </w:r>
          </w:p>
        </w:tc>
        <w:tc>
          <w:tcPr>
            <w:tcW w:w="1243" w:type="pct"/>
            <w:noWrap w:val="0"/>
            <w:vAlign w:val="center"/>
          </w:tcPr>
          <w:p w14:paraId="477BD35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均已经进行封堵</w:t>
            </w:r>
          </w:p>
        </w:tc>
        <w:tc>
          <w:tcPr>
            <w:tcW w:w="603" w:type="pct"/>
            <w:noWrap w:val="0"/>
            <w:vAlign w:val="center"/>
          </w:tcPr>
          <w:p w14:paraId="0EC5DC9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6C678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21033BDA">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038784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厂房的疏散门，应采用向疏散方向开启的平开门</w:t>
            </w:r>
          </w:p>
        </w:tc>
        <w:tc>
          <w:tcPr>
            <w:tcW w:w="1199" w:type="pct"/>
            <w:noWrap w:val="0"/>
            <w:vAlign w:val="center"/>
          </w:tcPr>
          <w:p w14:paraId="38694ED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《建筑设计防火规范》第6.4.11条</w:t>
            </w:r>
          </w:p>
        </w:tc>
        <w:tc>
          <w:tcPr>
            <w:tcW w:w="1243" w:type="pct"/>
            <w:noWrap w:val="0"/>
            <w:vAlign w:val="center"/>
          </w:tcPr>
          <w:p w14:paraId="2B2A3CB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向疏散方向开启，并采用平开门</w:t>
            </w:r>
          </w:p>
        </w:tc>
        <w:tc>
          <w:tcPr>
            <w:tcW w:w="603" w:type="pct"/>
            <w:noWrap w:val="0"/>
            <w:vAlign w:val="center"/>
          </w:tcPr>
          <w:p w14:paraId="6C2BE13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0ED1B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2570D39C">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35A18C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建筑内供暖管道和设备的绝热材料应符合下列规定：①对于甲、乙类厂房应采用不燃材料；②对于其他建筑，宜采用不燃材料，不得采用可燃材料。</w:t>
            </w:r>
          </w:p>
        </w:tc>
        <w:tc>
          <w:tcPr>
            <w:tcW w:w="1199" w:type="pct"/>
            <w:noWrap w:val="0"/>
            <w:vAlign w:val="center"/>
          </w:tcPr>
          <w:p w14:paraId="6687BC0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《建筑设计防火规范》第9.2.6条</w:t>
            </w:r>
          </w:p>
        </w:tc>
        <w:tc>
          <w:tcPr>
            <w:tcW w:w="1243" w:type="pct"/>
            <w:noWrap w:val="0"/>
            <w:vAlign w:val="center"/>
          </w:tcPr>
          <w:p w14:paraId="7E1CE90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采用非燃烧材料</w:t>
            </w:r>
          </w:p>
        </w:tc>
        <w:tc>
          <w:tcPr>
            <w:tcW w:w="603" w:type="pct"/>
            <w:noWrap w:val="0"/>
            <w:vAlign w:val="center"/>
          </w:tcPr>
          <w:p w14:paraId="6062C85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169EE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D8B5ACF">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DCF8D5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必须储存在专用仓库、专用场地或者专用储存室内，储存方式、方法与储存数量必须符合国家标准，并由专人管理。剧毒化学品以及储存数量构成重大危险源的其他危险化学品必须在专用仓库内单独存放，</w:t>
            </w:r>
          </w:p>
        </w:tc>
        <w:tc>
          <w:tcPr>
            <w:tcW w:w="1199" w:type="pct"/>
            <w:noWrap w:val="0"/>
            <w:vAlign w:val="center"/>
          </w:tcPr>
          <w:p w14:paraId="39B16078">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《危险化学品安全管理条例》第二十二条</w:t>
            </w:r>
          </w:p>
        </w:tc>
        <w:tc>
          <w:tcPr>
            <w:tcW w:w="1243" w:type="pct"/>
            <w:noWrap w:val="0"/>
            <w:vAlign w:val="center"/>
          </w:tcPr>
          <w:p w14:paraId="50EC80CD">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储存符合要求，液氯专区储存，专人管理</w:t>
            </w:r>
          </w:p>
        </w:tc>
        <w:tc>
          <w:tcPr>
            <w:tcW w:w="603" w:type="pct"/>
            <w:noWrap w:val="0"/>
            <w:vAlign w:val="center"/>
          </w:tcPr>
          <w:p w14:paraId="7F981AF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FF7B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D9A0616">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AD152E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生产、使用氯气的车间及贮氯场所应至少配备两套正压式空气呼吸器、长管式防毒面具、重型防护服等防护器具</w:t>
            </w:r>
          </w:p>
        </w:tc>
        <w:tc>
          <w:tcPr>
            <w:tcW w:w="1199" w:type="pct"/>
            <w:noWrap w:val="0"/>
            <w:vAlign w:val="center"/>
          </w:tcPr>
          <w:p w14:paraId="20DCE38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《国家安全监管总局办公厅关于印发首批重点监管的危险化学品安全措施和应急处置原则的通知》</w:t>
            </w:r>
          </w:p>
        </w:tc>
        <w:tc>
          <w:tcPr>
            <w:tcW w:w="1243" w:type="pct"/>
            <w:noWrap w:val="0"/>
            <w:vAlign w:val="center"/>
          </w:tcPr>
          <w:p w14:paraId="363D17C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现场有正压呼吸器和防毒面具</w:t>
            </w:r>
          </w:p>
        </w:tc>
        <w:tc>
          <w:tcPr>
            <w:tcW w:w="603" w:type="pct"/>
            <w:noWrap w:val="0"/>
            <w:vAlign w:val="center"/>
          </w:tcPr>
          <w:p w14:paraId="5665AF8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56B6B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69F0AEE">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2873F8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 xml:space="preserve">毒性程度为极度、高度或中度危害介质的压力容器，应当在安全阀或爆破片的排出口装设导管，将排放介质引至安全地点，并且进行妥善处理，不得直接排入大气 </w:t>
            </w:r>
          </w:p>
        </w:tc>
        <w:tc>
          <w:tcPr>
            <w:tcW w:w="1199" w:type="pct"/>
            <w:noWrap w:val="0"/>
            <w:vAlign w:val="center"/>
          </w:tcPr>
          <w:p w14:paraId="6927BAE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《固定式压力容器安全技术监察规程》第135条</w:t>
            </w:r>
          </w:p>
        </w:tc>
        <w:tc>
          <w:tcPr>
            <w:tcW w:w="1243" w:type="pct"/>
            <w:noWrap w:val="0"/>
            <w:vAlign w:val="center"/>
          </w:tcPr>
          <w:p w14:paraId="0087BDF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设有氯气尾气吸收装置</w:t>
            </w:r>
          </w:p>
        </w:tc>
        <w:tc>
          <w:tcPr>
            <w:tcW w:w="603" w:type="pct"/>
            <w:noWrap w:val="0"/>
            <w:vAlign w:val="center"/>
          </w:tcPr>
          <w:p w14:paraId="1F0EB8B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D46B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C410003">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1B9222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贮罐区周围20m范围内不应堆放易燃和可燃物品</w:t>
            </w:r>
          </w:p>
        </w:tc>
        <w:tc>
          <w:tcPr>
            <w:tcW w:w="1199" w:type="pct"/>
            <w:noWrap w:val="0"/>
            <w:vAlign w:val="center"/>
          </w:tcPr>
          <w:p w14:paraId="3D1AB2B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《液氯使用安全技术规程》第7.2.1条</w:t>
            </w:r>
          </w:p>
        </w:tc>
        <w:tc>
          <w:tcPr>
            <w:tcW w:w="1243" w:type="pct"/>
            <w:noWrap w:val="0"/>
            <w:vAlign w:val="center"/>
          </w:tcPr>
          <w:p w14:paraId="750E24A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周围无易燃和可燃物品堆放</w:t>
            </w:r>
          </w:p>
        </w:tc>
        <w:tc>
          <w:tcPr>
            <w:tcW w:w="603" w:type="pct"/>
            <w:noWrap w:val="0"/>
            <w:vAlign w:val="center"/>
          </w:tcPr>
          <w:p w14:paraId="75E1003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55C7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552BA4D">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FEDF40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储存剧毒气体、易挥发、易燃剧毒液体的场所配备可燃、有毒气体泄漏报警装置</w:t>
            </w:r>
          </w:p>
        </w:tc>
        <w:tc>
          <w:tcPr>
            <w:tcW w:w="1199" w:type="pct"/>
            <w:noWrap w:val="0"/>
            <w:vAlign w:val="center"/>
          </w:tcPr>
          <w:p w14:paraId="5BEB9D6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《使用有毒物品作业场所劳动保护条例》第十一条</w:t>
            </w:r>
          </w:p>
        </w:tc>
        <w:tc>
          <w:tcPr>
            <w:tcW w:w="1243" w:type="pct"/>
            <w:noWrap w:val="0"/>
            <w:vAlign w:val="center"/>
          </w:tcPr>
          <w:p w14:paraId="1DC7B87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液氯储罐区配备有毒气体泄漏报警装置</w:t>
            </w:r>
          </w:p>
        </w:tc>
        <w:tc>
          <w:tcPr>
            <w:tcW w:w="603" w:type="pct"/>
            <w:noWrap w:val="0"/>
            <w:vAlign w:val="center"/>
          </w:tcPr>
          <w:p w14:paraId="322FD02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66332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614DE51">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B69CD0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液氯库安装的有毒气体检测报警装置，其安装高度应距地坪或楼地板0.3m-0.6m。</w:t>
            </w:r>
          </w:p>
        </w:tc>
        <w:tc>
          <w:tcPr>
            <w:tcW w:w="1199" w:type="pct"/>
            <w:noWrap w:val="0"/>
            <w:vAlign w:val="center"/>
          </w:tcPr>
          <w:p w14:paraId="445FF5A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《石油化工可燃气体和有毒气体检测报警设计标准》第6.1.1条</w:t>
            </w:r>
          </w:p>
        </w:tc>
        <w:tc>
          <w:tcPr>
            <w:tcW w:w="1243" w:type="pct"/>
            <w:noWrap w:val="0"/>
            <w:vAlign w:val="center"/>
          </w:tcPr>
          <w:p w14:paraId="1180A6C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安装部位符合要求</w:t>
            </w:r>
          </w:p>
        </w:tc>
        <w:tc>
          <w:tcPr>
            <w:tcW w:w="603" w:type="pct"/>
            <w:noWrap w:val="0"/>
            <w:vAlign w:val="center"/>
          </w:tcPr>
          <w:p w14:paraId="3B3524B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605A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A29E1CC">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1F9CE1C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对剧毒物品的管理执行“五双”制度，即“双人验收、双人保管、双人发货、双把锁、双本帐”</w:t>
            </w:r>
          </w:p>
        </w:tc>
        <w:tc>
          <w:tcPr>
            <w:tcW w:w="1199" w:type="pct"/>
            <w:noWrap w:val="0"/>
            <w:vAlign w:val="center"/>
          </w:tcPr>
          <w:p w14:paraId="66709135">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《危险化学品安全管理条例》第二十二条</w:t>
            </w:r>
          </w:p>
        </w:tc>
        <w:tc>
          <w:tcPr>
            <w:tcW w:w="1243" w:type="pct"/>
            <w:noWrap w:val="0"/>
            <w:vAlign w:val="center"/>
          </w:tcPr>
          <w:p w14:paraId="79E4F8F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执行“五双”制度</w:t>
            </w:r>
          </w:p>
        </w:tc>
        <w:tc>
          <w:tcPr>
            <w:tcW w:w="603" w:type="pct"/>
            <w:noWrap w:val="0"/>
            <w:vAlign w:val="center"/>
          </w:tcPr>
          <w:p w14:paraId="167A042B">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4945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21F3A45">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D0F442D">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充装液氯贮罐时，应先缓慢打开贮罐的通气阀，确认进入容器内的干燥压缩空气或气化氯的压力高于贮罐内的压力时，方可充装</w:t>
            </w:r>
          </w:p>
        </w:tc>
        <w:tc>
          <w:tcPr>
            <w:tcW w:w="1199" w:type="pct"/>
            <w:noWrap w:val="0"/>
            <w:vAlign w:val="center"/>
          </w:tcPr>
          <w:p w14:paraId="2CB7BFB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794E1A5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第6.4.1条</w:t>
            </w:r>
          </w:p>
        </w:tc>
        <w:tc>
          <w:tcPr>
            <w:tcW w:w="1243" w:type="pct"/>
            <w:noWrap w:val="0"/>
            <w:vAlign w:val="center"/>
          </w:tcPr>
          <w:p w14:paraId="1DF69A3B">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操作规程已规定</w:t>
            </w:r>
          </w:p>
        </w:tc>
        <w:tc>
          <w:tcPr>
            <w:tcW w:w="603" w:type="pct"/>
            <w:noWrap w:val="0"/>
            <w:vAlign w:val="center"/>
          </w:tcPr>
          <w:p w14:paraId="6B71D76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32205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41DD0D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674B0E1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贮罐车上输送液氯用的压缩空气，应经过干燥装置，保证干燥后空气含水量低于0.01%（重量百分比）</w:t>
            </w:r>
          </w:p>
        </w:tc>
        <w:tc>
          <w:tcPr>
            <w:tcW w:w="1199" w:type="pct"/>
            <w:noWrap w:val="0"/>
            <w:vAlign w:val="center"/>
          </w:tcPr>
          <w:p w14:paraId="196A3531">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1D2E89F0">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第6.4.2条</w:t>
            </w:r>
          </w:p>
        </w:tc>
        <w:tc>
          <w:tcPr>
            <w:tcW w:w="1243" w:type="pct"/>
            <w:noWrap w:val="0"/>
            <w:vAlign w:val="center"/>
          </w:tcPr>
          <w:p w14:paraId="01919A80">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压缩空气经过干燥后使用</w:t>
            </w:r>
          </w:p>
        </w:tc>
        <w:tc>
          <w:tcPr>
            <w:tcW w:w="603" w:type="pct"/>
            <w:noWrap w:val="0"/>
            <w:vAlign w:val="center"/>
          </w:tcPr>
          <w:p w14:paraId="45DF3E6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5C77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2B72CB40">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F97EE84">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充装停止时，应先将罐车的阀门关闭，再关闭贮罐阀门，然后将连接管线残存液氯处理干净，并做好记录</w:t>
            </w:r>
          </w:p>
        </w:tc>
        <w:tc>
          <w:tcPr>
            <w:tcW w:w="1199" w:type="pct"/>
            <w:noWrap w:val="0"/>
            <w:vAlign w:val="center"/>
          </w:tcPr>
          <w:p w14:paraId="7B55C83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4E722E76">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第6.4.5条</w:t>
            </w:r>
          </w:p>
        </w:tc>
        <w:tc>
          <w:tcPr>
            <w:tcW w:w="1243" w:type="pct"/>
            <w:noWrap w:val="0"/>
            <w:vAlign w:val="center"/>
          </w:tcPr>
          <w:p w14:paraId="204FB44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操作规程已规定</w:t>
            </w:r>
          </w:p>
        </w:tc>
        <w:tc>
          <w:tcPr>
            <w:tcW w:w="603" w:type="pct"/>
            <w:noWrap w:val="0"/>
            <w:vAlign w:val="center"/>
          </w:tcPr>
          <w:p w14:paraId="3CFD2BCC">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47ACB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23A0B32F">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AE4D81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禁止将贮罐设备及氯气处理装置设置在学校、医院、居民区等人口稠密区附近</w:t>
            </w:r>
          </w:p>
        </w:tc>
        <w:tc>
          <w:tcPr>
            <w:tcW w:w="1199" w:type="pct"/>
            <w:noWrap w:val="0"/>
            <w:vAlign w:val="center"/>
          </w:tcPr>
          <w:p w14:paraId="6D24BEE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0A23C12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第6.4.6条</w:t>
            </w:r>
          </w:p>
        </w:tc>
        <w:tc>
          <w:tcPr>
            <w:tcW w:w="1243" w:type="pct"/>
            <w:noWrap w:val="0"/>
            <w:vAlign w:val="center"/>
          </w:tcPr>
          <w:p w14:paraId="619D44C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未设置在学校、医院、居民区等人口稠密区附近</w:t>
            </w:r>
          </w:p>
        </w:tc>
        <w:tc>
          <w:tcPr>
            <w:tcW w:w="603" w:type="pct"/>
            <w:noWrap w:val="0"/>
            <w:vAlign w:val="center"/>
          </w:tcPr>
          <w:p w14:paraId="62B1094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7EB74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3687F1C9">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CE4F8E3">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贮罐输入或输出管道，应设置两个以上截止阀门，定期检查，确保正常</w:t>
            </w:r>
          </w:p>
        </w:tc>
        <w:tc>
          <w:tcPr>
            <w:tcW w:w="1199" w:type="pct"/>
            <w:noWrap w:val="0"/>
            <w:vAlign w:val="center"/>
          </w:tcPr>
          <w:p w14:paraId="2C89BAD7">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754622E6">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第6.4.7条</w:t>
            </w:r>
          </w:p>
        </w:tc>
        <w:tc>
          <w:tcPr>
            <w:tcW w:w="1243" w:type="pct"/>
            <w:noWrap w:val="0"/>
            <w:vAlign w:val="center"/>
          </w:tcPr>
          <w:p w14:paraId="5CBEA97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设置两个截止阀门</w:t>
            </w:r>
          </w:p>
        </w:tc>
        <w:tc>
          <w:tcPr>
            <w:tcW w:w="603" w:type="pct"/>
            <w:noWrap w:val="0"/>
            <w:vAlign w:val="center"/>
          </w:tcPr>
          <w:p w14:paraId="4A1CE2C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5D944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9D9024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6B4D6C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贮罐设置的安全要求：</w:t>
            </w:r>
          </w:p>
          <w:p w14:paraId="78377642">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1. 贮量1t以上的贮罐基础，每年应测定基础下沉状况。</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2. 贮罐露天布置时，应有非燃烧材料顶棚或隔热保温措施。</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3. 在贮罐20m以内，严禁堆放易燃、可燃物品。</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4. 贮罐的贮存量不得超过贮罐容量的80%。</w:t>
            </w:r>
            <w:r>
              <w:rPr>
                <w:rFonts w:hint="default" w:ascii="Times New Roman" w:hAnsi="Times New Roman" w:eastAsia="宋体" w:cs="Times New Roman"/>
                <w:kern w:val="0"/>
                <w:sz w:val="21"/>
                <w:szCs w:val="21"/>
                <w14:ligatures w14:val="none"/>
              </w:rPr>
              <w:br w:type="textWrapping"/>
            </w:r>
            <w:r>
              <w:rPr>
                <w:rFonts w:hint="default" w:ascii="Times New Roman" w:hAnsi="Times New Roman" w:eastAsia="宋体" w:cs="Times New Roman"/>
                <w:kern w:val="0"/>
                <w:sz w:val="21"/>
                <w:szCs w:val="21"/>
                <w14:ligatures w14:val="none"/>
              </w:rPr>
              <w:t>5. 贮库区范围内应设有安全标志。</w:t>
            </w:r>
          </w:p>
        </w:tc>
        <w:tc>
          <w:tcPr>
            <w:tcW w:w="1199" w:type="pct"/>
            <w:noWrap w:val="0"/>
            <w:vAlign w:val="center"/>
          </w:tcPr>
          <w:p w14:paraId="6F7F2133">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7B9BBE3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第6.4.8条</w:t>
            </w:r>
          </w:p>
        </w:tc>
        <w:tc>
          <w:tcPr>
            <w:tcW w:w="1243" w:type="pct"/>
            <w:noWrap w:val="0"/>
            <w:vAlign w:val="center"/>
          </w:tcPr>
          <w:p w14:paraId="0CA34608">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贮罐设置符合要求，设有安全标志</w:t>
            </w:r>
          </w:p>
        </w:tc>
        <w:tc>
          <w:tcPr>
            <w:tcW w:w="603" w:type="pct"/>
            <w:noWrap w:val="0"/>
            <w:vAlign w:val="center"/>
          </w:tcPr>
          <w:p w14:paraId="00DE5DCD">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7B75C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646D23A5">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A9B128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氯气储存场所，应充分利用自然通风条件换气，在环境、气候条件允许下，可采用半敞开式结构；不能采用自然通用的场所，应采用机械通风，但不宜使用循环风</w:t>
            </w:r>
          </w:p>
        </w:tc>
        <w:tc>
          <w:tcPr>
            <w:tcW w:w="1199" w:type="pct"/>
            <w:noWrap w:val="0"/>
            <w:vAlign w:val="center"/>
          </w:tcPr>
          <w:p w14:paraId="44DE151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《氯气安全规程》</w:t>
            </w:r>
          </w:p>
          <w:p w14:paraId="7E20B3A5">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第4.7条</w:t>
            </w:r>
          </w:p>
        </w:tc>
        <w:tc>
          <w:tcPr>
            <w:tcW w:w="1243" w:type="pct"/>
            <w:noWrap w:val="0"/>
            <w:vAlign w:val="center"/>
          </w:tcPr>
          <w:p w14:paraId="196869F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液氯库房设有事故通风系统</w:t>
            </w:r>
          </w:p>
        </w:tc>
        <w:tc>
          <w:tcPr>
            <w:tcW w:w="603" w:type="pct"/>
            <w:noWrap w:val="0"/>
            <w:vAlign w:val="center"/>
          </w:tcPr>
          <w:p w14:paraId="4A53C94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符合</w:t>
            </w:r>
          </w:p>
        </w:tc>
      </w:tr>
      <w:tr w14:paraId="1A3CE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3E281E94">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4D185ED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氯气管道不应穿(跨)越除厂区(化工园区、工业园区)外的公共区域,不应埋地敷设。企业内局部需进入地下管沟的氯气管道应采用双层套管,其夹层内、切断阀的附近等位置应设泄漏检测设施。</w:t>
            </w:r>
          </w:p>
        </w:tc>
        <w:tc>
          <w:tcPr>
            <w:tcW w:w="1199" w:type="pct"/>
            <w:shd w:val="clear" w:color="auto" w:fill="auto"/>
            <w:noWrap w:val="0"/>
            <w:vAlign w:val="center"/>
          </w:tcPr>
          <w:p w14:paraId="0A3A9365">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4AEE573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bidi="ar-SA"/>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en-US" w:eastAsia="zh-CN"/>
                <w14:ligatures w14:val="none"/>
              </w:rPr>
              <w:t>4.3.1</w:t>
            </w:r>
            <w:r>
              <w:rPr>
                <w:rFonts w:hint="eastAsia" w:ascii="Times New Roman" w:hAnsi="Times New Roman" w:eastAsia="宋体" w:cs="Times New Roman"/>
                <w:kern w:val="0"/>
                <w:sz w:val="21"/>
                <w:szCs w:val="21"/>
                <w:lang w:val="zh-CN"/>
                <w14:ligatures w14:val="none"/>
              </w:rPr>
              <w:t>条</w:t>
            </w:r>
          </w:p>
        </w:tc>
        <w:tc>
          <w:tcPr>
            <w:tcW w:w="1243" w:type="pct"/>
            <w:noWrap w:val="0"/>
            <w:vAlign w:val="center"/>
          </w:tcPr>
          <w:p w14:paraId="369ADBD5">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氯气管道</w:t>
            </w:r>
            <w:r>
              <w:rPr>
                <w:rFonts w:hint="eastAsia" w:ascii="Times New Roman" w:hAnsi="Times New Roman" w:eastAsia="宋体" w:cs="Times New Roman"/>
                <w:kern w:val="0"/>
                <w:sz w:val="21"/>
                <w:szCs w:val="21"/>
                <w:lang w:val="en-US" w:eastAsia="zh-CN"/>
                <w14:ligatures w14:val="none"/>
              </w:rPr>
              <w:t>未</w:t>
            </w:r>
            <w:r>
              <w:rPr>
                <w:rFonts w:hint="default" w:ascii="Times New Roman" w:hAnsi="Times New Roman" w:eastAsia="宋体" w:cs="Times New Roman"/>
                <w:kern w:val="0"/>
                <w:sz w:val="21"/>
                <w:szCs w:val="21"/>
                <w14:ligatures w14:val="none"/>
              </w:rPr>
              <w:t>穿(跨)越除厂区外的公共区域</w:t>
            </w:r>
            <w:r>
              <w:rPr>
                <w:rFonts w:hint="eastAsia" w:ascii="Times New Roman" w:hAnsi="Times New Roman" w:eastAsia="宋体" w:cs="Times New Roman"/>
                <w:kern w:val="0"/>
                <w:sz w:val="21"/>
                <w:szCs w:val="21"/>
                <w:lang w:eastAsia="zh-CN"/>
                <w14:ligatures w14:val="none"/>
              </w:rPr>
              <w:t>，</w:t>
            </w:r>
            <w:r>
              <w:rPr>
                <w:rFonts w:hint="eastAsia" w:ascii="Times New Roman" w:hAnsi="Times New Roman" w:eastAsia="宋体" w:cs="Times New Roman"/>
                <w:kern w:val="0"/>
                <w:sz w:val="21"/>
                <w:szCs w:val="21"/>
                <w:lang w:val="en-US" w:eastAsia="zh-CN"/>
                <w14:ligatures w14:val="none"/>
              </w:rPr>
              <w:t>未</w:t>
            </w:r>
            <w:r>
              <w:rPr>
                <w:rFonts w:hint="default" w:ascii="Times New Roman" w:hAnsi="Times New Roman" w:eastAsia="宋体" w:cs="Times New Roman"/>
                <w:kern w:val="0"/>
                <w:sz w:val="21"/>
                <w:szCs w:val="21"/>
                <w14:ligatures w14:val="none"/>
              </w:rPr>
              <w:t>埋地敷设。</w:t>
            </w:r>
          </w:p>
        </w:tc>
        <w:tc>
          <w:tcPr>
            <w:tcW w:w="603" w:type="pct"/>
            <w:noWrap w:val="0"/>
            <w:vAlign w:val="center"/>
          </w:tcPr>
          <w:p w14:paraId="3C5B1FC7">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符合</w:t>
            </w:r>
          </w:p>
        </w:tc>
      </w:tr>
      <w:tr w14:paraId="5915B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8A8E2B1">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0AAFDE5F">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氯气设备、管道应使用专用阀门,并使用耐氯、耐压、耐温性能的密封垫片。</w:t>
            </w:r>
          </w:p>
        </w:tc>
        <w:tc>
          <w:tcPr>
            <w:tcW w:w="1199" w:type="pct"/>
            <w:shd w:val="clear" w:color="auto" w:fill="auto"/>
            <w:noWrap w:val="0"/>
            <w:vAlign w:val="center"/>
          </w:tcPr>
          <w:p w14:paraId="0C1E609C">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19B10711">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eastAsia="zh-CN" w:bidi="ar-SA"/>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en-US" w:eastAsia="zh-CN"/>
                <w14:ligatures w14:val="none"/>
              </w:rPr>
              <w:t>4.3.3</w:t>
            </w:r>
            <w:r>
              <w:rPr>
                <w:rFonts w:hint="eastAsia" w:ascii="Times New Roman" w:hAnsi="Times New Roman" w:eastAsia="宋体" w:cs="Times New Roman"/>
                <w:kern w:val="0"/>
                <w:sz w:val="21"/>
                <w:szCs w:val="21"/>
                <w:lang w:val="zh-CN"/>
                <w14:ligatures w14:val="none"/>
              </w:rPr>
              <w:t>条</w:t>
            </w:r>
          </w:p>
        </w:tc>
        <w:tc>
          <w:tcPr>
            <w:tcW w:w="1243" w:type="pct"/>
            <w:noWrap w:val="0"/>
            <w:vAlign w:val="center"/>
          </w:tcPr>
          <w:p w14:paraId="414D451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default" w:ascii="Times New Roman" w:hAnsi="Times New Roman" w:eastAsia="宋体" w:cs="Times New Roman"/>
                <w:kern w:val="0"/>
                <w:sz w:val="21"/>
                <w:szCs w:val="21"/>
                <w14:ligatures w14:val="none"/>
              </w:rPr>
              <w:t>氯气设备、管道使用专用阀门,并使用耐氯、耐压、耐温性能的密封垫片。</w:t>
            </w:r>
          </w:p>
        </w:tc>
        <w:tc>
          <w:tcPr>
            <w:tcW w:w="603" w:type="pct"/>
            <w:noWrap w:val="0"/>
            <w:vAlign w:val="center"/>
          </w:tcPr>
          <w:p w14:paraId="67132E26">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符合</w:t>
            </w:r>
          </w:p>
        </w:tc>
      </w:tr>
      <w:tr w14:paraId="03449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76E2FD6">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5A90A4C9">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氯气设备、管道、阀门、安全附件、电气仪表、计量器具等应按规定定期检验、检定、校准、维护保养或更新</w:t>
            </w:r>
          </w:p>
        </w:tc>
        <w:tc>
          <w:tcPr>
            <w:tcW w:w="1199" w:type="pct"/>
            <w:noWrap w:val="0"/>
            <w:vAlign w:val="center"/>
          </w:tcPr>
          <w:p w14:paraId="40D52646">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4B2384CF">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en-US" w:eastAsia="zh-CN"/>
                <w14:ligatures w14:val="none"/>
              </w:rPr>
              <w:t>4.3.9</w:t>
            </w:r>
            <w:r>
              <w:rPr>
                <w:rFonts w:hint="eastAsia" w:ascii="Times New Roman" w:hAnsi="Times New Roman" w:eastAsia="宋体" w:cs="Times New Roman"/>
                <w:kern w:val="0"/>
                <w:sz w:val="21"/>
                <w:szCs w:val="21"/>
                <w:lang w:val="zh-CN"/>
                <w14:ligatures w14:val="none"/>
              </w:rPr>
              <w:t>条</w:t>
            </w:r>
          </w:p>
        </w:tc>
        <w:tc>
          <w:tcPr>
            <w:tcW w:w="1243" w:type="pct"/>
            <w:noWrap w:val="0"/>
            <w:vAlign w:val="center"/>
          </w:tcPr>
          <w:p w14:paraId="31299AFC">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1</w:t>
            </w:r>
            <w:r>
              <w:rPr>
                <w:rFonts w:hint="eastAsia" w:ascii="Times New Roman" w:hAnsi="Times New Roman" w:eastAsia="宋体" w:cs="Times New Roman"/>
                <w:kern w:val="0"/>
                <w:sz w:val="21"/>
                <w:szCs w:val="21"/>
                <w:lang w:val="zh-CN" w:eastAsia="zh-CN"/>
                <w14:ligatures w14:val="none"/>
              </w:rPr>
              <w:t>#液氯</w:t>
            </w:r>
            <w:r>
              <w:rPr>
                <w:rFonts w:hint="eastAsia" w:ascii="Times New Roman" w:hAnsi="Times New Roman" w:eastAsia="宋体" w:cs="Times New Roman"/>
                <w:kern w:val="0"/>
                <w:sz w:val="21"/>
                <w:szCs w:val="21"/>
                <w:lang w:val="en-US" w:eastAsia="zh-CN"/>
                <w14:ligatures w14:val="none"/>
              </w:rPr>
              <w:t>库内</w:t>
            </w:r>
            <w:r>
              <w:rPr>
                <w:rFonts w:hint="eastAsia" w:ascii="Times New Roman" w:hAnsi="Times New Roman" w:eastAsia="宋体" w:cs="Times New Roman"/>
                <w:kern w:val="0"/>
                <w:sz w:val="21"/>
                <w:szCs w:val="21"/>
                <w:lang w:val="zh-CN" w:eastAsia="zh-CN"/>
                <w14:ligatures w14:val="none"/>
              </w:rPr>
              <w:t>氯气设备、管道、阀门、安全附件、电气仪表等按规定定期检验、检定、校准、维护保养或更新</w:t>
            </w:r>
          </w:p>
        </w:tc>
        <w:tc>
          <w:tcPr>
            <w:tcW w:w="603" w:type="pct"/>
            <w:noWrap w:val="0"/>
            <w:vAlign w:val="center"/>
          </w:tcPr>
          <w:p w14:paraId="7BBF88C6">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44DBF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DF80742">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F163504">
            <w:pPr>
              <w:spacing w:line="300" w:lineRule="exact"/>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4"/>
                <w:lang w:val="zh-CN" w:eastAsia="zh-CN"/>
              </w:rPr>
              <w:t>液氯储罐的储存系数不应大于0.8。</w:t>
            </w:r>
          </w:p>
        </w:tc>
        <w:tc>
          <w:tcPr>
            <w:tcW w:w="1199" w:type="pct"/>
            <w:noWrap w:val="0"/>
            <w:vAlign w:val="center"/>
          </w:tcPr>
          <w:p w14:paraId="5C09CE6E">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5E0AA87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zh-CN" w:eastAsia="zh-CN"/>
                <w14:ligatures w14:val="none"/>
              </w:rPr>
              <w:t>6.1.</w:t>
            </w:r>
            <w:r>
              <w:rPr>
                <w:rFonts w:hint="eastAsia" w:ascii="Times New Roman" w:hAnsi="Times New Roman" w:eastAsia="宋体" w:cs="Times New Roman"/>
                <w:kern w:val="0"/>
                <w:sz w:val="21"/>
                <w:szCs w:val="21"/>
                <w:lang w:val="en-US" w:eastAsia="zh-CN"/>
                <w14:ligatures w14:val="none"/>
              </w:rPr>
              <w:t>5</w:t>
            </w:r>
            <w:r>
              <w:rPr>
                <w:rFonts w:hint="eastAsia" w:ascii="Times New Roman" w:hAnsi="Times New Roman" w:eastAsia="宋体" w:cs="Times New Roman"/>
                <w:kern w:val="0"/>
                <w:sz w:val="21"/>
                <w:szCs w:val="21"/>
                <w:lang w:val="zh-CN"/>
                <w14:ligatures w14:val="none"/>
              </w:rPr>
              <w:t>条</w:t>
            </w:r>
          </w:p>
        </w:tc>
        <w:tc>
          <w:tcPr>
            <w:tcW w:w="1243" w:type="pct"/>
            <w:noWrap w:val="0"/>
            <w:vAlign w:val="center"/>
          </w:tcPr>
          <w:p w14:paraId="7B2C07C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企业液氯储罐的储存系数不大于0.8</w:t>
            </w:r>
          </w:p>
        </w:tc>
        <w:tc>
          <w:tcPr>
            <w:tcW w:w="603" w:type="pct"/>
            <w:noWrap w:val="0"/>
            <w:vAlign w:val="center"/>
          </w:tcPr>
          <w:p w14:paraId="3B996E89">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1FED1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464785FB">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75A83E2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eastAsia="zh-CN"/>
                <w14:ligatures w14:val="none"/>
              </w:rPr>
              <w:t>液氯储罐厂房、瓶库20m范围内,不应堆放易燃和可燃物品。</w:t>
            </w:r>
          </w:p>
        </w:tc>
        <w:tc>
          <w:tcPr>
            <w:tcW w:w="1199" w:type="pct"/>
            <w:noWrap w:val="0"/>
            <w:vAlign w:val="center"/>
          </w:tcPr>
          <w:p w14:paraId="2C7E53E8">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zh-CN"/>
                <w14:ligatures w14:val="none"/>
              </w:rPr>
            </w:pPr>
            <w:r>
              <w:rPr>
                <w:rFonts w:hint="eastAsia" w:ascii="Times New Roman" w:hAnsi="Times New Roman" w:eastAsia="宋体" w:cs="Times New Roman"/>
                <w:kern w:val="0"/>
                <w:sz w:val="21"/>
                <w:szCs w:val="21"/>
                <w:lang w:val="zh-CN"/>
                <w14:ligatures w14:val="none"/>
              </w:rPr>
              <w:t>《化工企业氯气安全技术规范》（GB11984-2024）</w:t>
            </w:r>
          </w:p>
          <w:p w14:paraId="5AB4C7A4">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zh-CN"/>
                <w14:ligatures w14:val="none"/>
              </w:rPr>
              <w:t>第</w:t>
            </w:r>
            <w:r>
              <w:rPr>
                <w:rFonts w:hint="eastAsia" w:ascii="Times New Roman" w:hAnsi="Times New Roman" w:eastAsia="宋体" w:cs="Times New Roman"/>
                <w:kern w:val="0"/>
                <w:sz w:val="21"/>
                <w:szCs w:val="21"/>
                <w:lang w:val="zh-CN" w:eastAsia="zh-CN"/>
                <w14:ligatures w14:val="none"/>
              </w:rPr>
              <w:t>6.1.8</w:t>
            </w:r>
            <w:r>
              <w:rPr>
                <w:rFonts w:hint="eastAsia" w:ascii="Times New Roman" w:hAnsi="Times New Roman" w:eastAsia="宋体" w:cs="Times New Roman"/>
                <w:kern w:val="0"/>
                <w:sz w:val="21"/>
                <w:szCs w:val="21"/>
                <w:lang w:val="zh-CN"/>
                <w14:ligatures w14:val="none"/>
              </w:rPr>
              <w:t>条</w:t>
            </w:r>
          </w:p>
        </w:tc>
        <w:tc>
          <w:tcPr>
            <w:tcW w:w="1243" w:type="pct"/>
            <w:noWrap w:val="0"/>
            <w:vAlign w:val="center"/>
          </w:tcPr>
          <w:p w14:paraId="39103FFA">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2#液氯库20m范围内未堆放易燃和可燃品。</w:t>
            </w:r>
          </w:p>
        </w:tc>
        <w:tc>
          <w:tcPr>
            <w:tcW w:w="603" w:type="pct"/>
            <w:noWrap w:val="0"/>
            <w:vAlign w:val="center"/>
          </w:tcPr>
          <w:p w14:paraId="06248DE2">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lang w:val="en-US" w:eastAsia="zh-CN"/>
                <w14:ligatures w14:val="none"/>
              </w:rPr>
              <w:t>符合</w:t>
            </w:r>
          </w:p>
        </w:tc>
      </w:tr>
      <w:tr w14:paraId="132CB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8F8AB71">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center"/>
          </w:tcPr>
          <w:p w14:paraId="25F2AF76">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lang w:val="en-US"/>
                <w14:ligatures w14:val="none"/>
              </w:rPr>
            </w:pPr>
            <w:r>
              <w:rPr>
                <w:rFonts w:hint="eastAsia" w:ascii="Times New Roman" w:hAnsi="Times New Roman" w:eastAsia="宋体"/>
                <w:sz w:val="21"/>
                <w:szCs w:val="28"/>
                <w:lang w:val="en-US" w:eastAsia="zh-CN"/>
              </w:rPr>
              <w:t>有毒气体探测器宜带一体化的声、光警报器。</w:t>
            </w:r>
          </w:p>
        </w:tc>
        <w:tc>
          <w:tcPr>
            <w:tcW w:w="1199" w:type="pct"/>
            <w:noWrap w:val="0"/>
            <w:vAlign w:val="center"/>
          </w:tcPr>
          <w:p w14:paraId="0D72E07C">
            <w:pPr>
              <w:spacing w:after="0" w:line="240" w:lineRule="auto"/>
              <w:jc w:val="center"/>
              <w:rPr>
                <w:rFonts w:hint="eastAsia" w:ascii="Times New Roman" w:hAnsi="Times New Roman" w:eastAsia="宋体"/>
                <w:sz w:val="21"/>
                <w:szCs w:val="28"/>
                <w:lang w:val="en-US" w:eastAsia="zh-CN"/>
              </w:rPr>
            </w:pPr>
            <w:r>
              <w:rPr>
                <w:rFonts w:hint="eastAsia" w:ascii="Times New Roman" w:hAnsi="Times New Roman" w:eastAsia="宋体"/>
                <w:sz w:val="21"/>
                <w:szCs w:val="28"/>
                <w:lang w:val="en-US" w:eastAsia="zh-CN"/>
              </w:rPr>
              <w:t>《石油化工可燃气体和有毒气体检测报警设计标准》</w:t>
            </w:r>
          </w:p>
          <w:p w14:paraId="6D30C51A">
            <w:pPr>
              <w:keepNext w:val="0"/>
              <w:keepLines w:val="0"/>
              <w:pageBreakBefore w:val="0"/>
              <w:wordWrap/>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sz w:val="21"/>
                <w:szCs w:val="28"/>
                <w:lang w:val="en-US" w:eastAsia="zh-CN"/>
              </w:rPr>
              <w:t>GB/T 50493-2019第5.3.3条</w:t>
            </w:r>
          </w:p>
        </w:tc>
        <w:tc>
          <w:tcPr>
            <w:tcW w:w="1243" w:type="pct"/>
            <w:noWrap w:val="0"/>
            <w:vAlign w:val="center"/>
          </w:tcPr>
          <w:p w14:paraId="663DF9C7">
            <w:pPr>
              <w:keepNext w:val="0"/>
              <w:keepLines w:val="0"/>
              <w:pageBreakBefore w:val="0"/>
              <w:wordWrap/>
              <w:topLinePunct w:val="0"/>
              <w:autoSpaceDE/>
              <w:autoSpaceDN/>
              <w:bidi w:val="0"/>
              <w:adjustRightInd w:val="0"/>
              <w:snapToGrid w:val="0"/>
              <w:spacing w:after="0" w:line="240" w:lineRule="auto"/>
              <w:jc w:val="both"/>
              <w:textAlignment w:val="auto"/>
              <w:rPr>
                <w:rFonts w:hint="default" w:ascii="Times New Roman" w:hAnsi="Times New Roman" w:eastAsia="宋体" w:cs="Times New Roman"/>
                <w:kern w:val="0"/>
                <w:sz w:val="21"/>
                <w:szCs w:val="21"/>
                <w14:ligatures w14:val="none"/>
              </w:rPr>
            </w:pPr>
            <w:r>
              <w:rPr>
                <w:rFonts w:hint="eastAsia" w:ascii="Times New Roman" w:hAnsi="Times New Roman" w:eastAsia="宋体"/>
                <w:sz w:val="21"/>
                <w:szCs w:val="28"/>
                <w:lang w:val="en-US" w:eastAsia="zh-CN"/>
              </w:rPr>
              <w:t>个别氯气探测器不具备声、光报警功能</w:t>
            </w:r>
          </w:p>
        </w:tc>
        <w:tc>
          <w:tcPr>
            <w:tcW w:w="603" w:type="pct"/>
            <w:noWrap w:val="0"/>
            <w:vAlign w:val="center"/>
          </w:tcPr>
          <w:p w14:paraId="0BAE37C5">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不符合</w:t>
            </w:r>
          </w:p>
        </w:tc>
      </w:tr>
      <w:tr w14:paraId="4468A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74C6CD6E">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top"/>
          </w:tcPr>
          <w:p w14:paraId="1ABFD755">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sz w:val="21"/>
                <w:szCs w:val="28"/>
                <w:lang w:val="en-US" w:eastAsia="zh-CN"/>
              </w:rPr>
            </w:pPr>
            <w:r>
              <w:rPr>
                <w:rFonts w:hint="eastAsia" w:ascii="Times New Roman" w:hAnsi="Times New Roman" w:eastAsia="宋体" w:cs="Times New Roman"/>
                <w:kern w:val="0"/>
                <w:sz w:val="21"/>
                <w:szCs w:val="21"/>
                <w:lang w:val="en-US" w:eastAsia="zh-CN"/>
                <w14:ligatures w14:val="none"/>
              </w:rPr>
              <w:t>储存要求：</w:t>
            </w:r>
            <w:r>
              <w:rPr>
                <w:rFonts w:hint="default" w:ascii="Times New Roman" w:hAnsi="Times New Roman" w:eastAsia="宋体" w:cs="Times New Roman"/>
                <w:kern w:val="0"/>
                <w:sz w:val="21"/>
                <w:szCs w:val="21"/>
                <w14:ligatures w14:val="none"/>
              </w:rPr>
              <w:t>（1）储存于阴凉、通风仓库内，库房温度不宜超过30℃，相对湿度不超过80％，防止阳光直射。 （2）应与易（可）燃物、醇类、食用化学品分开存放，切忌混储。储罐远离火种、热源。保持容器密封，储存区要建在低于自然地面的围堤内。气瓶储存时，空瓶和实瓶应分开放置，并应设置明显标志。储存区应备有泄漏应急处理设备。 （3）对于大量使用氯气钢瓶的单位，为及时处理钢瓶漏气，现场应备应急堵漏工具和个体防护用具。 （4）禁止将储罐设备及氯气处理装置设置在学校、医院、居民区等人口稠密区附近，并远离频繁出入处和紧急通道。 （5）应严格执行剧毒化学品“双人收发，双人保管”制度。</w:t>
            </w:r>
          </w:p>
        </w:tc>
        <w:tc>
          <w:tcPr>
            <w:tcW w:w="1199" w:type="pct"/>
            <w:noWrap w:val="0"/>
            <w:vAlign w:val="center"/>
          </w:tcPr>
          <w:p w14:paraId="6D2754C9">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sz w:val="21"/>
                <w:szCs w:val="28"/>
                <w:lang w:val="en-US" w:eastAsia="zh-CN"/>
              </w:rPr>
            </w:pPr>
            <w:r>
              <w:rPr>
                <w:rFonts w:hint="default" w:ascii="Times New Roman" w:hAnsi="Times New Roman" w:eastAsia="宋体" w:cs="Times New Roman"/>
                <w:kern w:val="0"/>
                <w:sz w:val="21"/>
                <w:szCs w:val="21"/>
                <w14:ligatures w14:val="none"/>
              </w:rPr>
              <w:t>《国家安全监管总局办公厅关于印发首批重点监管的危险化学品安全措施和应急处置原则的通知》</w:t>
            </w:r>
          </w:p>
        </w:tc>
        <w:tc>
          <w:tcPr>
            <w:tcW w:w="1243" w:type="pct"/>
            <w:noWrap w:val="0"/>
            <w:vAlign w:val="center"/>
          </w:tcPr>
          <w:p w14:paraId="4DB4A293">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sz w:val="21"/>
                <w:szCs w:val="28"/>
                <w:lang w:val="en-US" w:eastAsia="zh-CN"/>
              </w:rPr>
            </w:pPr>
            <w:r>
              <w:rPr>
                <w:rFonts w:hint="default" w:ascii="Times New Roman" w:hAnsi="Times New Roman" w:eastAsia="宋体" w:cs="Times New Roman"/>
                <w:kern w:val="0"/>
                <w:sz w:val="21"/>
                <w:szCs w:val="21"/>
                <w14:ligatures w14:val="none"/>
              </w:rPr>
              <w:t>储罐远离火种、热源</w:t>
            </w:r>
            <w:r>
              <w:rPr>
                <w:rFonts w:hint="eastAsia" w:ascii="Times New Roman" w:hAnsi="Times New Roman" w:eastAsia="宋体" w:cs="Times New Roman"/>
                <w:kern w:val="0"/>
                <w:sz w:val="21"/>
                <w:szCs w:val="21"/>
                <w:lang w:eastAsia="zh-CN"/>
                <w14:ligatures w14:val="none"/>
              </w:rPr>
              <w:t>，</w:t>
            </w:r>
            <w:r>
              <w:rPr>
                <w:rFonts w:hint="default" w:ascii="Times New Roman" w:hAnsi="Times New Roman" w:eastAsia="宋体" w:cs="Times New Roman"/>
                <w:kern w:val="0"/>
                <w:sz w:val="21"/>
                <w:szCs w:val="21"/>
                <w14:ligatures w14:val="none"/>
              </w:rPr>
              <w:t>保持容器密封</w:t>
            </w:r>
            <w:r>
              <w:rPr>
                <w:rFonts w:hint="eastAsia" w:ascii="Times New Roman" w:hAnsi="Times New Roman" w:eastAsia="宋体" w:cs="Times New Roman"/>
                <w:kern w:val="0"/>
                <w:sz w:val="21"/>
                <w:szCs w:val="21"/>
                <w:lang w:eastAsia="zh-CN"/>
                <w14:ligatures w14:val="none"/>
              </w:rPr>
              <w:t>，</w:t>
            </w:r>
            <w:r>
              <w:rPr>
                <w:rFonts w:hint="eastAsia" w:ascii="Times New Roman" w:hAnsi="Times New Roman" w:eastAsia="宋体" w:cs="Times New Roman"/>
                <w:kern w:val="0"/>
                <w:sz w:val="21"/>
                <w:szCs w:val="21"/>
                <w:lang w:val="en-US" w:eastAsia="zh-CN"/>
                <w14:ligatures w14:val="none"/>
              </w:rPr>
              <w:t>设</w:t>
            </w:r>
            <w:r>
              <w:rPr>
                <w:rFonts w:hint="default" w:ascii="Times New Roman" w:hAnsi="Times New Roman" w:eastAsia="宋体" w:cs="Times New Roman"/>
                <w:kern w:val="0"/>
                <w:sz w:val="21"/>
                <w:szCs w:val="21"/>
                <w14:ligatures w14:val="none"/>
              </w:rPr>
              <w:t>有</w:t>
            </w:r>
            <w:r>
              <w:rPr>
                <w:rFonts w:hint="eastAsia" w:ascii="Times New Roman" w:hAnsi="Times New Roman" w:eastAsia="宋体" w:cs="Times New Roman"/>
                <w:kern w:val="0"/>
                <w:sz w:val="21"/>
                <w:szCs w:val="21"/>
                <w:lang w:val="en-US" w:eastAsia="zh-CN"/>
                <w14:ligatures w14:val="none"/>
              </w:rPr>
              <w:t>事故氯处理装置，配备</w:t>
            </w:r>
            <w:r>
              <w:rPr>
                <w:rFonts w:hint="default" w:ascii="Times New Roman" w:hAnsi="Times New Roman" w:eastAsia="宋体" w:cs="Times New Roman"/>
                <w:kern w:val="0"/>
                <w:sz w:val="21"/>
                <w:szCs w:val="21"/>
                <w14:ligatures w14:val="none"/>
              </w:rPr>
              <w:t>堵漏工具和个体防护用具</w:t>
            </w:r>
          </w:p>
        </w:tc>
        <w:tc>
          <w:tcPr>
            <w:tcW w:w="603" w:type="pct"/>
            <w:noWrap w:val="0"/>
            <w:vAlign w:val="center"/>
          </w:tcPr>
          <w:p w14:paraId="1F540F31">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符合</w:t>
            </w:r>
          </w:p>
        </w:tc>
      </w:tr>
      <w:tr w14:paraId="51E37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1EA3D12C">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top"/>
          </w:tcPr>
          <w:p w14:paraId="63FDB13D">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sz w:val="21"/>
                <w:szCs w:val="28"/>
                <w:lang w:val="en-US" w:eastAsia="zh-CN"/>
              </w:rPr>
            </w:pPr>
            <w:r>
              <w:rPr>
                <w:rFonts w:hint="eastAsia" w:ascii="Times New Roman" w:hAnsi="Times New Roman" w:eastAsia="宋体" w:cs="Times New Roman"/>
                <w:kern w:val="0"/>
                <w:sz w:val="21"/>
                <w:szCs w:val="21"/>
                <w:lang w:val="en-US" w:eastAsia="zh-CN"/>
                <w14:ligatures w14:val="none"/>
              </w:rPr>
              <w:t xml:space="preserve">操作安全：（1）氯化设备、管道处、阀门的连接垫料应选用石棉板、石棉橡胶板、氟塑料、浸石墨的石棉绳等高强度耐氯垫料，严禁使用橡胶垫。（2）液氯气化器、预冷器及热交换器等设备，必须装有排污装置和污物处理设施，并定期分析三氯化氮含量。 </w:t>
            </w:r>
          </w:p>
        </w:tc>
        <w:tc>
          <w:tcPr>
            <w:tcW w:w="1199" w:type="pct"/>
            <w:noWrap w:val="0"/>
            <w:vAlign w:val="center"/>
          </w:tcPr>
          <w:p w14:paraId="62EE649D">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sz w:val="21"/>
                <w:szCs w:val="28"/>
                <w:lang w:val="en-US" w:eastAsia="zh-CN"/>
              </w:rPr>
            </w:pPr>
            <w:r>
              <w:rPr>
                <w:rFonts w:hint="default" w:ascii="Times New Roman" w:hAnsi="Times New Roman" w:eastAsia="宋体" w:cs="Times New Roman"/>
                <w:kern w:val="0"/>
                <w:sz w:val="21"/>
                <w:szCs w:val="21"/>
                <w14:ligatures w14:val="none"/>
              </w:rPr>
              <w:t>《国家安全监管总局办公厅关于印发首批重点监管的危险化学品安全措施和应急处置原则的通知》</w:t>
            </w:r>
          </w:p>
        </w:tc>
        <w:tc>
          <w:tcPr>
            <w:tcW w:w="1243" w:type="pct"/>
            <w:noWrap w:val="0"/>
            <w:vAlign w:val="center"/>
          </w:tcPr>
          <w:p w14:paraId="2C1BEEAD">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sz w:val="21"/>
                <w:szCs w:val="28"/>
                <w:lang w:val="en-US" w:eastAsia="zh-CN"/>
              </w:rPr>
            </w:pPr>
            <w:r>
              <w:rPr>
                <w:rFonts w:hint="eastAsia" w:ascii="Times New Roman" w:hAnsi="Times New Roman" w:eastAsia="宋体" w:cs="Times New Roman"/>
                <w:kern w:val="0"/>
                <w:sz w:val="21"/>
                <w:szCs w:val="21"/>
                <w:lang w:val="en-US" w:eastAsia="zh-CN"/>
                <w14:ligatures w14:val="none"/>
              </w:rPr>
              <w:t>设备、管道处、阀门的连接垫料选用高强度耐氯垫料</w:t>
            </w:r>
          </w:p>
        </w:tc>
        <w:tc>
          <w:tcPr>
            <w:tcW w:w="603" w:type="pct"/>
            <w:noWrap w:val="0"/>
            <w:vAlign w:val="center"/>
          </w:tcPr>
          <w:p w14:paraId="0E55A522">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符合</w:t>
            </w:r>
          </w:p>
        </w:tc>
      </w:tr>
      <w:tr w14:paraId="75782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62" w:type="pct"/>
            <w:noWrap w:val="0"/>
            <w:vAlign w:val="center"/>
          </w:tcPr>
          <w:p w14:paraId="02B45E9D">
            <w:pPr>
              <w:pStyle w:val="42"/>
              <w:keepNext w:val="0"/>
              <w:keepLines w:val="0"/>
              <w:pageBreakBefore w:val="0"/>
              <w:widowControl w:val="0"/>
              <w:numPr>
                <w:ilvl w:val="0"/>
                <w:numId w:val="12"/>
              </w:numPr>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14:ligatures w14:val="none"/>
              </w:rPr>
            </w:pPr>
          </w:p>
        </w:tc>
        <w:tc>
          <w:tcPr>
            <w:tcW w:w="1691" w:type="pct"/>
            <w:noWrap w:val="0"/>
            <w:vAlign w:val="top"/>
          </w:tcPr>
          <w:p w14:paraId="37C3E133">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sz w:val="21"/>
                <w:szCs w:val="28"/>
                <w:lang w:val="en-US" w:eastAsia="zh-CN"/>
              </w:rPr>
            </w:pPr>
            <w:r>
              <w:rPr>
                <w:rFonts w:hint="eastAsia" w:ascii="Times New Roman" w:hAnsi="Times New Roman" w:eastAsia="宋体" w:cs="Times New Roman"/>
                <w:kern w:val="0"/>
                <w:sz w:val="21"/>
                <w:szCs w:val="21"/>
                <w:lang w:val="en-US" w:eastAsia="zh-CN"/>
                <w14:ligatures w14:val="none"/>
              </w:rPr>
              <w:t>一般要求：操作人员必须经过专门培训，严格遵守操作规程，熟练掌握操作技能，具备应急处置知识。 严加密闭，提供充分的局部排风和全面通风，工作场所严禁吸烟。提供安全淋浴和洗眼设备。 生产、使用氯气的车间及贮氯场所应设置氯气泄漏检测报警仪，配备两套以上重型防护服。戴化学安全防护眼镜，穿防静电工作服，戴防化学品手套。工作场所浓度超标时，操作人员必须佩戴防毒面具，紧急事态抢救或撤离时，应佩戴正压自给式空气呼吸器。 液氯气化器、储罐等压力容器和设备应设置安全阀、压力表、液位计、温度计，并应装有带压力、液位、温度带远传记录和报警功能的安全装置。设置整流装置与氯压机、动力电源、管线压力、通风设施或相应的吸收装置的联锁装置。氯气输入、输出管线应设置紧急切断设施。 避免与易燃或可燃物、醇类、乙醚、氢接触。 生产、储存区域应设置安全警示标志。配备相应品种和数量的消防器材及泄漏应急处理设备。倒空的容器可能存在残留有害物时应及时处理。</w:t>
            </w:r>
          </w:p>
        </w:tc>
        <w:tc>
          <w:tcPr>
            <w:tcW w:w="1199" w:type="pct"/>
            <w:noWrap w:val="0"/>
            <w:vAlign w:val="center"/>
          </w:tcPr>
          <w:p w14:paraId="1D045072">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sz w:val="21"/>
                <w:szCs w:val="28"/>
                <w:lang w:val="en-US" w:eastAsia="zh-CN"/>
              </w:rPr>
            </w:pPr>
            <w:r>
              <w:rPr>
                <w:rFonts w:hint="default" w:ascii="Times New Roman" w:hAnsi="Times New Roman" w:eastAsia="宋体" w:cs="Times New Roman"/>
                <w:kern w:val="0"/>
                <w:sz w:val="21"/>
                <w:szCs w:val="21"/>
                <w14:ligatures w14:val="none"/>
              </w:rPr>
              <w:t>《国家安全监管总局办公厅关于印发首批重点监管的危险化学品安全措施和应急处置原则的通知》</w:t>
            </w:r>
          </w:p>
        </w:tc>
        <w:tc>
          <w:tcPr>
            <w:tcW w:w="1243" w:type="pct"/>
            <w:noWrap w:val="0"/>
            <w:vAlign w:val="center"/>
          </w:tcPr>
          <w:p w14:paraId="028E335F">
            <w:pPr>
              <w:keepNext w:val="0"/>
              <w:keepLines w:val="0"/>
              <w:pageBreakBefore w:val="0"/>
              <w:wordWrap/>
              <w:topLinePunct w:val="0"/>
              <w:autoSpaceDE/>
              <w:autoSpaceDN/>
              <w:bidi w:val="0"/>
              <w:adjustRightInd w:val="0"/>
              <w:snapToGrid w:val="0"/>
              <w:spacing w:after="0" w:line="240" w:lineRule="auto"/>
              <w:jc w:val="both"/>
              <w:textAlignment w:val="auto"/>
              <w:rPr>
                <w:rFonts w:hint="eastAsia" w:ascii="Times New Roman" w:hAnsi="Times New Roman" w:eastAsia="宋体"/>
                <w:sz w:val="21"/>
                <w:szCs w:val="28"/>
                <w:lang w:val="en-US" w:eastAsia="zh-CN"/>
              </w:rPr>
            </w:pPr>
            <w:r>
              <w:rPr>
                <w:rFonts w:hint="eastAsia" w:ascii="Times New Roman" w:hAnsi="Times New Roman" w:eastAsia="宋体" w:cs="Times New Roman"/>
                <w:kern w:val="0"/>
                <w:sz w:val="21"/>
                <w:szCs w:val="21"/>
                <w:lang w:val="en-US" w:eastAsia="zh-CN"/>
                <w14:ligatures w14:val="none"/>
              </w:rPr>
              <w:t>操作人员经过专门培训，液氯库设置洗眼器并设有氯气泄漏报警器，配备防护用品；液氯储罐设有安全阀、压力表、液位计，并设有远传及报警功能，氯气输入、输出管线设置紧急切断设施，储存区域设置安全警示标志</w:t>
            </w:r>
          </w:p>
        </w:tc>
        <w:tc>
          <w:tcPr>
            <w:tcW w:w="603" w:type="pct"/>
            <w:noWrap w:val="0"/>
            <w:vAlign w:val="center"/>
          </w:tcPr>
          <w:p w14:paraId="180AF4BA">
            <w:pPr>
              <w:keepNext w:val="0"/>
              <w:keepLines w:val="0"/>
              <w:pageBreakBefore w:val="0"/>
              <w:wordWrap/>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0"/>
                <w:sz w:val="21"/>
                <w:szCs w:val="21"/>
                <w:lang w:val="en-US" w:eastAsia="zh-CN"/>
                <w14:ligatures w14:val="none"/>
              </w:rPr>
            </w:pPr>
            <w:r>
              <w:rPr>
                <w:rFonts w:hint="eastAsia" w:ascii="Times New Roman" w:hAnsi="Times New Roman" w:eastAsia="宋体" w:cs="Times New Roman"/>
                <w:kern w:val="0"/>
                <w:sz w:val="21"/>
                <w:szCs w:val="21"/>
                <w:lang w:val="en-US" w:eastAsia="zh-CN"/>
                <w14:ligatures w14:val="none"/>
              </w:rPr>
              <w:t>符合</w:t>
            </w:r>
          </w:p>
        </w:tc>
      </w:tr>
    </w:tbl>
    <w:p w14:paraId="6BD24435">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default"/>
          <w:lang w:val="en-US" w:eastAsia="zh-CN"/>
        </w:rPr>
      </w:pPr>
      <w:r>
        <w:rPr>
          <w:rFonts w:hint="eastAsia"/>
          <w:lang w:val="en-US" w:eastAsia="zh-CN"/>
        </w:rPr>
        <w:t>小结：共设90项评价内容，其中1项为不符合项，其余89项均符合相关规定。</w:t>
      </w:r>
    </w:p>
    <w:p w14:paraId="5127C441">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default"/>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33022A64">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43" w:name="_Toc31477"/>
      <w:r>
        <w:rPr>
          <w:rFonts w:eastAsia="黑体" w:cs="Times New Roman"/>
          <w:b/>
          <w:bCs/>
          <w:sz w:val="32"/>
          <w:szCs w:val="32"/>
        </w:rPr>
        <w:t>8</w:t>
      </w:r>
      <w:r>
        <w:rPr>
          <w:rFonts w:hint="eastAsia" w:ascii="黑体" w:hAnsi="黑体" w:eastAsia="黑体"/>
          <w:b/>
          <w:bCs/>
          <w:sz w:val="32"/>
          <w:szCs w:val="32"/>
        </w:rPr>
        <w:t>事故应急措施</w:t>
      </w:r>
      <w:bookmarkEnd w:id="43"/>
    </w:p>
    <w:p w14:paraId="5FB7FE9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4" w:name="_Toc12542"/>
      <w:r>
        <w:rPr>
          <w:rFonts w:eastAsia="楷体" w:cs="Times New Roman"/>
          <w:b/>
          <w:bCs/>
          <w:sz w:val="32"/>
          <w:szCs w:val="32"/>
        </w:rPr>
        <w:t>8.1</w:t>
      </w:r>
      <w:r>
        <w:rPr>
          <w:rFonts w:hint="eastAsia" w:ascii="楷体" w:hAnsi="楷体" w:eastAsia="楷体"/>
          <w:b/>
          <w:bCs/>
          <w:sz w:val="32"/>
          <w:szCs w:val="32"/>
        </w:rPr>
        <w:t>事故应预案</w:t>
      </w:r>
      <w:bookmarkEnd w:id="44"/>
    </w:p>
    <w:p w14:paraId="07F343BE">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8.1.1</w:t>
      </w:r>
      <w:r>
        <w:rPr>
          <w:rFonts w:hint="eastAsia" w:ascii="黑体" w:hAnsi="黑体" w:eastAsia="黑体"/>
          <w:b/>
          <w:bCs/>
        </w:rPr>
        <w:t>应急预案</w:t>
      </w:r>
    </w:p>
    <w:p w14:paraId="1A7A8620">
      <w:pPr>
        <w:pStyle w:val="21"/>
        <w:adjustRightInd w:val="0"/>
        <w:snapToGrid w:val="0"/>
        <w:ind w:firstLine="560"/>
      </w:pPr>
      <w:r>
        <w:rPr>
          <w:rFonts w:hint="eastAsia"/>
          <w:lang w:eastAsia="zh-CN"/>
        </w:rPr>
        <w:t>朝阳金达钛业股份有限公司</w:t>
      </w:r>
      <w:r>
        <w:rPr>
          <w:rFonts w:hint="eastAsia"/>
        </w:rPr>
        <w:t>针对本公司的实际情况制定了应急预案，预案包</w:t>
      </w:r>
      <w:r>
        <w:rPr>
          <w:rFonts w:hint="eastAsia"/>
          <w:highlight w:val="none"/>
        </w:rPr>
        <w:t>括：总则、组织机构及职责、应急响应、后期</w:t>
      </w:r>
      <w:r>
        <w:rPr>
          <w:rFonts w:hint="eastAsia"/>
          <w:highlight w:val="none"/>
          <w:lang w:val="en-US" w:eastAsia="zh-CN"/>
        </w:rPr>
        <w:t>处置</w:t>
      </w:r>
      <w:r>
        <w:rPr>
          <w:rFonts w:hint="eastAsia"/>
          <w:highlight w:val="none"/>
        </w:rPr>
        <w:t>、</w:t>
      </w:r>
      <w:r>
        <w:rPr>
          <w:rFonts w:hint="eastAsia"/>
          <w:highlight w:val="none"/>
          <w:lang w:val="en-US" w:eastAsia="zh-CN"/>
        </w:rPr>
        <w:t>应急保障</w:t>
      </w:r>
      <w:r>
        <w:rPr>
          <w:rFonts w:hint="eastAsia"/>
          <w:highlight w:val="none"/>
        </w:rPr>
        <w:t>、附件部</w:t>
      </w:r>
      <w:r>
        <w:rPr>
          <w:rFonts w:hint="eastAsia"/>
        </w:rPr>
        <w:t>分组成，符合《生产经营单位生产安全事故应急预案编制导则》的规定，并且针对不同的事故制定了专项应急预案和现场处置方案。</w:t>
      </w:r>
    </w:p>
    <w:p w14:paraId="0BEAF4D7">
      <w:pPr>
        <w:pStyle w:val="21"/>
        <w:adjustRightInd w:val="0"/>
        <w:snapToGrid w:val="0"/>
        <w:ind w:firstLine="560"/>
      </w:pPr>
      <w:r>
        <w:rPr>
          <w:rFonts w:hint="eastAsia"/>
          <w:lang w:eastAsia="zh-CN"/>
        </w:rPr>
        <w:t>朝阳金达钛业股份有限公司</w:t>
      </w:r>
      <w:r>
        <w:rPr>
          <w:rFonts w:hint="eastAsia"/>
        </w:rPr>
        <w:t>事故应急预案已于202</w:t>
      </w:r>
      <w:r>
        <w:rPr>
          <w:rFonts w:hint="eastAsia" w:ascii="Times New Roman" w:eastAsia="宋体"/>
          <w:lang w:val="en-US" w:eastAsia="zh-CN"/>
        </w:rPr>
        <w:t>6</w:t>
      </w:r>
      <w:r>
        <w:rPr>
          <w:rFonts w:hint="eastAsia"/>
        </w:rPr>
        <w:t>年</w:t>
      </w:r>
      <w:r>
        <w:rPr>
          <w:rFonts w:hint="eastAsia" w:ascii="Times New Roman" w:eastAsia="宋体"/>
          <w:lang w:val="en-US" w:eastAsia="zh-CN"/>
        </w:rPr>
        <w:t>04</w:t>
      </w:r>
      <w:r>
        <w:rPr>
          <w:rFonts w:hint="eastAsia"/>
        </w:rPr>
        <w:t>月</w:t>
      </w:r>
      <w:r>
        <w:rPr>
          <w:rFonts w:hint="eastAsia" w:ascii="Times New Roman" w:eastAsia="宋体"/>
          <w:lang w:val="en-US" w:eastAsia="zh-CN"/>
        </w:rPr>
        <w:t>09</w:t>
      </w:r>
      <w:r>
        <w:rPr>
          <w:rFonts w:hint="eastAsia"/>
        </w:rPr>
        <w:t>日在</w:t>
      </w:r>
      <w:r>
        <w:rPr>
          <w:rFonts w:hint="eastAsia"/>
          <w:lang w:val="en-US" w:eastAsia="zh-CN"/>
        </w:rPr>
        <w:t>朝阳市双塔区应急管理局</w:t>
      </w:r>
      <w:r>
        <w:rPr>
          <w:rFonts w:hint="eastAsia"/>
        </w:rPr>
        <w:t>备案。</w:t>
      </w:r>
    </w:p>
    <w:p w14:paraId="697832A5">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8.1.2</w:t>
      </w:r>
      <w:r>
        <w:rPr>
          <w:rFonts w:hint="eastAsia" w:ascii="黑体" w:hAnsi="黑体" w:eastAsia="黑体"/>
          <w:b/>
          <w:bCs/>
        </w:rPr>
        <w:t>应急预案的响应</w:t>
      </w:r>
    </w:p>
    <w:p w14:paraId="673CC432">
      <w:pPr>
        <w:pStyle w:val="21"/>
        <w:adjustRightInd w:val="0"/>
        <w:snapToGrid w:val="0"/>
        <w:ind w:firstLine="560"/>
      </w:pPr>
      <w:r>
        <w:rPr>
          <w:rFonts w:hint="eastAsia"/>
        </w:rPr>
        <w:t>重大危险源事故发生后，应急指挥部按照应急预案响应等级，组织成立现场指挥部，下达启动应急程序，通知有关应急人员到位，召开现场应急会议，制定科学、合理的救援方案，明确工作要求，救援任务，调配救援所需的应急资源（包括应急队伍和物质、装备）等，并统一指挥实施。在开展自救的同时，应按照有关规定向属地政府主要部门报告，并配合政府部门做好向有关新闻媒体、社会公众通报事故信息的工作。</w:t>
      </w:r>
    </w:p>
    <w:p w14:paraId="213F9C1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8.1.3</w:t>
      </w:r>
      <w:r>
        <w:rPr>
          <w:rFonts w:hint="eastAsia" w:ascii="黑体" w:hAnsi="黑体" w:eastAsia="黑体"/>
          <w:b/>
          <w:bCs/>
        </w:rPr>
        <w:t>应急预案的演练与评估</w:t>
      </w:r>
    </w:p>
    <w:p w14:paraId="102C2F4A">
      <w:pPr>
        <w:pStyle w:val="21"/>
        <w:adjustRightInd w:val="0"/>
        <w:snapToGrid w:val="0"/>
        <w:ind w:firstLine="560"/>
      </w:pPr>
      <w:r>
        <w:rPr>
          <w:rFonts w:hint="eastAsia"/>
        </w:rPr>
        <w:t>针对公司级综合性演习每半年不少于1次，专项预案每年不少于1次，现场处置方案每半年组织1次。应急工作管理办公室针对危险化学品重大危险源专项应急预案内容要求，制定应急演练计划，做好演练的策划和演练后的总结工作。总结内容应包括：演练项目和内容；参加演练的单位、部门、人员和演练的地点；演练起止时间；演练过程中的环境条件；演练动用的设备、物资；对预案的演练进行评估，提出改进的建议；演练过程记录（文字、音像资料）。</w:t>
      </w:r>
    </w:p>
    <w:p w14:paraId="3A8092F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highlight w:val="none"/>
        </w:rPr>
      </w:pPr>
      <w:bookmarkStart w:id="45" w:name="_Toc18349"/>
      <w:r>
        <w:rPr>
          <w:rFonts w:eastAsia="楷体" w:cs="Times New Roman"/>
          <w:b/>
          <w:bCs/>
          <w:sz w:val="32"/>
          <w:szCs w:val="32"/>
          <w:highlight w:val="none"/>
        </w:rPr>
        <w:t>8.2</w:t>
      </w:r>
      <w:r>
        <w:rPr>
          <w:rFonts w:hint="eastAsia" w:ascii="楷体" w:hAnsi="楷体" w:eastAsia="楷体"/>
          <w:b/>
          <w:bCs/>
          <w:sz w:val="32"/>
          <w:szCs w:val="32"/>
          <w:highlight w:val="none"/>
        </w:rPr>
        <w:t>应急资源</w:t>
      </w:r>
      <w:bookmarkEnd w:id="45"/>
    </w:p>
    <w:p w14:paraId="1E243DA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8.2.1</w:t>
      </w:r>
      <w:r>
        <w:rPr>
          <w:rFonts w:hint="eastAsia" w:ascii="黑体" w:hAnsi="黑体" w:eastAsia="黑体"/>
          <w:b/>
          <w:bCs/>
        </w:rPr>
        <w:t>应急队伍</w:t>
      </w:r>
    </w:p>
    <w:p w14:paraId="011A76A0">
      <w:pPr>
        <w:pStyle w:val="21"/>
        <w:adjustRightInd w:val="0"/>
        <w:snapToGrid w:val="0"/>
        <w:ind w:firstLine="560"/>
      </w:pPr>
      <w:r>
        <w:rPr>
          <w:rFonts w:hint="eastAsia"/>
          <w:lang w:eastAsia="zh-CN"/>
        </w:rPr>
        <w:t>朝阳金达钛业股份有限公司</w:t>
      </w:r>
      <w:r>
        <w:rPr>
          <w:rFonts w:hint="eastAsia"/>
        </w:rPr>
        <w:t>的应急指挥部是企业突发事件应急管理机构，负责公司内部应急救援工作的组织领导和指挥，同时设立各分厂的应急指挥部，负责各分厂应急救援工作的组织领导和指挥，企业设有24h值班。发生事故时，由应急指挥部负责企业应急救援工作的组织和指挥，并根据实际情况由应急指挥部指定人员选择安全、方便的地点设立现场指挥部，现场指挥部下设应急救援小组。</w:t>
      </w:r>
    </w:p>
    <w:p w14:paraId="6F5F32BF">
      <w:pPr>
        <w:pStyle w:val="21"/>
        <w:adjustRightInd w:val="0"/>
        <w:snapToGrid w:val="0"/>
        <w:ind w:firstLine="560"/>
        <w:rPr>
          <w:highlight w:val="yellow"/>
        </w:rPr>
      </w:pPr>
      <w:r>
        <w:rPr>
          <w:rFonts w:hint="eastAsia"/>
        </w:rPr>
        <w:t>发生紧急事故时，迅速在事故现场附近安全地带设立临时指挥部，由总经理任总指挥，负责本企业应急救援工作的组织和指挥。总指挥不在场情况，经总指挥授权执行总指挥的职责，全权代表总指挥处理一切事物</w:t>
      </w:r>
      <w:r>
        <w:rPr>
          <w:rFonts w:hint="eastAsia"/>
          <w:lang w:eastAsia="zh-CN"/>
        </w:rPr>
        <w:t>。</w:t>
      </w:r>
      <w:r>
        <w:rPr>
          <w:rFonts w:hint="eastAsia"/>
        </w:rPr>
        <w:t>事故应急处理期间，本企业范围内一切救援力量与物资必须服从调派。</w:t>
      </w:r>
    </w:p>
    <w:p w14:paraId="322AB0DD">
      <w:pPr>
        <w:pStyle w:val="21"/>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highlight w:val="none"/>
        </w:rPr>
        <w:t>8.2.2</w:t>
      </w:r>
      <w:r>
        <w:rPr>
          <w:rFonts w:hint="eastAsia" w:ascii="黑体" w:hAnsi="黑体" w:eastAsia="黑体"/>
          <w:b/>
          <w:bCs/>
          <w:highlight w:val="none"/>
        </w:rPr>
        <w:t>应急物资</w:t>
      </w:r>
    </w:p>
    <w:p w14:paraId="5CDD4A2B">
      <w:pPr>
        <w:pStyle w:val="21"/>
        <w:adjustRightInd w:val="0"/>
        <w:snapToGrid w:val="0"/>
        <w:ind w:firstLine="560"/>
        <w:rPr>
          <w:rFonts w:hint="eastAsia"/>
        </w:rPr>
      </w:pPr>
      <w:r>
        <w:rPr>
          <w:rFonts w:hint="eastAsia"/>
          <w:highlight w:val="none"/>
        </w:rPr>
        <w:t>根据《危险化学品单位应急救援物资配</w:t>
      </w:r>
      <w:r>
        <w:rPr>
          <w:rFonts w:hint="eastAsia"/>
        </w:rPr>
        <w:t>备要求》（GB30077-2023）要求，划分为第</w:t>
      </w:r>
      <w:r>
        <w:rPr>
          <w:rFonts w:hint="eastAsia"/>
          <w:lang w:val="en-US" w:eastAsia="zh-CN"/>
        </w:rPr>
        <w:t>一</w:t>
      </w:r>
      <w:r>
        <w:rPr>
          <w:rFonts w:hint="eastAsia"/>
        </w:rPr>
        <w:t>类危险化学品单位，</w:t>
      </w:r>
      <w:r>
        <w:rPr>
          <w:rFonts w:hint="eastAsia"/>
          <w:lang w:eastAsia="zh-CN"/>
        </w:rPr>
        <w:t>朝阳金达钛业股份有限公司</w:t>
      </w:r>
      <w:r>
        <w:rPr>
          <w:rFonts w:hint="eastAsia"/>
        </w:rPr>
        <w:t>配备应急物资及设施情况，见表8.2-1</w:t>
      </w:r>
      <w:r>
        <w:rPr>
          <w:rFonts w:hint="eastAsia"/>
          <w:lang w:val="en-US" w:eastAsia="zh-CN"/>
        </w:rPr>
        <w:t>及表8.2-2</w:t>
      </w:r>
      <w:r>
        <w:rPr>
          <w:rFonts w:hint="eastAsia"/>
        </w:rPr>
        <w:t>。</w:t>
      </w:r>
    </w:p>
    <w:p w14:paraId="4D76D03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8.2.3</w:t>
      </w:r>
      <w:r>
        <w:rPr>
          <w:rFonts w:hint="eastAsia" w:ascii="黑体" w:hAnsi="黑体" w:eastAsia="黑体"/>
          <w:b/>
          <w:bCs/>
        </w:rPr>
        <w:t>其他保障措施</w:t>
      </w:r>
    </w:p>
    <w:p w14:paraId="0636AA93">
      <w:pPr>
        <w:pStyle w:val="21"/>
        <w:adjustRightInd w:val="0"/>
        <w:snapToGrid w:val="0"/>
        <w:ind w:firstLine="560"/>
      </w:pPr>
      <w:r>
        <w:rPr>
          <w:rFonts w:hint="eastAsia"/>
        </w:rPr>
        <w:t>（1）通信与信息保障</w:t>
      </w:r>
    </w:p>
    <w:p w14:paraId="7A3A86FD">
      <w:pPr>
        <w:pStyle w:val="21"/>
        <w:adjustRightInd w:val="0"/>
        <w:snapToGrid w:val="0"/>
        <w:ind w:firstLine="560"/>
      </w:pPr>
      <w:r>
        <w:rPr>
          <w:rFonts w:hint="eastAsia" w:ascii="宋体" w:hAnsi="宋体"/>
        </w:rPr>
        <w:t>①</w:t>
      </w:r>
      <w:r>
        <w:rPr>
          <w:rFonts w:hint="eastAsia"/>
        </w:rPr>
        <w:t>本企业设24h值班电话，总指挥、副总指挥、应急办公室及各应急救援小组成员的移动电话等通讯设备为事故应急提供通信保障。</w:t>
      </w:r>
    </w:p>
    <w:p w14:paraId="3259A3F4">
      <w:pPr>
        <w:pStyle w:val="21"/>
        <w:adjustRightInd w:val="0"/>
        <w:snapToGrid w:val="0"/>
        <w:ind w:firstLine="560"/>
      </w:pPr>
      <w:r>
        <w:rPr>
          <w:rFonts w:hint="eastAsia" w:ascii="宋体" w:hAnsi="宋体"/>
        </w:rPr>
        <w:t>②</w:t>
      </w:r>
      <w:r>
        <w:rPr>
          <w:rFonts w:hint="eastAsia"/>
        </w:rPr>
        <w:t>本企业内部应急救援人员联系方式以及与应急工作相关联的应急管理部门、消防救援队、医院等外部单位联系方式应定期进行更新，确保通讯信息的准确性。</w:t>
      </w:r>
    </w:p>
    <w:p w14:paraId="33F38DD9">
      <w:pPr>
        <w:pStyle w:val="21"/>
        <w:adjustRightInd w:val="0"/>
        <w:snapToGrid w:val="0"/>
        <w:ind w:firstLine="560"/>
      </w:pPr>
      <w:r>
        <w:rPr>
          <w:rFonts w:hint="eastAsia" w:ascii="宋体" w:hAnsi="宋体"/>
        </w:rPr>
        <w:t>③</w:t>
      </w:r>
      <w:r>
        <w:rPr>
          <w:rFonts w:hint="eastAsia"/>
        </w:rPr>
        <w:t>非应急期间，应急指挥部成员及现场负责人等相关人员应保证通讯畅通。</w:t>
      </w:r>
    </w:p>
    <w:p w14:paraId="21959F3E">
      <w:pPr>
        <w:pStyle w:val="21"/>
        <w:adjustRightInd w:val="0"/>
        <w:snapToGrid w:val="0"/>
        <w:ind w:firstLine="560"/>
      </w:pPr>
      <w:r>
        <w:rPr>
          <w:rFonts w:hint="eastAsia" w:ascii="宋体" w:hAnsi="宋体"/>
        </w:rPr>
        <w:t>④</w:t>
      </w:r>
      <w:r>
        <w:rPr>
          <w:rFonts w:hint="eastAsia"/>
        </w:rPr>
        <w:t>应急期间，应急指挥部成员及现场负责人等相关人员必须保持移动通信设备24h处于开机状态。</w:t>
      </w:r>
    </w:p>
    <w:p w14:paraId="040AC619">
      <w:pPr>
        <w:pStyle w:val="21"/>
        <w:adjustRightInd w:val="0"/>
        <w:snapToGrid w:val="0"/>
        <w:ind w:firstLine="560"/>
      </w:pPr>
      <w:r>
        <w:rPr>
          <w:rFonts w:hint="eastAsia" w:ascii="宋体" w:hAnsi="宋体"/>
        </w:rPr>
        <w:t>⑤</w:t>
      </w:r>
      <w:r>
        <w:rPr>
          <w:rFonts w:hint="eastAsia"/>
        </w:rPr>
        <w:t>应急期间，应急指挥部安排专人24h值班，值班人员必须清楚知道各部门负责人及应急、公安、医疗、消防等救援电话。</w:t>
      </w:r>
    </w:p>
    <w:p w14:paraId="40D80DEE">
      <w:pPr>
        <w:pStyle w:val="21"/>
        <w:adjustRightInd w:val="0"/>
        <w:snapToGrid w:val="0"/>
        <w:ind w:firstLine="560"/>
      </w:pPr>
      <w:r>
        <w:rPr>
          <w:rFonts w:hint="eastAsia"/>
        </w:rPr>
        <w:t>（2）经费保障</w:t>
      </w:r>
    </w:p>
    <w:p w14:paraId="5ACB3292">
      <w:pPr>
        <w:pStyle w:val="21"/>
        <w:adjustRightInd w:val="0"/>
        <w:snapToGrid w:val="0"/>
        <w:ind w:firstLine="560"/>
        <w:rPr>
          <w:rFonts w:hint="eastAsia"/>
        </w:rPr>
      </w:pPr>
      <w:r>
        <w:rPr>
          <w:rFonts w:hint="eastAsia"/>
        </w:rPr>
        <w:t>应急经费保障（应急救援所需的经费）由专项经费列入安全生产费用，由主要负责人审核、批准，财务人员按月提发应急经费，设立专用账户，做到专款专用。其使用范围、数量和监督管理严格按照本企业安全生产费用管理制度实施，保障应急状态时应急经费的及时到位。</w:t>
      </w:r>
    </w:p>
    <w:p w14:paraId="10A374A4">
      <w:pPr>
        <w:pStyle w:val="21"/>
        <w:adjustRightInd w:val="0"/>
        <w:snapToGrid w:val="0"/>
        <w:ind w:firstLine="560"/>
      </w:pPr>
      <w:r>
        <w:rPr>
          <w:rFonts w:hint="eastAsia"/>
        </w:rPr>
        <w:t>应急救援资金主要用于以下事项：</w:t>
      </w:r>
      <w:r>
        <w:rPr>
          <w:rFonts w:hint="eastAsia" w:ascii="宋体" w:hAnsi="宋体"/>
        </w:rPr>
        <w:t>①</w:t>
      </w:r>
      <w:r>
        <w:rPr>
          <w:rFonts w:hint="eastAsia"/>
        </w:rPr>
        <w:t>开展事故隐患评估、监控和整改支出。</w:t>
      </w:r>
      <w:r>
        <w:rPr>
          <w:rFonts w:hint="eastAsia" w:ascii="宋体" w:hAnsi="宋体"/>
        </w:rPr>
        <w:t>②</w:t>
      </w:r>
      <w:r>
        <w:rPr>
          <w:rFonts w:hint="eastAsia"/>
        </w:rPr>
        <w:t>应急救援技术装备、设施配置及维护保养支出。</w:t>
      </w:r>
      <w:r>
        <w:rPr>
          <w:rFonts w:hint="eastAsia" w:ascii="宋体" w:hAnsi="宋体"/>
        </w:rPr>
        <w:t>③</w:t>
      </w:r>
      <w:r>
        <w:rPr>
          <w:rFonts w:hint="eastAsia"/>
        </w:rPr>
        <w:t>事故逃生和紧急避难设施设备的配置支出。</w:t>
      </w:r>
      <w:r>
        <w:rPr>
          <w:rFonts w:hint="eastAsia" w:ascii="宋体" w:hAnsi="宋体"/>
        </w:rPr>
        <w:t>④</w:t>
      </w:r>
      <w:r>
        <w:rPr>
          <w:rFonts w:hint="eastAsia"/>
        </w:rPr>
        <w:t>配备和更新现场作业人员安全防护用品支出。</w:t>
      </w:r>
      <w:r>
        <w:rPr>
          <w:rFonts w:hint="eastAsia" w:ascii="宋体" w:hAnsi="宋体"/>
        </w:rPr>
        <w:t>⑤</w:t>
      </w:r>
      <w:r>
        <w:rPr>
          <w:rFonts w:hint="eastAsia"/>
        </w:rPr>
        <w:t>安全生产应急救援宣传、教育、培训、应急演练等支出。</w:t>
      </w:r>
      <w:r>
        <w:rPr>
          <w:rFonts w:hint="eastAsia" w:ascii="宋体" w:hAnsi="宋体"/>
        </w:rPr>
        <w:t>⑥</w:t>
      </w:r>
      <w:r>
        <w:rPr>
          <w:rFonts w:hint="eastAsia"/>
        </w:rPr>
        <w:t>应急救援和其他与安全生产直接相关的支出。</w:t>
      </w:r>
    </w:p>
    <w:p w14:paraId="69BE7577">
      <w:pPr>
        <w:pStyle w:val="21"/>
        <w:adjustRightInd w:val="0"/>
        <w:snapToGrid w:val="0"/>
        <w:ind w:firstLine="560"/>
      </w:pPr>
      <w:r>
        <w:rPr>
          <w:rFonts w:hint="eastAsia"/>
        </w:rPr>
        <w:t>（3）应急运输保障</w:t>
      </w:r>
    </w:p>
    <w:p w14:paraId="4AAD57C8">
      <w:pPr>
        <w:pStyle w:val="21"/>
        <w:adjustRightInd w:val="0"/>
        <w:snapToGrid w:val="0"/>
        <w:ind w:firstLine="560"/>
      </w:pPr>
      <w:r>
        <w:rPr>
          <w:rFonts w:hint="eastAsia"/>
        </w:rPr>
        <w:t>由</w:t>
      </w:r>
      <w:r>
        <w:rPr>
          <w:rFonts w:hint="eastAsia"/>
          <w:lang w:val="en-US" w:eastAsia="zh-CN"/>
        </w:rPr>
        <w:t>公司</w:t>
      </w:r>
      <w:r>
        <w:rPr>
          <w:rFonts w:hint="eastAsia"/>
        </w:rPr>
        <w:t>指派本企业车辆予以保障。</w:t>
      </w:r>
    </w:p>
    <w:p w14:paraId="770D6FAA">
      <w:pPr>
        <w:pStyle w:val="21"/>
        <w:adjustRightInd w:val="0"/>
        <w:snapToGrid w:val="0"/>
        <w:ind w:firstLine="560"/>
      </w:pPr>
      <w:r>
        <w:rPr>
          <w:rFonts w:hint="eastAsia"/>
        </w:rPr>
        <w:t>（4）治安保障</w:t>
      </w:r>
    </w:p>
    <w:p w14:paraId="5981CF0F">
      <w:pPr>
        <w:pStyle w:val="21"/>
        <w:adjustRightInd w:val="0"/>
        <w:snapToGrid w:val="0"/>
        <w:ind w:firstLine="560"/>
      </w:pPr>
      <w:r>
        <w:rPr>
          <w:rFonts w:hint="eastAsia"/>
        </w:rPr>
        <w:t>提供应急救援时治安警戒使用的隔离装置及其他装备，一旦发生事故后，迅速组织有关人员进行治安维护、疏散警戒，杜绝闲杂人员进入警戒线以内，维护现场及周边秩序。</w:t>
      </w:r>
    </w:p>
    <w:p w14:paraId="63F1477E">
      <w:pPr>
        <w:pStyle w:val="21"/>
        <w:adjustRightInd w:val="0"/>
        <w:snapToGrid w:val="0"/>
        <w:ind w:firstLine="560"/>
      </w:pPr>
      <w:r>
        <w:rPr>
          <w:rFonts w:hint="eastAsia"/>
        </w:rPr>
        <w:t>（5）技术保障</w:t>
      </w:r>
    </w:p>
    <w:p w14:paraId="3A508CD5">
      <w:pPr>
        <w:pStyle w:val="21"/>
        <w:adjustRightInd w:val="0"/>
        <w:snapToGrid w:val="0"/>
        <w:ind w:firstLine="560"/>
      </w:pPr>
      <w:r>
        <w:rPr>
          <w:rFonts w:hint="eastAsia"/>
        </w:rPr>
        <w:t>定期请安全技术服务机构对本企业生产运行状况进行</w:t>
      </w:r>
      <w:r>
        <w:rPr>
          <w:rFonts w:hint="eastAsia"/>
          <w:lang w:val="en-US" w:eastAsia="zh-CN"/>
        </w:rPr>
        <w:t>隐患排查</w:t>
      </w:r>
      <w:r>
        <w:rPr>
          <w:rFonts w:hint="eastAsia"/>
        </w:rPr>
        <w:t>，加大应急技术含量，不断改进应急技术装备。</w:t>
      </w:r>
    </w:p>
    <w:p w14:paraId="3F379BF9">
      <w:pPr>
        <w:pStyle w:val="21"/>
        <w:adjustRightInd w:val="0"/>
        <w:snapToGrid w:val="0"/>
        <w:ind w:firstLine="560"/>
      </w:pPr>
      <w:r>
        <w:rPr>
          <w:rFonts w:hint="eastAsia"/>
        </w:rPr>
        <w:t>（6）医疗保障</w:t>
      </w:r>
    </w:p>
    <w:p w14:paraId="7442486E">
      <w:pPr>
        <w:pStyle w:val="21"/>
        <w:adjustRightInd w:val="0"/>
        <w:snapToGrid w:val="0"/>
        <w:ind w:firstLine="560"/>
        <w:rPr>
          <w:rFonts w:hint="eastAsia"/>
        </w:rPr>
      </w:pPr>
      <w:r>
        <w:rPr>
          <w:rFonts w:hint="eastAsia"/>
        </w:rPr>
        <w:t>轻微伤害由医疗救护组使用应急药品予以保障。伤情较重时由本企业提供车辆送至</w:t>
      </w:r>
      <w:r>
        <w:rPr>
          <w:rFonts w:hint="eastAsia"/>
          <w:lang w:val="en-US" w:eastAsia="zh-CN"/>
        </w:rPr>
        <w:t>朝阳市中心医院</w:t>
      </w:r>
      <w:r>
        <w:rPr>
          <w:rFonts w:hint="eastAsia"/>
        </w:rPr>
        <w:t>，该医院距离本企业约</w:t>
      </w:r>
      <w:r>
        <w:rPr>
          <w:rFonts w:hint="eastAsia"/>
          <w:lang w:val="en-US" w:eastAsia="zh-CN"/>
        </w:rPr>
        <w:t>12</w:t>
      </w:r>
      <w:r>
        <w:rPr>
          <w:rFonts w:hint="eastAsia"/>
        </w:rPr>
        <w:t>公里，车程约</w:t>
      </w:r>
      <w:r>
        <w:rPr>
          <w:rFonts w:hint="eastAsia"/>
          <w:lang w:val="en-US" w:eastAsia="zh-CN"/>
        </w:rPr>
        <w:t>22</w:t>
      </w:r>
      <w:r>
        <w:rPr>
          <w:rFonts w:hint="eastAsia"/>
        </w:rPr>
        <w:t>分钟。</w:t>
      </w:r>
    </w:p>
    <w:p w14:paraId="440F857F">
      <w:pPr>
        <w:pStyle w:val="21"/>
        <w:adjustRightInd w:val="0"/>
        <w:snapToGrid w:val="0"/>
        <w:ind w:firstLine="560"/>
      </w:pPr>
      <w:r>
        <w:rPr>
          <w:rFonts w:hint="eastAsia"/>
        </w:rPr>
        <w:t>（7）后勤保障</w:t>
      </w:r>
    </w:p>
    <w:p w14:paraId="22813381">
      <w:pPr>
        <w:pStyle w:val="21"/>
        <w:adjustRightInd w:val="0"/>
        <w:snapToGrid w:val="0"/>
        <w:ind w:firstLine="560"/>
      </w:pPr>
      <w:r>
        <w:rPr>
          <w:rFonts w:hint="eastAsia"/>
        </w:rPr>
        <w:t>企业将应急车辆、应急物资及器材备足，以便能在应急状态下保证供应顺畅，并留有应急器材采购单位联系方式，能够在最短时间内补充。企业安排专人对应急物资的运行状况进行检查，发现不良状态时立即更换，保证处于正常可使用状态。</w:t>
      </w:r>
    </w:p>
    <w:p w14:paraId="74F5CBE9">
      <w:pPr>
        <w:pStyle w:val="21"/>
        <w:adjustRightInd w:val="0"/>
        <w:snapToGrid w:val="0"/>
        <w:ind w:firstLine="560"/>
      </w:pPr>
      <w:r>
        <w:rPr>
          <w:rFonts w:hint="eastAsia"/>
        </w:rPr>
        <w:t>后勤保障组负责提供应急救援需使用的通讯器材、饮食和生活必需品，确保应急期间救援人员基本生活需要。</w:t>
      </w:r>
      <w:r>
        <w:rPr>
          <w:rFonts w:hint="eastAsia"/>
          <w:lang w:val="en-US" w:eastAsia="zh-CN"/>
        </w:rPr>
        <w:t xml:space="preserve"> </w:t>
      </w:r>
    </w:p>
    <w:p w14:paraId="250A5F2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6" w:name="_Toc32431"/>
      <w:r>
        <w:rPr>
          <w:rFonts w:eastAsia="楷体" w:cs="Times New Roman"/>
          <w:b/>
          <w:bCs/>
          <w:sz w:val="32"/>
          <w:szCs w:val="32"/>
        </w:rPr>
        <w:t>8.3</w:t>
      </w:r>
      <w:r>
        <w:rPr>
          <w:rFonts w:hint="eastAsia" w:ascii="楷体" w:hAnsi="楷体" w:eastAsia="楷体"/>
          <w:b/>
          <w:bCs/>
          <w:sz w:val="32"/>
          <w:szCs w:val="32"/>
        </w:rPr>
        <w:t>应急措施</w:t>
      </w:r>
      <w:bookmarkEnd w:id="46"/>
    </w:p>
    <w:p w14:paraId="19F23B0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8.3.1</w:t>
      </w:r>
      <w:r>
        <w:rPr>
          <w:rFonts w:hint="eastAsia" w:ascii="黑体" w:hAnsi="黑体" w:eastAsia="黑体"/>
          <w:b/>
          <w:bCs/>
        </w:rPr>
        <w:t>人员急救</w:t>
      </w:r>
    </w:p>
    <w:p w14:paraId="7CCF7B24">
      <w:pPr>
        <w:pStyle w:val="21"/>
        <w:adjustRightInd w:val="0"/>
        <w:snapToGrid w:val="0"/>
        <w:ind w:firstLine="560"/>
      </w:pPr>
      <w:r>
        <w:rPr>
          <w:rFonts w:hint="eastAsia"/>
          <w:lang w:eastAsia="zh-CN"/>
        </w:rPr>
        <w:t>朝阳金达钛业股份有限公司</w:t>
      </w:r>
      <w:r>
        <w:rPr>
          <w:rFonts w:hint="eastAsia"/>
        </w:rPr>
        <w:t>设有应急救援小组，事故发生时可在第一时间对伤员进行救护。</w:t>
      </w:r>
    </w:p>
    <w:p w14:paraId="3EB42118">
      <w:pPr>
        <w:pStyle w:val="21"/>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highlight w:val="none"/>
        </w:rPr>
        <w:t>8.3.2</w:t>
      </w:r>
      <w:r>
        <w:rPr>
          <w:rFonts w:hint="eastAsia" w:ascii="黑体" w:hAnsi="黑体" w:eastAsia="黑体"/>
          <w:b/>
          <w:bCs/>
          <w:highlight w:val="none"/>
        </w:rPr>
        <w:t>事故处置措施</w:t>
      </w:r>
    </w:p>
    <w:p w14:paraId="05DB2C21">
      <w:pPr>
        <w:pStyle w:val="21"/>
        <w:adjustRightInd w:val="0"/>
        <w:snapToGrid w:val="0"/>
        <w:ind w:firstLine="560"/>
        <w:rPr>
          <w:rFonts w:hint="eastAsia"/>
          <w:highlight w:val="none"/>
        </w:rPr>
      </w:pPr>
      <w:r>
        <w:rPr>
          <w:rFonts w:hint="eastAsia"/>
          <w:highlight w:val="none"/>
        </w:rPr>
        <w:t>（1）液氯泄漏事故处置</w:t>
      </w:r>
    </w:p>
    <w:p w14:paraId="3F9A2993">
      <w:pPr>
        <w:pStyle w:val="21"/>
        <w:adjustRightInd w:val="0"/>
        <w:snapToGrid w:val="0"/>
        <w:ind w:firstLine="560"/>
        <w:rPr>
          <w:rFonts w:hint="eastAsia"/>
          <w:highlight w:val="none"/>
        </w:rPr>
      </w:pPr>
      <w:r>
        <w:rPr>
          <w:rFonts w:hint="eastAsia"/>
          <w:highlight w:val="none"/>
        </w:rPr>
        <w:t>1）关闭储罐进出口阀门，切断物料来源；若阀门损坏，使用堵漏工具（如注胶枪、堵漏夹具）封堵漏点。开启喷淋系统，对储罐及泄漏区域进行稀释降毒。</w:t>
      </w:r>
    </w:p>
    <w:p w14:paraId="61259148">
      <w:pPr>
        <w:pStyle w:val="21"/>
        <w:adjustRightInd w:val="0"/>
        <w:snapToGrid w:val="0"/>
        <w:ind w:firstLine="560"/>
        <w:rPr>
          <w:rFonts w:hint="eastAsia"/>
          <w:highlight w:val="none"/>
        </w:rPr>
      </w:pPr>
      <w:r>
        <w:rPr>
          <w:rFonts w:hint="eastAsia"/>
          <w:highlight w:val="none"/>
        </w:rPr>
        <w:t>2）若储罐本体泄漏，在确保安全的前提下，利用氮气等惰性气体将液氯压入备用储罐，减少泄漏量。倒罐过程需严格控制压力（≤0.8MPa），避免因温差或压力波动引发爆炸。</w:t>
      </w:r>
    </w:p>
    <w:p w14:paraId="51321711">
      <w:pPr>
        <w:pStyle w:val="21"/>
        <w:adjustRightInd w:val="0"/>
        <w:snapToGrid w:val="0"/>
        <w:ind w:firstLine="560"/>
        <w:rPr>
          <w:rFonts w:hint="eastAsia"/>
          <w:highlight w:val="none"/>
        </w:rPr>
      </w:pPr>
      <w:r>
        <w:rPr>
          <w:rFonts w:hint="eastAsia"/>
          <w:highlight w:val="none"/>
        </w:rPr>
        <w:t>3）在泄漏区域铺设生石灰、烧碱（NaOH）等碱性物质，通过化学反应中和氯气。中和剂需均匀撒布，与泄漏液氯充分接触，注意避免中和过程产生大量热量。</w:t>
      </w:r>
    </w:p>
    <w:p w14:paraId="58743D49">
      <w:pPr>
        <w:pStyle w:val="21"/>
        <w:adjustRightInd w:val="0"/>
        <w:snapToGrid w:val="0"/>
        <w:ind w:firstLine="560"/>
        <w:rPr>
          <w:rFonts w:hint="eastAsia"/>
          <w:highlight w:val="none"/>
        </w:rPr>
      </w:pPr>
      <w:r>
        <w:rPr>
          <w:rFonts w:hint="eastAsia"/>
          <w:highlight w:val="none"/>
        </w:rPr>
        <w:t>（2）卸装鹤管泄漏事故处置</w:t>
      </w:r>
    </w:p>
    <w:p w14:paraId="21DF1330">
      <w:pPr>
        <w:pStyle w:val="21"/>
        <w:adjustRightInd w:val="0"/>
        <w:snapToGrid w:val="0"/>
        <w:ind w:firstLine="560"/>
        <w:rPr>
          <w:rFonts w:hint="eastAsia"/>
          <w:highlight w:val="none"/>
        </w:rPr>
      </w:pPr>
      <w:r>
        <w:rPr>
          <w:rFonts w:hint="eastAsia"/>
          <w:highlight w:val="none"/>
        </w:rPr>
        <w:t>1）岗位人员穿戴正压式呼吸器，关闭卸装槽车气相阀和液相阀门；</w:t>
      </w:r>
    </w:p>
    <w:p w14:paraId="09B592FF">
      <w:pPr>
        <w:pStyle w:val="21"/>
        <w:adjustRightInd w:val="0"/>
        <w:snapToGrid w:val="0"/>
        <w:ind w:firstLine="560"/>
        <w:rPr>
          <w:rFonts w:hint="eastAsia"/>
          <w:highlight w:val="none"/>
        </w:rPr>
      </w:pPr>
      <w:r>
        <w:rPr>
          <w:rFonts w:hint="eastAsia"/>
          <w:highlight w:val="none"/>
        </w:rPr>
        <w:t>2）用压缩空气扫线，保证扫线压力在0.06-0.08MPa；</w:t>
      </w:r>
    </w:p>
    <w:p w14:paraId="67B3A002">
      <w:pPr>
        <w:pStyle w:val="21"/>
        <w:adjustRightInd w:val="0"/>
        <w:snapToGrid w:val="0"/>
        <w:ind w:firstLine="560"/>
        <w:rPr>
          <w:rFonts w:hint="eastAsia"/>
          <w:highlight w:val="none"/>
        </w:rPr>
      </w:pPr>
      <w:r>
        <w:rPr>
          <w:rFonts w:hint="eastAsia"/>
          <w:highlight w:val="none"/>
        </w:rPr>
        <w:t>3）扫线合格后，使用氨水找泄漏点进行检修。</w:t>
      </w:r>
    </w:p>
    <w:p w14:paraId="2056CB68">
      <w:pPr>
        <w:pStyle w:val="21"/>
        <w:adjustRightInd w:val="0"/>
        <w:snapToGrid w:val="0"/>
        <w:ind w:firstLine="560"/>
        <w:rPr>
          <w:rFonts w:hint="eastAsia"/>
          <w:highlight w:val="none"/>
        </w:rPr>
      </w:pPr>
      <w:r>
        <w:rPr>
          <w:rFonts w:hint="eastAsia"/>
          <w:highlight w:val="none"/>
        </w:rPr>
        <w:t>注意事项：</w:t>
      </w:r>
    </w:p>
    <w:p w14:paraId="28725FBC">
      <w:pPr>
        <w:pStyle w:val="21"/>
        <w:adjustRightInd w:val="0"/>
        <w:snapToGrid w:val="0"/>
        <w:ind w:firstLine="560"/>
        <w:rPr>
          <w:rFonts w:hint="eastAsia"/>
          <w:highlight w:val="none"/>
        </w:rPr>
      </w:pPr>
      <w:r>
        <w:rPr>
          <w:rFonts w:hint="eastAsia"/>
          <w:highlight w:val="none"/>
        </w:rPr>
        <w:t>1）DCS操作人员应与指挥人员，操作人员保证通讯顺畅。</w:t>
      </w:r>
    </w:p>
    <w:p w14:paraId="12192F93">
      <w:pPr>
        <w:pStyle w:val="21"/>
        <w:adjustRightInd w:val="0"/>
        <w:snapToGrid w:val="0"/>
        <w:ind w:firstLine="560"/>
        <w:rPr>
          <w:rFonts w:hint="eastAsia"/>
          <w:highlight w:val="none"/>
        </w:rPr>
      </w:pPr>
      <w:r>
        <w:rPr>
          <w:rFonts w:hint="eastAsia"/>
          <w:highlight w:val="none"/>
        </w:rPr>
        <w:t>2）停止泵后，现场操作人员应检查各储罐、反应釜阀门压力，温度，液位，防止事故发生。</w:t>
      </w:r>
    </w:p>
    <w:p w14:paraId="34E9F06A">
      <w:pPr>
        <w:pStyle w:val="21"/>
        <w:adjustRightInd w:val="0"/>
        <w:snapToGrid w:val="0"/>
        <w:ind w:firstLine="560"/>
        <w:rPr>
          <w:rFonts w:hint="eastAsia"/>
          <w:highlight w:val="none"/>
        </w:rPr>
      </w:pPr>
      <w:r>
        <w:rPr>
          <w:rFonts w:hint="eastAsia"/>
          <w:highlight w:val="none"/>
        </w:rPr>
        <w:t>3）采取隔离和疏散措施，设置移动“风向标”，避免无关人员进入事故发生的危险区域并合理布置消防和救援力量。</w:t>
      </w:r>
    </w:p>
    <w:p w14:paraId="2956D113">
      <w:pPr>
        <w:pStyle w:val="21"/>
        <w:adjustRightInd w:val="0"/>
        <w:snapToGrid w:val="0"/>
        <w:ind w:firstLine="560"/>
        <w:rPr>
          <w:rFonts w:hint="eastAsia"/>
          <w:highlight w:val="none"/>
        </w:rPr>
      </w:pPr>
      <w:r>
        <w:rPr>
          <w:rFonts w:hint="eastAsia"/>
          <w:highlight w:val="none"/>
        </w:rPr>
        <w:t>4）采取工艺手段，迅速将着火点及受着火点影响的物料向安全区域的储存设施转移，迅速减少事故点的危险物料。</w:t>
      </w:r>
    </w:p>
    <w:p w14:paraId="3ACAC323">
      <w:pPr>
        <w:pStyle w:val="21"/>
        <w:adjustRightInd w:val="0"/>
        <w:snapToGrid w:val="0"/>
        <w:ind w:firstLine="560"/>
        <w:rPr>
          <w:rFonts w:hint="eastAsia"/>
          <w:highlight w:val="none"/>
        </w:rPr>
      </w:pPr>
      <w:r>
        <w:rPr>
          <w:rFonts w:hint="eastAsia"/>
          <w:highlight w:val="none"/>
        </w:rPr>
        <w:t>5）迅速将受伤、中毒人员送往医院。</w:t>
      </w:r>
    </w:p>
    <w:p w14:paraId="24714BD6">
      <w:pPr>
        <w:pStyle w:val="21"/>
        <w:adjustRightInd w:val="0"/>
        <w:snapToGrid w:val="0"/>
        <w:ind w:firstLine="560"/>
        <w:rPr>
          <w:rFonts w:hint="eastAsia"/>
          <w:highlight w:val="none"/>
        </w:rPr>
      </w:pPr>
      <w:r>
        <w:rPr>
          <w:rFonts w:hint="eastAsia"/>
          <w:highlight w:val="none"/>
        </w:rPr>
        <w:t>6）根据危险物料储存设施救护的特点及风向，合理组织扑救工作。</w:t>
      </w:r>
    </w:p>
    <w:p w14:paraId="7FA5ADD4">
      <w:pPr>
        <w:pStyle w:val="21"/>
        <w:adjustRightInd w:val="0"/>
        <w:snapToGrid w:val="0"/>
        <w:ind w:firstLine="560"/>
        <w:rPr>
          <w:rFonts w:hint="eastAsia"/>
          <w:highlight w:val="none"/>
        </w:rPr>
      </w:pPr>
      <w:r>
        <w:rPr>
          <w:rFonts w:hint="eastAsia"/>
          <w:highlight w:val="none"/>
        </w:rPr>
        <w:t>7）采取封断事故区域与厂区道路的雨水明沟、开启喷淋设施降温、人工紧急筑堤围墙等防扩散、降温等控制措施和应急方法，防止危险物料外泄、火势蔓延；组织足够数量的灭火用水、泡沫液、消防车辆，尽一切可能控制着火点不发生爆炸。</w:t>
      </w:r>
    </w:p>
    <w:p w14:paraId="3CEF3DE8">
      <w:pPr>
        <w:pStyle w:val="21"/>
        <w:adjustRightInd w:val="0"/>
        <w:snapToGrid w:val="0"/>
        <w:ind w:firstLine="560"/>
        <w:rPr>
          <w:rFonts w:hint="eastAsia"/>
          <w:highlight w:val="none"/>
        </w:rPr>
      </w:pPr>
      <w:r>
        <w:rPr>
          <w:rFonts w:hint="eastAsia"/>
          <w:highlight w:val="none"/>
        </w:rPr>
        <w:t>8）当泄漏失控时，应密切关注危险物料储存设施泄漏情况，一旦发现储存设施大面积撕裂征兆，应及时采取紧急撤离危险区域等应变措施。</w:t>
      </w:r>
    </w:p>
    <w:p w14:paraId="244DEA43">
      <w:pPr>
        <w:pStyle w:val="21"/>
        <w:adjustRightInd w:val="0"/>
        <w:snapToGrid w:val="0"/>
        <w:ind w:firstLine="560"/>
        <w:rPr>
          <w:rFonts w:hint="eastAsia" w:ascii="宋体" w:hAnsi="宋体"/>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1CBB555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47" w:name="_Toc14376"/>
      <w:r>
        <w:rPr>
          <w:rFonts w:eastAsia="黑体" w:cs="Times New Roman"/>
          <w:b/>
          <w:bCs/>
          <w:sz w:val="32"/>
          <w:szCs w:val="32"/>
        </w:rPr>
        <w:t>9</w:t>
      </w:r>
      <w:r>
        <w:rPr>
          <w:rFonts w:hint="eastAsia" w:ascii="黑体" w:hAnsi="黑体" w:eastAsia="黑体"/>
          <w:b/>
          <w:bCs/>
          <w:sz w:val="32"/>
          <w:szCs w:val="32"/>
        </w:rPr>
        <w:t>评估结论及建议</w:t>
      </w:r>
      <w:bookmarkEnd w:id="47"/>
    </w:p>
    <w:p w14:paraId="37FF262B">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8" w:name="_Toc16687"/>
      <w:r>
        <w:rPr>
          <w:rFonts w:eastAsia="楷体" w:cs="Times New Roman"/>
          <w:b/>
          <w:bCs/>
          <w:sz w:val="32"/>
          <w:szCs w:val="32"/>
        </w:rPr>
        <w:t>9.1</w:t>
      </w:r>
      <w:r>
        <w:rPr>
          <w:rFonts w:hint="eastAsia" w:eastAsia="楷体" w:cs="Times New Roman"/>
          <w:b/>
          <w:bCs/>
          <w:sz w:val="32"/>
          <w:szCs w:val="32"/>
          <w:lang w:val="en-US" w:eastAsia="zh-CN"/>
        </w:rPr>
        <w:t>评估</w:t>
      </w:r>
      <w:r>
        <w:rPr>
          <w:rFonts w:hint="eastAsia" w:ascii="楷体" w:hAnsi="楷体" w:eastAsia="楷体"/>
          <w:b/>
          <w:bCs/>
          <w:sz w:val="32"/>
          <w:szCs w:val="32"/>
        </w:rPr>
        <w:t>结论</w:t>
      </w:r>
      <w:bookmarkEnd w:id="48"/>
    </w:p>
    <w:p w14:paraId="52680321">
      <w:pPr>
        <w:pStyle w:val="21"/>
        <w:adjustRightInd w:val="0"/>
        <w:snapToGrid w:val="0"/>
        <w:ind w:firstLine="560"/>
      </w:pPr>
      <w:r>
        <w:rPr>
          <w:rFonts w:hint="eastAsia"/>
        </w:rPr>
        <w:t>经过现场实地考察，审阅</w:t>
      </w:r>
      <w:r>
        <w:rPr>
          <w:rFonts w:hint="eastAsia"/>
          <w:lang w:eastAsia="zh-CN"/>
        </w:rPr>
        <w:t>朝阳金达钛业股份有限公司</w:t>
      </w:r>
      <w:r>
        <w:rPr>
          <w:rFonts w:hint="eastAsia"/>
        </w:rPr>
        <w:t>提供的有关资料，并按照国家及行业有关安全技术标准和规范，以及《危险化学品重大危险源监督管理暂行规定》，对其危险化学品重大危险源进行分析和评估，得出以下结论：</w:t>
      </w:r>
    </w:p>
    <w:p w14:paraId="7B4CFC13">
      <w:pPr>
        <w:pStyle w:val="21"/>
        <w:adjustRightInd w:val="0"/>
        <w:snapToGrid w:val="0"/>
        <w:ind w:firstLine="560"/>
      </w:pPr>
      <w:r>
        <w:rPr>
          <w:rFonts w:hint="eastAsia"/>
        </w:rPr>
        <w:t>（1）</w:t>
      </w:r>
      <w:r>
        <w:rPr>
          <w:rFonts w:hint="eastAsia"/>
          <w:lang w:eastAsia="zh-CN"/>
        </w:rPr>
        <w:t>朝阳金达钛业股份有限公司1#液氯储罐及液氯气化区单元</w:t>
      </w:r>
      <w:r>
        <w:rPr>
          <w:rFonts w:hint="eastAsia"/>
          <w:highlight w:val="none"/>
        </w:rPr>
        <w:t>构成</w:t>
      </w:r>
      <w:r>
        <w:rPr>
          <w:rFonts w:hint="eastAsia"/>
          <w:highlight w:val="none"/>
          <w:lang w:val="en-US" w:eastAsia="zh-CN"/>
        </w:rPr>
        <w:t>一</w:t>
      </w:r>
      <w:r>
        <w:rPr>
          <w:rFonts w:hint="eastAsia"/>
          <w:highlight w:val="none"/>
        </w:rPr>
        <w:t>级危险化学品</w:t>
      </w:r>
      <w:r>
        <w:rPr>
          <w:rFonts w:hint="eastAsia"/>
        </w:rPr>
        <w:t>重大危险源。</w:t>
      </w:r>
    </w:p>
    <w:p w14:paraId="536F651B">
      <w:pPr>
        <w:pStyle w:val="21"/>
        <w:adjustRightInd w:val="0"/>
        <w:snapToGrid w:val="0"/>
        <w:ind w:firstLine="560"/>
        <w:rPr>
          <w:rFonts w:hint="eastAsia"/>
        </w:rPr>
      </w:pPr>
      <w:r>
        <w:rPr>
          <w:rFonts w:hint="eastAsia"/>
        </w:rPr>
        <w:t>（2）通过区域个人风险模拟计算可知，单元的个人风险模拟结果均符合《危险化学品生产装置和储存设施风险基准》的要求；社会风险曲线</w:t>
      </w:r>
      <w:r>
        <w:rPr>
          <w:rFonts w:hint="eastAsia"/>
          <w:lang w:val="en-US" w:eastAsia="zh-CN"/>
        </w:rPr>
        <w:t>均落在了可接受区域</w:t>
      </w:r>
      <w:r>
        <w:rPr>
          <w:rFonts w:hint="eastAsia"/>
        </w:rPr>
        <w:t>。</w:t>
      </w:r>
    </w:p>
    <w:p w14:paraId="35035571">
      <w:pPr>
        <w:pStyle w:val="21"/>
        <w:adjustRightInd w:val="0"/>
        <w:snapToGrid w:val="0"/>
        <w:ind w:firstLine="560"/>
        <w:rPr>
          <w:rFonts w:hint="eastAsia" w:eastAsia="宋体"/>
          <w:lang w:eastAsia="zh-CN"/>
        </w:rPr>
      </w:pPr>
      <w:r>
        <w:rPr>
          <w:rFonts w:hint="eastAsia"/>
          <w:lang w:eastAsia="zh-CN"/>
        </w:rPr>
        <w:t>（</w:t>
      </w:r>
      <w:r>
        <w:rPr>
          <w:rFonts w:hint="eastAsia"/>
          <w:lang w:val="en-US" w:eastAsia="zh-CN"/>
        </w:rPr>
        <w:t>3</w:t>
      </w:r>
      <w:r>
        <w:rPr>
          <w:rFonts w:hint="eastAsia"/>
          <w:lang w:eastAsia="zh-CN"/>
        </w:rPr>
        <w:t>）通过外部安全防护距离计算结果可知，朝阳金达钛业股份有限公司</w:t>
      </w:r>
      <w:r>
        <w:rPr>
          <w:rFonts w:hint="eastAsia"/>
          <w:lang w:val="en-US" w:eastAsia="zh-CN"/>
        </w:rPr>
        <w:t>1#液氯库的液氯</w:t>
      </w:r>
      <w:r>
        <w:rPr>
          <w:rFonts w:hint="eastAsia"/>
          <w:lang w:eastAsia="zh-CN"/>
        </w:rPr>
        <w:t>储罐的外部安全防护距离符合要求。</w:t>
      </w:r>
    </w:p>
    <w:p w14:paraId="73868E8D">
      <w:pPr>
        <w:pStyle w:val="21"/>
        <w:adjustRightInd w:val="0"/>
        <w:snapToGrid w:val="0"/>
        <w:ind w:firstLine="560"/>
      </w:pPr>
      <w:r>
        <w:rPr>
          <w:rFonts w:hint="eastAsia"/>
        </w:rPr>
        <w:t>（</w:t>
      </w:r>
      <w:r>
        <w:rPr>
          <w:rFonts w:hint="eastAsia"/>
          <w:lang w:val="en-US" w:eastAsia="zh-CN"/>
        </w:rPr>
        <w:t>4</w:t>
      </w:r>
      <w:r>
        <w:rPr>
          <w:rFonts w:hint="eastAsia"/>
        </w:rPr>
        <w:t>）</w:t>
      </w:r>
      <w:r>
        <w:rPr>
          <w:rFonts w:hint="eastAsia"/>
          <w:lang w:eastAsia="zh-CN"/>
        </w:rPr>
        <w:t>朝阳金达钛业股份有限公司</w:t>
      </w:r>
      <w:r>
        <w:rPr>
          <w:rFonts w:hint="eastAsia"/>
        </w:rPr>
        <w:t>制定了较为完善的重大危险源安全管理规章制度及相应的安全操作规程制定，并得到有效落实。</w:t>
      </w:r>
    </w:p>
    <w:p w14:paraId="0C17BDF2">
      <w:pPr>
        <w:pStyle w:val="21"/>
        <w:adjustRightInd w:val="0"/>
        <w:snapToGrid w:val="0"/>
        <w:ind w:firstLine="560"/>
      </w:pPr>
      <w:r>
        <w:rPr>
          <w:rFonts w:hint="eastAsia"/>
        </w:rPr>
        <w:t>（</w:t>
      </w:r>
      <w:r>
        <w:rPr>
          <w:rFonts w:hint="eastAsia"/>
          <w:lang w:val="en-US" w:eastAsia="zh-CN"/>
        </w:rPr>
        <w:t>5</w:t>
      </w:r>
      <w:r>
        <w:rPr>
          <w:rFonts w:hint="eastAsia"/>
        </w:rPr>
        <w:t>）</w:t>
      </w:r>
      <w:r>
        <w:rPr>
          <w:rFonts w:hint="eastAsia"/>
          <w:lang w:eastAsia="zh-CN"/>
        </w:rPr>
        <w:t>朝阳金达钛业股份有限公司</w:t>
      </w:r>
      <w:r>
        <w:rPr>
          <w:rFonts w:hint="eastAsia"/>
        </w:rPr>
        <w:t>建立了危险化学品重大危险源的管理与监控体系，</w:t>
      </w:r>
      <w:r>
        <w:rPr>
          <w:rFonts w:hint="eastAsia"/>
          <w:lang w:val="en-US" w:eastAsia="zh-CN"/>
        </w:rPr>
        <w:t>1#液氯库内及装卸处</w:t>
      </w:r>
      <w:r>
        <w:rPr>
          <w:rFonts w:hint="eastAsia"/>
        </w:rPr>
        <w:t>设置</w:t>
      </w:r>
      <w:r>
        <w:rPr>
          <w:rFonts w:hint="eastAsia"/>
          <w:lang w:val="en-US" w:eastAsia="zh-CN"/>
        </w:rPr>
        <w:t>氯气</w:t>
      </w:r>
      <w:r>
        <w:rPr>
          <w:rFonts w:hint="eastAsia"/>
        </w:rPr>
        <w:t>报警器。</w:t>
      </w:r>
    </w:p>
    <w:p w14:paraId="05DEB72C">
      <w:pPr>
        <w:pStyle w:val="21"/>
        <w:adjustRightInd w:val="0"/>
        <w:snapToGrid w:val="0"/>
        <w:ind w:firstLine="560"/>
      </w:pPr>
      <w:r>
        <w:rPr>
          <w:rFonts w:hint="eastAsia"/>
        </w:rPr>
        <w:t>（</w:t>
      </w:r>
      <w:r>
        <w:rPr>
          <w:rFonts w:hint="eastAsia"/>
          <w:lang w:val="en-US" w:eastAsia="zh-CN"/>
        </w:rPr>
        <w:t>6</w:t>
      </w:r>
      <w:r>
        <w:rPr>
          <w:rFonts w:hint="eastAsia"/>
        </w:rPr>
        <w:t>）</w:t>
      </w:r>
      <w:r>
        <w:rPr>
          <w:rFonts w:hint="eastAsia"/>
          <w:lang w:eastAsia="zh-CN"/>
        </w:rPr>
        <w:t>朝阳金达钛业股份有限公司</w:t>
      </w:r>
      <w:r>
        <w:rPr>
          <w:rFonts w:hint="eastAsia"/>
        </w:rPr>
        <w:t>重大危险源安全设施和安全监测监控系统定期由当地相关检测部门进行检测、检验，并定期维护保养。</w:t>
      </w:r>
    </w:p>
    <w:p w14:paraId="60440E26">
      <w:pPr>
        <w:pStyle w:val="21"/>
        <w:adjustRightInd w:val="0"/>
        <w:snapToGrid w:val="0"/>
        <w:ind w:firstLine="560"/>
      </w:pPr>
      <w:r>
        <w:rPr>
          <w:rFonts w:hint="eastAsia"/>
        </w:rPr>
        <w:t>（</w:t>
      </w:r>
      <w:r>
        <w:rPr>
          <w:rFonts w:hint="eastAsia"/>
          <w:lang w:val="en-US" w:eastAsia="zh-CN"/>
        </w:rPr>
        <w:t>7</w:t>
      </w:r>
      <w:r>
        <w:rPr>
          <w:rFonts w:hint="eastAsia"/>
        </w:rPr>
        <w:t>）</w:t>
      </w:r>
      <w:r>
        <w:rPr>
          <w:rFonts w:hint="eastAsia"/>
          <w:lang w:eastAsia="zh-CN"/>
        </w:rPr>
        <w:t>朝阳金达钛业股份有限公司</w:t>
      </w:r>
      <w:r>
        <w:rPr>
          <w:rFonts w:hint="eastAsia"/>
        </w:rPr>
        <w:t>从业人员都已通过企业内部的岗前培训，并经考核合格取得相应的上岗资格。</w:t>
      </w:r>
    </w:p>
    <w:p w14:paraId="2DDFBB32">
      <w:pPr>
        <w:pStyle w:val="21"/>
        <w:adjustRightInd w:val="0"/>
        <w:snapToGrid w:val="0"/>
        <w:ind w:firstLine="560"/>
      </w:pPr>
      <w:r>
        <w:rPr>
          <w:rFonts w:hint="eastAsia"/>
        </w:rPr>
        <w:t>（</w:t>
      </w:r>
      <w:r>
        <w:rPr>
          <w:rFonts w:hint="eastAsia"/>
          <w:lang w:val="en-US" w:eastAsia="zh-CN"/>
        </w:rPr>
        <w:t>8</w:t>
      </w:r>
      <w:r>
        <w:rPr>
          <w:rFonts w:hint="eastAsia"/>
        </w:rPr>
        <w:t>）</w:t>
      </w:r>
      <w:r>
        <w:rPr>
          <w:rFonts w:hint="eastAsia"/>
          <w:lang w:eastAsia="zh-CN"/>
        </w:rPr>
        <w:t>朝阳金达钛业股份有限公司</w:t>
      </w:r>
      <w:r>
        <w:rPr>
          <w:rFonts w:hint="eastAsia"/>
        </w:rPr>
        <w:t>根据储存场所的危险有害因素特点设置了各类安全标志。</w:t>
      </w:r>
    </w:p>
    <w:p w14:paraId="7B1D3C83">
      <w:pPr>
        <w:pStyle w:val="21"/>
        <w:adjustRightInd w:val="0"/>
        <w:snapToGrid w:val="0"/>
        <w:ind w:firstLine="560"/>
        <w:rPr>
          <w:rFonts w:hint="eastAsia"/>
        </w:rPr>
      </w:pPr>
      <w:r>
        <w:rPr>
          <w:rFonts w:hint="eastAsia"/>
        </w:rPr>
        <w:t>（</w:t>
      </w:r>
      <w:r>
        <w:rPr>
          <w:rFonts w:hint="eastAsia"/>
          <w:lang w:val="en-US" w:eastAsia="zh-CN"/>
        </w:rPr>
        <w:t>9</w:t>
      </w:r>
      <w:r>
        <w:rPr>
          <w:rFonts w:hint="eastAsia"/>
        </w:rPr>
        <w:t>）</w:t>
      </w:r>
      <w:r>
        <w:rPr>
          <w:rFonts w:hint="eastAsia"/>
          <w:lang w:eastAsia="zh-CN"/>
        </w:rPr>
        <w:t>朝阳金达钛业股份有限公司</w:t>
      </w:r>
      <w:r>
        <w:rPr>
          <w:rFonts w:hint="eastAsia"/>
        </w:rPr>
        <w:t>配备了充足的应急救援器材、设备、物资。</w:t>
      </w:r>
    </w:p>
    <w:p w14:paraId="2D0C3412">
      <w:pPr>
        <w:pStyle w:val="21"/>
        <w:adjustRightInd w:val="0"/>
        <w:snapToGrid w:val="0"/>
        <w:ind w:firstLine="560"/>
        <w:rPr>
          <w:rFonts w:hint="default" w:eastAsia="宋体"/>
          <w:lang w:val="en-US" w:eastAsia="zh-CN"/>
        </w:rPr>
      </w:pPr>
      <w:r>
        <w:rPr>
          <w:rFonts w:hint="eastAsia"/>
          <w:lang w:val="en-US" w:eastAsia="zh-CN"/>
        </w:rPr>
        <w:t>综上所述，朝阳金达钛业股份有限公司1#液氯储罐及液氯气化区单元构成一级危险化学品重大危险源。该企业针对该危险化学品重大危险源的管理及安全措施符合《危险化学品重大危险源监督管理暂行规定》以及国家相关法律法规及标准规范的要求、符合安全生产的要求。</w:t>
      </w:r>
    </w:p>
    <w:p w14:paraId="4D720D09">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bookmarkStart w:id="49" w:name="_Toc21236"/>
      <w:bookmarkStart w:id="50" w:name="_Toc28547"/>
      <w:r>
        <w:rPr>
          <w:rFonts w:ascii="Times New Roman" w:hAnsi="Times New Roman" w:eastAsia="楷体" w:cs="Times New Roman"/>
          <w:b/>
          <w:bCs/>
          <w:kern w:val="2"/>
          <w:sz w:val="32"/>
          <w:szCs w:val="32"/>
          <w:lang w:val="en-US" w:eastAsia="zh-CN" w:bidi="ar-SA"/>
          <w14:ligatures w14:val="standardContextual"/>
        </w:rPr>
        <w:t>9.2</w:t>
      </w:r>
      <w:r>
        <w:rPr>
          <w:rFonts w:hint="eastAsia" w:ascii="Times New Roman" w:hAnsi="Times New Roman" w:eastAsia="楷体" w:cs="Times New Roman"/>
          <w:b/>
          <w:bCs/>
          <w:kern w:val="2"/>
          <w:sz w:val="32"/>
          <w:szCs w:val="32"/>
          <w:lang w:val="en-US" w:eastAsia="zh-CN" w:bidi="ar-SA"/>
          <w14:ligatures w14:val="standardContextual"/>
        </w:rPr>
        <w:t>符合性评价</w:t>
      </w:r>
      <w:bookmarkEnd w:id="49"/>
    </w:p>
    <w:p w14:paraId="5F5EC35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对朝阳金达钛业股份有限公司1#液氯库危险化学品重大危险源的安全管理措施、安全技术和监控措施，以及各作业区现场进行检查，共检查90项，1项不符合项，其余项均符合要求。</w:t>
      </w:r>
    </w:p>
    <w:p w14:paraId="70CE748F">
      <w:pPr>
        <w:adjustRightInd w:val="0"/>
        <w:snapToGrid w:val="0"/>
        <w:spacing w:before="120" w:beforeLines="50" w:after="120" w:afterLines="50" w:line="240" w:lineRule="auto"/>
        <w:jc w:val="center"/>
        <w:rPr>
          <w:rFonts w:hint="eastAsia" w:ascii="Times New Roman" w:hAnsi="Times New Roman" w:eastAsia="黑体" w:cs="Times New Roman"/>
          <w:color w:val="auto"/>
          <w:kern w:val="28"/>
          <w:sz w:val="24"/>
          <w:highlight w:val="none"/>
          <w14:ligatures w14:val="none"/>
        </w:rPr>
      </w:pPr>
      <w:r>
        <w:rPr>
          <w:rFonts w:hint="eastAsia" w:ascii="Times New Roman" w:hAnsi="Times New Roman" w:eastAsia="黑体" w:cs="Times New Roman"/>
          <w:color w:val="auto"/>
          <w:kern w:val="28"/>
          <w:sz w:val="24"/>
          <w:highlight w:val="none"/>
          <w14:ligatures w14:val="none"/>
        </w:rPr>
        <w:t>表9.</w:t>
      </w:r>
      <w:r>
        <w:rPr>
          <w:rFonts w:hint="eastAsia" w:ascii="Times New Roman" w:hAnsi="Times New Roman" w:eastAsia="黑体" w:cs="Times New Roman"/>
          <w:color w:val="auto"/>
          <w:kern w:val="28"/>
          <w:sz w:val="24"/>
          <w:highlight w:val="none"/>
          <w:lang w:val="en-US" w:eastAsia="zh-CN"/>
          <w14:ligatures w14:val="none"/>
        </w:rPr>
        <w:t>2-1</w:t>
      </w:r>
      <w:r>
        <w:rPr>
          <w:rFonts w:hint="eastAsia" w:ascii="Times New Roman" w:hAnsi="Times New Roman" w:eastAsia="黑体" w:cs="Times New Roman"/>
          <w:color w:val="auto"/>
          <w:kern w:val="28"/>
          <w:sz w:val="24"/>
          <w:highlight w:val="none"/>
          <w14:ligatures w14:val="none"/>
        </w:rPr>
        <w:t xml:space="preserve"> </w:t>
      </w:r>
      <w:r>
        <w:rPr>
          <w:rFonts w:hint="eastAsia" w:ascii="Times New Roman" w:hAnsi="Times New Roman" w:eastAsia="黑体" w:cs="Times New Roman"/>
          <w:color w:val="auto"/>
          <w:kern w:val="28"/>
          <w:sz w:val="24"/>
          <w:highlight w:val="none"/>
          <w:lang w:val="en-US" w:eastAsia="zh-CN"/>
          <w14:ligatures w14:val="none"/>
        </w:rPr>
        <w:t xml:space="preserve"> </w:t>
      </w:r>
      <w:r>
        <w:rPr>
          <w:rFonts w:hint="eastAsia" w:ascii="Times New Roman" w:hAnsi="Times New Roman" w:eastAsia="黑体" w:cs="Times New Roman"/>
          <w:color w:val="auto"/>
          <w:kern w:val="28"/>
          <w:sz w:val="24"/>
          <w:highlight w:val="none"/>
          <w14:ligatures w14:val="none"/>
        </w:rPr>
        <w:t>本项目存在的安全问题及整改情况</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1275"/>
        <w:gridCol w:w="1848"/>
        <w:gridCol w:w="1380"/>
        <w:gridCol w:w="3268"/>
        <w:gridCol w:w="724"/>
      </w:tblGrid>
      <w:tr w14:paraId="741C5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blHeader/>
          <w:jc w:val="center"/>
        </w:trPr>
        <w:tc>
          <w:tcPr>
            <w:tcW w:w="695" w:type="dxa"/>
            <w:noWrap w:val="0"/>
            <w:vAlign w:val="center"/>
          </w:tcPr>
          <w:p w14:paraId="2891CC4E">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序号</w:t>
            </w:r>
          </w:p>
        </w:tc>
        <w:tc>
          <w:tcPr>
            <w:tcW w:w="1307" w:type="dxa"/>
            <w:noWrap w:val="0"/>
            <w:vAlign w:val="center"/>
          </w:tcPr>
          <w:p w14:paraId="13FD63A1">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存在问题</w:t>
            </w:r>
          </w:p>
        </w:tc>
        <w:tc>
          <w:tcPr>
            <w:tcW w:w="1894" w:type="dxa"/>
            <w:noWrap w:val="0"/>
            <w:vAlign w:val="center"/>
          </w:tcPr>
          <w:p w14:paraId="0132B769">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整改依据</w:t>
            </w:r>
          </w:p>
        </w:tc>
        <w:tc>
          <w:tcPr>
            <w:tcW w:w="1414" w:type="dxa"/>
            <w:noWrap w:val="0"/>
            <w:vAlign w:val="center"/>
          </w:tcPr>
          <w:p w14:paraId="421F5F95">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整改建议</w:t>
            </w:r>
          </w:p>
        </w:tc>
        <w:tc>
          <w:tcPr>
            <w:tcW w:w="3348" w:type="dxa"/>
            <w:noWrap w:val="0"/>
            <w:vAlign w:val="center"/>
          </w:tcPr>
          <w:p w14:paraId="49AF3ED8">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整改情况</w:t>
            </w:r>
          </w:p>
        </w:tc>
        <w:tc>
          <w:tcPr>
            <w:tcW w:w="742" w:type="dxa"/>
            <w:noWrap w:val="0"/>
            <w:vAlign w:val="center"/>
          </w:tcPr>
          <w:p w14:paraId="6114B922">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结论</w:t>
            </w:r>
          </w:p>
        </w:tc>
      </w:tr>
      <w:tr w14:paraId="7A4D0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695" w:type="dxa"/>
            <w:noWrap w:val="0"/>
            <w:vAlign w:val="center"/>
          </w:tcPr>
          <w:p w14:paraId="304BA20C">
            <w:pPr>
              <w:numPr>
                <w:ilvl w:val="0"/>
                <w:numId w:val="13"/>
              </w:numPr>
              <w:tabs>
                <w:tab w:val="left" w:pos="1050"/>
              </w:tabs>
              <w:adjustRightInd w:val="0"/>
              <w:snapToGrid w:val="0"/>
              <w:jc w:val="center"/>
              <w:rPr>
                <w:rFonts w:hint="default" w:ascii="Times New Roman" w:hAnsi="Times New Roman" w:eastAsia="宋体" w:cs="Times New Roman"/>
                <w:b w:val="0"/>
                <w:bCs w:val="0"/>
                <w:sz w:val="21"/>
                <w:szCs w:val="21"/>
              </w:rPr>
            </w:pPr>
          </w:p>
        </w:tc>
        <w:tc>
          <w:tcPr>
            <w:tcW w:w="1307" w:type="dxa"/>
            <w:noWrap w:val="0"/>
            <w:vAlign w:val="center"/>
          </w:tcPr>
          <w:p w14:paraId="7D973C55">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14:textFill>
                  <w14:solidFill>
                    <w14:schemeClr w14:val="tx1"/>
                  </w14:solidFill>
                </w14:textFill>
              </w:rPr>
            </w:pPr>
            <w:r>
              <w:rPr>
                <w:rFonts w:hint="eastAsia" w:ascii="Times New Roman" w:hAnsi="Times New Roman" w:eastAsia="宋体"/>
                <w:sz w:val="21"/>
                <w:szCs w:val="28"/>
                <w:lang w:val="en-US" w:eastAsia="zh-CN"/>
              </w:rPr>
              <w:t>个别氯气探测器不具备声、光报警功能</w:t>
            </w:r>
          </w:p>
        </w:tc>
        <w:tc>
          <w:tcPr>
            <w:tcW w:w="1894" w:type="dxa"/>
            <w:noWrap w:val="0"/>
            <w:vAlign w:val="center"/>
          </w:tcPr>
          <w:p w14:paraId="56ACE442">
            <w:pPr>
              <w:spacing w:after="0" w:line="240" w:lineRule="auto"/>
              <w:jc w:val="center"/>
              <w:rPr>
                <w:rFonts w:hint="eastAsia" w:ascii="Times New Roman" w:hAnsi="Times New Roman" w:eastAsia="宋体"/>
                <w:sz w:val="21"/>
                <w:szCs w:val="28"/>
                <w:lang w:val="en-US" w:eastAsia="zh-CN"/>
              </w:rPr>
            </w:pPr>
            <w:r>
              <w:rPr>
                <w:rFonts w:hint="eastAsia" w:ascii="Times New Roman" w:hAnsi="Times New Roman" w:eastAsia="宋体"/>
                <w:sz w:val="21"/>
                <w:szCs w:val="28"/>
                <w:lang w:val="en-US" w:eastAsia="zh-CN"/>
              </w:rPr>
              <w:t>《石油化工可燃气体和有毒气体检测报警设计标准》</w:t>
            </w:r>
          </w:p>
          <w:p w14:paraId="40D58F7E">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14:textFill>
                  <w14:solidFill>
                    <w14:schemeClr w14:val="tx1"/>
                  </w14:solidFill>
                </w14:textFill>
              </w:rPr>
            </w:pPr>
            <w:r>
              <w:rPr>
                <w:rFonts w:hint="eastAsia" w:ascii="Times New Roman" w:hAnsi="Times New Roman" w:eastAsia="宋体"/>
                <w:sz w:val="21"/>
                <w:szCs w:val="28"/>
                <w:lang w:val="en-US" w:eastAsia="zh-CN"/>
              </w:rPr>
              <w:t>GB/T 50493-2019第5.3.3条</w:t>
            </w:r>
          </w:p>
        </w:tc>
        <w:tc>
          <w:tcPr>
            <w:tcW w:w="1414" w:type="dxa"/>
            <w:noWrap w:val="0"/>
            <w:vAlign w:val="center"/>
          </w:tcPr>
          <w:p w14:paraId="71208A24">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sz w:val="21"/>
                <w:szCs w:val="28"/>
                <w:lang w:val="en-US" w:eastAsia="zh-CN"/>
              </w:rPr>
              <w:t>氯气探测器应具备声、光报警功能</w:t>
            </w:r>
          </w:p>
        </w:tc>
        <w:tc>
          <w:tcPr>
            <w:tcW w:w="3348" w:type="dxa"/>
            <w:noWrap w:val="0"/>
            <w:vAlign w:val="center"/>
          </w:tcPr>
          <w:p w14:paraId="2D3C4C92">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lang w:eastAsia="zh-CN"/>
                <w14:textFill>
                  <w14:solidFill>
                    <w14:schemeClr w14:val="tx1"/>
                  </w14:solidFill>
                </w14:textFill>
              </w:rPr>
            </w:pPr>
          </w:p>
        </w:tc>
        <w:tc>
          <w:tcPr>
            <w:tcW w:w="742" w:type="dxa"/>
            <w:noWrap w:val="0"/>
            <w:vAlign w:val="center"/>
          </w:tcPr>
          <w:p w14:paraId="1A0B3405">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lang w:val="en-US" w:eastAsia="zh-CN"/>
                <w14:textFill>
                  <w14:solidFill>
                    <w14:schemeClr w14:val="tx1"/>
                  </w14:solidFill>
                </w14:textFill>
              </w:rPr>
              <w:t>符合</w:t>
            </w:r>
          </w:p>
        </w:tc>
      </w:tr>
    </w:tbl>
    <w:p w14:paraId="66E4B88F">
      <w:pPr>
        <w:spacing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以上现场问题已完成整改，符合规范要求。</w:t>
      </w:r>
    </w:p>
    <w:p w14:paraId="544FAFDC">
      <w:pPr>
        <w:spacing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p>
    <w:p w14:paraId="272993E6">
      <w:pPr>
        <w:spacing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p>
    <w:p w14:paraId="2BA75524">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r>
        <w:rPr>
          <w:rFonts w:eastAsia="楷体" w:cs="Times New Roman"/>
          <w:b/>
          <w:bCs/>
          <w:sz w:val="32"/>
          <w:szCs w:val="32"/>
        </w:rPr>
        <w:t>9.</w:t>
      </w:r>
      <w:r>
        <w:rPr>
          <w:rFonts w:hint="eastAsia" w:eastAsia="楷体" w:cs="Times New Roman"/>
          <w:b/>
          <w:bCs/>
          <w:sz w:val="32"/>
          <w:szCs w:val="32"/>
          <w:lang w:val="en-US" w:eastAsia="zh-CN"/>
        </w:rPr>
        <w:t>3</w:t>
      </w:r>
      <w:r>
        <w:rPr>
          <w:rFonts w:hint="eastAsia" w:ascii="楷体" w:hAnsi="楷体" w:eastAsia="楷体"/>
          <w:b/>
          <w:bCs/>
          <w:sz w:val="32"/>
          <w:szCs w:val="32"/>
        </w:rPr>
        <w:t>建议</w:t>
      </w:r>
      <w:bookmarkEnd w:id="50"/>
    </w:p>
    <w:p w14:paraId="4D7A211E">
      <w:pPr>
        <w:pStyle w:val="21"/>
        <w:adjustRightInd w:val="0"/>
        <w:snapToGrid w:val="0"/>
        <w:ind w:firstLine="560"/>
      </w:pPr>
      <w:r>
        <w:rPr>
          <w:rFonts w:hint="eastAsia"/>
        </w:rPr>
        <w:t>（1）按照国家法律、法规、标准等不断完善安全生产责任制、管理制度、操作规程及应急预案。当国家法律、法规、标准等对安全管理及安全设施有新的要求时，应及时完善，并根据对危险化学品重大危险源的检查情况，进行可持续的改进。</w:t>
      </w:r>
    </w:p>
    <w:p w14:paraId="2003B9A3">
      <w:pPr>
        <w:pStyle w:val="21"/>
        <w:adjustRightInd w:val="0"/>
        <w:snapToGrid w:val="0"/>
        <w:ind w:firstLine="560"/>
      </w:pPr>
      <w:r>
        <w:rPr>
          <w:rFonts w:hint="eastAsia"/>
        </w:rPr>
        <w:t>（2）根据《生产安全事故应急预案管理办法》第三十六条：有下列情形之一的，应急预案应当及时修订并归档：</w:t>
      </w:r>
      <w:r>
        <w:rPr>
          <w:rFonts w:hint="eastAsia" w:ascii="宋体" w:hAnsi="宋体"/>
        </w:rPr>
        <w:t>①</w:t>
      </w:r>
      <w:r>
        <w:rPr>
          <w:rFonts w:hint="eastAsia"/>
        </w:rPr>
        <w:t>依据的法律、法规、规章、标准及上位预案中的有关规定发生重大变化的；</w:t>
      </w:r>
      <w:r>
        <w:rPr>
          <w:rFonts w:hint="eastAsia" w:ascii="宋体" w:hAnsi="宋体"/>
        </w:rPr>
        <w:t>②</w:t>
      </w:r>
      <w:r>
        <w:rPr>
          <w:rFonts w:hint="eastAsia"/>
        </w:rPr>
        <w:t>应急指挥机构及其职责发生调整的；</w:t>
      </w:r>
      <w:r>
        <w:rPr>
          <w:rFonts w:hint="eastAsia" w:ascii="宋体" w:hAnsi="宋体"/>
        </w:rPr>
        <w:t>③</w:t>
      </w:r>
      <w:r>
        <w:rPr>
          <w:rFonts w:hint="eastAsia"/>
        </w:rPr>
        <w:t>面临的事故风险发生重大变化的；</w:t>
      </w:r>
      <w:r>
        <w:rPr>
          <w:rFonts w:hint="eastAsia" w:ascii="宋体" w:hAnsi="宋体"/>
        </w:rPr>
        <w:t>④</w:t>
      </w:r>
      <w:r>
        <w:rPr>
          <w:rFonts w:hint="eastAsia"/>
        </w:rPr>
        <w:t>重要应急资源发生重大变化的；</w:t>
      </w:r>
      <w:r>
        <w:rPr>
          <w:rFonts w:hint="eastAsia" w:ascii="宋体" w:hAnsi="宋体"/>
        </w:rPr>
        <w:t>⑤</w:t>
      </w:r>
      <w:r>
        <w:rPr>
          <w:rFonts w:hint="eastAsia"/>
        </w:rPr>
        <w:t>预案中的其他重要信息发生变化的；</w:t>
      </w:r>
      <w:r>
        <w:rPr>
          <w:rFonts w:hint="eastAsia" w:ascii="宋体" w:hAnsi="宋体"/>
        </w:rPr>
        <w:t>⑥</w:t>
      </w:r>
      <w:r>
        <w:rPr>
          <w:rFonts w:hint="eastAsia"/>
        </w:rPr>
        <w:t>在应急演练和事故应急救援中发现问题需要修订的；</w:t>
      </w:r>
      <w:r>
        <w:rPr>
          <w:rFonts w:hint="eastAsia" w:ascii="宋体" w:hAnsi="宋体"/>
        </w:rPr>
        <w:t>⑦</w:t>
      </w:r>
      <w:r>
        <w:rPr>
          <w:rFonts w:hint="eastAsia"/>
        </w:rPr>
        <w:t>编制单位认为应当修订的其他情况。</w:t>
      </w:r>
    </w:p>
    <w:p w14:paraId="7941B734">
      <w:pPr>
        <w:pStyle w:val="21"/>
        <w:adjustRightInd w:val="0"/>
        <w:snapToGrid w:val="0"/>
        <w:ind w:firstLine="560"/>
      </w:pPr>
      <w:r>
        <w:rPr>
          <w:rFonts w:hint="eastAsia"/>
        </w:rPr>
        <w:t>（3）根据《危险化学品重大危险源监督管理暂行规定》第十三条，危险化学品单位应当根据构成重大危险源的危险化学品种类、数量、生产、使用工艺（方式）或者相关设备、设施等实际情况，按照下列要求建立健全安全监测监控体系，完善控制措施：重大危险源配备温度、液位等信息的不间断采集和监测系统以及可燃气体泄漏检测报警装置，并具备信息远传、连续记录、事故预警、信息存储等功能。</w:t>
      </w:r>
    </w:p>
    <w:p w14:paraId="49F5766F">
      <w:pPr>
        <w:pStyle w:val="21"/>
        <w:adjustRightInd w:val="0"/>
        <w:snapToGrid w:val="0"/>
        <w:ind w:firstLine="560"/>
      </w:pPr>
      <w:r>
        <w:rPr>
          <w:rFonts w:hint="eastAsia"/>
        </w:rPr>
        <w:t>（4）根据《危险化学品重大危险源监督管理暂行规定》第十五条，危险化学品单位应当按照国家有关规定，定期对重大危险源的安全设施和安全监测监控系统进行检测、检验，并进行经常性维护、保养，保证重大危险源的安全设施和安全监测监控系统有效、可靠运行。维护、保养、检测应当作好记录，并由有关人员签字。</w:t>
      </w:r>
    </w:p>
    <w:p w14:paraId="68CD6074">
      <w:pPr>
        <w:pStyle w:val="21"/>
        <w:adjustRightInd w:val="0"/>
        <w:snapToGrid w:val="0"/>
        <w:ind w:firstLine="560"/>
      </w:pPr>
      <w:r>
        <w:rPr>
          <w:rFonts w:hint="eastAsia"/>
        </w:rPr>
        <w:t>（5）根据《危险化学品重大危险源监督管理暂行规定》第十六条，危险化学品单位应当明确重大危险源中关键装置、重点部位的责任人或者责任机构，并对重大危险源的安全生产状况进行定期检查，及时采取措施消除事故隐患。事故隐患难以立即排除的，应当及时制定治理方案，落实整改措施、责任、资金、时限和预案。</w:t>
      </w:r>
    </w:p>
    <w:p w14:paraId="2871A191">
      <w:pPr>
        <w:pStyle w:val="21"/>
        <w:adjustRightInd w:val="0"/>
        <w:snapToGrid w:val="0"/>
        <w:ind w:firstLine="560"/>
      </w:pPr>
      <w:r>
        <w:rPr>
          <w:rFonts w:hint="eastAsia"/>
        </w:rPr>
        <w:t>（6）根据《危险化学品重大危险源监督管理暂行规定》第十九条，危险化学品单位应当将重大危险源可能发生的事故后果和应急措施等信息，以适当方式告知可能受影响的单位、区域及人员。</w:t>
      </w:r>
    </w:p>
    <w:p w14:paraId="6907783E">
      <w:pPr>
        <w:pStyle w:val="21"/>
        <w:adjustRightInd w:val="0"/>
        <w:snapToGrid w:val="0"/>
        <w:ind w:firstLine="560"/>
      </w:pPr>
      <w:r>
        <w:rPr>
          <w:rFonts w:hint="eastAsia"/>
        </w:rPr>
        <w:t>（7）根据《危险化学品重大危险源监督管理暂行规定》第二十三条，在编制完成重大危险源安全评估报告后15日内，应当填写重大危险源备案申请表，连同危险化学品重大危险源档案材料报送所在地县级人民政府应急管理部门备案。</w:t>
      </w:r>
    </w:p>
    <w:p w14:paraId="19A1A1EE">
      <w:pPr>
        <w:pStyle w:val="21"/>
        <w:adjustRightInd w:val="0"/>
        <w:snapToGrid w:val="0"/>
        <w:ind w:firstLine="560"/>
      </w:pPr>
      <w:r>
        <w:rPr>
          <w:rFonts w:hint="eastAsia"/>
        </w:rPr>
        <w:t>（8）根据《危险化学品重大危险源监督管理暂行规定》第二十条，危险化学品单位应当依法制定重大危险源事故应急预案，建立应急救援组织或者配备应急救援人员，配备必要的防护装备及应急救援器材、设备、物资，并保障其完好和方便使用；配合地方人民政府安全生产监督管理部门制定所在地区涉及本单位的危险化学品事故应急预案。</w:t>
      </w:r>
    </w:p>
    <w:p w14:paraId="576D32FF">
      <w:pPr>
        <w:pStyle w:val="21"/>
        <w:adjustRightInd w:val="0"/>
        <w:snapToGrid w:val="0"/>
        <w:ind w:firstLine="560"/>
        <w:rPr>
          <w:rFonts w:hint="eastAsia"/>
        </w:rPr>
      </w:pPr>
      <w:r>
        <w:rPr>
          <w:rFonts w:hint="eastAsia"/>
        </w:rPr>
        <w:t>（9）根据《危险化学品企业重大危险源安全包保责任制办法（试行）》第九条，该企业应当持续建立重大危险源主要负责人、技术负责人、操作负责人的安全包保履职记录，做到可查询、可追溯，企业的安全管理机构应当持续对包保责任人履职情况进行评估，纳入企业安全生产责任制考核与绩效管理。</w:t>
      </w:r>
    </w:p>
    <w:p w14:paraId="09AC3A27">
      <w:pPr>
        <w:pStyle w:val="21"/>
        <w:adjustRightInd w:val="0"/>
        <w:snapToGrid w:val="0"/>
        <w:ind w:firstLine="560"/>
        <w:rPr>
          <w:rFonts w:hint="eastAsia" w:eastAsia="宋体"/>
          <w:lang w:eastAsia="zh-CN"/>
        </w:rPr>
      </w:pPr>
      <w:r>
        <w:rPr>
          <w:rFonts w:hint="eastAsia"/>
          <w:lang w:eastAsia="zh-CN"/>
        </w:rPr>
        <w:t>（</w:t>
      </w:r>
      <w:r>
        <w:rPr>
          <w:rFonts w:hint="eastAsia"/>
          <w:lang w:val="en-US" w:eastAsia="zh-CN"/>
        </w:rPr>
        <w:t>10</w:t>
      </w:r>
      <w:r>
        <w:rPr>
          <w:rFonts w:hint="eastAsia"/>
          <w:lang w:eastAsia="zh-CN"/>
        </w:rPr>
        <w:t>）建议加强压力容器、压力管道等特种设备的维护，定期监测关键设备的运行状况，采取适用的方法加强疲劳损坏部位的检测、监控；做好压力容器、安全阀、压力表等安全附件、有毒气体检测报警仪等强制检测设备的定期校对、检验工作，确保其完好，正常投用。建立健全压力容器、压力管道、关键设备等技术档案，对存在问题进行跟踪、分析，从日常管理上做到隐患及时发现，问题及时整改，全面提高装置的运行管理水平。</w:t>
      </w:r>
    </w:p>
    <w:p w14:paraId="13838E33">
      <w:pPr>
        <w:pStyle w:val="21"/>
        <w:adjustRightInd w:val="0"/>
        <w:snapToGrid w:val="0"/>
        <w:ind w:firstLine="560"/>
        <w:rPr>
          <w:rFonts w:hint="default" w:eastAsia="宋体"/>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lang w:val="en-US" w:eastAsia="zh-CN"/>
        </w:rPr>
        <w:t>（11）</w:t>
      </w:r>
      <w:r>
        <w:rPr>
          <w:rFonts w:hint="eastAsia"/>
        </w:rPr>
        <w:t>根据《危险化学品重大危险源安全监控技术规范》（GB 17681-2024）</w:t>
      </w:r>
      <w:r>
        <w:rPr>
          <w:rFonts w:hint="eastAsia"/>
          <w:lang w:val="en-US" w:eastAsia="zh-CN"/>
        </w:rPr>
        <w:t>6.4.2.2，该企业构成危险化学品重大危险源的生产单元、储存单元（仓库除外）应根据SIL评估结果确定是否配备SIS，当SIL定级报告确定该生产单元、储存单元（仓库除外）具有SIL1及以上的SIF时应配备符合SIL要求的SIS。</w:t>
      </w:r>
    </w:p>
    <w:p w14:paraId="4151EB62">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51" w:name="_Toc23278"/>
      <w:r>
        <w:rPr>
          <w:rFonts w:hint="eastAsia" w:ascii="黑体" w:hAnsi="黑体" w:eastAsia="黑体"/>
          <w:b/>
          <w:bCs/>
          <w:sz w:val="32"/>
          <w:szCs w:val="32"/>
        </w:rPr>
        <w:t>附件</w:t>
      </w:r>
      <w:bookmarkEnd w:id="51"/>
    </w:p>
    <w:p w14:paraId="76D0FFC9">
      <w:pPr>
        <w:pStyle w:val="21"/>
        <w:numPr>
          <w:ilvl w:val="0"/>
          <w:numId w:val="14"/>
        </w:numPr>
        <w:adjustRightInd w:val="0"/>
        <w:snapToGrid w:val="0"/>
        <w:ind w:firstLineChars="0"/>
      </w:pPr>
      <w:r>
        <w:rPr>
          <w:rFonts w:hint="eastAsia"/>
        </w:rPr>
        <w:t>营业执照</w:t>
      </w:r>
    </w:p>
    <w:p w14:paraId="6967D68A">
      <w:pPr>
        <w:pStyle w:val="21"/>
        <w:numPr>
          <w:ilvl w:val="0"/>
          <w:numId w:val="14"/>
        </w:numPr>
        <w:adjustRightInd w:val="0"/>
        <w:snapToGrid w:val="0"/>
        <w:ind w:firstLineChars="0"/>
      </w:pPr>
      <w:r>
        <w:rPr>
          <w:rFonts w:hint="eastAsia"/>
        </w:rPr>
        <w:t>不动产权证明</w:t>
      </w:r>
    </w:p>
    <w:p w14:paraId="3C2B68AF">
      <w:pPr>
        <w:pStyle w:val="21"/>
        <w:numPr>
          <w:ilvl w:val="0"/>
          <w:numId w:val="14"/>
        </w:numPr>
        <w:adjustRightInd w:val="0"/>
        <w:snapToGrid w:val="0"/>
        <w:ind w:firstLineChars="0"/>
      </w:pPr>
      <w:r>
        <w:rPr>
          <w:rFonts w:hint="eastAsia"/>
        </w:rPr>
        <w:t>安全管理机构、主要负责人、安全管理人员任命文件</w:t>
      </w:r>
    </w:p>
    <w:p w14:paraId="06061EB7">
      <w:pPr>
        <w:pStyle w:val="21"/>
        <w:numPr>
          <w:ilvl w:val="0"/>
          <w:numId w:val="14"/>
        </w:numPr>
        <w:adjustRightInd w:val="0"/>
        <w:snapToGrid w:val="0"/>
        <w:ind w:firstLineChars="0"/>
      </w:pPr>
      <w:r>
        <w:rPr>
          <w:rFonts w:hint="eastAsia"/>
        </w:rPr>
        <w:t>主要负责人、安全管理人员任命文件</w:t>
      </w:r>
    </w:p>
    <w:p w14:paraId="65B61B24">
      <w:pPr>
        <w:pStyle w:val="21"/>
        <w:numPr>
          <w:ilvl w:val="0"/>
          <w:numId w:val="14"/>
        </w:numPr>
        <w:adjustRightInd w:val="0"/>
        <w:snapToGrid w:val="0"/>
        <w:ind w:firstLineChars="0"/>
      </w:pPr>
      <w:r>
        <w:rPr>
          <w:rFonts w:hint="eastAsia"/>
        </w:rPr>
        <w:t>主要负责人、安全管理人员证书</w:t>
      </w:r>
    </w:p>
    <w:p w14:paraId="2689332C">
      <w:pPr>
        <w:pStyle w:val="21"/>
        <w:numPr>
          <w:ilvl w:val="0"/>
          <w:numId w:val="14"/>
        </w:numPr>
        <w:adjustRightInd w:val="0"/>
        <w:snapToGrid w:val="0"/>
        <w:ind w:firstLineChars="0"/>
      </w:pPr>
      <w:r>
        <w:rPr>
          <w:rFonts w:hint="eastAsia"/>
        </w:rPr>
        <w:t>主要负责人、安全管理人员学历证明</w:t>
      </w:r>
    </w:p>
    <w:p w14:paraId="57201676">
      <w:pPr>
        <w:pStyle w:val="21"/>
        <w:numPr>
          <w:ilvl w:val="0"/>
          <w:numId w:val="14"/>
        </w:numPr>
        <w:adjustRightInd w:val="0"/>
        <w:snapToGrid w:val="0"/>
        <w:ind w:firstLineChars="0"/>
      </w:pPr>
      <w:r>
        <w:rPr>
          <w:rFonts w:hint="eastAsia"/>
        </w:rPr>
        <w:t>注册安全工程师证</w:t>
      </w:r>
    </w:p>
    <w:p w14:paraId="2B3D8B10">
      <w:pPr>
        <w:pStyle w:val="21"/>
        <w:numPr>
          <w:ilvl w:val="0"/>
          <w:numId w:val="14"/>
        </w:numPr>
        <w:adjustRightInd w:val="0"/>
        <w:snapToGrid w:val="0"/>
        <w:ind w:firstLineChars="0"/>
        <w:rPr>
          <w:highlight w:val="none"/>
        </w:rPr>
      </w:pPr>
      <w:r>
        <w:rPr>
          <w:rFonts w:hint="eastAsia"/>
          <w:highlight w:val="none"/>
        </w:rPr>
        <w:t>特种作业人员资格证书及台账</w:t>
      </w:r>
    </w:p>
    <w:p w14:paraId="397D13EE">
      <w:pPr>
        <w:pStyle w:val="21"/>
        <w:numPr>
          <w:ilvl w:val="0"/>
          <w:numId w:val="14"/>
        </w:numPr>
        <w:adjustRightInd w:val="0"/>
        <w:snapToGrid w:val="0"/>
        <w:ind w:firstLineChars="0"/>
        <w:rPr>
          <w:highlight w:val="none"/>
        </w:rPr>
      </w:pPr>
      <w:r>
        <w:rPr>
          <w:rFonts w:hint="eastAsia"/>
          <w:highlight w:val="none"/>
          <w:lang w:val="en-US" w:eastAsia="zh-CN"/>
        </w:rPr>
        <w:t>气体检测器台账及检测报告</w:t>
      </w:r>
    </w:p>
    <w:p w14:paraId="0A09D566">
      <w:pPr>
        <w:pStyle w:val="21"/>
        <w:numPr>
          <w:ilvl w:val="0"/>
          <w:numId w:val="14"/>
        </w:numPr>
        <w:adjustRightInd w:val="0"/>
        <w:snapToGrid w:val="0"/>
        <w:ind w:firstLineChars="0"/>
        <w:rPr>
          <w:highlight w:val="none"/>
        </w:rPr>
      </w:pPr>
      <w:r>
        <w:rPr>
          <w:rFonts w:hint="eastAsia"/>
          <w:highlight w:val="none"/>
          <w:lang w:val="en-US" w:eastAsia="zh-CN"/>
        </w:rPr>
        <w:t>压力表台账及检测报告</w:t>
      </w:r>
    </w:p>
    <w:p w14:paraId="6A29ED14">
      <w:pPr>
        <w:pStyle w:val="21"/>
        <w:numPr>
          <w:ilvl w:val="0"/>
          <w:numId w:val="14"/>
        </w:numPr>
        <w:adjustRightInd w:val="0"/>
        <w:snapToGrid w:val="0"/>
        <w:ind w:firstLineChars="0"/>
        <w:rPr>
          <w:highlight w:val="none"/>
        </w:rPr>
      </w:pPr>
      <w:r>
        <w:rPr>
          <w:rFonts w:hint="eastAsia"/>
          <w:highlight w:val="none"/>
          <w:lang w:val="en-US" w:eastAsia="zh-CN"/>
        </w:rPr>
        <w:t>安全阀台账及检测报告</w:t>
      </w:r>
    </w:p>
    <w:p w14:paraId="64AC500C">
      <w:pPr>
        <w:pStyle w:val="21"/>
        <w:numPr>
          <w:ilvl w:val="0"/>
          <w:numId w:val="14"/>
        </w:numPr>
        <w:adjustRightInd w:val="0"/>
        <w:snapToGrid w:val="0"/>
        <w:ind w:firstLineChars="0"/>
        <w:rPr>
          <w:highlight w:val="none"/>
        </w:rPr>
      </w:pPr>
      <w:r>
        <w:rPr>
          <w:rFonts w:hint="eastAsia"/>
          <w:highlight w:val="none"/>
          <w:lang w:val="en-US" w:eastAsia="zh-CN"/>
        </w:rPr>
        <w:t>特种设备台账及检测报告</w:t>
      </w:r>
    </w:p>
    <w:p w14:paraId="26D79AA8">
      <w:pPr>
        <w:pStyle w:val="21"/>
        <w:numPr>
          <w:ilvl w:val="0"/>
          <w:numId w:val="14"/>
        </w:numPr>
        <w:adjustRightInd w:val="0"/>
        <w:snapToGrid w:val="0"/>
        <w:ind w:firstLineChars="0"/>
        <w:rPr>
          <w:highlight w:val="none"/>
        </w:rPr>
      </w:pPr>
      <w:r>
        <w:rPr>
          <w:rFonts w:hint="eastAsia"/>
          <w:highlight w:val="none"/>
        </w:rPr>
        <w:t>雷电防护装置检测报告</w:t>
      </w:r>
    </w:p>
    <w:p w14:paraId="19C1B58F">
      <w:pPr>
        <w:pStyle w:val="21"/>
        <w:numPr>
          <w:ilvl w:val="0"/>
          <w:numId w:val="14"/>
        </w:numPr>
        <w:adjustRightInd w:val="0"/>
        <w:snapToGrid w:val="0"/>
        <w:ind w:firstLineChars="0"/>
        <w:rPr>
          <w:highlight w:val="none"/>
        </w:rPr>
      </w:pPr>
      <w:r>
        <w:rPr>
          <w:rFonts w:hint="eastAsia"/>
          <w:highlight w:val="none"/>
        </w:rPr>
        <w:t>安全管理责任制、安全管理制度及安全操作规程清单</w:t>
      </w:r>
    </w:p>
    <w:p w14:paraId="7F7B985F">
      <w:pPr>
        <w:pStyle w:val="21"/>
        <w:numPr>
          <w:ilvl w:val="0"/>
          <w:numId w:val="14"/>
        </w:numPr>
        <w:adjustRightInd w:val="0"/>
        <w:snapToGrid w:val="0"/>
        <w:ind w:firstLineChars="0"/>
        <w:rPr>
          <w:highlight w:val="none"/>
        </w:rPr>
      </w:pPr>
      <w:r>
        <w:rPr>
          <w:rFonts w:hint="eastAsia"/>
          <w:highlight w:val="none"/>
        </w:rPr>
        <w:t>应急预案备案登记表</w:t>
      </w:r>
    </w:p>
    <w:p w14:paraId="727E537E">
      <w:pPr>
        <w:pStyle w:val="21"/>
        <w:numPr>
          <w:ilvl w:val="0"/>
          <w:numId w:val="14"/>
        </w:numPr>
        <w:adjustRightInd w:val="0"/>
        <w:snapToGrid w:val="0"/>
        <w:ind w:firstLineChars="0"/>
        <w:rPr>
          <w:highlight w:val="none"/>
        </w:rPr>
      </w:pPr>
      <w:r>
        <w:rPr>
          <w:rFonts w:hint="eastAsia"/>
          <w:highlight w:val="none"/>
          <w:lang w:val="en-US" w:eastAsia="zh-CN"/>
        </w:rPr>
        <w:t>重大危险源备案表</w:t>
      </w:r>
    </w:p>
    <w:p w14:paraId="6E0AC614">
      <w:pPr>
        <w:pStyle w:val="21"/>
        <w:numPr>
          <w:ilvl w:val="0"/>
          <w:numId w:val="14"/>
        </w:numPr>
        <w:adjustRightInd w:val="0"/>
        <w:snapToGrid w:val="0"/>
        <w:ind w:firstLineChars="0"/>
        <w:rPr>
          <w:highlight w:val="none"/>
        </w:rPr>
      </w:pPr>
      <w:r>
        <w:rPr>
          <w:rFonts w:hint="eastAsia"/>
          <w:highlight w:val="none"/>
        </w:rPr>
        <w:t>应急物资配备清单</w:t>
      </w:r>
    </w:p>
    <w:p w14:paraId="61677488">
      <w:pPr>
        <w:pStyle w:val="21"/>
        <w:numPr>
          <w:ilvl w:val="0"/>
          <w:numId w:val="14"/>
        </w:numPr>
        <w:adjustRightInd w:val="0"/>
        <w:snapToGrid w:val="0"/>
        <w:ind w:firstLineChars="0"/>
        <w:rPr>
          <w:highlight w:val="none"/>
        </w:rPr>
      </w:pPr>
      <w:r>
        <w:rPr>
          <w:rFonts w:hint="eastAsia"/>
          <w:highlight w:val="none"/>
        </w:rPr>
        <w:t>应急演练记录及照片</w:t>
      </w:r>
    </w:p>
    <w:p w14:paraId="57FFBFA5">
      <w:pPr>
        <w:pStyle w:val="21"/>
        <w:numPr>
          <w:ilvl w:val="0"/>
          <w:numId w:val="14"/>
        </w:numPr>
        <w:adjustRightInd w:val="0"/>
        <w:snapToGrid w:val="0"/>
        <w:ind w:firstLineChars="0"/>
        <w:rPr>
          <w:highlight w:val="none"/>
        </w:rPr>
      </w:pPr>
      <w:r>
        <w:rPr>
          <w:rFonts w:hint="eastAsia"/>
          <w:highlight w:val="none"/>
        </w:rPr>
        <w:t>工伤保险</w:t>
      </w:r>
    </w:p>
    <w:p w14:paraId="35694CF9">
      <w:pPr>
        <w:pStyle w:val="21"/>
        <w:numPr>
          <w:ilvl w:val="0"/>
          <w:numId w:val="14"/>
        </w:numPr>
        <w:adjustRightInd w:val="0"/>
        <w:snapToGrid w:val="0"/>
        <w:ind w:firstLineChars="0"/>
      </w:pPr>
      <w:r>
        <w:rPr>
          <w:rFonts w:hint="eastAsia"/>
          <w:highlight w:val="none"/>
        </w:rPr>
        <w:t>安全生产责任</w:t>
      </w:r>
      <w:r>
        <w:rPr>
          <w:rFonts w:hint="eastAsia"/>
        </w:rPr>
        <w:t>险回执单</w:t>
      </w:r>
    </w:p>
    <w:p w14:paraId="509B644F">
      <w:pPr>
        <w:pStyle w:val="21"/>
        <w:numPr>
          <w:ilvl w:val="0"/>
          <w:numId w:val="14"/>
        </w:numPr>
        <w:adjustRightInd w:val="0"/>
        <w:snapToGrid w:val="0"/>
        <w:ind w:firstLineChars="0"/>
      </w:pPr>
      <w:r>
        <w:rPr>
          <w:rFonts w:hint="eastAsia"/>
          <w:lang w:val="en-US" w:eastAsia="zh-CN"/>
        </w:rPr>
        <w:t>整改确认报告</w:t>
      </w:r>
    </w:p>
    <w:p w14:paraId="227B3F6D">
      <w:pPr>
        <w:pStyle w:val="21"/>
        <w:numPr>
          <w:ilvl w:val="0"/>
          <w:numId w:val="0"/>
        </w:numPr>
        <w:adjustRightInd w:val="0"/>
        <w:snapToGrid w:val="0"/>
        <w:ind w:left="560" w:leftChars="0"/>
      </w:pPr>
    </w:p>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0D"/>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4335A">
    <w:pPr>
      <w:pStyle w:val="9"/>
      <w:keepNext w:val="0"/>
      <w:keepLines w:val="0"/>
      <w:pageBreakBefore w:val="0"/>
      <w:widowControl w:val="0"/>
      <w:pBdr>
        <w:top w:val="single" w:color="auto" w:sz="4" w:space="0"/>
      </w:pBdr>
      <w:kinsoku/>
      <w:wordWrap/>
      <w:overflowPunct/>
      <w:topLinePunct w:val="0"/>
      <w:bidi w:val="0"/>
      <w:adjustRightInd w:val="0"/>
      <w:snapToGrid w:val="0"/>
      <w:spacing w:after="0" w:line="240" w:lineRule="auto"/>
      <w:jc w:val="both"/>
      <w:textAlignment w:val="auto"/>
      <w:rPr>
        <w:rFonts w:hint="eastAsia" w:ascii="楷体_GB2312" w:eastAsia="楷体_GB2312"/>
      </w:rPr>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95" name="文本框 19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7C2C59">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mq1bc0AgAAZQQAAA4AAABkcnMvZTJvRG9jLnhtbK1UzY7TMBC+I/EO&#10;lu80adGu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95cUWKYRslP37+d&#10;fvw6/fxK0iEkalyYIfLBITa2b22L8OE84DAxbyuv0xecCPwQ+HgRWLSR8HRpOplOc7g4fMMG+Nnj&#10;dedDfCesJskoqEcFO2HZYRNiHzqEpGzGrqVSXRWVIU1Br19f5d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pqtW3NAIAAGUEAAAOAAAAAAAAAAEAIAAAAB8BAABkcnMvZTJvRG9jLnhtbFBL&#10;BQYAAAAABgAGAFkBAADFBQAAAAA=&#10;">
              <v:fill on="f" focussize="0,0"/>
              <v:stroke on="f" weight="0.5pt"/>
              <v:imagedata o:title=""/>
              <o:lock v:ext="edit" aspectratio="f"/>
              <v:textbox inset="0mm,0mm,0mm,0mm" style="mso-fit-shape-to-text:t;">
                <w:txbxContent>
                  <w:p w14:paraId="237C2C59">
                    <w:pPr>
                      <w:pStyle w:val="9"/>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drawing>
        <wp:inline distT="0" distB="0" distL="114300" distR="114300">
          <wp:extent cx="361315" cy="136525"/>
          <wp:effectExtent l="0" t="0" r="0" b="15875"/>
          <wp:docPr id="19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3"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D5164">
    <w:pPr>
      <w:pStyle w:val="9"/>
      <w:pBdr>
        <w:top w:val="single" w:color="auto" w:sz="4" w:space="1"/>
      </w:pBdr>
      <w:rPr>
        <w:rFonts w:hint="eastAsia"/>
      </w:rPr>
    </w:pPr>
    <w:r>
      <w:rPr>
        <w:sz w:val="21"/>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97" name="文本框 1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1AED53">
                          <w:pPr>
                            <w:pStyle w:val="9"/>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7UmVU0AgAAZQQAAA4AAABkcnMvZTJvRG9jLnhtbK1UzY7TMBC+I/EO&#10;lu80aRFL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c1rSgzTKPnp+7fT&#10;j1+nn19JOoREjQszRG4cYmP71rYIH84DDhPztvI6fcGJwA+BjxeBRRsJT5emk+k0h4vDN2yAnz1c&#10;dz7Ed8JqkoyCelSwE5YdbkPsQ4eQlM3YtVSqq6IypCno1ct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1JlVNAIAAGUEAAAOAAAAAAAAAAEAIAAAAB8BAABkcnMvZTJvRG9jLnhtbFBL&#10;BQYAAAAABgAGAFkBAADFBQAAAAA=&#10;">
              <v:fill on="f" focussize="0,0"/>
              <v:stroke on="f" weight="0.5pt"/>
              <v:imagedata o:title=""/>
              <o:lock v:ext="edit" aspectratio="f"/>
              <v:textbox inset="0mm,0mm,0mm,0mm" style="mso-fit-shape-to-text:t;">
                <w:txbxContent>
                  <w:p w14:paraId="491AED53">
                    <w:pPr>
                      <w:pStyle w:val="9"/>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v:textbox>
            </v:shape>
          </w:pict>
        </mc:Fallback>
      </mc:AlternateContent>
    </w:r>
    <w:r>
      <w:rPr>
        <w:rFonts w:hint="eastAsia" w:ascii="楷体" w:hAnsi="楷体" w:eastAsia="楷体"/>
        <w:sz w:val="21"/>
        <w:szCs w:val="21"/>
      </w:rPr>
      <w:drawing>
        <wp:inline distT="0" distB="0" distL="0" distR="0">
          <wp:extent cx="353695" cy="136525"/>
          <wp:effectExtent l="0" t="0" r="0" b="15875"/>
          <wp:docPr id="180"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354277" cy="136800"/>
                  </a:xfrm>
                  <a:prstGeom prst="rect">
                    <a:avLst/>
                  </a:prstGeom>
                  <a:noFill/>
                </pic:spPr>
              </pic:pic>
            </a:graphicData>
          </a:graphic>
        </wp:inline>
      </w:drawing>
    </w:r>
    <w:r>
      <w:rPr>
        <w:rFonts w:hint="eastAsia" w:ascii="楷体" w:hAnsi="楷体" w:eastAsia="楷体"/>
        <w:sz w:val="21"/>
        <w:szCs w:val="21"/>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ADD19">
    <w:pPr>
      <w:pStyle w:val="10"/>
      <w:jc w:val="left"/>
      <w:rPr>
        <w:rFonts w:hint="eastAsia" w:ascii="楷体" w:hAnsi="楷体" w:eastAsia="楷体"/>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6F5DD">
    <w:pPr>
      <w:pStyle w:val="10"/>
      <w:pBdr>
        <w:bottom w:val="single" w:color="auto" w:sz="4" w:space="1"/>
      </w:pBdr>
      <w:rPr>
        <w:rFonts w:hint="eastAsia" w:ascii="楷体" w:hAnsi="楷体" w:eastAsia="楷体"/>
        <w:sz w:val="21"/>
        <w:szCs w:val="21"/>
        <w:lang w:eastAsia="zh-CN"/>
      </w:rPr>
    </w:pPr>
    <w:r>
      <w:rPr>
        <w:rFonts w:hint="eastAsia" w:ascii="楷体" w:hAnsi="楷体" w:eastAsia="楷体"/>
        <w:sz w:val="21"/>
        <w:szCs w:val="21"/>
        <w:lang w:eastAsia="zh-CN"/>
      </w:rPr>
      <w:t>朝阳金达钛业股份有限公司</w:t>
    </w:r>
    <w:r>
      <w:rPr>
        <w:rFonts w:hint="eastAsia" w:ascii="楷体" w:hAnsi="楷体" w:eastAsia="楷体"/>
        <w:sz w:val="21"/>
        <w:szCs w:val="21"/>
        <w:lang w:val="en-US" w:eastAsia="zh-CN"/>
      </w:rPr>
      <w:t>1#</w:t>
    </w:r>
    <w:r>
      <w:rPr>
        <w:rFonts w:hint="eastAsia" w:ascii="楷体" w:hAnsi="楷体" w:eastAsia="楷体"/>
        <w:sz w:val="21"/>
        <w:szCs w:val="21"/>
        <w:lang w:eastAsia="zh-CN"/>
      </w:rPr>
      <w:t>液氯库危险化学品重大危险源安全评估报告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F78C3"/>
    <w:multiLevelType w:val="singleLevel"/>
    <w:tmpl w:val="907F78C3"/>
    <w:lvl w:ilvl="0" w:tentative="0">
      <w:start w:val="5"/>
      <w:numFmt w:val="decimal"/>
      <w:suff w:val="nothing"/>
      <w:lvlText w:val="（%1）"/>
      <w:lvlJc w:val="left"/>
    </w:lvl>
  </w:abstractNum>
  <w:abstractNum w:abstractNumId="1">
    <w:nsid w:val="97B71887"/>
    <w:multiLevelType w:val="multilevel"/>
    <w:tmpl w:val="97B71887"/>
    <w:lvl w:ilvl="0" w:tentative="0">
      <w:start w:val="1"/>
      <w:numFmt w:val="decimal"/>
      <w:suff w:val="nothing"/>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B2950E08"/>
    <w:multiLevelType w:val="multilevel"/>
    <w:tmpl w:val="B2950E08"/>
    <w:lvl w:ilvl="0" w:tentative="0">
      <w:start w:val="1"/>
      <w:numFmt w:val="decimal"/>
      <w:suff w:val="nothing"/>
      <w:lvlText w:val="（%1）"/>
      <w:lvlJc w:val="left"/>
      <w:pPr>
        <w:ind w:left="1000" w:hanging="440"/>
      </w:pPr>
      <w:rPr>
        <w:rFonts w:hint="eastAsia"/>
      </w:rPr>
    </w:lvl>
    <w:lvl w:ilvl="1" w:tentative="0">
      <w:start w:val="1"/>
      <w:numFmt w:val="decimalEnclosedCircle"/>
      <w:lvlText w:val="%2"/>
      <w:lvlJc w:val="left"/>
      <w:pPr>
        <w:ind w:left="1360" w:hanging="360"/>
      </w:pPr>
      <w:rPr>
        <w:rFonts w:hint="default"/>
      </w:r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3">
    <w:nsid w:val="CA721F89"/>
    <w:multiLevelType w:val="singleLevel"/>
    <w:tmpl w:val="CA721F89"/>
    <w:lvl w:ilvl="0" w:tentative="0">
      <w:start w:val="1"/>
      <w:numFmt w:val="decimal"/>
      <w:suff w:val="nothing"/>
      <w:lvlText w:val="（%1）"/>
      <w:lvlJc w:val="left"/>
    </w:lvl>
  </w:abstractNum>
  <w:abstractNum w:abstractNumId="4">
    <w:nsid w:val="D87F3FCA"/>
    <w:multiLevelType w:val="singleLevel"/>
    <w:tmpl w:val="D87F3FCA"/>
    <w:lvl w:ilvl="0" w:tentative="0">
      <w:start w:val="2"/>
      <w:numFmt w:val="decimal"/>
      <w:suff w:val="nothing"/>
      <w:lvlText w:val="（%1）"/>
      <w:lvlJc w:val="left"/>
    </w:lvl>
  </w:abstractNum>
  <w:abstractNum w:abstractNumId="5">
    <w:nsid w:val="E4C3D3E7"/>
    <w:multiLevelType w:val="singleLevel"/>
    <w:tmpl w:val="E4C3D3E7"/>
    <w:lvl w:ilvl="0" w:tentative="0">
      <w:start w:val="2"/>
      <w:numFmt w:val="decimal"/>
      <w:suff w:val="nothing"/>
      <w:lvlText w:val="（%1）"/>
      <w:lvlJc w:val="left"/>
    </w:lvl>
  </w:abstractNum>
  <w:abstractNum w:abstractNumId="6">
    <w:nsid w:val="0B822F0D"/>
    <w:multiLevelType w:val="multilevel"/>
    <w:tmpl w:val="0B822F0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7">
    <w:nsid w:val="399D76BD"/>
    <w:multiLevelType w:val="multilevel"/>
    <w:tmpl w:val="399D76B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8">
    <w:nsid w:val="4189F5E5"/>
    <w:multiLevelType w:val="singleLevel"/>
    <w:tmpl w:val="4189F5E5"/>
    <w:lvl w:ilvl="0" w:tentative="0">
      <w:start w:val="1"/>
      <w:numFmt w:val="decimal"/>
      <w:suff w:val="nothing"/>
      <w:lvlText w:val="（%1）"/>
      <w:lvlJc w:val="left"/>
    </w:lvl>
  </w:abstractNum>
  <w:abstractNum w:abstractNumId="9">
    <w:nsid w:val="542849A8"/>
    <w:multiLevelType w:val="multilevel"/>
    <w:tmpl w:val="542849A8"/>
    <w:lvl w:ilvl="0" w:tentative="0">
      <w:start w:val="1"/>
      <w:numFmt w:val="decimal"/>
      <w:suff w:val="nothing"/>
      <w:lvlText w:val="（%1）"/>
      <w:lvlJc w:val="left"/>
      <w:pPr>
        <w:ind w:left="1280" w:hanging="720"/>
      </w:pPr>
      <w:rPr>
        <w:rFonts w:hint="default"/>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0">
    <w:nsid w:val="624087E9"/>
    <w:multiLevelType w:val="multilevel"/>
    <w:tmpl w:val="624087E9"/>
    <w:lvl w:ilvl="0" w:tentative="0">
      <w:start w:val="1"/>
      <w:numFmt w:val="decimal"/>
      <w:suff w:val="nothing"/>
      <w:lvlText w:val="%1"/>
      <w:lvlJc w:val="center"/>
      <w:pPr>
        <w:ind w:left="63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6864C7E2"/>
    <w:multiLevelType w:val="singleLevel"/>
    <w:tmpl w:val="6864C7E2"/>
    <w:lvl w:ilvl="0" w:tentative="0">
      <w:start w:val="1"/>
      <w:numFmt w:val="decimal"/>
      <w:suff w:val="nothing"/>
      <w:lvlText w:val="（%1）"/>
      <w:lvlJc w:val="left"/>
    </w:lvl>
  </w:abstractNum>
  <w:abstractNum w:abstractNumId="12">
    <w:nsid w:val="6E5A549A"/>
    <w:multiLevelType w:val="multilevel"/>
    <w:tmpl w:val="6E5A549A"/>
    <w:lvl w:ilvl="0" w:tentative="0">
      <w:start w:val="1"/>
      <w:numFmt w:val="decimal"/>
      <w:suff w:val="nothing"/>
      <w:lvlText w:val="（%1）"/>
      <w:lvlJc w:val="left"/>
      <w:pPr>
        <w:ind w:left="1000" w:hanging="440"/>
      </w:pPr>
      <w:rPr>
        <w:rFonts w:hint="eastAsia"/>
      </w:rPr>
    </w:lvl>
    <w:lvl w:ilvl="1" w:tentative="0">
      <w:start w:val="1"/>
      <w:numFmt w:val="decimalEnclosedCircle"/>
      <w:lvlText w:val="%2"/>
      <w:lvlJc w:val="left"/>
      <w:pPr>
        <w:ind w:left="1360" w:hanging="360"/>
      </w:pPr>
      <w:rPr>
        <w:rFonts w:hint="default"/>
      </w:r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3">
    <w:nsid w:val="71E23AD2"/>
    <w:multiLevelType w:val="multilevel"/>
    <w:tmpl w:val="71E23AD2"/>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num w:numId="1">
    <w:abstractNumId w:val="13"/>
  </w:num>
  <w:num w:numId="2">
    <w:abstractNumId w:val="7"/>
  </w:num>
  <w:num w:numId="3">
    <w:abstractNumId w:val="12"/>
  </w:num>
  <w:num w:numId="4">
    <w:abstractNumId w:val="2"/>
  </w:num>
  <w:num w:numId="5">
    <w:abstractNumId w:val="6"/>
  </w:num>
  <w:num w:numId="6">
    <w:abstractNumId w:val="3"/>
  </w:num>
  <w:num w:numId="7">
    <w:abstractNumId w:val="11"/>
  </w:num>
  <w:num w:numId="8">
    <w:abstractNumId w:val="8"/>
  </w:num>
  <w:num w:numId="9">
    <w:abstractNumId w:val="0"/>
  </w:num>
  <w:num w:numId="10">
    <w:abstractNumId w:val="4"/>
  </w:num>
  <w:num w:numId="11">
    <w:abstractNumId w:val="5"/>
  </w:num>
  <w:num w:numId="12">
    <w:abstractNumId w:val="10"/>
  </w:num>
  <w:num w:numId="13">
    <w:abstractNumId w:val="1"/>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B7F"/>
    <w:rsid w:val="00000199"/>
    <w:rsid w:val="00005283"/>
    <w:rsid w:val="00007238"/>
    <w:rsid w:val="00007867"/>
    <w:rsid w:val="000119B1"/>
    <w:rsid w:val="000124D5"/>
    <w:rsid w:val="000126CA"/>
    <w:rsid w:val="0001640B"/>
    <w:rsid w:val="000242C7"/>
    <w:rsid w:val="0002568E"/>
    <w:rsid w:val="0002645F"/>
    <w:rsid w:val="0003069F"/>
    <w:rsid w:val="00030AB6"/>
    <w:rsid w:val="000327C2"/>
    <w:rsid w:val="000362EB"/>
    <w:rsid w:val="00037C17"/>
    <w:rsid w:val="00040FB3"/>
    <w:rsid w:val="0004106D"/>
    <w:rsid w:val="00042C82"/>
    <w:rsid w:val="00042DB7"/>
    <w:rsid w:val="000456B5"/>
    <w:rsid w:val="0005128C"/>
    <w:rsid w:val="000540CA"/>
    <w:rsid w:val="000559AF"/>
    <w:rsid w:val="00062C71"/>
    <w:rsid w:val="000646BF"/>
    <w:rsid w:val="00064B4D"/>
    <w:rsid w:val="0006710D"/>
    <w:rsid w:val="00073B70"/>
    <w:rsid w:val="00074E59"/>
    <w:rsid w:val="00075701"/>
    <w:rsid w:val="000819A6"/>
    <w:rsid w:val="00090DBC"/>
    <w:rsid w:val="00093CA6"/>
    <w:rsid w:val="00096DD5"/>
    <w:rsid w:val="000A1F0F"/>
    <w:rsid w:val="000A21D1"/>
    <w:rsid w:val="000A47EE"/>
    <w:rsid w:val="000A5D82"/>
    <w:rsid w:val="000B21CB"/>
    <w:rsid w:val="000B769A"/>
    <w:rsid w:val="000C1131"/>
    <w:rsid w:val="000C20F7"/>
    <w:rsid w:val="000C2125"/>
    <w:rsid w:val="000C3826"/>
    <w:rsid w:val="000C39B2"/>
    <w:rsid w:val="000C410B"/>
    <w:rsid w:val="000C4780"/>
    <w:rsid w:val="000C77AB"/>
    <w:rsid w:val="000D4E23"/>
    <w:rsid w:val="000E1B38"/>
    <w:rsid w:val="000E49BB"/>
    <w:rsid w:val="000F391E"/>
    <w:rsid w:val="000F44B9"/>
    <w:rsid w:val="000F4BD6"/>
    <w:rsid w:val="000F7611"/>
    <w:rsid w:val="001057B6"/>
    <w:rsid w:val="00107A00"/>
    <w:rsid w:val="001133FF"/>
    <w:rsid w:val="00114706"/>
    <w:rsid w:val="001240BA"/>
    <w:rsid w:val="00125D53"/>
    <w:rsid w:val="001347EB"/>
    <w:rsid w:val="0013542B"/>
    <w:rsid w:val="00135AFD"/>
    <w:rsid w:val="001363A0"/>
    <w:rsid w:val="00140B44"/>
    <w:rsid w:val="00142256"/>
    <w:rsid w:val="00142C84"/>
    <w:rsid w:val="001433C0"/>
    <w:rsid w:val="00146AEB"/>
    <w:rsid w:val="00151E44"/>
    <w:rsid w:val="00153963"/>
    <w:rsid w:val="00155FA5"/>
    <w:rsid w:val="00160182"/>
    <w:rsid w:val="00164606"/>
    <w:rsid w:val="00165C83"/>
    <w:rsid w:val="00166310"/>
    <w:rsid w:val="001769BF"/>
    <w:rsid w:val="00177521"/>
    <w:rsid w:val="00180090"/>
    <w:rsid w:val="00182D31"/>
    <w:rsid w:val="00185A19"/>
    <w:rsid w:val="001904A3"/>
    <w:rsid w:val="001914A4"/>
    <w:rsid w:val="00193733"/>
    <w:rsid w:val="00194F2E"/>
    <w:rsid w:val="0019600B"/>
    <w:rsid w:val="001A13C6"/>
    <w:rsid w:val="001A4287"/>
    <w:rsid w:val="001A4AC3"/>
    <w:rsid w:val="001A4EA2"/>
    <w:rsid w:val="001B1BA7"/>
    <w:rsid w:val="001B1EE5"/>
    <w:rsid w:val="001B2887"/>
    <w:rsid w:val="001B3F66"/>
    <w:rsid w:val="001B6E03"/>
    <w:rsid w:val="001B7B21"/>
    <w:rsid w:val="001C18A2"/>
    <w:rsid w:val="001C378E"/>
    <w:rsid w:val="001C41AC"/>
    <w:rsid w:val="001C549C"/>
    <w:rsid w:val="001C7FCE"/>
    <w:rsid w:val="001D064F"/>
    <w:rsid w:val="001E0B0D"/>
    <w:rsid w:val="001E522B"/>
    <w:rsid w:val="001E602B"/>
    <w:rsid w:val="001F1829"/>
    <w:rsid w:val="001F52E8"/>
    <w:rsid w:val="0020029F"/>
    <w:rsid w:val="002029F4"/>
    <w:rsid w:val="00202DA2"/>
    <w:rsid w:val="00207128"/>
    <w:rsid w:val="002137FF"/>
    <w:rsid w:val="00213C91"/>
    <w:rsid w:val="00230414"/>
    <w:rsid w:val="00230489"/>
    <w:rsid w:val="0023319A"/>
    <w:rsid w:val="00233423"/>
    <w:rsid w:val="002362D5"/>
    <w:rsid w:val="00237FF4"/>
    <w:rsid w:val="00240742"/>
    <w:rsid w:val="00241AB3"/>
    <w:rsid w:val="00241CF9"/>
    <w:rsid w:val="00242A87"/>
    <w:rsid w:val="00247232"/>
    <w:rsid w:val="00247B52"/>
    <w:rsid w:val="00252B25"/>
    <w:rsid w:val="00253F2F"/>
    <w:rsid w:val="002540DB"/>
    <w:rsid w:val="00255E25"/>
    <w:rsid w:val="00255FDA"/>
    <w:rsid w:val="0026526B"/>
    <w:rsid w:val="00273C63"/>
    <w:rsid w:val="00275D3E"/>
    <w:rsid w:val="00282A45"/>
    <w:rsid w:val="002850FA"/>
    <w:rsid w:val="00285336"/>
    <w:rsid w:val="0028577D"/>
    <w:rsid w:val="00286065"/>
    <w:rsid w:val="00286076"/>
    <w:rsid w:val="002863C0"/>
    <w:rsid w:val="00294FB9"/>
    <w:rsid w:val="002A09BA"/>
    <w:rsid w:val="002A0BE9"/>
    <w:rsid w:val="002A1381"/>
    <w:rsid w:val="002A1658"/>
    <w:rsid w:val="002A33CF"/>
    <w:rsid w:val="002B7E3B"/>
    <w:rsid w:val="002C1CA5"/>
    <w:rsid w:val="002C2453"/>
    <w:rsid w:val="002D38ED"/>
    <w:rsid w:val="002D7270"/>
    <w:rsid w:val="002E05B1"/>
    <w:rsid w:val="002E2DF2"/>
    <w:rsid w:val="002E3557"/>
    <w:rsid w:val="002E62AC"/>
    <w:rsid w:val="002F3520"/>
    <w:rsid w:val="002F56B6"/>
    <w:rsid w:val="002F5C9B"/>
    <w:rsid w:val="00300103"/>
    <w:rsid w:val="00306A5B"/>
    <w:rsid w:val="00307303"/>
    <w:rsid w:val="00311DD7"/>
    <w:rsid w:val="00312B13"/>
    <w:rsid w:val="00314DD9"/>
    <w:rsid w:val="003209B1"/>
    <w:rsid w:val="00324918"/>
    <w:rsid w:val="00327141"/>
    <w:rsid w:val="003274BC"/>
    <w:rsid w:val="00330C52"/>
    <w:rsid w:val="00330F27"/>
    <w:rsid w:val="003333E8"/>
    <w:rsid w:val="003350B0"/>
    <w:rsid w:val="003378B6"/>
    <w:rsid w:val="00341CB8"/>
    <w:rsid w:val="00344B38"/>
    <w:rsid w:val="00345EB4"/>
    <w:rsid w:val="00350D19"/>
    <w:rsid w:val="00351C9C"/>
    <w:rsid w:val="00352E91"/>
    <w:rsid w:val="0035581C"/>
    <w:rsid w:val="0035788B"/>
    <w:rsid w:val="003630D2"/>
    <w:rsid w:val="003633EB"/>
    <w:rsid w:val="00375954"/>
    <w:rsid w:val="00376FCC"/>
    <w:rsid w:val="003828E3"/>
    <w:rsid w:val="003836CE"/>
    <w:rsid w:val="003944F9"/>
    <w:rsid w:val="003A11F1"/>
    <w:rsid w:val="003A3D13"/>
    <w:rsid w:val="003A566F"/>
    <w:rsid w:val="003B1B35"/>
    <w:rsid w:val="003B338F"/>
    <w:rsid w:val="003B5D42"/>
    <w:rsid w:val="003B64DA"/>
    <w:rsid w:val="003C0D93"/>
    <w:rsid w:val="003C3F24"/>
    <w:rsid w:val="003C42A5"/>
    <w:rsid w:val="003C6059"/>
    <w:rsid w:val="003C64A4"/>
    <w:rsid w:val="003C7B37"/>
    <w:rsid w:val="003D17DB"/>
    <w:rsid w:val="003D5BB4"/>
    <w:rsid w:val="003D74B3"/>
    <w:rsid w:val="003E20E6"/>
    <w:rsid w:val="003E5394"/>
    <w:rsid w:val="003E6F54"/>
    <w:rsid w:val="003E7F23"/>
    <w:rsid w:val="003F39EC"/>
    <w:rsid w:val="003F7309"/>
    <w:rsid w:val="004001BD"/>
    <w:rsid w:val="004041A4"/>
    <w:rsid w:val="00406508"/>
    <w:rsid w:val="00410DB8"/>
    <w:rsid w:val="00425E12"/>
    <w:rsid w:val="00430215"/>
    <w:rsid w:val="00433032"/>
    <w:rsid w:val="00435CDC"/>
    <w:rsid w:val="00440070"/>
    <w:rsid w:val="0044614E"/>
    <w:rsid w:val="00450FFF"/>
    <w:rsid w:val="004530DC"/>
    <w:rsid w:val="0045315E"/>
    <w:rsid w:val="00453FC3"/>
    <w:rsid w:val="00454882"/>
    <w:rsid w:val="00462094"/>
    <w:rsid w:val="00473DF6"/>
    <w:rsid w:val="00477EF3"/>
    <w:rsid w:val="00480BED"/>
    <w:rsid w:val="004A322B"/>
    <w:rsid w:val="004A497C"/>
    <w:rsid w:val="004B2EDE"/>
    <w:rsid w:val="004B609B"/>
    <w:rsid w:val="004B6B7F"/>
    <w:rsid w:val="004B749C"/>
    <w:rsid w:val="004C02C3"/>
    <w:rsid w:val="004C25ED"/>
    <w:rsid w:val="004C4C6B"/>
    <w:rsid w:val="004C6637"/>
    <w:rsid w:val="004E0076"/>
    <w:rsid w:val="004E29B1"/>
    <w:rsid w:val="004E4D32"/>
    <w:rsid w:val="004F0045"/>
    <w:rsid w:val="004F6BE9"/>
    <w:rsid w:val="00501B00"/>
    <w:rsid w:val="00506458"/>
    <w:rsid w:val="00510AC6"/>
    <w:rsid w:val="00510ED3"/>
    <w:rsid w:val="00513FFA"/>
    <w:rsid w:val="00514FCE"/>
    <w:rsid w:val="00526897"/>
    <w:rsid w:val="0052752A"/>
    <w:rsid w:val="00532AFB"/>
    <w:rsid w:val="00532B7D"/>
    <w:rsid w:val="00534807"/>
    <w:rsid w:val="00534C5D"/>
    <w:rsid w:val="00540F43"/>
    <w:rsid w:val="00544563"/>
    <w:rsid w:val="0054459E"/>
    <w:rsid w:val="00546574"/>
    <w:rsid w:val="0054750D"/>
    <w:rsid w:val="005542AA"/>
    <w:rsid w:val="00560FB4"/>
    <w:rsid w:val="00563B4A"/>
    <w:rsid w:val="00564618"/>
    <w:rsid w:val="00574249"/>
    <w:rsid w:val="00576EBF"/>
    <w:rsid w:val="00577042"/>
    <w:rsid w:val="00591645"/>
    <w:rsid w:val="005917D8"/>
    <w:rsid w:val="005923FD"/>
    <w:rsid w:val="00592F1F"/>
    <w:rsid w:val="005944E8"/>
    <w:rsid w:val="00595C2E"/>
    <w:rsid w:val="005961ED"/>
    <w:rsid w:val="005A3E5A"/>
    <w:rsid w:val="005A4EC5"/>
    <w:rsid w:val="005B0F85"/>
    <w:rsid w:val="005B263A"/>
    <w:rsid w:val="005B28FA"/>
    <w:rsid w:val="005B68CF"/>
    <w:rsid w:val="005B76CB"/>
    <w:rsid w:val="005B7A8B"/>
    <w:rsid w:val="005C54FC"/>
    <w:rsid w:val="005D46D3"/>
    <w:rsid w:val="005D4A55"/>
    <w:rsid w:val="005D6983"/>
    <w:rsid w:val="005E2FA0"/>
    <w:rsid w:val="005E492F"/>
    <w:rsid w:val="006003AC"/>
    <w:rsid w:val="00604F1F"/>
    <w:rsid w:val="00607D06"/>
    <w:rsid w:val="006203B7"/>
    <w:rsid w:val="00620B80"/>
    <w:rsid w:val="0062454F"/>
    <w:rsid w:val="0063027B"/>
    <w:rsid w:val="00636AB7"/>
    <w:rsid w:val="00644D22"/>
    <w:rsid w:val="00646B7C"/>
    <w:rsid w:val="00650A1C"/>
    <w:rsid w:val="00651238"/>
    <w:rsid w:val="00651342"/>
    <w:rsid w:val="00651B3E"/>
    <w:rsid w:val="00652556"/>
    <w:rsid w:val="00653C7B"/>
    <w:rsid w:val="00660C6A"/>
    <w:rsid w:val="006639D6"/>
    <w:rsid w:val="00663FF2"/>
    <w:rsid w:val="0066504D"/>
    <w:rsid w:val="00675AED"/>
    <w:rsid w:val="00695B39"/>
    <w:rsid w:val="006968CC"/>
    <w:rsid w:val="006A0A45"/>
    <w:rsid w:val="006A571A"/>
    <w:rsid w:val="006A6F5B"/>
    <w:rsid w:val="006B22BE"/>
    <w:rsid w:val="006B5E02"/>
    <w:rsid w:val="006C1C63"/>
    <w:rsid w:val="006C48E2"/>
    <w:rsid w:val="006C6C72"/>
    <w:rsid w:val="006D063C"/>
    <w:rsid w:val="006E04C5"/>
    <w:rsid w:val="006E0B55"/>
    <w:rsid w:val="006E1C69"/>
    <w:rsid w:val="006E352B"/>
    <w:rsid w:val="006E77DB"/>
    <w:rsid w:val="006F36AC"/>
    <w:rsid w:val="006F5C08"/>
    <w:rsid w:val="006F5F49"/>
    <w:rsid w:val="006F7A04"/>
    <w:rsid w:val="00704A62"/>
    <w:rsid w:val="00704DE4"/>
    <w:rsid w:val="00705EC4"/>
    <w:rsid w:val="00707FED"/>
    <w:rsid w:val="00725E84"/>
    <w:rsid w:val="007278CE"/>
    <w:rsid w:val="00727A78"/>
    <w:rsid w:val="0073020E"/>
    <w:rsid w:val="007319B1"/>
    <w:rsid w:val="00735D57"/>
    <w:rsid w:val="00737050"/>
    <w:rsid w:val="0074179A"/>
    <w:rsid w:val="007448F4"/>
    <w:rsid w:val="00745CB4"/>
    <w:rsid w:val="00754949"/>
    <w:rsid w:val="007571D7"/>
    <w:rsid w:val="00757B78"/>
    <w:rsid w:val="00757E09"/>
    <w:rsid w:val="0076317F"/>
    <w:rsid w:val="00764769"/>
    <w:rsid w:val="00764801"/>
    <w:rsid w:val="007713F8"/>
    <w:rsid w:val="0077182B"/>
    <w:rsid w:val="00775C35"/>
    <w:rsid w:val="007810CE"/>
    <w:rsid w:val="00782544"/>
    <w:rsid w:val="00783B65"/>
    <w:rsid w:val="007904BE"/>
    <w:rsid w:val="007940A9"/>
    <w:rsid w:val="007A5AD1"/>
    <w:rsid w:val="007B084B"/>
    <w:rsid w:val="007B1A71"/>
    <w:rsid w:val="007B40A5"/>
    <w:rsid w:val="007B70CA"/>
    <w:rsid w:val="007C102B"/>
    <w:rsid w:val="007C21F0"/>
    <w:rsid w:val="007C2B4E"/>
    <w:rsid w:val="007D2F44"/>
    <w:rsid w:val="007D6F4C"/>
    <w:rsid w:val="007D7C84"/>
    <w:rsid w:val="007D7E3F"/>
    <w:rsid w:val="007E2792"/>
    <w:rsid w:val="007E294B"/>
    <w:rsid w:val="007E2B26"/>
    <w:rsid w:val="007E32A7"/>
    <w:rsid w:val="007F6A91"/>
    <w:rsid w:val="007F7E48"/>
    <w:rsid w:val="0080172B"/>
    <w:rsid w:val="008035CE"/>
    <w:rsid w:val="00805A08"/>
    <w:rsid w:val="008111C5"/>
    <w:rsid w:val="0081235D"/>
    <w:rsid w:val="00815349"/>
    <w:rsid w:val="00821E71"/>
    <w:rsid w:val="008234A1"/>
    <w:rsid w:val="008336A9"/>
    <w:rsid w:val="00834781"/>
    <w:rsid w:val="008408A0"/>
    <w:rsid w:val="00844B6E"/>
    <w:rsid w:val="00846509"/>
    <w:rsid w:val="00854526"/>
    <w:rsid w:val="0085706F"/>
    <w:rsid w:val="00864D1E"/>
    <w:rsid w:val="00866E30"/>
    <w:rsid w:val="00884943"/>
    <w:rsid w:val="008864DD"/>
    <w:rsid w:val="008869AB"/>
    <w:rsid w:val="008876B3"/>
    <w:rsid w:val="00887A6F"/>
    <w:rsid w:val="00894CAB"/>
    <w:rsid w:val="008A1D56"/>
    <w:rsid w:val="008A272E"/>
    <w:rsid w:val="008A4641"/>
    <w:rsid w:val="008A5C13"/>
    <w:rsid w:val="008B1817"/>
    <w:rsid w:val="008B3C30"/>
    <w:rsid w:val="008B54D1"/>
    <w:rsid w:val="008B75BB"/>
    <w:rsid w:val="008B7CFB"/>
    <w:rsid w:val="008C4596"/>
    <w:rsid w:val="008C4B72"/>
    <w:rsid w:val="008D30D3"/>
    <w:rsid w:val="008D37B0"/>
    <w:rsid w:val="008D3F0B"/>
    <w:rsid w:val="008D5A1B"/>
    <w:rsid w:val="008D6F37"/>
    <w:rsid w:val="008E1F74"/>
    <w:rsid w:val="008F04AA"/>
    <w:rsid w:val="009036F2"/>
    <w:rsid w:val="00903928"/>
    <w:rsid w:val="00906257"/>
    <w:rsid w:val="00906421"/>
    <w:rsid w:val="00906631"/>
    <w:rsid w:val="009218C5"/>
    <w:rsid w:val="009255D3"/>
    <w:rsid w:val="00926862"/>
    <w:rsid w:val="00934975"/>
    <w:rsid w:val="00934A37"/>
    <w:rsid w:val="00942A5B"/>
    <w:rsid w:val="009467A2"/>
    <w:rsid w:val="00946F2A"/>
    <w:rsid w:val="00956941"/>
    <w:rsid w:val="0098415F"/>
    <w:rsid w:val="00991BB9"/>
    <w:rsid w:val="00992061"/>
    <w:rsid w:val="009929EA"/>
    <w:rsid w:val="00993370"/>
    <w:rsid w:val="00995E49"/>
    <w:rsid w:val="00996F48"/>
    <w:rsid w:val="0099700D"/>
    <w:rsid w:val="009A1E42"/>
    <w:rsid w:val="009A30DC"/>
    <w:rsid w:val="009A4536"/>
    <w:rsid w:val="009B1569"/>
    <w:rsid w:val="009B4A7E"/>
    <w:rsid w:val="009D322A"/>
    <w:rsid w:val="009D3F13"/>
    <w:rsid w:val="009D5ACC"/>
    <w:rsid w:val="009E092C"/>
    <w:rsid w:val="009E295C"/>
    <w:rsid w:val="009E4D97"/>
    <w:rsid w:val="009E6CEF"/>
    <w:rsid w:val="009E6E4B"/>
    <w:rsid w:val="009E7AB8"/>
    <w:rsid w:val="009F00B4"/>
    <w:rsid w:val="009F0F3A"/>
    <w:rsid w:val="009F2839"/>
    <w:rsid w:val="009F5B52"/>
    <w:rsid w:val="009F7D03"/>
    <w:rsid w:val="00A02D17"/>
    <w:rsid w:val="00A0458C"/>
    <w:rsid w:val="00A04C8F"/>
    <w:rsid w:val="00A05C5B"/>
    <w:rsid w:val="00A06E57"/>
    <w:rsid w:val="00A072BB"/>
    <w:rsid w:val="00A10123"/>
    <w:rsid w:val="00A10E19"/>
    <w:rsid w:val="00A149DA"/>
    <w:rsid w:val="00A15DEB"/>
    <w:rsid w:val="00A21DA0"/>
    <w:rsid w:val="00A22BF0"/>
    <w:rsid w:val="00A26CDA"/>
    <w:rsid w:val="00A27B04"/>
    <w:rsid w:val="00A30F8A"/>
    <w:rsid w:val="00A34108"/>
    <w:rsid w:val="00A4019C"/>
    <w:rsid w:val="00A42114"/>
    <w:rsid w:val="00A42CC4"/>
    <w:rsid w:val="00A45399"/>
    <w:rsid w:val="00A45CFA"/>
    <w:rsid w:val="00A569F5"/>
    <w:rsid w:val="00A60809"/>
    <w:rsid w:val="00A6120A"/>
    <w:rsid w:val="00A62FBF"/>
    <w:rsid w:val="00A64D20"/>
    <w:rsid w:val="00A657EE"/>
    <w:rsid w:val="00A66E3C"/>
    <w:rsid w:val="00A7231D"/>
    <w:rsid w:val="00A74E2D"/>
    <w:rsid w:val="00A85D15"/>
    <w:rsid w:val="00A91E4A"/>
    <w:rsid w:val="00A92397"/>
    <w:rsid w:val="00A92A7C"/>
    <w:rsid w:val="00A946D4"/>
    <w:rsid w:val="00A94EC9"/>
    <w:rsid w:val="00AA2590"/>
    <w:rsid w:val="00AA2992"/>
    <w:rsid w:val="00AA33F0"/>
    <w:rsid w:val="00AB03B9"/>
    <w:rsid w:val="00AC4FE4"/>
    <w:rsid w:val="00AD0508"/>
    <w:rsid w:val="00AD16D1"/>
    <w:rsid w:val="00AD3B22"/>
    <w:rsid w:val="00AD5877"/>
    <w:rsid w:val="00AE268A"/>
    <w:rsid w:val="00AE615E"/>
    <w:rsid w:val="00AF24F3"/>
    <w:rsid w:val="00AF3A0D"/>
    <w:rsid w:val="00AF432D"/>
    <w:rsid w:val="00AF516A"/>
    <w:rsid w:val="00AF77CA"/>
    <w:rsid w:val="00B02D7C"/>
    <w:rsid w:val="00B0616B"/>
    <w:rsid w:val="00B06809"/>
    <w:rsid w:val="00B1422D"/>
    <w:rsid w:val="00B15F31"/>
    <w:rsid w:val="00B203A9"/>
    <w:rsid w:val="00B221F8"/>
    <w:rsid w:val="00B31C91"/>
    <w:rsid w:val="00B34B96"/>
    <w:rsid w:val="00B37D74"/>
    <w:rsid w:val="00B4186C"/>
    <w:rsid w:val="00B44007"/>
    <w:rsid w:val="00B4524D"/>
    <w:rsid w:val="00B51AFB"/>
    <w:rsid w:val="00B549C5"/>
    <w:rsid w:val="00B55311"/>
    <w:rsid w:val="00B665EF"/>
    <w:rsid w:val="00B70E5D"/>
    <w:rsid w:val="00B7115B"/>
    <w:rsid w:val="00B7202F"/>
    <w:rsid w:val="00B72C3A"/>
    <w:rsid w:val="00B75A00"/>
    <w:rsid w:val="00B91658"/>
    <w:rsid w:val="00B919EA"/>
    <w:rsid w:val="00BA392C"/>
    <w:rsid w:val="00BA434E"/>
    <w:rsid w:val="00BA51F6"/>
    <w:rsid w:val="00BB0F8E"/>
    <w:rsid w:val="00BB1AD8"/>
    <w:rsid w:val="00BB3331"/>
    <w:rsid w:val="00BC1B76"/>
    <w:rsid w:val="00BC37F1"/>
    <w:rsid w:val="00BE2994"/>
    <w:rsid w:val="00BE5043"/>
    <w:rsid w:val="00BE6825"/>
    <w:rsid w:val="00BF0077"/>
    <w:rsid w:val="00BF3943"/>
    <w:rsid w:val="00BF3AD2"/>
    <w:rsid w:val="00BF4028"/>
    <w:rsid w:val="00BF4590"/>
    <w:rsid w:val="00BF45D8"/>
    <w:rsid w:val="00BF4A27"/>
    <w:rsid w:val="00C002C7"/>
    <w:rsid w:val="00C043A1"/>
    <w:rsid w:val="00C10934"/>
    <w:rsid w:val="00C1225C"/>
    <w:rsid w:val="00C14023"/>
    <w:rsid w:val="00C20F09"/>
    <w:rsid w:val="00C2243A"/>
    <w:rsid w:val="00C23205"/>
    <w:rsid w:val="00C26591"/>
    <w:rsid w:val="00C27589"/>
    <w:rsid w:val="00C341D8"/>
    <w:rsid w:val="00C34578"/>
    <w:rsid w:val="00C35BAD"/>
    <w:rsid w:val="00C361C4"/>
    <w:rsid w:val="00C40DA9"/>
    <w:rsid w:val="00C420F7"/>
    <w:rsid w:val="00C4370B"/>
    <w:rsid w:val="00C47504"/>
    <w:rsid w:val="00C627B6"/>
    <w:rsid w:val="00C62C6F"/>
    <w:rsid w:val="00C632F8"/>
    <w:rsid w:val="00C64257"/>
    <w:rsid w:val="00C642B7"/>
    <w:rsid w:val="00C6552E"/>
    <w:rsid w:val="00C7036B"/>
    <w:rsid w:val="00C710B7"/>
    <w:rsid w:val="00C752A2"/>
    <w:rsid w:val="00C76F7D"/>
    <w:rsid w:val="00C84A37"/>
    <w:rsid w:val="00C90BE3"/>
    <w:rsid w:val="00C95F73"/>
    <w:rsid w:val="00C974D2"/>
    <w:rsid w:val="00C97D2B"/>
    <w:rsid w:val="00CA0B08"/>
    <w:rsid w:val="00CA42AF"/>
    <w:rsid w:val="00CA66F3"/>
    <w:rsid w:val="00CA70BB"/>
    <w:rsid w:val="00CA7375"/>
    <w:rsid w:val="00CB03B4"/>
    <w:rsid w:val="00CB4D60"/>
    <w:rsid w:val="00CB6F00"/>
    <w:rsid w:val="00CC0E46"/>
    <w:rsid w:val="00CC115D"/>
    <w:rsid w:val="00CC3438"/>
    <w:rsid w:val="00CC56B7"/>
    <w:rsid w:val="00CD1E3E"/>
    <w:rsid w:val="00CD3D38"/>
    <w:rsid w:val="00CD5343"/>
    <w:rsid w:val="00CE4245"/>
    <w:rsid w:val="00CE78CB"/>
    <w:rsid w:val="00CE7ED0"/>
    <w:rsid w:val="00CF2849"/>
    <w:rsid w:val="00CF45EF"/>
    <w:rsid w:val="00CF7EEB"/>
    <w:rsid w:val="00D00D61"/>
    <w:rsid w:val="00D03284"/>
    <w:rsid w:val="00D03C10"/>
    <w:rsid w:val="00D03C11"/>
    <w:rsid w:val="00D17A26"/>
    <w:rsid w:val="00D24685"/>
    <w:rsid w:val="00D24833"/>
    <w:rsid w:val="00D27F73"/>
    <w:rsid w:val="00D32140"/>
    <w:rsid w:val="00D34072"/>
    <w:rsid w:val="00D3470A"/>
    <w:rsid w:val="00D34764"/>
    <w:rsid w:val="00D42E2F"/>
    <w:rsid w:val="00D44F01"/>
    <w:rsid w:val="00D461D8"/>
    <w:rsid w:val="00D468B8"/>
    <w:rsid w:val="00D55BFF"/>
    <w:rsid w:val="00D613E3"/>
    <w:rsid w:val="00D62438"/>
    <w:rsid w:val="00D64443"/>
    <w:rsid w:val="00D672D7"/>
    <w:rsid w:val="00D71DFE"/>
    <w:rsid w:val="00D74DA6"/>
    <w:rsid w:val="00D77540"/>
    <w:rsid w:val="00D80F83"/>
    <w:rsid w:val="00D85583"/>
    <w:rsid w:val="00D96588"/>
    <w:rsid w:val="00DA04BB"/>
    <w:rsid w:val="00DA6CBD"/>
    <w:rsid w:val="00DB386D"/>
    <w:rsid w:val="00DD250F"/>
    <w:rsid w:val="00DD292A"/>
    <w:rsid w:val="00DD3655"/>
    <w:rsid w:val="00DD655D"/>
    <w:rsid w:val="00DE1276"/>
    <w:rsid w:val="00DE3858"/>
    <w:rsid w:val="00DE45E1"/>
    <w:rsid w:val="00DE7A07"/>
    <w:rsid w:val="00DF49A5"/>
    <w:rsid w:val="00DF6B9F"/>
    <w:rsid w:val="00E01634"/>
    <w:rsid w:val="00E022E6"/>
    <w:rsid w:val="00E02B91"/>
    <w:rsid w:val="00E129E8"/>
    <w:rsid w:val="00E1675A"/>
    <w:rsid w:val="00E1753F"/>
    <w:rsid w:val="00E2027C"/>
    <w:rsid w:val="00E21E01"/>
    <w:rsid w:val="00E24AE2"/>
    <w:rsid w:val="00E25D48"/>
    <w:rsid w:val="00E265B8"/>
    <w:rsid w:val="00E324FC"/>
    <w:rsid w:val="00E33DC6"/>
    <w:rsid w:val="00E34A88"/>
    <w:rsid w:val="00E361D5"/>
    <w:rsid w:val="00E4167F"/>
    <w:rsid w:val="00E4781E"/>
    <w:rsid w:val="00E50717"/>
    <w:rsid w:val="00E50B7E"/>
    <w:rsid w:val="00E56389"/>
    <w:rsid w:val="00E601B8"/>
    <w:rsid w:val="00E65450"/>
    <w:rsid w:val="00E663F9"/>
    <w:rsid w:val="00E6776E"/>
    <w:rsid w:val="00E7020B"/>
    <w:rsid w:val="00E717CF"/>
    <w:rsid w:val="00E726EB"/>
    <w:rsid w:val="00E762D6"/>
    <w:rsid w:val="00E76749"/>
    <w:rsid w:val="00E81424"/>
    <w:rsid w:val="00E86F02"/>
    <w:rsid w:val="00E87908"/>
    <w:rsid w:val="00E922EE"/>
    <w:rsid w:val="00E9239C"/>
    <w:rsid w:val="00E93BB9"/>
    <w:rsid w:val="00EA095B"/>
    <w:rsid w:val="00EA5884"/>
    <w:rsid w:val="00EB09B1"/>
    <w:rsid w:val="00EB13B2"/>
    <w:rsid w:val="00EB5278"/>
    <w:rsid w:val="00EB5BDB"/>
    <w:rsid w:val="00EC1F9D"/>
    <w:rsid w:val="00ED3CCE"/>
    <w:rsid w:val="00ED5EE2"/>
    <w:rsid w:val="00EE2BD0"/>
    <w:rsid w:val="00EE2C10"/>
    <w:rsid w:val="00EE2EB4"/>
    <w:rsid w:val="00EE4B34"/>
    <w:rsid w:val="00EF42E4"/>
    <w:rsid w:val="00EF432F"/>
    <w:rsid w:val="00EF6781"/>
    <w:rsid w:val="00EF6C97"/>
    <w:rsid w:val="00EF7517"/>
    <w:rsid w:val="00EF76B5"/>
    <w:rsid w:val="00F00146"/>
    <w:rsid w:val="00F021EB"/>
    <w:rsid w:val="00F02DC3"/>
    <w:rsid w:val="00F047A3"/>
    <w:rsid w:val="00F11350"/>
    <w:rsid w:val="00F15E27"/>
    <w:rsid w:val="00F21549"/>
    <w:rsid w:val="00F2749A"/>
    <w:rsid w:val="00F30284"/>
    <w:rsid w:val="00F30871"/>
    <w:rsid w:val="00F34E57"/>
    <w:rsid w:val="00F3713D"/>
    <w:rsid w:val="00F42E3F"/>
    <w:rsid w:val="00F55F9B"/>
    <w:rsid w:val="00F65149"/>
    <w:rsid w:val="00F66D84"/>
    <w:rsid w:val="00F670E7"/>
    <w:rsid w:val="00F674D1"/>
    <w:rsid w:val="00F719AD"/>
    <w:rsid w:val="00F75C6B"/>
    <w:rsid w:val="00F7688B"/>
    <w:rsid w:val="00F779A5"/>
    <w:rsid w:val="00F812C3"/>
    <w:rsid w:val="00F82F9E"/>
    <w:rsid w:val="00F84611"/>
    <w:rsid w:val="00F86C03"/>
    <w:rsid w:val="00F90561"/>
    <w:rsid w:val="00F90861"/>
    <w:rsid w:val="00F95E27"/>
    <w:rsid w:val="00FA139E"/>
    <w:rsid w:val="00FA3025"/>
    <w:rsid w:val="00FA3213"/>
    <w:rsid w:val="00FA6561"/>
    <w:rsid w:val="00FA7DE8"/>
    <w:rsid w:val="00FB2716"/>
    <w:rsid w:val="00FC30B4"/>
    <w:rsid w:val="00FD0E9C"/>
    <w:rsid w:val="00FD2076"/>
    <w:rsid w:val="00FD48FD"/>
    <w:rsid w:val="00FD54AB"/>
    <w:rsid w:val="00FE7D4E"/>
    <w:rsid w:val="00FF0346"/>
    <w:rsid w:val="00FF0832"/>
    <w:rsid w:val="013F4BCB"/>
    <w:rsid w:val="017F3547"/>
    <w:rsid w:val="01C56AEE"/>
    <w:rsid w:val="03062D2F"/>
    <w:rsid w:val="03E97CD4"/>
    <w:rsid w:val="04784101"/>
    <w:rsid w:val="05147537"/>
    <w:rsid w:val="05AB05FF"/>
    <w:rsid w:val="05FB2786"/>
    <w:rsid w:val="06083D64"/>
    <w:rsid w:val="06384302"/>
    <w:rsid w:val="06DB5D76"/>
    <w:rsid w:val="0709709F"/>
    <w:rsid w:val="074835EA"/>
    <w:rsid w:val="075953B9"/>
    <w:rsid w:val="07AA42D8"/>
    <w:rsid w:val="07DA3640"/>
    <w:rsid w:val="0803625D"/>
    <w:rsid w:val="083E3C0C"/>
    <w:rsid w:val="08486435"/>
    <w:rsid w:val="085F3CA2"/>
    <w:rsid w:val="086E77F0"/>
    <w:rsid w:val="089963F4"/>
    <w:rsid w:val="09060932"/>
    <w:rsid w:val="09165133"/>
    <w:rsid w:val="097053A7"/>
    <w:rsid w:val="098D7D07"/>
    <w:rsid w:val="0A654A44"/>
    <w:rsid w:val="0CD83A6E"/>
    <w:rsid w:val="0CDC341A"/>
    <w:rsid w:val="0CEA63A6"/>
    <w:rsid w:val="0EF6471B"/>
    <w:rsid w:val="0F040A6B"/>
    <w:rsid w:val="0F1606AD"/>
    <w:rsid w:val="106E6569"/>
    <w:rsid w:val="11A21882"/>
    <w:rsid w:val="12313C64"/>
    <w:rsid w:val="1275376E"/>
    <w:rsid w:val="128D4874"/>
    <w:rsid w:val="12C14EC5"/>
    <w:rsid w:val="13820713"/>
    <w:rsid w:val="142413F4"/>
    <w:rsid w:val="151E65FF"/>
    <w:rsid w:val="1584481C"/>
    <w:rsid w:val="158E5532"/>
    <w:rsid w:val="16F74C7C"/>
    <w:rsid w:val="1745083A"/>
    <w:rsid w:val="176A5B2B"/>
    <w:rsid w:val="176E6BED"/>
    <w:rsid w:val="17BB1293"/>
    <w:rsid w:val="1875714B"/>
    <w:rsid w:val="188C2709"/>
    <w:rsid w:val="18B47C62"/>
    <w:rsid w:val="18F21AE9"/>
    <w:rsid w:val="19094ED0"/>
    <w:rsid w:val="195306F5"/>
    <w:rsid w:val="199505BC"/>
    <w:rsid w:val="1A1558FF"/>
    <w:rsid w:val="1AF35E0A"/>
    <w:rsid w:val="1B3D7A23"/>
    <w:rsid w:val="1B476371"/>
    <w:rsid w:val="1C1147C7"/>
    <w:rsid w:val="1C625023"/>
    <w:rsid w:val="1C71116B"/>
    <w:rsid w:val="1D0F6BF6"/>
    <w:rsid w:val="1DB74BBC"/>
    <w:rsid w:val="1DB91E36"/>
    <w:rsid w:val="1E4224D1"/>
    <w:rsid w:val="1E426EBA"/>
    <w:rsid w:val="21360402"/>
    <w:rsid w:val="21762695"/>
    <w:rsid w:val="22506D85"/>
    <w:rsid w:val="22FD7853"/>
    <w:rsid w:val="239D7097"/>
    <w:rsid w:val="23EA6DB1"/>
    <w:rsid w:val="23FD1E43"/>
    <w:rsid w:val="24877D1C"/>
    <w:rsid w:val="24973CD7"/>
    <w:rsid w:val="250A26FB"/>
    <w:rsid w:val="25450D82"/>
    <w:rsid w:val="25AF0E30"/>
    <w:rsid w:val="25DA20CE"/>
    <w:rsid w:val="26317AE3"/>
    <w:rsid w:val="264E03C6"/>
    <w:rsid w:val="26AC7485"/>
    <w:rsid w:val="26CA3EF0"/>
    <w:rsid w:val="28537F15"/>
    <w:rsid w:val="28A322AF"/>
    <w:rsid w:val="29BE0B4E"/>
    <w:rsid w:val="29C72969"/>
    <w:rsid w:val="2A147736"/>
    <w:rsid w:val="2B165956"/>
    <w:rsid w:val="2B960845"/>
    <w:rsid w:val="2BC86D6F"/>
    <w:rsid w:val="2C2B4EC9"/>
    <w:rsid w:val="2CB05936"/>
    <w:rsid w:val="2D3277B7"/>
    <w:rsid w:val="2D847999"/>
    <w:rsid w:val="2E555031"/>
    <w:rsid w:val="2E8402B7"/>
    <w:rsid w:val="2EF44200"/>
    <w:rsid w:val="2EF9798D"/>
    <w:rsid w:val="302848BB"/>
    <w:rsid w:val="3065541B"/>
    <w:rsid w:val="308D19DE"/>
    <w:rsid w:val="30B71989"/>
    <w:rsid w:val="30F1651D"/>
    <w:rsid w:val="312132A7"/>
    <w:rsid w:val="31606B28"/>
    <w:rsid w:val="31D216DD"/>
    <w:rsid w:val="31DE4CF4"/>
    <w:rsid w:val="32910260"/>
    <w:rsid w:val="33031699"/>
    <w:rsid w:val="332B21BB"/>
    <w:rsid w:val="33B57872"/>
    <w:rsid w:val="34B306BA"/>
    <w:rsid w:val="34D42FE2"/>
    <w:rsid w:val="35891A89"/>
    <w:rsid w:val="361433DA"/>
    <w:rsid w:val="364D1A9A"/>
    <w:rsid w:val="36A06F21"/>
    <w:rsid w:val="36E77DD6"/>
    <w:rsid w:val="3739370B"/>
    <w:rsid w:val="37E64902"/>
    <w:rsid w:val="38044D88"/>
    <w:rsid w:val="380C1794"/>
    <w:rsid w:val="382D2531"/>
    <w:rsid w:val="392B32DA"/>
    <w:rsid w:val="395C1320"/>
    <w:rsid w:val="39CE0CE0"/>
    <w:rsid w:val="39DD09CA"/>
    <w:rsid w:val="3A53327A"/>
    <w:rsid w:val="3AC901BE"/>
    <w:rsid w:val="3B316923"/>
    <w:rsid w:val="3B5564D5"/>
    <w:rsid w:val="3B863123"/>
    <w:rsid w:val="3B883ED9"/>
    <w:rsid w:val="3C913354"/>
    <w:rsid w:val="3DE571F8"/>
    <w:rsid w:val="3E031B5F"/>
    <w:rsid w:val="3E5757FF"/>
    <w:rsid w:val="3E7123C8"/>
    <w:rsid w:val="3F310445"/>
    <w:rsid w:val="408F7768"/>
    <w:rsid w:val="415842BC"/>
    <w:rsid w:val="4286479B"/>
    <w:rsid w:val="42C972FA"/>
    <w:rsid w:val="42D02437"/>
    <w:rsid w:val="433E4F84"/>
    <w:rsid w:val="43665CF7"/>
    <w:rsid w:val="439146DC"/>
    <w:rsid w:val="45320228"/>
    <w:rsid w:val="453E7722"/>
    <w:rsid w:val="46273108"/>
    <w:rsid w:val="46793364"/>
    <w:rsid w:val="46BD27A4"/>
    <w:rsid w:val="46DB37C1"/>
    <w:rsid w:val="4755091C"/>
    <w:rsid w:val="4760218C"/>
    <w:rsid w:val="48280C73"/>
    <w:rsid w:val="485338EE"/>
    <w:rsid w:val="49AD2DFB"/>
    <w:rsid w:val="4A315EB1"/>
    <w:rsid w:val="4B151320"/>
    <w:rsid w:val="4B322B9C"/>
    <w:rsid w:val="4CD44E47"/>
    <w:rsid w:val="4CF66F3E"/>
    <w:rsid w:val="4D3D691B"/>
    <w:rsid w:val="4D5048A0"/>
    <w:rsid w:val="4D605FFE"/>
    <w:rsid w:val="4D7F7D7C"/>
    <w:rsid w:val="4DB239A2"/>
    <w:rsid w:val="4E154A40"/>
    <w:rsid w:val="4E5E5BDC"/>
    <w:rsid w:val="4EC33C41"/>
    <w:rsid w:val="500759B3"/>
    <w:rsid w:val="50F87728"/>
    <w:rsid w:val="513454B5"/>
    <w:rsid w:val="51C738E0"/>
    <w:rsid w:val="51CB2747"/>
    <w:rsid w:val="51D1768D"/>
    <w:rsid w:val="526806C6"/>
    <w:rsid w:val="5268268C"/>
    <w:rsid w:val="52DF02BC"/>
    <w:rsid w:val="541303D5"/>
    <w:rsid w:val="54703E91"/>
    <w:rsid w:val="548336FC"/>
    <w:rsid w:val="551D09EA"/>
    <w:rsid w:val="555427F3"/>
    <w:rsid w:val="559E451C"/>
    <w:rsid w:val="55A2097F"/>
    <w:rsid w:val="565A05B8"/>
    <w:rsid w:val="56953069"/>
    <w:rsid w:val="57731C05"/>
    <w:rsid w:val="58824522"/>
    <w:rsid w:val="59497ED1"/>
    <w:rsid w:val="59875AED"/>
    <w:rsid w:val="5A227EAF"/>
    <w:rsid w:val="5B861030"/>
    <w:rsid w:val="5B982953"/>
    <w:rsid w:val="5BD27DB6"/>
    <w:rsid w:val="5C5B0B6B"/>
    <w:rsid w:val="5D650D7B"/>
    <w:rsid w:val="5DAE20FD"/>
    <w:rsid w:val="5DEA1E80"/>
    <w:rsid w:val="5E0129B5"/>
    <w:rsid w:val="5E075281"/>
    <w:rsid w:val="5EA04F5B"/>
    <w:rsid w:val="5ED6097D"/>
    <w:rsid w:val="5FA02679"/>
    <w:rsid w:val="608756C3"/>
    <w:rsid w:val="60C01B53"/>
    <w:rsid w:val="60DD4908"/>
    <w:rsid w:val="615D4CB6"/>
    <w:rsid w:val="617C1CB0"/>
    <w:rsid w:val="626E092C"/>
    <w:rsid w:val="6282217E"/>
    <w:rsid w:val="63FA3360"/>
    <w:rsid w:val="64813139"/>
    <w:rsid w:val="64942E6C"/>
    <w:rsid w:val="64975779"/>
    <w:rsid w:val="64EB6FA5"/>
    <w:rsid w:val="66E17C2D"/>
    <w:rsid w:val="67075144"/>
    <w:rsid w:val="67D839B8"/>
    <w:rsid w:val="688F6C5D"/>
    <w:rsid w:val="68D601C5"/>
    <w:rsid w:val="68E01595"/>
    <w:rsid w:val="691A74A2"/>
    <w:rsid w:val="692D42A9"/>
    <w:rsid w:val="69894F6A"/>
    <w:rsid w:val="6A427A19"/>
    <w:rsid w:val="6A626160"/>
    <w:rsid w:val="6B2B3DFF"/>
    <w:rsid w:val="6B7E4876"/>
    <w:rsid w:val="6BA3608B"/>
    <w:rsid w:val="6BB36C8E"/>
    <w:rsid w:val="6BD77346"/>
    <w:rsid w:val="6C81770F"/>
    <w:rsid w:val="6CA4030D"/>
    <w:rsid w:val="6E5A2AFA"/>
    <w:rsid w:val="6ECC408E"/>
    <w:rsid w:val="6FC22F83"/>
    <w:rsid w:val="70716758"/>
    <w:rsid w:val="71A87F57"/>
    <w:rsid w:val="72307C29"/>
    <w:rsid w:val="726B462F"/>
    <w:rsid w:val="72FA6ED8"/>
    <w:rsid w:val="73011207"/>
    <w:rsid w:val="73AF34AE"/>
    <w:rsid w:val="747744C8"/>
    <w:rsid w:val="76595CC4"/>
    <w:rsid w:val="76ED02DC"/>
    <w:rsid w:val="777F5890"/>
    <w:rsid w:val="7783749C"/>
    <w:rsid w:val="778D7399"/>
    <w:rsid w:val="77FD2FC4"/>
    <w:rsid w:val="785456B7"/>
    <w:rsid w:val="78561DD2"/>
    <w:rsid w:val="786D7266"/>
    <w:rsid w:val="7964199B"/>
    <w:rsid w:val="7A277702"/>
    <w:rsid w:val="7A3903C5"/>
    <w:rsid w:val="7A4F1CFE"/>
    <w:rsid w:val="7B5F0594"/>
    <w:rsid w:val="7B9202C3"/>
    <w:rsid w:val="7BBF6A9A"/>
    <w:rsid w:val="7C1E6BD3"/>
    <w:rsid w:val="7CA119F1"/>
    <w:rsid w:val="7DA765E4"/>
    <w:rsid w:val="7E503E50"/>
    <w:rsid w:val="7EA71F32"/>
    <w:rsid w:val="7F651B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3"/>
    <w:basedOn w:val="1"/>
    <w:next w:val="1"/>
    <w:link w:val="24"/>
    <w:qFormat/>
    <w:uiPriority w:val="9"/>
    <w:pPr>
      <w:keepNext/>
      <w:keepLines/>
      <w:spacing w:before="260" w:after="260" w:line="416" w:lineRule="auto"/>
      <w:jc w:val="both"/>
      <w:outlineLvl w:val="2"/>
    </w:pPr>
    <w:rPr>
      <w:rFonts w:ascii="Times New Roman" w:hAnsi="Times New Roman" w:eastAsia="宋体" w:cs="Times New Roman"/>
      <w:b/>
      <w:bCs/>
      <w:sz w:val="32"/>
      <w:szCs w:val="32"/>
      <w14:ligatures w14:val="none"/>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link w:val="23"/>
    <w:qFormat/>
    <w:uiPriority w:val="99"/>
    <w:pPr>
      <w:spacing w:after="0" w:line="240" w:lineRule="auto"/>
      <w:ind w:firstLine="420" w:firstLineChars="200"/>
      <w:jc w:val="both"/>
    </w:pPr>
    <w:rPr>
      <w:rFonts w:ascii="Times New Roman" w:hAnsi="Times New Roman" w:eastAsia="宋体" w:cs="Times New Roman"/>
      <w:sz w:val="21"/>
      <w:szCs w:val="20"/>
      <w14:ligatures w14:val="none"/>
    </w:rPr>
  </w:style>
  <w:style w:type="paragraph" w:styleId="4">
    <w:name w:val="annotation text"/>
    <w:basedOn w:val="1"/>
    <w:link w:val="35"/>
    <w:semiHidden/>
    <w:unhideWhenUsed/>
    <w:qFormat/>
    <w:uiPriority w:val="99"/>
  </w:style>
  <w:style w:type="paragraph" w:styleId="5">
    <w:name w:val="Body Text"/>
    <w:basedOn w:val="1"/>
    <w:link w:val="30"/>
    <w:qFormat/>
    <w:uiPriority w:val="0"/>
    <w:pPr>
      <w:spacing w:after="120" w:line="240" w:lineRule="auto"/>
      <w:jc w:val="both"/>
    </w:pPr>
    <w:rPr>
      <w:rFonts w:ascii="Times New Roman" w:hAnsi="Times New Roman" w:eastAsia="宋体" w:cs="Times New Roman"/>
      <w:sz w:val="21"/>
      <w14:ligatures w14:val="none"/>
    </w:rPr>
  </w:style>
  <w:style w:type="paragraph" w:styleId="6">
    <w:name w:val="Plain Text"/>
    <w:basedOn w:val="1"/>
    <w:unhideWhenUsed/>
    <w:qFormat/>
    <w:uiPriority w:val="99"/>
    <w:rPr>
      <w:rFonts w:ascii="宋体" w:hAnsi="Courier New" w:cs="Courier New"/>
      <w:szCs w:val="21"/>
    </w:rPr>
  </w:style>
  <w:style w:type="paragraph" w:styleId="7">
    <w:name w:val="Date"/>
    <w:basedOn w:val="1"/>
    <w:next w:val="1"/>
    <w:link w:val="31"/>
    <w:semiHidden/>
    <w:unhideWhenUsed/>
    <w:qFormat/>
    <w:uiPriority w:val="99"/>
    <w:pPr>
      <w:ind w:left="100" w:leftChars="2500"/>
    </w:pPr>
  </w:style>
  <w:style w:type="paragraph" w:styleId="8">
    <w:name w:val="Body Text Indent 2"/>
    <w:basedOn w:val="1"/>
    <w:link w:val="32"/>
    <w:semiHidden/>
    <w:unhideWhenUsed/>
    <w:qFormat/>
    <w:uiPriority w:val="99"/>
    <w:pPr>
      <w:spacing w:after="120" w:line="480" w:lineRule="auto"/>
      <w:ind w:left="420" w:leftChars="200"/>
    </w:pPr>
  </w:style>
  <w:style w:type="paragraph" w:styleId="9">
    <w:name w:val="footer"/>
    <w:basedOn w:val="1"/>
    <w:next w:val="6"/>
    <w:link w:val="20"/>
    <w:unhideWhenUsed/>
    <w:qFormat/>
    <w:uiPriority w:val="99"/>
    <w:pPr>
      <w:tabs>
        <w:tab w:val="center" w:pos="4153"/>
        <w:tab w:val="right" w:pos="8306"/>
      </w:tabs>
      <w:snapToGrid w:val="0"/>
      <w:spacing w:line="240" w:lineRule="auto"/>
    </w:pPr>
    <w:rPr>
      <w:sz w:val="18"/>
      <w:szCs w:val="18"/>
    </w:rPr>
  </w:style>
  <w:style w:type="paragraph" w:styleId="10">
    <w:name w:val="header"/>
    <w:basedOn w:val="1"/>
    <w:link w:val="19"/>
    <w:unhideWhenUsed/>
    <w:qFormat/>
    <w:uiPriority w:val="99"/>
    <w:pPr>
      <w:tabs>
        <w:tab w:val="center" w:pos="4153"/>
        <w:tab w:val="right" w:pos="8306"/>
      </w:tabs>
      <w:snapToGrid w:val="0"/>
      <w:spacing w:line="240" w:lineRule="auto"/>
      <w:jc w:val="center"/>
    </w:pPr>
    <w:rPr>
      <w:sz w:val="18"/>
      <w:szCs w:val="18"/>
    </w:rPr>
  </w:style>
  <w:style w:type="paragraph" w:styleId="11">
    <w:name w:val="toc 1"/>
    <w:basedOn w:val="1"/>
    <w:next w:val="1"/>
    <w:autoRedefine/>
    <w:unhideWhenUsed/>
    <w:qFormat/>
    <w:uiPriority w:val="39"/>
    <w:pPr>
      <w:tabs>
        <w:tab w:val="right" w:leader="dot" w:pos="9174"/>
      </w:tabs>
      <w:spacing w:after="0" w:line="240" w:lineRule="auto"/>
      <w:jc w:val="both"/>
    </w:pPr>
    <w:rPr>
      <w:rFonts w:ascii="Times New Roman" w:hAnsi="Times New Roman" w:eastAsia="黑体"/>
      <w:b/>
      <w:bCs/>
      <w:sz w:val="28"/>
    </w:rPr>
  </w:style>
  <w:style w:type="paragraph" w:styleId="12">
    <w:name w:val="toc 2"/>
    <w:basedOn w:val="1"/>
    <w:next w:val="1"/>
    <w:autoRedefine/>
    <w:unhideWhenUsed/>
    <w:qFormat/>
    <w:uiPriority w:val="39"/>
    <w:pPr>
      <w:ind w:left="420" w:leftChars="200"/>
    </w:pPr>
  </w:style>
  <w:style w:type="paragraph" w:styleId="13">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4">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16">
    <w:name w:val="Table Grid"/>
    <w:basedOn w:val="15"/>
    <w:qFormat/>
    <w:uiPriority w:val="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Hyperlink"/>
    <w:basedOn w:val="17"/>
    <w:unhideWhenUsed/>
    <w:qFormat/>
    <w:uiPriority w:val="99"/>
    <w:rPr>
      <w:color w:val="467886" w:themeColor="hyperlink"/>
      <w:u w:val="single"/>
      <w14:textFill>
        <w14:solidFill>
          <w14:schemeClr w14:val="hlink"/>
        </w14:solidFill>
      </w14:textFill>
    </w:rPr>
  </w:style>
  <w:style w:type="character" w:customStyle="1" w:styleId="19">
    <w:name w:val="页眉 字符"/>
    <w:basedOn w:val="17"/>
    <w:link w:val="10"/>
    <w:qFormat/>
    <w:uiPriority w:val="99"/>
    <w:rPr>
      <w:sz w:val="18"/>
      <w:szCs w:val="18"/>
    </w:rPr>
  </w:style>
  <w:style w:type="character" w:customStyle="1" w:styleId="20">
    <w:name w:val="页脚 字符"/>
    <w:basedOn w:val="17"/>
    <w:link w:val="9"/>
    <w:qFormat/>
    <w:uiPriority w:val="99"/>
    <w:rPr>
      <w:sz w:val="18"/>
      <w:szCs w:val="18"/>
    </w:rPr>
  </w:style>
  <w:style w:type="paragraph" w:customStyle="1" w:styleId="21">
    <w:name w:val="正文1"/>
    <w:basedOn w:val="1"/>
    <w:link w:val="22"/>
    <w:qFormat/>
    <w:uiPriority w:val="0"/>
    <w:pPr>
      <w:spacing w:after="0" w:line="360" w:lineRule="auto"/>
      <w:ind w:firstLine="200" w:firstLineChars="200"/>
      <w:jc w:val="both"/>
    </w:pPr>
    <w:rPr>
      <w:rFonts w:ascii="Times New Roman" w:hAnsi="Times New Roman" w:eastAsia="宋体"/>
      <w:sz w:val="28"/>
    </w:rPr>
  </w:style>
  <w:style w:type="character" w:customStyle="1" w:styleId="22">
    <w:name w:val="正文1 字符"/>
    <w:basedOn w:val="17"/>
    <w:link w:val="21"/>
    <w:qFormat/>
    <w:uiPriority w:val="0"/>
    <w:rPr>
      <w:rFonts w:ascii="Times New Roman" w:hAnsi="Times New Roman" w:eastAsia="宋体"/>
      <w:sz w:val="28"/>
    </w:rPr>
  </w:style>
  <w:style w:type="character" w:customStyle="1" w:styleId="23">
    <w:name w:val="正文缩进 字符"/>
    <w:link w:val="3"/>
    <w:qFormat/>
    <w:uiPriority w:val="99"/>
    <w:rPr>
      <w:rFonts w:ascii="Times New Roman" w:hAnsi="Times New Roman" w:eastAsia="宋体" w:cs="Times New Roman"/>
      <w:sz w:val="21"/>
      <w:szCs w:val="20"/>
      <w14:ligatures w14:val="none"/>
    </w:rPr>
  </w:style>
  <w:style w:type="character" w:customStyle="1" w:styleId="24">
    <w:name w:val="标题 3 字符"/>
    <w:basedOn w:val="17"/>
    <w:link w:val="2"/>
    <w:qFormat/>
    <w:uiPriority w:val="9"/>
    <w:rPr>
      <w:rFonts w:ascii="Times New Roman" w:hAnsi="Times New Roman" w:eastAsia="宋体" w:cs="Times New Roman"/>
      <w:b/>
      <w:bCs/>
      <w:sz w:val="32"/>
      <w:szCs w:val="32"/>
      <w14:ligatures w14:val="none"/>
    </w:rPr>
  </w:style>
  <w:style w:type="table" w:customStyle="1" w:styleId="25">
    <w:name w:val="Table Normal"/>
    <w:semiHidden/>
    <w:unhideWhenUsed/>
    <w:qFormat/>
    <w:uiPriority w:val="2"/>
    <w:pPr>
      <w:widowControl w:val="0"/>
      <w:autoSpaceDE w:val="0"/>
      <w:autoSpaceDN w:val="0"/>
      <w:spacing w:after="0" w:line="240" w:lineRule="auto"/>
    </w:pPr>
    <w:rPr>
      <w:kern w:val="0"/>
      <w:szCs w:val="22"/>
      <w:lang w:eastAsia="en-US"/>
      <w14:ligatures w14:val="none"/>
    </w:rPr>
    <w:tblPr>
      <w:tblCellMar>
        <w:top w:w="0" w:type="dxa"/>
        <w:left w:w="0" w:type="dxa"/>
        <w:bottom w:w="0" w:type="dxa"/>
        <w:right w:w="0" w:type="dxa"/>
      </w:tblCellMar>
    </w:tblPr>
  </w:style>
  <w:style w:type="paragraph" w:customStyle="1" w:styleId="26">
    <w:name w:val="Table Paragraph"/>
    <w:basedOn w:val="1"/>
    <w:qFormat/>
    <w:uiPriority w:val="1"/>
    <w:pPr>
      <w:autoSpaceDE w:val="0"/>
      <w:autoSpaceDN w:val="0"/>
      <w:spacing w:after="0" w:line="240" w:lineRule="auto"/>
    </w:pPr>
    <w:rPr>
      <w:rFonts w:ascii="宋体" w:hAnsi="宋体" w:eastAsia="宋体" w:cs="宋体"/>
      <w:kern w:val="0"/>
      <w:szCs w:val="22"/>
      <w:lang w:val="zh-CN" w:bidi="zh-CN"/>
      <w14:ligatures w14:val="none"/>
    </w:rPr>
  </w:style>
  <w:style w:type="paragraph" w:styleId="27">
    <w:name w:val="List Paragraph"/>
    <w:basedOn w:val="1"/>
    <w:qFormat/>
    <w:uiPriority w:val="34"/>
    <w:pPr>
      <w:ind w:firstLine="420" w:firstLineChars="200"/>
    </w:pPr>
  </w:style>
  <w:style w:type="character" w:customStyle="1" w:styleId="28">
    <w:name w:val="正文缩进 字符1"/>
    <w:qFormat/>
    <w:uiPriority w:val="99"/>
    <w:rPr>
      <w:rFonts w:eastAsia="宋体"/>
      <w:kern w:val="2"/>
      <w:sz w:val="21"/>
      <w:lang w:val="en-US" w:eastAsia="zh-CN" w:bidi="ar-SA"/>
    </w:rPr>
  </w:style>
  <w:style w:type="character" w:customStyle="1" w:styleId="29">
    <w:name w:val="正文文本 字符"/>
    <w:basedOn w:val="17"/>
    <w:semiHidden/>
    <w:qFormat/>
    <w:uiPriority w:val="99"/>
  </w:style>
  <w:style w:type="character" w:customStyle="1" w:styleId="30">
    <w:name w:val="正文文本 字符1"/>
    <w:link w:val="5"/>
    <w:qFormat/>
    <w:uiPriority w:val="0"/>
    <w:rPr>
      <w:rFonts w:ascii="Times New Roman" w:hAnsi="Times New Roman" w:eastAsia="宋体" w:cs="Times New Roman"/>
      <w:sz w:val="21"/>
      <w14:ligatures w14:val="none"/>
    </w:rPr>
  </w:style>
  <w:style w:type="character" w:customStyle="1" w:styleId="31">
    <w:name w:val="日期 字符"/>
    <w:basedOn w:val="17"/>
    <w:link w:val="7"/>
    <w:semiHidden/>
    <w:qFormat/>
    <w:uiPriority w:val="99"/>
  </w:style>
  <w:style w:type="character" w:customStyle="1" w:styleId="32">
    <w:name w:val="正文文本缩进 2 字符"/>
    <w:basedOn w:val="17"/>
    <w:link w:val="8"/>
    <w:semiHidden/>
    <w:qFormat/>
    <w:uiPriority w:val="99"/>
  </w:style>
  <w:style w:type="paragraph" w:customStyle="1" w:styleId="33">
    <w:name w:val="形状格式文本框"/>
    <w:basedOn w:val="21"/>
    <w:link w:val="34"/>
    <w:qFormat/>
    <w:uiPriority w:val="0"/>
    <w:pPr>
      <w:spacing w:line="240" w:lineRule="auto"/>
      <w:ind w:firstLine="0" w:firstLineChars="0"/>
      <w:jc w:val="left"/>
    </w:pPr>
    <w:rPr>
      <w:sz w:val="21"/>
    </w:rPr>
  </w:style>
  <w:style w:type="character" w:customStyle="1" w:styleId="34">
    <w:name w:val="形状格式文本框 字符"/>
    <w:basedOn w:val="22"/>
    <w:link w:val="33"/>
    <w:qFormat/>
    <w:uiPriority w:val="0"/>
    <w:rPr>
      <w:rFonts w:ascii="Times New Roman" w:hAnsi="Times New Roman" w:eastAsia="宋体"/>
      <w:sz w:val="21"/>
    </w:rPr>
  </w:style>
  <w:style w:type="character" w:customStyle="1" w:styleId="35">
    <w:name w:val="批注文字 字符"/>
    <w:basedOn w:val="17"/>
    <w:link w:val="4"/>
    <w:semiHidden/>
    <w:qFormat/>
    <w:uiPriority w:val="99"/>
  </w:style>
  <w:style w:type="paragraph" w:customStyle="1" w:styleId="36">
    <w:name w:val="Table Text"/>
    <w:basedOn w:val="1"/>
    <w:semiHidden/>
    <w:qFormat/>
    <w:uiPriority w:val="0"/>
    <w:rPr>
      <w:rFonts w:ascii="宋体" w:hAnsi="宋体" w:eastAsia="宋体" w:cs="宋体"/>
      <w:sz w:val="20"/>
      <w:szCs w:val="20"/>
      <w:lang w:val="en-US" w:eastAsia="en-US" w:bidi="ar-SA"/>
    </w:rPr>
  </w:style>
  <w:style w:type="character" w:customStyle="1" w:styleId="37">
    <w:name w:val="DefaultFontStyle"/>
    <w:qFormat/>
    <w:uiPriority w:val="0"/>
  </w:style>
  <w:style w:type="paragraph" w:customStyle="1" w:styleId="38">
    <w:name w:val="宋体小四正文（首行缩进）"/>
    <w:basedOn w:val="1"/>
    <w:qFormat/>
    <w:uiPriority w:val="0"/>
    <w:pPr>
      <w:spacing w:line="360" w:lineRule="auto"/>
      <w:ind w:firstLine="480" w:firstLineChars="200"/>
    </w:pPr>
    <w:rPr>
      <w:rFonts w:ascii="仿宋" w:hAnsi="仿宋" w:eastAsia="宋体"/>
      <w:sz w:val="24"/>
      <w:szCs w:val="24"/>
    </w:rPr>
  </w:style>
  <w:style w:type="character" w:customStyle="1" w:styleId="39">
    <w:name w:val="zw1"/>
    <w:qFormat/>
    <w:uiPriority w:val="0"/>
    <w:rPr>
      <w:rFonts w:hint="eastAsia" w:ascii="宋体" w:hAnsi="宋体" w:eastAsia="宋体"/>
      <w:sz w:val="22"/>
      <w:szCs w:val="22"/>
    </w:rPr>
  </w:style>
  <w:style w:type="paragraph" w:customStyle="1" w:styleId="40">
    <w:name w:val="zw"/>
    <w:basedOn w:val="1"/>
    <w:qFormat/>
    <w:uiPriority w:val="0"/>
    <w:pPr>
      <w:widowControl/>
      <w:spacing w:before="100" w:beforeAutospacing="1" w:after="100" w:afterAutospacing="1" w:line="440" w:lineRule="atLeast"/>
      <w:jc w:val="left"/>
    </w:pPr>
    <w:rPr>
      <w:rFonts w:ascii="宋体" w:hAnsi="宋体" w:cs="宋体"/>
      <w:kern w:val="0"/>
      <w:sz w:val="22"/>
      <w:szCs w:val="22"/>
    </w:rPr>
  </w:style>
  <w:style w:type="table" w:customStyle="1" w:styleId="41">
    <w:name w:val="网格型1"/>
    <w:basedOn w:val="15"/>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2">
    <w:name w:val="10"/>
    <w:next w:val="27"/>
    <w:qFormat/>
    <w:uiPriority w:val="34"/>
    <w:pPr>
      <w:widowControl/>
      <w:ind w:left="720"/>
      <w:contextualSpacing/>
      <w:jc w:val="left"/>
    </w:pPr>
    <w:rPr>
      <w:rFonts w:ascii="Calibri" w:hAnsi="Calibri" w:eastAsia="宋体" w:cs="Times New Roman"/>
      <w:kern w:val="0"/>
      <w:sz w:val="24"/>
      <w:szCs w:val="24"/>
      <w:lang w:val="en-US" w:eastAsia="en-US" w:bidi="en-US"/>
    </w:rPr>
  </w:style>
  <w:style w:type="table" w:customStyle="1" w:styleId="43">
    <w:name w:val="网格型4"/>
    <w:qFormat/>
    <w:uiPriority w:val="0"/>
    <w:pPr>
      <w:widowControl w:val="0"/>
      <w:adjustRightInd w:val="0"/>
      <w:spacing w:line="360" w:lineRule="auto"/>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FB70B2-FE0B-4782-8FD2-C5F72E76DF28}">
  <ds:schemaRefs/>
</ds:datastoreItem>
</file>

<file path=docProps/app.xml><?xml version="1.0" encoding="utf-8"?>
<Properties xmlns="http://schemas.openxmlformats.org/officeDocument/2006/extended-properties" xmlns:vt="http://schemas.openxmlformats.org/officeDocument/2006/docPropsVTypes">
  <Template>Normal</Template>
  <Pages>103</Pages>
  <Words>10445</Words>
  <Characters>12537</Characters>
  <Lines>1</Lines>
  <Paragraphs>1</Paragraphs>
  <TotalTime>1</TotalTime>
  <ScaleCrop>false</ScaleCrop>
  <LinksUpToDate>false</LinksUpToDate>
  <CharactersWithSpaces>13378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2024-10-25T08:17:00Z</dcterms:created>
  <dc:creator>Administrator</dc:creator>
  <cp:lastModifiedBy>佟城城</cp:lastModifiedBy>
  <cp:lastPrinted>2024-10-23T07:23:00Z</cp:lastPrinted>
  <dcterms:modified xsi:type="dcterms:W3CDTF">2026-07-07T07:31:00Z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eyJoZGlkIjoiZmI1ZjZjZjUxY2I0MGFlNzkwYTRmOGE2YjZlY2UwNzMiLCJ1c2VySWQiOiI4NzY5MTEwNzQifQ==</vt:lpwstr>
  </property>
  <property fmtid="{D5CDD505-2E9C-101B-9397-08002B2CF9AE}" pid="3" name="KSOProductBuildVer">
    <vt:lpwstr>2052-12.1.0.26895</vt:lpwstr>
  </property>
  <property fmtid="{D5CDD505-2E9C-101B-9397-08002B2CF9AE}" pid="4" name="ICV">
    <vt:lpwstr>FA324421AE474216A6BB42749CCA54C2_13</vt:lpwstr>
  </property>
</Properties>
</file>